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951B98">
      <w:pPr>
        <w:jc w:val="left"/>
        <w:rPr>
          <w:rFonts w:hint="default" w:ascii="黑体" w:hAnsi="黑体" w:eastAsia="黑体" w:cs="黑体"/>
          <w:sz w:val="32"/>
          <w:szCs w:val="32"/>
          <w:lang w:val="en-US" w:eastAsia="zh-CN"/>
        </w:rPr>
      </w:pPr>
      <w:r>
        <w:rPr>
          <w:rFonts w:hint="eastAsia" w:ascii="黑体" w:hAnsi="黑体" w:eastAsia="黑体" w:cs="黑体"/>
          <w:sz w:val="32"/>
          <w:szCs w:val="32"/>
        </w:rPr>
        <w:t>附件</w:t>
      </w:r>
      <w:r>
        <w:rPr>
          <w:rFonts w:hint="eastAsia" w:ascii="黑体" w:hAnsi="黑体" w:eastAsia="黑体" w:cs="黑体"/>
          <w:sz w:val="32"/>
          <w:szCs w:val="32"/>
          <w:lang w:val="en-US" w:eastAsia="zh-CN"/>
        </w:rPr>
        <w:t>1</w:t>
      </w:r>
    </w:p>
    <w:p w14:paraId="44C3E9CB">
      <w:pPr>
        <w:spacing w:line="600" w:lineRule="exact"/>
        <w:ind w:firstLine="0" w:firstLineChars="0"/>
        <w:jc w:val="center"/>
        <w:rPr>
          <w:rFonts w:hint="eastAsia" w:ascii="方正小标宋简体" w:hAnsi="Times New Roman" w:eastAsia="方正小标宋简体" w:cs="Times New Roman"/>
          <w:bCs/>
          <w:sz w:val="44"/>
          <w:szCs w:val="44"/>
          <w:lang w:eastAsia="zh-CN"/>
        </w:rPr>
      </w:pPr>
    </w:p>
    <w:p w14:paraId="3A3F6973">
      <w:pPr>
        <w:pStyle w:val="2"/>
        <w:rPr>
          <w:rFonts w:hint="eastAsia"/>
          <w:lang w:eastAsia="zh-CN"/>
        </w:rPr>
      </w:pPr>
    </w:p>
    <w:p w14:paraId="111A4353">
      <w:pPr>
        <w:spacing w:line="600" w:lineRule="exact"/>
        <w:ind w:firstLine="0" w:firstLineChars="0"/>
        <w:jc w:val="center"/>
        <w:rPr>
          <w:rFonts w:hint="eastAsia" w:ascii="方正小标宋简体" w:hAnsi="Times New Roman" w:eastAsia="方正小标宋简体" w:cs="Times New Roman"/>
          <w:bCs/>
          <w:sz w:val="48"/>
          <w:szCs w:val="48"/>
          <w:lang w:eastAsia="zh-CN"/>
        </w:rPr>
      </w:pPr>
    </w:p>
    <w:p w14:paraId="35BEC014">
      <w:pPr>
        <w:spacing w:line="600" w:lineRule="exact"/>
        <w:ind w:firstLine="0" w:firstLineChars="0"/>
        <w:jc w:val="center"/>
        <w:rPr>
          <w:rFonts w:hint="eastAsia" w:ascii="方正小标宋简体" w:hAnsi="Times New Roman" w:eastAsia="方正小标宋简体" w:cs="Times New Roman"/>
          <w:b/>
          <w:bCs w:val="0"/>
          <w:sz w:val="48"/>
          <w:szCs w:val="48"/>
          <w:lang w:val="en-US" w:eastAsia="zh-CN"/>
        </w:rPr>
      </w:pPr>
      <w:r>
        <w:rPr>
          <w:rFonts w:hint="eastAsia" w:ascii="方正小标宋简体" w:hAnsi="Times New Roman" w:eastAsia="方正小标宋简体" w:cs="Times New Roman"/>
          <w:b/>
          <w:bCs w:val="0"/>
          <w:sz w:val="48"/>
          <w:szCs w:val="48"/>
          <w:lang w:val="en-US" w:eastAsia="zh-CN"/>
        </w:rPr>
        <w:t>静海区大邱庄镇德财恒鑫金属制品厂</w:t>
      </w:r>
    </w:p>
    <w:p w14:paraId="335592BE">
      <w:pPr>
        <w:spacing w:line="600" w:lineRule="exact"/>
        <w:ind w:firstLine="0" w:firstLineChars="0"/>
        <w:jc w:val="center"/>
        <w:rPr>
          <w:rFonts w:hint="eastAsia" w:ascii="方正小标宋简体" w:hAnsi="Times New Roman" w:eastAsia="方正小标宋简体" w:cs="Times New Roman"/>
          <w:b/>
          <w:bCs w:val="0"/>
          <w:sz w:val="48"/>
          <w:szCs w:val="48"/>
          <w:lang w:eastAsia="zh-CN"/>
        </w:rPr>
      </w:pPr>
      <w:r>
        <w:rPr>
          <w:rFonts w:hint="eastAsia" w:ascii="方正小标宋简体" w:hAnsi="Times New Roman" w:eastAsia="方正小标宋简体" w:cs="Times New Roman"/>
          <w:b/>
          <w:bCs w:val="0"/>
          <w:sz w:val="48"/>
          <w:szCs w:val="48"/>
          <w:lang w:eastAsia="zh-CN"/>
        </w:rPr>
        <w:t>“</w:t>
      </w:r>
      <w:r>
        <w:rPr>
          <w:rFonts w:hint="eastAsia" w:ascii="方正小标宋简体" w:hAnsi="Times New Roman" w:eastAsia="方正小标宋简体" w:cs="Times New Roman"/>
          <w:b/>
          <w:bCs w:val="0"/>
          <w:sz w:val="48"/>
          <w:szCs w:val="48"/>
          <w:lang w:val="en-US" w:eastAsia="zh-CN"/>
        </w:rPr>
        <w:t>7</w:t>
      </w:r>
      <w:r>
        <w:rPr>
          <w:rFonts w:hint="eastAsia" w:ascii="方正小标宋简体" w:hAnsi="Times New Roman" w:eastAsia="方正小标宋简体" w:cs="Times New Roman"/>
          <w:b/>
          <w:bCs w:val="0"/>
          <w:sz w:val="48"/>
          <w:szCs w:val="48"/>
          <w:lang w:eastAsia="zh-CN"/>
        </w:rPr>
        <w:t>·2</w:t>
      </w:r>
      <w:r>
        <w:rPr>
          <w:rFonts w:hint="eastAsia" w:ascii="方正小标宋简体" w:hAnsi="Times New Roman" w:eastAsia="方正小标宋简体" w:cs="Times New Roman"/>
          <w:b/>
          <w:bCs w:val="0"/>
          <w:sz w:val="48"/>
          <w:szCs w:val="48"/>
          <w:lang w:val="en-US" w:eastAsia="zh-CN"/>
        </w:rPr>
        <w:t>5</w:t>
      </w:r>
      <w:r>
        <w:rPr>
          <w:rFonts w:hint="eastAsia" w:ascii="方正小标宋简体" w:hAnsi="Times New Roman" w:eastAsia="方正小标宋简体" w:cs="Times New Roman"/>
          <w:b/>
          <w:bCs w:val="0"/>
          <w:sz w:val="48"/>
          <w:szCs w:val="48"/>
          <w:lang w:eastAsia="zh-CN"/>
        </w:rPr>
        <w:t>”</w:t>
      </w:r>
      <w:r>
        <w:rPr>
          <w:rFonts w:hint="eastAsia" w:ascii="方正小标宋简体" w:hAnsi="Times New Roman" w:eastAsia="方正小标宋简体" w:cs="Times New Roman"/>
          <w:b/>
          <w:bCs w:val="0"/>
          <w:sz w:val="48"/>
          <w:szCs w:val="48"/>
          <w:lang w:val="en-US" w:eastAsia="zh-CN"/>
        </w:rPr>
        <w:t>一般触电事故</w:t>
      </w:r>
      <w:r>
        <w:rPr>
          <w:rFonts w:hint="eastAsia" w:ascii="方正小标宋简体" w:hAnsi="Times New Roman" w:eastAsia="方正小标宋简体" w:cs="Times New Roman"/>
          <w:b/>
          <w:bCs w:val="0"/>
          <w:sz w:val="48"/>
          <w:szCs w:val="48"/>
          <w:lang w:eastAsia="zh-CN"/>
        </w:rPr>
        <w:t>调查报告</w:t>
      </w:r>
    </w:p>
    <w:p w14:paraId="38370E1F">
      <w:pPr>
        <w:pStyle w:val="2"/>
        <w:rPr>
          <w:rFonts w:hint="eastAsia" w:ascii="方正小标宋简体" w:hAnsi="Times New Roman" w:eastAsia="方正小标宋简体" w:cs="Times New Roman"/>
          <w:b/>
          <w:bCs w:val="0"/>
          <w:sz w:val="48"/>
          <w:szCs w:val="48"/>
          <w:lang w:eastAsia="zh-CN"/>
        </w:rPr>
      </w:pPr>
    </w:p>
    <w:p w14:paraId="4E6F2340">
      <w:pPr>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b w:val="0"/>
          <w:bCs/>
          <w:sz w:val="32"/>
          <w:szCs w:val="32"/>
          <w:lang w:eastAsia="zh-CN"/>
        </w:rPr>
      </w:pPr>
    </w:p>
    <w:p w14:paraId="5B18F116">
      <w:pPr>
        <w:pStyle w:val="2"/>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b w:val="0"/>
          <w:bCs/>
          <w:sz w:val="32"/>
          <w:szCs w:val="32"/>
          <w:lang w:eastAsia="zh-CN"/>
        </w:rPr>
      </w:pPr>
    </w:p>
    <w:p w14:paraId="450AF3C3">
      <w:pPr>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b w:val="0"/>
          <w:bCs/>
          <w:sz w:val="32"/>
          <w:szCs w:val="32"/>
          <w:lang w:eastAsia="zh-CN"/>
        </w:rPr>
      </w:pPr>
    </w:p>
    <w:p w14:paraId="2DB0479C">
      <w:pPr>
        <w:pStyle w:val="2"/>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b w:val="0"/>
          <w:bCs/>
          <w:sz w:val="32"/>
          <w:szCs w:val="32"/>
          <w:lang w:eastAsia="zh-CN"/>
        </w:rPr>
      </w:pPr>
    </w:p>
    <w:p w14:paraId="11BD4F56">
      <w:pPr>
        <w:pStyle w:val="2"/>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b w:val="0"/>
          <w:bCs/>
          <w:sz w:val="32"/>
          <w:szCs w:val="32"/>
          <w:lang w:eastAsia="zh-CN"/>
        </w:rPr>
      </w:pPr>
    </w:p>
    <w:p w14:paraId="2836AFA3">
      <w:pPr>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b w:val="0"/>
          <w:bCs/>
          <w:sz w:val="32"/>
          <w:szCs w:val="32"/>
          <w:lang w:eastAsia="zh-CN"/>
        </w:rPr>
      </w:pPr>
    </w:p>
    <w:p w14:paraId="6771F118">
      <w:pPr>
        <w:pStyle w:val="2"/>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b w:val="0"/>
          <w:bCs/>
          <w:sz w:val="32"/>
          <w:szCs w:val="32"/>
          <w:lang w:eastAsia="zh-CN"/>
        </w:rPr>
      </w:pPr>
    </w:p>
    <w:p w14:paraId="4CFC71C6">
      <w:pPr>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b w:val="0"/>
          <w:bCs/>
          <w:sz w:val="32"/>
          <w:szCs w:val="32"/>
          <w:lang w:eastAsia="zh-CN"/>
        </w:rPr>
      </w:pPr>
    </w:p>
    <w:p w14:paraId="104B2383">
      <w:pPr>
        <w:pStyle w:val="2"/>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b w:val="0"/>
          <w:bCs/>
          <w:sz w:val="32"/>
          <w:szCs w:val="32"/>
          <w:lang w:eastAsia="zh-CN"/>
        </w:rPr>
      </w:pPr>
    </w:p>
    <w:p w14:paraId="7B8A122E">
      <w:pPr>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b w:val="0"/>
          <w:bCs/>
          <w:sz w:val="32"/>
          <w:szCs w:val="32"/>
          <w:lang w:eastAsia="zh-CN"/>
        </w:rPr>
      </w:pPr>
    </w:p>
    <w:p w14:paraId="129A78DE">
      <w:pPr>
        <w:rPr>
          <w:rFonts w:hint="eastAsia" w:ascii="方正小标宋简体" w:hAnsi="Times New Roman" w:eastAsia="方正小标宋简体" w:cs="Times New Roman"/>
          <w:b/>
          <w:bCs w:val="0"/>
          <w:sz w:val="48"/>
          <w:szCs w:val="48"/>
          <w:lang w:eastAsia="zh-CN"/>
        </w:rPr>
      </w:pPr>
    </w:p>
    <w:p w14:paraId="7F475EC7">
      <w:pPr>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bCs w:val="0"/>
          <w:sz w:val="32"/>
          <w:szCs w:val="32"/>
          <w:lang w:val="en-US" w:eastAsia="zh-CN"/>
        </w:rPr>
      </w:pPr>
      <w:r>
        <w:rPr>
          <w:rFonts w:hint="eastAsia" w:ascii="仿宋_GB2312" w:hAnsi="仿宋_GB2312" w:eastAsia="仿宋_GB2312" w:cs="仿宋_GB2312"/>
          <w:b/>
          <w:bCs w:val="0"/>
          <w:sz w:val="32"/>
          <w:szCs w:val="32"/>
          <w:lang w:val="en-US" w:eastAsia="zh-CN"/>
        </w:rPr>
        <w:t>静海区政府事故调查组</w:t>
      </w:r>
    </w:p>
    <w:p w14:paraId="46589FC7">
      <w:pPr>
        <w:jc w:val="center"/>
        <w:rPr>
          <w:rFonts w:hint="default"/>
          <w:lang w:val="en-US" w:eastAsia="zh-CN"/>
        </w:rPr>
        <w:sectPr>
          <w:headerReference r:id="rId4" w:type="default"/>
          <w:footerReference r:id="rId5" w:type="default"/>
          <w:footerReference r:id="rId6" w:type="even"/>
          <w:pgSz w:w="11906" w:h="16838"/>
          <w:pgMar w:top="2041" w:right="1559" w:bottom="1701" w:left="1559" w:header="851" w:footer="1701" w:gutter="0"/>
          <w:pgNumType w:fmt="numberInDash"/>
          <w:cols w:space="720" w:num="1"/>
          <w:docGrid w:type="lines" w:linePitch="312" w:charSpace="0"/>
        </w:sectPr>
      </w:pPr>
      <w:r>
        <w:rPr>
          <w:rFonts w:hint="eastAsia" w:ascii="仿宋_GB2312" w:hAnsi="仿宋_GB2312" w:eastAsia="仿宋_GB2312" w:cs="仿宋_GB2312"/>
          <w:b/>
          <w:bCs w:val="0"/>
          <w:sz w:val="32"/>
          <w:szCs w:val="32"/>
          <w:lang w:val="en-US" w:eastAsia="zh-CN"/>
        </w:rPr>
        <w:t>2023年9月</w:t>
      </w:r>
    </w:p>
    <w:p w14:paraId="5577B960">
      <w:pPr>
        <w:pStyle w:val="11"/>
        <w:tabs>
          <w:tab w:val="right" w:leader="dot" w:pos="8788"/>
        </w:tabs>
        <w:jc w:val="center"/>
      </w:pPr>
      <w:bookmarkStart w:id="0" w:name="_Toc8597"/>
      <w:r>
        <w:rPr>
          <w:rFonts w:hint="eastAsia" w:ascii="宋体" w:hAnsi="宋体" w:eastAsia="宋体" w:cs="宋体"/>
          <w:b/>
          <w:bCs/>
          <w:sz w:val="32"/>
          <w:szCs w:val="32"/>
        </w:rPr>
        <w:t>目</w:t>
      </w:r>
      <w:r>
        <w:rPr>
          <w:rFonts w:hint="eastAsia" w:ascii="宋体" w:hAnsi="宋体" w:eastAsia="宋体" w:cs="宋体"/>
          <w:b/>
          <w:bCs/>
          <w:sz w:val="32"/>
          <w:szCs w:val="32"/>
          <w:lang w:val="en-US" w:eastAsia="zh-CN"/>
        </w:rPr>
        <w:t xml:space="preserve"> </w:t>
      </w:r>
      <w:r>
        <w:rPr>
          <w:rFonts w:hint="eastAsia" w:ascii="宋体" w:hAnsi="宋体" w:eastAsia="宋体" w:cs="宋体"/>
          <w:b/>
          <w:bCs/>
          <w:sz w:val="32"/>
          <w:szCs w:val="32"/>
          <w:shd w:val="clear" w:color="auto" w:fill="auto"/>
          <w:lang w:val="en-US" w:eastAsia="zh-CN"/>
        </w:rPr>
        <w:t xml:space="preserve"> </w:t>
      </w:r>
      <w:r>
        <w:rPr>
          <w:rFonts w:hint="eastAsia" w:ascii="宋体" w:hAnsi="宋体" w:eastAsia="宋体" w:cs="宋体"/>
          <w:b/>
          <w:bCs/>
          <w:sz w:val="32"/>
          <w:szCs w:val="32"/>
          <w:shd w:val="clear" w:color="auto" w:fill="auto"/>
        </w:rPr>
        <w:t>录</w:t>
      </w:r>
      <w:r>
        <w:rPr>
          <w:b/>
          <w:sz w:val="32"/>
          <w:szCs w:val="32"/>
          <w:shd w:val="clear" w:color="auto" w:fill="auto"/>
        </w:rPr>
        <w:fldChar w:fldCharType="begin"/>
      </w:r>
      <w:r>
        <w:rPr>
          <w:b/>
          <w:sz w:val="32"/>
          <w:szCs w:val="32"/>
          <w:shd w:val="clear" w:color="auto" w:fill="auto"/>
        </w:rPr>
        <w:instrText xml:space="preserve">TOC \o "1-2" \h \u </w:instrText>
      </w:r>
      <w:r>
        <w:rPr>
          <w:b/>
          <w:sz w:val="32"/>
          <w:szCs w:val="32"/>
          <w:shd w:val="clear" w:color="auto" w:fill="auto"/>
        </w:rPr>
        <w:fldChar w:fldCharType="separate"/>
      </w:r>
    </w:p>
    <w:p w14:paraId="5FD233B0">
      <w:pPr>
        <w:pStyle w:val="11"/>
        <w:keepNext/>
        <w:keepLines/>
        <w:pageBreakBefore w:val="0"/>
        <w:widowControl w:val="0"/>
        <w:tabs>
          <w:tab w:val="right" w:leader="dot" w:pos="8788"/>
        </w:tabs>
        <w:kinsoku/>
        <w:wordWrap/>
        <w:overflowPunct/>
        <w:topLinePunct w:val="0"/>
        <w:autoSpaceDE/>
        <w:autoSpaceDN/>
        <w:bidi w:val="0"/>
        <w:adjustRightInd/>
        <w:snapToGrid/>
        <w:spacing w:line="500" w:lineRule="exact"/>
        <w:textAlignment w:val="auto"/>
      </w:pPr>
      <w:r>
        <w:rPr>
          <w:szCs w:val="32"/>
          <w:shd w:val="clear" w:color="auto" w:fill="auto"/>
        </w:rPr>
        <w:fldChar w:fldCharType="begin"/>
      </w:r>
      <w:r>
        <w:rPr>
          <w:szCs w:val="32"/>
          <w:shd w:val="clear" w:color="auto" w:fill="auto"/>
        </w:rPr>
        <w:instrText xml:space="preserve"> HYPERLINK \l _Toc23858 </w:instrText>
      </w:r>
      <w:r>
        <w:rPr>
          <w:szCs w:val="32"/>
          <w:shd w:val="clear" w:color="auto" w:fill="auto"/>
        </w:rPr>
        <w:fldChar w:fldCharType="separate"/>
      </w:r>
      <w:r>
        <w:rPr>
          <w:rFonts w:hint="eastAsia"/>
        </w:rPr>
        <w:t>一、事故基本情况</w:t>
      </w:r>
      <w:r>
        <w:tab/>
      </w:r>
      <w:r>
        <w:fldChar w:fldCharType="begin"/>
      </w:r>
      <w:r>
        <w:instrText xml:space="preserve"> PAGEREF _Toc23858 \h </w:instrText>
      </w:r>
      <w:r>
        <w:fldChar w:fldCharType="separate"/>
      </w:r>
      <w:r>
        <w:t>- 1 -</w:t>
      </w:r>
      <w:r>
        <w:fldChar w:fldCharType="end"/>
      </w:r>
      <w:r>
        <w:rPr>
          <w:szCs w:val="32"/>
          <w:shd w:val="clear" w:color="auto" w:fill="auto"/>
        </w:rPr>
        <w:fldChar w:fldCharType="end"/>
      </w:r>
    </w:p>
    <w:p w14:paraId="464C595D">
      <w:pPr>
        <w:pStyle w:val="13"/>
        <w:keepNext/>
        <w:keepLines/>
        <w:pageBreakBefore w:val="0"/>
        <w:widowControl w:val="0"/>
        <w:tabs>
          <w:tab w:val="right" w:leader="dot" w:pos="8788"/>
        </w:tabs>
        <w:kinsoku/>
        <w:wordWrap/>
        <w:overflowPunct/>
        <w:topLinePunct w:val="0"/>
        <w:autoSpaceDE/>
        <w:autoSpaceDN/>
        <w:bidi w:val="0"/>
        <w:adjustRightInd/>
        <w:snapToGrid/>
        <w:spacing w:line="500" w:lineRule="exact"/>
        <w:textAlignment w:val="auto"/>
      </w:pPr>
      <w:r>
        <w:rPr>
          <w:szCs w:val="32"/>
          <w:shd w:val="clear" w:color="auto" w:fill="auto"/>
        </w:rPr>
        <w:fldChar w:fldCharType="begin"/>
      </w:r>
      <w:r>
        <w:rPr>
          <w:szCs w:val="32"/>
          <w:shd w:val="clear" w:color="auto" w:fill="auto"/>
        </w:rPr>
        <w:instrText xml:space="preserve"> HYPERLINK \l _Toc29985 </w:instrText>
      </w:r>
      <w:r>
        <w:rPr>
          <w:szCs w:val="32"/>
          <w:shd w:val="clear" w:color="auto" w:fill="auto"/>
        </w:rPr>
        <w:fldChar w:fldCharType="separate"/>
      </w:r>
      <w:r>
        <w:rPr>
          <w:rFonts w:hint="eastAsia"/>
          <w:lang w:eastAsia="zh-CN"/>
        </w:rPr>
        <w:t>（</w:t>
      </w:r>
      <w:r>
        <w:rPr>
          <w:rFonts w:hint="eastAsia"/>
        </w:rPr>
        <w:t>一</w:t>
      </w:r>
      <w:r>
        <w:rPr>
          <w:rFonts w:hint="eastAsia"/>
          <w:lang w:eastAsia="zh-CN"/>
        </w:rPr>
        <w:t>）</w:t>
      </w:r>
      <w:r>
        <w:rPr>
          <w:rFonts w:hint="eastAsia"/>
          <w:lang w:val="en-US" w:eastAsia="zh-CN"/>
        </w:rPr>
        <w:t>事故相关单位和人员情况</w:t>
      </w:r>
      <w:r>
        <w:tab/>
      </w:r>
      <w:r>
        <w:fldChar w:fldCharType="begin"/>
      </w:r>
      <w:r>
        <w:instrText xml:space="preserve"> PAGEREF _Toc29985 \h </w:instrText>
      </w:r>
      <w:r>
        <w:fldChar w:fldCharType="separate"/>
      </w:r>
      <w:r>
        <w:t>- 1 -</w:t>
      </w:r>
      <w:r>
        <w:fldChar w:fldCharType="end"/>
      </w:r>
      <w:r>
        <w:rPr>
          <w:szCs w:val="32"/>
          <w:shd w:val="clear" w:color="auto" w:fill="auto"/>
        </w:rPr>
        <w:fldChar w:fldCharType="end"/>
      </w:r>
    </w:p>
    <w:p w14:paraId="09BBE744">
      <w:pPr>
        <w:pStyle w:val="13"/>
        <w:keepNext/>
        <w:keepLines/>
        <w:pageBreakBefore w:val="0"/>
        <w:widowControl w:val="0"/>
        <w:tabs>
          <w:tab w:val="right" w:leader="dot" w:pos="8788"/>
        </w:tabs>
        <w:kinsoku/>
        <w:wordWrap/>
        <w:overflowPunct/>
        <w:topLinePunct w:val="0"/>
        <w:autoSpaceDE/>
        <w:autoSpaceDN/>
        <w:bidi w:val="0"/>
        <w:adjustRightInd/>
        <w:snapToGrid/>
        <w:spacing w:line="500" w:lineRule="exact"/>
        <w:textAlignment w:val="auto"/>
      </w:pPr>
      <w:r>
        <w:rPr>
          <w:szCs w:val="32"/>
          <w:shd w:val="clear" w:color="auto" w:fill="auto"/>
        </w:rPr>
        <w:fldChar w:fldCharType="begin"/>
      </w:r>
      <w:r>
        <w:rPr>
          <w:szCs w:val="32"/>
          <w:shd w:val="clear" w:color="auto" w:fill="auto"/>
        </w:rPr>
        <w:instrText xml:space="preserve"> HYPERLINK \l _Toc16245 </w:instrText>
      </w:r>
      <w:r>
        <w:rPr>
          <w:szCs w:val="32"/>
          <w:shd w:val="clear" w:color="auto" w:fill="auto"/>
        </w:rPr>
        <w:fldChar w:fldCharType="separate"/>
      </w:r>
      <w:r>
        <w:rPr>
          <w:rFonts w:hint="eastAsia"/>
          <w:lang w:val="en-US" w:eastAsia="zh-CN"/>
        </w:rPr>
        <w:t>（二）厂房租赁情况</w:t>
      </w:r>
      <w:r>
        <w:tab/>
      </w:r>
      <w:r>
        <w:fldChar w:fldCharType="begin"/>
      </w:r>
      <w:r>
        <w:instrText xml:space="preserve"> PAGEREF _Toc16245 \h </w:instrText>
      </w:r>
      <w:r>
        <w:fldChar w:fldCharType="separate"/>
      </w:r>
      <w:r>
        <w:t>- 2 -</w:t>
      </w:r>
      <w:r>
        <w:fldChar w:fldCharType="end"/>
      </w:r>
      <w:r>
        <w:rPr>
          <w:szCs w:val="32"/>
          <w:shd w:val="clear" w:color="auto" w:fill="auto"/>
        </w:rPr>
        <w:fldChar w:fldCharType="end"/>
      </w:r>
    </w:p>
    <w:p w14:paraId="3DA2A59A">
      <w:pPr>
        <w:pStyle w:val="13"/>
        <w:keepNext/>
        <w:keepLines/>
        <w:pageBreakBefore w:val="0"/>
        <w:widowControl w:val="0"/>
        <w:tabs>
          <w:tab w:val="right" w:leader="dot" w:pos="8788"/>
        </w:tabs>
        <w:kinsoku/>
        <w:wordWrap/>
        <w:overflowPunct/>
        <w:topLinePunct w:val="0"/>
        <w:autoSpaceDE/>
        <w:autoSpaceDN/>
        <w:bidi w:val="0"/>
        <w:adjustRightInd/>
        <w:snapToGrid/>
        <w:spacing w:line="500" w:lineRule="exact"/>
        <w:textAlignment w:val="auto"/>
      </w:pPr>
      <w:r>
        <w:rPr>
          <w:szCs w:val="32"/>
          <w:shd w:val="clear" w:color="auto" w:fill="auto"/>
        </w:rPr>
        <w:fldChar w:fldCharType="begin"/>
      </w:r>
      <w:r>
        <w:rPr>
          <w:szCs w:val="32"/>
          <w:shd w:val="clear" w:color="auto" w:fill="auto"/>
        </w:rPr>
        <w:instrText xml:space="preserve"> HYPERLINK \l _Toc15489 </w:instrText>
      </w:r>
      <w:r>
        <w:rPr>
          <w:szCs w:val="32"/>
          <w:shd w:val="clear" w:color="auto" w:fill="auto"/>
        </w:rPr>
        <w:fldChar w:fldCharType="separate"/>
      </w:r>
      <w:r>
        <w:rPr>
          <w:rFonts w:hint="eastAsia"/>
        </w:rPr>
        <w:t>（三）</w:t>
      </w:r>
      <w:r>
        <w:rPr>
          <w:rFonts w:hint="eastAsia"/>
          <w:lang w:val="en-US"/>
        </w:rPr>
        <w:t>制</w:t>
      </w:r>
      <w:r>
        <w:rPr>
          <w:rFonts w:hint="default"/>
        </w:rPr>
        <w:t>钉工艺</w:t>
      </w:r>
      <w:r>
        <w:rPr>
          <w:rFonts w:hint="eastAsia"/>
          <w:lang w:val="en-US"/>
        </w:rPr>
        <w:t>流程</w:t>
      </w:r>
      <w:r>
        <w:tab/>
      </w:r>
      <w:r>
        <w:fldChar w:fldCharType="begin"/>
      </w:r>
      <w:r>
        <w:instrText xml:space="preserve"> PAGEREF _Toc15489 \h </w:instrText>
      </w:r>
      <w:r>
        <w:fldChar w:fldCharType="separate"/>
      </w:r>
      <w:r>
        <w:t>- 3 -</w:t>
      </w:r>
      <w:r>
        <w:fldChar w:fldCharType="end"/>
      </w:r>
      <w:r>
        <w:rPr>
          <w:szCs w:val="32"/>
          <w:shd w:val="clear" w:color="auto" w:fill="auto"/>
        </w:rPr>
        <w:fldChar w:fldCharType="end"/>
      </w:r>
    </w:p>
    <w:p w14:paraId="03611941">
      <w:pPr>
        <w:pStyle w:val="13"/>
        <w:keepNext/>
        <w:keepLines/>
        <w:pageBreakBefore w:val="0"/>
        <w:widowControl w:val="0"/>
        <w:tabs>
          <w:tab w:val="right" w:leader="dot" w:pos="8788"/>
        </w:tabs>
        <w:kinsoku/>
        <w:wordWrap/>
        <w:overflowPunct/>
        <w:topLinePunct w:val="0"/>
        <w:autoSpaceDE/>
        <w:autoSpaceDN/>
        <w:bidi w:val="0"/>
        <w:adjustRightInd/>
        <w:snapToGrid/>
        <w:spacing w:line="500" w:lineRule="exact"/>
        <w:textAlignment w:val="auto"/>
      </w:pPr>
      <w:r>
        <w:rPr>
          <w:szCs w:val="32"/>
          <w:shd w:val="clear" w:color="auto" w:fill="auto"/>
        </w:rPr>
        <w:fldChar w:fldCharType="begin"/>
      </w:r>
      <w:r>
        <w:rPr>
          <w:szCs w:val="32"/>
          <w:shd w:val="clear" w:color="auto" w:fill="auto"/>
        </w:rPr>
        <w:instrText xml:space="preserve"> HYPERLINK \l _Toc14830 </w:instrText>
      </w:r>
      <w:r>
        <w:rPr>
          <w:szCs w:val="32"/>
          <w:shd w:val="clear" w:color="auto" w:fill="auto"/>
        </w:rPr>
        <w:fldChar w:fldCharType="separate"/>
      </w:r>
      <w:r>
        <w:rPr>
          <w:rFonts w:hint="eastAsia" w:cs="Times New Roman"/>
          <w:lang w:val="en-US" w:eastAsia="zh-CN"/>
        </w:rPr>
        <w:t>（四）</w:t>
      </w:r>
      <w:r>
        <w:rPr>
          <w:rFonts w:hint="eastAsia" w:ascii="Times New Roman" w:hAnsi="Times New Roman" w:cs="Times New Roman"/>
          <w:lang w:val="en-US"/>
        </w:rPr>
        <w:t>分料区域的</w:t>
      </w:r>
      <w:r>
        <w:rPr>
          <w:rFonts w:hint="default" w:ascii="Times New Roman" w:hAnsi="Times New Roman" w:cs="Times New Roman"/>
        </w:rPr>
        <w:t>设备设施情况</w:t>
      </w:r>
      <w:r>
        <w:tab/>
      </w:r>
      <w:r>
        <w:fldChar w:fldCharType="begin"/>
      </w:r>
      <w:r>
        <w:instrText xml:space="preserve"> PAGEREF _Toc14830 \h </w:instrText>
      </w:r>
      <w:r>
        <w:fldChar w:fldCharType="separate"/>
      </w:r>
      <w:r>
        <w:t>- 3 -</w:t>
      </w:r>
      <w:r>
        <w:fldChar w:fldCharType="end"/>
      </w:r>
      <w:r>
        <w:rPr>
          <w:szCs w:val="32"/>
          <w:shd w:val="clear" w:color="auto" w:fill="auto"/>
        </w:rPr>
        <w:fldChar w:fldCharType="end"/>
      </w:r>
    </w:p>
    <w:p w14:paraId="586425CD">
      <w:pPr>
        <w:pStyle w:val="13"/>
        <w:keepNext/>
        <w:keepLines/>
        <w:pageBreakBefore w:val="0"/>
        <w:widowControl w:val="0"/>
        <w:tabs>
          <w:tab w:val="right" w:leader="dot" w:pos="8788"/>
        </w:tabs>
        <w:kinsoku/>
        <w:wordWrap/>
        <w:overflowPunct/>
        <w:topLinePunct w:val="0"/>
        <w:autoSpaceDE/>
        <w:autoSpaceDN/>
        <w:bidi w:val="0"/>
        <w:adjustRightInd/>
        <w:snapToGrid/>
        <w:spacing w:line="500" w:lineRule="exact"/>
        <w:textAlignment w:val="auto"/>
      </w:pPr>
      <w:r>
        <w:rPr>
          <w:szCs w:val="32"/>
          <w:shd w:val="clear" w:color="auto" w:fill="auto"/>
        </w:rPr>
        <w:fldChar w:fldCharType="begin"/>
      </w:r>
      <w:r>
        <w:rPr>
          <w:szCs w:val="32"/>
          <w:shd w:val="clear" w:color="auto" w:fill="auto"/>
        </w:rPr>
        <w:instrText xml:space="preserve"> HYPERLINK \l _Toc2534 </w:instrText>
      </w:r>
      <w:r>
        <w:rPr>
          <w:szCs w:val="32"/>
          <w:shd w:val="clear" w:color="auto" w:fill="auto"/>
        </w:rPr>
        <w:fldChar w:fldCharType="separate"/>
      </w:r>
      <w:r>
        <w:rPr>
          <w:rFonts w:hint="eastAsia" w:cs="Times New Roman"/>
          <w:lang w:val="en-US" w:eastAsia="zh-CN"/>
        </w:rPr>
        <w:t>（五）</w:t>
      </w:r>
      <w:r>
        <w:rPr>
          <w:rFonts w:hint="eastAsia" w:ascii="Times New Roman" w:hAnsi="Times New Roman" w:cs="Times New Roman"/>
          <w:lang w:val="en-US"/>
        </w:rPr>
        <w:t>分料</w:t>
      </w:r>
      <w:r>
        <w:rPr>
          <w:rFonts w:hint="eastAsia" w:cs="Times New Roman"/>
          <w:lang w:val="en-US" w:eastAsia="zh-CN"/>
        </w:rPr>
        <w:t>机</w:t>
      </w:r>
      <w:r>
        <w:rPr>
          <w:rFonts w:hint="default" w:ascii="Times New Roman" w:hAnsi="Times New Roman" w:cs="Times New Roman"/>
        </w:rPr>
        <w:t>情况</w:t>
      </w:r>
      <w:r>
        <w:tab/>
      </w:r>
      <w:r>
        <w:fldChar w:fldCharType="begin"/>
      </w:r>
      <w:r>
        <w:instrText xml:space="preserve"> PAGEREF _Toc2534 \h </w:instrText>
      </w:r>
      <w:r>
        <w:fldChar w:fldCharType="separate"/>
      </w:r>
      <w:r>
        <w:t>- 4 -</w:t>
      </w:r>
      <w:r>
        <w:fldChar w:fldCharType="end"/>
      </w:r>
      <w:r>
        <w:rPr>
          <w:szCs w:val="32"/>
          <w:shd w:val="clear" w:color="auto" w:fill="auto"/>
        </w:rPr>
        <w:fldChar w:fldCharType="end"/>
      </w:r>
    </w:p>
    <w:p w14:paraId="62187DA6">
      <w:pPr>
        <w:pStyle w:val="13"/>
        <w:keepNext/>
        <w:keepLines/>
        <w:pageBreakBefore w:val="0"/>
        <w:widowControl w:val="0"/>
        <w:tabs>
          <w:tab w:val="right" w:leader="dot" w:pos="8788"/>
        </w:tabs>
        <w:kinsoku/>
        <w:wordWrap/>
        <w:overflowPunct/>
        <w:topLinePunct w:val="0"/>
        <w:autoSpaceDE/>
        <w:autoSpaceDN/>
        <w:bidi w:val="0"/>
        <w:adjustRightInd/>
        <w:snapToGrid/>
        <w:spacing w:line="500" w:lineRule="exact"/>
        <w:textAlignment w:val="auto"/>
        <w:outlineLvl w:val="1"/>
      </w:pPr>
      <w:r>
        <w:rPr>
          <w:szCs w:val="32"/>
          <w:shd w:val="clear" w:color="auto" w:fill="auto"/>
        </w:rPr>
        <w:fldChar w:fldCharType="begin"/>
      </w:r>
      <w:r>
        <w:rPr>
          <w:szCs w:val="32"/>
          <w:shd w:val="clear" w:color="auto" w:fill="auto"/>
        </w:rPr>
        <w:instrText xml:space="preserve"> HYPERLINK \l _Toc3956 </w:instrText>
      </w:r>
      <w:r>
        <w:rPr>
          <w:szCs w:val="32"/>
          <w:shd w:val="clear" w:color="auto" w:fill="auto"/>
        </w:rPr>
        <w:fldChar w:fldCharType="separate"/>
      </w:r>
      <w:r>
        <w:rPr>
          <w:rFonts w:hint="eastAsia" w:cs="Times New Roman"/>
          <w:lang w:val="en-US" w:eastAsia="zh-CN"/>
        </w:rPr>
        <w:t>（六）分料区域总体配电情况</w:t>
      </w:r>
      <w:r>
        <w:tab/>
      </w:r>
      <w:r>
        <w:fldChar w:fldCharType="begin"/>
      </w:r>
      <w:r>
        <w:instrText xml:space="preserve"> PAGEREF _Toc3956 \h </w:instrText>
      </w:r>
      <w:r>
        <w:fldChar w:fldCharType="separate"/>
      </w:r>
      <w:r>
        <w:t>- 6 -</w:t>
      </w:r>
      <w:r>
        <w:fldChar w:fldCharType="end"/>
      </w:r>
      <w:r>
        <w:rPr>
          <w:szCs w:val="32"/>
          <w:shd w:val="clear" w:color="auto" w:fill="auto"/>
        </w:rPr>
        <w:fldChar w:fldCharType="end"/>
      </w:r>
    </w:p>
    <w:p w14:paraId="5F5FEB33">
      <w:pPr>
        <w:pStyle w:val="13"/>
        <w:keepNext/>
        <w:keepLines/>
        <w:pageBreakBefore w:val="0"/>
        <w:widowControl w:val="0"/>
        <w:tabs>
          <w:tab w:val="right" w:leader="dot" w:pos="8788"/>
        </w:tabs>
        <w:kinsoku/>
        <w:wordWrap/>
        <w:overflowPunct/>
        <w:topLinePunct w:val="0"/>
        <w:autoSpaceDE/>
        <w:autoSpaceDN/>
        <w:bidi w:val="0"/>
        <w:adjustRightInd/>
        <w:snapToGrid/>
        <w:spacing w:line="500" w:lineRule="exact"/>
        <w:textAlignment w:val="auto"/>
      </w:pPr>
      <w:r>
        <w:rPr>
          <w:szCs w:val="32"/>
          <w:shd w:val="clear" w:color="auto" w:fill="auto"/>
        </w:rPr>
        <w:fldChar w:fldCharType="begin"/>
      </w:r>
      <w:r>
        <w:rPr>
          <w:szCs w:val="32"/>
          <w:shd w:val="clear" w:color="auto" w:fill="auto"/>
        </w:rPr>
        <w:instrText xml:space="preserve"> HYPERLINK \l _Toc29655 </w:instrText>
      </w:r>
      <w:r>
        <w:rPr>
          <w:szCs w:val="32"/>
          <w:shd w:val="clear" w:color="auto" w:fill="auto"/>
        </w:rPr>
        <w:fldChar w:fldCharType="separate"/>
      </w:r>
      <w:r>
        <w:rPr>
          <w:rFonts w:hint="eastAsia" w:cs="Times New Roman"/>
          <w:lang w:val="en-US" w:eastAsia="zh-CN"/>
        </w:rPr>
        <w:t>（七）</w:t>
      </w:r>
      <w:r>
        <w:rPr>
          <w:rFonts w:hint="default"/>
        </w:rPr>
        <w:t>分料机</w:t>
      </w:r>
      <w:r>
        <w:rPr>
          <w:rFonts w:hint="eastAsia"/>
          <w:lang w:val="en-US"/>
        </w:rPr>
        <w:t>配</w:t>
      </w:r>
      <w:r>
        <w:rPr>
          <w:rFonts w:hint="default"/>
        </w:rPr>
        <w:t>电</w:t>
      </w:r>
      <w:r>
        <w:rPr>
          <w:rFonts w:hint="eastAsia"/>
          <w:lang w:val="en-US"/>
        </w:rPr>
        <w:t>情况</w:t>
      </w:r>
      <w:r>
        <w:tab/>
      </w:r>
      <w:r>
        <w:fldChar w:fldCharType="begin"/>
      </w:r>
      <w:r>
        <w:instrText xml:space="preserve"> PAGEREF _Toc29655 \h </w:instrText>
      </w:r>
      <w:r>
        <w:fldChar w:fldCharType="separate"/>
      </w:r>
      <w:r>
        <w:t>- 7 -</w:t>
      </w:r>
      <w:r>
        <w:fldChar w:fldCharType="end"/>
      </w:r>
      <w:r>
        <w:rPr>
          <w:szCs w:val="32"/>
          <w:shd w:val="clear" w:color="auto" w:fill="auto"/>
        </w:rPr>
        <w:fldChar w:fldCharType="end"/>
      </w:r>
    </w:p>
    <w:p w14:paraId="0D1B8653">
      <w:pPr>
        <w:pStyle w:val="11"/>
        <w:keepNext/>
        <w:keepLines/>
        <w:pageBreakBefore w:val="0"/>
        <w:widowControl w:val="0"/>
        <w:tabs>
          <w:tab w:val="right" w:leader="dot" w:pos="8788"/>
        </w:tabs>
        <w:kinsoku/>
        <w:wordWrap/>
        <w:overflowPunct/>
        <w:topLinePunct w:val="0"/>
        <w:autoSpaceDE/>
        <w:autoSpaceDN/>
        <w:bidi w:val="0"/>
        <w:adjustRightInd/>
        <w:snapToGrid/>
        <w:spacing w:line="500" w:lineRule="exact"/>
        <w:textAlignment w:val="auto"/>
      </w:pPr>
      <w:r>
        <w:rPr>
          <w:szCs w:val="32"/>
          <w:shd w:val="clear" w:color="auto" w:fill="auto"/>
        </w:rPr>
        <w:fldChar w:fldCharType="begin"/>
      </w:r>
      <w:r>
        <w:rPr>
          <w:szCs w:val="32"/>
          <w:shd w:val="clear" w:color="auto" w:fill="auto"/>
        </w:rPr>
        <w:instrText xml:space="preserve"> HYPERLINK \l _Toc10041 </w:instrText>
      </w:r>
      <w:r>
        <w:rPr>
          <w:szCs w:val="32"/>
          <w:shd w:val="clear" w:color="auto" w:fill="auto"/>
        </w:rPr>
        <w:fldChar w:fldCharType="separate"/>
      </w:r>
      <w:r>
        <w:rPr>
          <w:rFonts w:hint="eastAsia"/>
        </w:rPr>
        <w:t>二、事故发生的经过及应急处置情况</w:t>
      </w:r>
      <w:r>
        <w:tab/>
      </w:r>
      <w:r>
        <w:fldChar w:fldCharType="begin"/>
      </w:r>
      <w:r>
        <w:instrText xml:space="preserve"> PAGEREF _Toc10041 \h </w:instrText>
      </w:r>
      <w:r>
        <w:fldChar w:fldCharType="separate"/>
      </w:r>
      <w:r>
        <w:t>- 7 -</w:t>
      </w:r>
      <w:r>
        <w:fldChar w:fldCharType="end"/>
      </w:r>
      <w:r>
        <w:rPr>
          <w:szCs w:val="32"/>
          <w:shd w:val="clear" w:color="auto" w:fill="auto"/>
        </w:rPr>
        <w:fldChar w:fldCharType="end"/>
      </w:r>
    </w:p>
    <w:p w14:paraId="16897295">
      <w:pPr>
        <w:pStyle w:val="13"/>
        <w:keepNext/>
        <w:keepLines/>
        <w:pageBreakBefore w:val="0"/>
        <w:widowControl w:val="0"/>
        <w:tabs>
          <w:tab w:val="right" w:leader="dot" w:pos="8788"/>
        </w:tabs>
        <w:kinsoku/>
        <w:wordWrap/>
        <w:overflowPunct/>
        <w:topLinePunct w:val="0"/>
        <w:autoSpaceDE/>
        <w:autoSpaceDN/>
        <w:bidi w:val="0"/>
        <w:adjustRightInd/>
        <w:snapToGrid/>
        <w:spacing w:line="500" w:lineRule="exact"/>
        <w:textAlignment w:val="auto"/>
      </w:pPr>
      <w:r>
        <w:rPr>
          <w:szCs w:val="32"/>
          <w:shd w:val="clear" w:color="auto" w:fill="auto"/>
        </w:rPr>
        <w:fldChar w:fldCharType="begin"/>
      </w:r>
      <w:r>
        <w:rPr>
          <w:szCs w:val="32"/>
          <w:shd w:val="clear" w:color="auto" w:fill="auto"/>
        </w:rPr>
        <w:instrText xml:space="preserve"> HYPERLINK \l _Toc27746 </w:instrText>
      </w:r>
      <w:r>
        <w:rPr>
          <w:szCs w:val="32"/>
          <w:shd w:val="clear" w:color="auto" w:fill="auto"/>
        </w:rPr>
        <w:fldChar w:fldCharType="separate"/>
      </w:r>
      <w:r>
        <w:rPr>
          <w:rFonts w:hint="eastAsia"/>
        </w:rPr>
        <w:t>（一）事故经过</w:t>
      </w:r>
      <w:r>
        <w:tab/>
      </w:r>
      <w:r>
        <w:fldChar w:fldCharType="begin"/>
      </w:r>
      <w:r>
        <w:instrText xml:space="preserve"> PAGEREF _Toc27746 \h </w:instrText>
      </w:r>
      <w:r>
        <w:fldChar w:fldCharType="separate"/>
      </w:r>
      <w:r>
        <w:t>- 7 -</w:t>
      </w:r>
      <w:r>
        <w:fldChar w:fldCharType="end"/>
      </w:r>
      <w:r>
        <w:rPr>
          <w:szCs w:val="32"/>
          <w:shd w:val="clear" w:color="auto" w:fill="auto"/>
        </w:rPr>
        <w:fldChar w:fldCharType="end"/>
      </w:r>
    </w:p>
    <w:p w14:paraId="4E98CF2A">
      <w:pPr>
        <w:pStyle w:val="13"/>
        <w:keepNext/>
        <w:keepLines/>
        <w:pageBreakBefore w:val="0"/>
        <w:widowControl w:val="0"/>
        <w:tabs>
          <w:tab w:val="right" w:leader="dot" w:pos="8788"/>
        </w:tabs>
        <w:kinsoku/>
        <w:wordWrap/>
        <w:overflowPunct/>
        <w:topLinePunct w:val="0"/>
        <w:autoSpaceDE/>
        <w:autoSpaceDN/>
        <w:bidi w:val="0"/>
        <w:adjustRightInd/>
        <w:snapToGrid/>
        <w:spacing w:line="500" w:lineRule="exact"/>
        <w:textAlignment w:val="auto"/>
      </w:pPr>
      <w:r>
        <w:rPr>
          <w:szCs w:val="32"/>
          <w:shd w:val="clear" w:color="auto" w:fill="auto"/>
        </w:rPr>
        <w:fldChar w:fldCharType="begin"/>
      </w:r>
      <w:r>
        <w:rPr>
          <w:szCs w:val="32"/>
          <w:shd w:val="clear" w:color="auto" w:fill="auto"/>
        </w:rPr>
        <w:instrText xml:space="preserve"> HYPERLINK \l _Toc15406 </w:instrText>
      </w:r>
      <w:r>
        <w:rPr>
          <w:szCs w:val="32"/>
          <w:shd w:val="clear" w:color="auto" w:fill="auto"/>
        </w:rPr>
        <w:fldChar w:fldCharType="separate"/>
      </w:r>
      <w:r>
        <w:rPr>
          <w:rFonts w:hint="eastAsia"/>
        </w:rPr>
        <w:t>（</w:t>
      </w:r>
      <w:r>
        <w:rPr>
          <w:rFonts w:hint="eastAsia"/>
          <w:lang w:eastAsia="zh-CN"/>
        </w:rPr>
        <w:t>二</w:t>
      </w:r>
      <w:r>
        <w:rPr>
          <w:rFonts w:hint="eastAsia"/>
        </w:rPr>
        <w:t>）事故应急</w:t>
      </w:r>
      <w:r>
        <w:t>处置情况</w:t>
      </w:r>
      <w:r>
        <w:tab/>
      </w:r>
      <w:r>
        <w:fldChar w:fldCharType="begin"/>
      </w:r>
      <w:r>
        <w:instrText xml:space="preserve"> PAGEREF _Toc15406 \h </w:instrText>
      </w:r>
      <w:r>
        <w:fldChar w:fldCharType="separate"/>
      </w:r>
      <w:r>
        <w:t>- 8 -</w:t>
      </w:r>
      <w:r>
        <w:fldChar w:fldCharType="end"/>
      </w:r>
      <w:r>
        <w:rPr>
          <w:szCs w:val="32"/>
          <w:shd w:val="clear" w:color="auto" w:fill="auto"/>
        </w:rPr>
        <w:fldChar w:fldCharType="end"/>
      </w:r>
    </w:p>
    <w:p w14:paraId="15B0ADA6">
      <w:pPr>
        <w:pStyle w:val="11"/>
        <w:keepNext/>
        <w:keepLines/>
        <w:pageBreakBefore w:val="0"/>
        <w:widowControl w:val="0"/>
        <w:tabs>
          <w:tab w:val="right" w:leader="dot" w:pos="8788"/>
        </w:tabs>
        <w:kinsoku/>
        <w:wordWrap/>
        <w:overflowPunct/>
        <w:topLinePunct w:val="0"/>
        <w:autoSpaceDE/>
        <w:autoSpaceDN/>
        <w:bidi w:val="0"/>
        <w:adjustRightInd/>
        <w:snapToGrid/>
        <w:spacing w:line="500" w:lineRule="exact"/>
        <w:textAlignment w:val="auto"/>
      </w:pPr>
      <w:r>
        <w:rPr>
          <w:szCs w:val="32"/>
          <w:shd w:val="clear" w:color="auto" w:fill="auto"/>
        </w:rPr>
        <w:fldChar w:fldCharType="begin"/>
      </w:r>
      <w:r>
        <w:rPr>
          <w:szCs w:val="32"/>
          <w:shd w:val="clear" w:color="auto" w:fill="auto"/>
        </w:rPr>
        <w:instrText xml:space="preserve"> HYPERLINK \l _Toc30563 </w:instrText>
      </w:r>
      <w:r>
        <w:rPr>
          <w:szCs w:val="32"/>
          <w:shd w:val="clear" w:color="auto" w:fill="auto"/>
        </w:rPr>
        <w:fldChar w:fldCharType="separate"/>
      </w:r>
      <w:r>
        <w:rPr>
          <w:rFonts w:hint="eastAsia"/>
        </w:rPr>
        <w:t>三、事故伤亡情况及直接经济损失</w:t>
      </w:r>
      <w:r>
        <w:tab/>
      </w:r>
      <w:r>
        <w:fldChar w:fldCharType="begin"/>
      </w:r>
      <w:r>
        <w:instrText xml:space="preserve"> PAGEREF _Toc30563 \h </w:instrText>
      </w:r>
      <w:r>
        <w:fldChar w:fldCharType="separate"/>
      </w:r>
      <w:r>
        <w:t>- 8 -</w:t>
      </w:r>
      <w:r>
        <w:fldChar w:fldCharType="end"/>
      </w:r>
      <w:r>
        <w:rPr>
          <w:szCs w:val="32"/>
          <w:shd w:val="clear" w:color="auto" w:fill="auto"/>
        </w:rPr>
        <w:fldChar w:fldCharType="end"/>
      </w:r>
    </w:p>
    <w:p w14:paraId="5CCC8302">
      <w:pPr>
        <w:pStyle w:val="13"/>
        <w:keepNext/>
        <w:keepLines/>
        <w:pageBreakBefore w:val="0"/>
        <w:widowControl w:val="0"/>
        <w:tabs>
          <w:tab w:val="right" w:leader="dot" w:pos="8788"/>
        </w:tabs>
        <w:kinsoku/>
        <w:wordWrap/>
        <w:overflowPunct/>
        <w:topLinePunct w:val="0"/>
        <w:autoSpaceDE/>
        <w:autoSpaceDN/>
        <w:bidi w:val="0"/>
        <w:adjustRightInd/>
        <w:snapToGrid/>
        <w:spacing w:line="500" w:lineRule="exact"/>
        <w:textAlignment w:val="auto"/>
      </w:pPr>
      <w:r>
        <w:rPr>
          <w:szCs w:val="32"/>
          <w:shd w:val="clear" w:color="auto" w:fill="auto"/>
        </w:rPr>
        <w:fldChar w:fldCharType="begin"/>
      </w:r>
      <w:r>
        <w:rPr>
          <w:szCs w:val="32"/>
          <w:shd w:val="clear" w:color="auto" w:fill="auto"/>
        </w:rPr>
        <w:instrText xml:space="preserve"> HYPERLINK \l _Toc27813 </w:instrText>
      </w:r>
      <w:r>
        <w:rPr>
          <w:szCs w:val="32"/>
          <w:shd w:val="clear" w:color="auto" w:fill="auto"/>
        </w:rPr>
        <w:fldChar w:fldCharType="separate"/>
      </w:r>
      <w:r>
        <w:rPr>
          <w:rFonts w:hint="eastAsia"/>
        </w:rPr>
        <w:t>（一）死亡人员情况</w:t>
      </w:r>
      <w:r>
        <w:tab/>
      </w:r>
      <w:r>
        <w:fldChar w:fldCharType="begin"/>
      </w:r>
      <w:r>
        <w:instrText xml:space="preserve"> PAGEREF _Toc27813 \h </w:instrText>
      </w:r>
      <w:r>
        <w:fldChar w:fldCharType="separate"/>
      </w:r>
      <w:r>
        <w:t>- 8 -</w:t>
      </w:r>
      <w:r>
        <w:fldChar w:fldCharType="end"/>
      </w:r>
      <w:r>
        <w:rPr>
          <w:szCs w:val="32"/>
          <w:shd w:val="clear" w:color="auto" w:fill="auto"/>
        </w:rPr>
        <w:fldChar w:fldCharType="end"/>
      </w:r>
    </w:p>
    <w:p w14:paraId="11772798">
      <w:pPr>
        <w:pStyle w:val="13"/>
        <w:keepNext/>
        <w:keepLines/>
        <w:pageBreakBefore w:val="0"/>
        <w:widowControl w:val="0"/>
        <w:tabs>
          <w:tab w:val="right" w:leader="dot" w:pos="8788"/>
        </w:tabs>
        <w:kinsoku/>
        <w:wordWrap/>
        <w:overflowPunct/>
        <w:topLinePunct w:val="0"/>
        <w:autoSpaceDE/>
        <w:autoSpaceDN/>
        <w:bidi w:val="0"/>
        <w:adjustRightInd/>
        <w:snapToGrid/>
        <w:spacing w:line="500" w:lineRule="exact"/>
        <w:textAlignment w:val="auto"/>
      </w:pPr>
      <w:r>
        <w:rPr>
          <w:szCs w:val="32"/>
          <w:shd w:val="clear" w:color="auto" w:fill="auto"/>
        </w:rPr>
        <w:fldChar w:fldCharType="begin"/>
      </w:r>
      <w:r>
        <w:rPr>
          <w:szCs w:val="32"/>
          <w:shd w:val="clear" w:color="auto" w:fill="auto"/>
        </w:rPr>
        <w:instrText xml:space="preserve"> HYPERLINK \l _Toc25641 </w:instrText>
      </w:r>
      <w:r>
        <w:rPr>
          <w:szCs w:val="32"/>
          <w:shd w:val="clear" w:color="auto" w:fill="auto"/>
        </w:rPr>
        <w:fldChar w:fldCharType="separate"/>
      </w:r>
      <w:r>
        <w:rPr>
          <w:rFonts w:hint="eastAsia"/>
        </w:rPr>
        <w:t>（二）事故直接经济损失</w:t>
      </w:r>
      <w:r>
        <w:tab/>
      </w:r>
      <w:r>
        <w:fldChar w:fldCharType="begin"/>
      </w:r>
      <w:r>
        <w:instrText xml:space="preserve"> PAGEREF _Toc25641 \h </w:instrText>
      </w:r>
      <w:r>
        <w:fldChar w:fldCharType="separate"/>
      </w:r>
      <w:r>
        <w:t>- 8 -</w:t>
      </w:r>
      <w:r>
        <w:fldChar w:fldCharType="end"/>
      </w:r>
      <w:r>
        <w:rPr>
          <w:szCs w:val="32"/>
          <w:shd w:val="clear" w:color="auto" w:fill="auto"/>
        </w:rPr>
        <w:fldChar w:fldCharType="end"/>
      </w:r>
    </w:p>
    <w:p w14:paraId="734638FA">
      <w:pPr>
        <w:pStyle w:val="11"/>
        <w:keepNext/>
        <w:keepLines/>
        <w:pageBreakBefore w:val="0"/>
        <w:widowControl w:val="0"/>
        <w:tabs>
          <w:tab w:val="right" w:leader="dot" w:pos="8788"/>
        </w:tabs>
        <w:kinsoku/>
        <w:wordWrap/>
        <w:overflowPunct/>
        <w:topLinePunct w:val="0"/>
        <w:autoSpaceDE/>
        <w:autoSpaceDN/>
        <w:bidi w:val="0"/>
        <w:adjustRightInd/>
        <w:snapToGrid/>
        <w:spacing w:line="500" w:lineRule="exact"/>
        <w:textAlignment w:val="auto"/>
      </w:pPr>
      <w:r>
        <w:rPr>
          <w:szCs w:val="32"/>
          <w:shd w:val="clear" w:color="auto" w:fill="auto"/>
        </w:rPr>
        <w:fldChar w:fldCharType="begin"/>
      </w:r>
      <w:r>
        <w:rPr>
          <w:szCs w:val="32"/>
          <w:shd w:val="clear" w:color="auto" w:fill="auto"/>
        </w:rPr>
        <w:instrText xml:space="preserve"> HYPERLINK \l _Toc21489 </w:instrText>
      </w:r>
      <w:r>
        <w:rPr>
          <w:szCs w:val="32"/>
          <w:shd w:val="clear" w:color="auto" w:fill="auto"/>
        </w:rPr>
        <w:fldChar w:fldCharType="separate"/>
      </w:r>
      <w:r>
        <w:rPr>
          <w:rFonts w:hint="eastAsia"/>
        </w:rPr>
        <w:t>四、事故原因和</w:t>
      </w:r>
      <w:r>
        <w:t>性质</w:t>
      </w:r>
      <w:r>
        <w:tab/>
      </w:r>
      <w:r>
        <w:fldChar w:fldCharType="begin"/>
      </w:r>
      <w:r>
        <w:instrText xml:space="preserve"> PAGEREF _Toc21489 \h </w:instrText>
      </w:r>
      <w:r>
        <w:fldChar w:fldCharType="separate"/>
      </w:r>
      <w:r>
        <w:t>- 8 -</w:t>
      </w:r>
      <w:r>
        <w:fldChar w:fldCharType="end"/>
      </w:r>
      <w:r>
        <w:rPr>
          <w:szCs w:val="32"/>
          <w:shd w:val="clear" w:color="auto" w:fill="auto"/>
        </w:rPr>
        <w:fldChar w:fldCharType="end"/>
      </w:r>
    </w:p>
    <w:p w14:paraId="3A9E2D2E">
      <w:pPr>
        <w:pStyle w:val="13"/>
        <w:keepNext/>
        <w:keepLines/>
        <w:pageBreakBefore w:val="0"/>
        <w:widowControl w:val="0"/>
        <w:tabs>
          <w:tab w:val="right" w:leader="dot" w:pos="8788"/>
        </w:tabs>
        <w:kinsoku/>
        <w:wordWrap/>
        <w:overflowPunct/>
        <w:topLinePunct w:val="0"/>
        <w:autoSpaceDE/>
        <w:autoSpaceDN/>
        <w:bidi w:val="0"/>
        <w:adjustRightInd/>
        <w:snapToGrid/>
        <w:spacing w:line="500" w:lineRule="exact"/>
        <w:textAlignment w:val="auto"/>
      </w:pPr>
      <w:r>
        <w:rPr>
          <w:szCs w:val="32"/>
          <w:shd w:val="clear" w:color="auto" w:fill="auto"/>
        </w:rPr>
        <w:fldChar w:fldCharType="begin"/>
      </w:r>
      <w:r>
        <w:rPr>
          <w:szCs w:val="32"/>
          <w:shd w:val="clear" w:color="auto" w:fill="auto"/>
        </w:rPr>
        <w:instrText xml:space="preserve"> HYPERLINK \l _Toc11532 </w:instrText>
      </w:r>
      <w:r>
        <w:rPr>
          <w:szCs w:val="32"/>
          <w:shd w:val="clear" w:color="auto" w:fill="auto"/>
        </w:rPr>
        <w:fldChar w:fldCharType="separate"/>
      </w:r>
      <w:r>
        <w:rPr>
          <w:rFonts w:hint="eastAsia"/>
        </w:rPr>
        <w:t>（一）事故</w:t>
      </w:r>
      <w:r>
        <w:t>直接原因</w:t>
      </w:r>
      <w:r>
        <w:tab/>
      </w:r>
      <w:r>
        <w:fldChar w:fldCharType="begin"/>
      </w:r>
      <w:r>
        <w:instrText xml:space="preserve"> PAGEREF _Toc11532 \h </w:instrText>
      </w:r>
      <w:r>
        <w:fldChar w:fldCharType="separate"/>
      </w:r>
      <w:r>
        <w:t>- 8 -</w:t>
      </w:r>
      <w:r>
        <w:fldChar w:fldCharType="end"/>
      </w:r>
      <w:r>
        <w:rPr>
          <w:szCs w:val="32"/>
          <w:shd w:val="clear" w:color="auto" w:fill="auto"/>
        </w:rPr>
        <w:fldChar w:fldCharType="end"/>
      </w:r>
    </w:p>
    <w:p w14:paraId="66905FF2">
      <w:pPr>
        <w:pStyle w:val="13"/>
        <w:keepNext/>
        <w:keepLines/>
        <w:pageBreakBefore w:val="0"/>
        <w:widowControl w:val="0"/>
        <w:tabs>
          <w:tab w:val="right" w:leader="dot" w:pos="8788"/>
        </w:tabs>
        <w:kinsoku/>
        <w:wordWrap/>
        <w:overflowPunct/>
        <w:topLinePunct w:val="0"/>
        <w:autoSpaceDE/>
        <w:autoSpaceDN/>
        <w:bidi w:val="0"/>
        <w:adjustRightInd/>
        <w:snapToGrid/>
        <w:spacing w:line="500" w:lineRule="exact"/>
        <w:textAlignment w:val="auto"/>
      </w:pPr>
      <w:r>
        <w:rPr>
          <w:szCs w:val="32"/>
          <w:shd w:val="clear" w:color="auto" w:fill="auto"/>
        </w:rPr>
        <w:fldChar w:fldCharType="begin"/>
      </w:r>
      <w:r>
        <w:rPr>
          <w:szCs w:val="32"/>
          <w:shd w:val="clear" w:color="auto" w:fill="auto"/>
        </w:rPr>
        <w:instrText xml:space="preserve"> HYPERLINK \l _Toc26129 </w:instrText>
      </w:r>
      <w:r>
        <w:rPr>
          <w:szCs w:val="32"/>
          <w:shd w:val="clear" w:color="auto" w:fill="auto"/>
        </w:rPr>
        <w:fldChar w:fldCharType="separate"/>
      </w:r>
      <w:r>
        <w:rPr>
          <w:rFonts w:hint="eastAsia"/>
        </w:rPr>
        <w:t>（二）事故</w:t>
      </w:r>
      <w:r>
        <w:t>间接原因</w:t>
      </w:r>
      <w:r>
        <w:tab/>
      </w:r>
      <w:r>
        <w:fldChar w:fldCharType="begin"/>
      </w:r>
      <w:r>
        <w:instrText xml:space="preserve"> PAGEREF _Toc26129 \h </w:instrText>
      </w:r>
      <w:r>
        <w:fldChar w:fldCharType="separate"/>
      </w:r>
      <w:r>
        <w:t>- 9 -</w:t>
      </w:r>
      <w:r>
        <w:fldChar w:fldCharType="end"/>
      </w:r>
      <w:r>
        <w:rPr>
          <w:szCs w:val="32"/>
          <w:shd w:val="clear" w:color="auto" w:fill="auto"/>
        </w:rPr>
        <w:fldChar w:fldCharType="end"/>
      </w:r>
    </w:p>
    <w:p w14:paraId="75891406">
      <w:pPr>
        <w:pStyle w:val="13"/>
        <w:keepNext/>
        <w:keepLines/>
        <w:pageBreakBefore w:val="0"/>
        <w:widowControl w:val="0"/>
        <w:tabs>
          <w:tab w:val="right" w:leader="dot" w:pos="8788"/>
        </w:tabs>
        <w:kinsoku/>
        <w:wordWrap/>
        <w:overflowPunct/>
        <w:topLinePunct w:val="0"/>
        <w:autoSpaceDE/>
        <w:autoSpaceDN/>
        <w:bidi w:val="0"/>
        <w:adjustRightInd/>
        <w:snapToGrid/>
        <w:spacing w:line="500" w:lineRule="exact"/>
        <w:textAlignment w:val="auto"/>
      </w:pPr>
      <w:r>
        <w:rPr>
          <w:szCs w:val="32"/>
          <w:shd w:val="clear" w:color="auto" w:fill="auto"/>
        </w:rPr>
        <w:fldChar w:fldCharType="begin"/>
      </w:r>
      <w:r>
        <w:rPr>
          <w:szCs w:val="32"/>
          <w:shd w:val="clear" w:color="auto" w:fill="auto"/>
        </w:rPr>
        <w:instrText xml:space="preserve"> HYPERLINK \l _Toc29940 </w:instrText>
      </w:r>
      <w:r>
        <w:rPr>
          <w:szCs w:val="32"/>
          <w:shd w:val="clear" w:color="auto" w:fill="auto"/>
        </w:rPr>
        <w:fldChar w:fldCharType="separate"/>
      </w:r>
      <w:r>
        <w:rPr>
          <w:rFonts w:hint="eastAsia"/>
        </w:rPr>
        <w:t>（三）事故性质</w:t>
      </w:r>
      <w:r>
        <w:tab/>
      </w:r>
      <w:r>
        <w:fldChar w:fldCharType="begin"/>
      </w:r>
      <w:r>
        <w:instrText xml:space="preserve"> PAGEREF _Toc29940 \h </w:instrText>
      </w:r>
      <w:r>
        <w:fldChar w:fldCharType="separate"/>
      </w:r>
      <w:r>
        <w:t>- 10 -</w:t>
      </w:r>
      <w:r>
        <w:fldChar w:fldCharType="end"/>
      </w:r>
      <w:r>
        <w:rPr>
          <w:szCs w:val="32"/>
          <w:shd w:val="clear" w:color="auto" w:fill="auto"/>
        </w:rPr>
        <w:fldChar w:fldCharType="end"/>
      </w:r>
    </w:p>
    <w:p w14:paraId="7A625287">
      <w:pPr>
        <w:pStyle w:val="11"/>
        <w:keepNext/>
        <w:keepLines/>
        <w:pageBreakBefore w:val="0"/>
        <w:widowControl w:val="0"/>
        <w:tabs>
          <w:tab w:val="right" w:leader="dot" w:pos="8788"/>
        </w:tabs>
        <w:kinsoku/>
        <w:wordWrap/>
        <w:overflowPunct/>
        <w:topLinePunct w:val="0"/>
        <w:autoSpaceDE/>
        <w:autoSpaceDN/>
        <w:bidi w:val="0"/>
        <w:adjustRightInd/>
        <w:snapToGrid/>
        <w:spacing w:line="500" w:lineRule="exact"/>
        <w:textAlignment w:val="auto"/>
      </w:pPr>
      <w:r>
        <w:rPr>
          <w:szCs w:val="32"/>
          <w:shd w:val="clear" w:color="auto" w:fill="auto"/>
        </w:rPr>
        <w:fldChar w:fldCharType="begin"/>
      </w:r>
      <w:r>
        <w:rPr>
          <w:szCs w:val="32"/>
          <w:shd w:val="clear" w:color="auto" w:fill="auto"/>
        </w:rPr>
        <w:instrText xml:space="preserve"> HYPERLINK \l _Toc17833 </w:instrText>
      </w:r>
      <w:r>
        <w:rPr>
          <w:szCs w:val="32"/>
          <w:shd w:val="clear" w:color="auto" w:fill="auto"/>
        </w:rPr>
        <w:fldChar w:fldCharType="separate"/>
      </w:r>
      <w:r>
        <w:rPr>
          <w:rFonts w:hint="eastAsia"/>
        </w:rPr>
        <w:t>五、对事故责任单位及</w:t>
      </w:r>
      <w:r>
        <w:t>人员</w:t>
      </w:r>
      <w:r>
        <w:rPr>
          <w:rFonts w:hint="eastAsia"/>
        </w:rPr>
        <w:t>的处理建议</w:t>
      </w:r>
      <w:r>
        <w:tab/>
      </w:r>
      <w:r>
        <w:fldChar w:fldCharType="begin"/>
      </w:r>
      <w:r>
        <w:instrText xml:space="preserve"> PAGEREF _Toc17833 \h </w:instrText>
      </w:r>
      <w:r>
        <w:fldChar w:fldCharType="separate"/>
      </w:r>
      <w:r>
        <w:t>- 10 -</w:t>
      </w:r>
      <w:r>
        <w:fldChar w:fldCharType="end"/>
      </w:r>
      <w:r>
        <w:rPr>
          <w:szCs w:val="32"/>
          <w:shd w:val="clear" w:color="auto" w:fill="auto"/>
        </w:rPr>
        <w:fldChar w:fldCharType="end"/>
      </w:r>
    </w:p>
    <w:p w14:paraId="19E5786E">
      <w:pPr>
        <w:pStyle w:val="13"/>
        <w:keepNext/>
        <w:keepLines/>
        <w:pageBreakBefore w:val="0"/>
        <w:widowControl w:val="0"/>
        <w:tabs>
          <w:tab w:val="right" w:leader="dot" w:pos="8788"/>
        </w:tabs>
        <w:kinsoku/>
        <w:wordWrap/>
        <w:overflowPunct/>
        <w:topLinePunct w:val="0"/>
        <w:autoSpaceDE/>
        <w:autoSpaceDN/>
        <w:bidi w:val="0"/>
        <w:adjustRightInd/>
        <w:snapToGrid/>
        <w:spacing w:line="500" w:lineRule="exact"/>
        <w:textAlignment w:val="auto"/>
      </w:pPr>
      <w:r>
        <w:rPr>
          <w:szCs w:val="32"/>
          <w:shd w:val="clear" w:color="auto" w:fill="auto"/>
        </w:rPr>
        <w:fldChar w:fldCharType="begin"/>
      </w:r>
      <w:r>
        <w:rPr>
          <w:szCs w:val="32"/>
          <w:shd w:val="clear" w:color="auto" w:fill="auto"/>
        </w:rPr>
        <w:instrText xml:space="preserve"> HYPERLINK \l _Toc6627 </w:instrText>
      </w:r>
      <w:r>
        <w:rPr>
          <w:szCs w:val="32"/>
          <w:shd w:val="clear" w:color="auto" w:fill="auto"/>
        </w:rPr>
        <w:fldChar w:fldCharType="separate"/>
      </w:r>
      <w:r>
        <w:rPr>
          <w:rFonts w:hint="eastAsia"/>
          <w:lang w:eastAsia="zh-CN"/>
        </w:rPr>
        <w:t>（一）建议移送司法机关处理的人员</w:t>
      </w:r>
      <w:r>
        <w:tab/>
      </w:r>
      <w:r>
        <w:fldChar w:fldCharType="begin"/>
      </w:r>
      <w:r>
        <w:instrText xml:space="preserve"> PAGEREF _Toc6627 \h </w:instrText>
      </w:r>
      <w:r>
        <w:fldChar w:fldCharType="separate"/>
      </w:r>
      <w:r>
        <w:t>- 10 -</w:t>
      </w:r>
      <w:r>
        <w:fldChar w:fldCharType="end"/>
      </w:r>
      <w:r>
        <w:rPr>
          <w:szCs w:val="32"/>
          <w:shd w:val="clear" w:color="auto" w:fill="auto"/>
        </w:rPr>
        <w:fldChar w:fldCharType="end"/>
      </w:r>
    </w:p>
    <w:p w14:paraId="629FD0B0">
      <w:pPr>
        <w:pStyle w:val="13"/>
        <w:keepNext/>
        <w:keepLines/>
        <w:pageBreakBefore w:val="0"/>
        <w:widowControl w:val="0"/>
        <w:tabs>
          <w:tab w:val="right" w:leader="dot" w:pos="8788"/>
        </w:tabs>
        <w:kinsoku/>
        <w:wordWrap/>
        <w:overflowPunct/>
        <w:topLinePunct w:val="0"/>
        <w:autoSpaceDE/>
        <w:autoSpaceDN/>
        <w:bidi w:val="0"/>
        <w:adjustRightInd/>
        <w:snapToGrid/>
        <w:spacing w:line="500" w:lineRule="exact"/>
        <w:textAlignment w:val="auto"/>
      </w:pPr>
      <w:r>
        <w:rPr>
          <w:szCs w:val="32"/>
          <w:shd w:val="clear" w:color="auto" w:fill="auto"/>
        </w:rPr>
        <w:fldChar w:fldCharType="begin"/>
      </w:r>
      <w:r>
        <w:rPr>
          <w:szCs w:val="32"/>
          <w:shd w:val="clear" w:color="auto" w:fill="auto"/>
        </w:rPr>
        <w:instrText xml:space="preserve"> HYPERLINK \l _Toc20184 </w:instrText>
      </w:r>
      <w:r>
        <w:rPr>
          <w:szCs w:val="32"/>
          <w:shd w:val="clear" w:color="auto" w:fill="auto"/>
        </w:rPr>
        <w:fldChar w:fldCharType="separate"/>
      </w:r>
      <w:r>
        <w:rPr>
          <w:rFonts w:hint="eastAsia"/>
        </w:rPr>
        <w:t>（</w:t>
      </w:r>
      <w:r>
        <w:rPr>
          <w:rFonts w:hint="eastAsia"/>
          <w:lang w:val="en-US" w:eastAsia="zh-CN"/>
        </w:rPr>
        <w:t>二</w:t>
      </w:r>
      <w:r>
        <w:t>）</w:t>
      </w:r>
      <w:r>
        <w:rPr>
          <w:rFonts w:hint="eastAsia"/>
        </w:rPr>
        <w:t>建议给予行政处罚的单位</w:t>
      </w:r>
      <w:r>
        <w:tab/>
      </w:r>
      <w:r>
        <w:fldChar w:fldCharType="begin"/>
      </w:r>
      <w:r>
        <w:instrText xml:space="preserve"> PAGEREF _Toc20184 \h </w:instrText>
      </w:r>
      <w:r>
        <w:fldChar w:fldCharType="separate"/>
      </w:r>
      <w:r>
        <w:t>- 10 -</w:t>
      </w:r>
      <w:r>
        <w:fldChar w:fldCharType="end"/>
      </w:r>
      <w:r>
        <w:rPr>
          <w:szCs w:val="32"/>
          <w:shd w:val="clear" w:color="auto" w:fill="auto"/>
        </w:rPr>
        <w:fldChar w:fldCharType="end"/>
      </w:r>
    </w:p>
    <w:p w14:paraId="5F8F9816">
      <w:pPr>
        <w:pStyle w:val="13"/>
        <w:keepNext/>
        <w:keepLines/>
        <w:pageBreakBefore w:val="0"/>
        <w:widowControl w:val="0"/>
        <w:tabs>
          <w:tab w:val="right" w:leader="dot" w:pos="8788"/>
        </w:tabs>
        <w:kinsoku/>
        <w:wordWrap/>
        <w:overflowPunct/>
        <w:topLinePunct w:val="0"/>
        <w:autoSpaceDE/>
        <w:autoSpaceDN/>
        <w:bidi w:val="0"/>
        <w:adjustRightInd/>
        <w:snapToGrid/>
        <w:spacing w:line="500" w:lineRule="exact"/>
        <w:textAlignment w:val="auto"/>
      </w:pPr>
      <w:r>
        <w:rPr>
          <w:szCs w:val="32"/>
          <w:shd w:val="clear" w:color="auto" w:fill="auto"/>
        </w:rPr>
        <w:fldChar w:fldCharType="begin"/>
      </w:r>
      <w:r>
        <w:rPr>
          <w:szCs w:val="32"/>
          <w:shd w:val="clear" w:color="auto" w:fill="auto"/>
        </w:rPr>
        <w:instrText xml:space="preserve"> HYPERLINK \l _Toc19710 </w:instrText>
      </w:r>
      <w:r>
        <w:rPr>
          <w:szCs w:val="32"/>
          <w:shd w:val="clear" w:color="auto" w:fill="auto"/>
        </w:rPr>
        <w:fldChar w:fldCharType="separate"/>
      </w:r>
      <w:r>
        <w:rPr>
          <w:rFonts w:hint="eastAsia"/>
        </w:rPr>
        <w:t>（</w:t>
      </w:r>
      <w:r>
        <w:rPr>
          <w:rFonts w:hint="eastAsia"/>
          <w:lang w:val="en-US" w:eastAsia="zh-CN"/>
        </w:rPr>
        <w:t>三</w:t>
      </w:r>
      <w:r>
        <w:t>）</w:t>
      </w:r>
      <w:r>
        <w:rPr>
          <w:rFonts w:hint="eastAsia"/>
        </w:rPr>
        <w:t>建议给予行政处罚的责任人</w:t>
      </w:r>
      <w:r>
        <w:tab/>
      </w:r>
      <w:r>
        <w:fldChar w:fldCharType="begin"/>
      </w:r>
      <w:r>
        <w:instrText xml:space="preserve"> PAGEREF _Toc19710 \h </w:instrText>
      </w:r>
      <w:r>
        <w:fldChar w:fldCharType="separate"/>
      </w:r>
      <w:r>
        <w:t>- 10 -</w:t>
      </w:r>
      <w:r>
        <w:fldChar w:fldCharType="end"/>
      </w:r>
      <w:r>
        <w:rPr>
          <w:szCs w:val="32"/>
          <w:shd w:val="clear" w:color="auto" w:fill="auto"/>
        </w:rPr>
        <w:fldChar w:fldCharType="end"/>
      </w:r>
    </w:p>
    <w:p w14:paraId="79612C53">
      <w:pPr>
        <w:pStyle w:val="13"/>
        <w:keepNext/>
        <w:keepLines/>
        <w:pageBreakBefore w:val="0"/>
        <w:widowControl w:val="0"/>
        <w:tabs>
          <w:tab w:val="right" w:leader="dot" w:pos="8788"/>
        </w:tabs>
        <w:kinsoku/>
        <w:wordWrap/>
        <w:overflowPunct/>
        <w:topLinePunct w:val="0"/>
        <w:autoSpaceDE/>
        <w:autoSpaceDN/>
        <w:bidi w:val="0"/>
        <w:adjustRightInd/>
        <w:snapToGrid/>
        <w:spacing w:line="500" w:lineRule="exact"/>
        <w:textAlignment w:val="auto"/>
      </w:pPr>
      <w:r>
        <w:rPr>
          <w:szCs w:val="32"/>
          <w:shd w:val="clear" w:color="auto" w:fill="auto"/>
        </w:rPr>
        <w:fldChar w:fldCharType="begin"/>
      </w:r>
      <w:r>
        <w:rPr>
          <w:szCs w:val="32"/>
          <w:shd w:val="clear" w:color="auto" w:fill="auto"/>
        </w:rPr>
        <w:instrText xml:space="preserve"> HYPERLINK \l _Toc9646 </w:instrText>
      </w:r>
      <w:r>
        <w:rPr>
          <w:szCs w:val="32"/>
          <w:shd w:val="clear" w:color="auto" w:fill="auto"/>
        </w:rPr>
        <w:fldChar w:fldCharType="separate"/>
      </w:r>
      <w:r>
        <w:rPr>
          <w:rFonts w:hint="eastAsia"/>
        </w:rPr>
        <w:t>（</w:t>
      </w:r>
      <w:r>
        <w:rPr>
          <w:rFonts w:hint="eastAsia"/>
          <w:lang w:val="en-US" w:eastAsia="zh-CN"/>
        </w:rPr>
        <w:t>四</w:t>
      </w:r>
      <w:r>
        <w:t>）</w:t>
      </w:r>
      <w:r>
        <w:rPr>
          <w:rFonts w:hint="eastAsia"/>
          <w:lang w:eastAsia="zh-CN"/>
        </w:rPr>
        <w:t>其他处理建议</w:t>
      </w:r>
      <w:r>
        <w:tab/>
      </w:r>
      <w:r>
        <w:fldChar w:fldCharType="begin"/>
      </w:r>
      <w:r>
        <w:instrText xml:space="preserve"> PAGEREF _Toc9646 \h </w:instrText>
      </w:r>
      <w:r>
        <w:fldChar w:fldCharType="separate"/>
      </w:r>
      <w:r>
        <w:t>- 11 -</w:t>
      </w:r>
      <w:r>
        <w:fldChar w:fldCharType="end"/>
      </w:r>
      <w:r>
        <w:rPr>
          <w:szCs w:val="32"/>
          <w:shd w:val="clear" w:color="auto" w:fill="auto"/>
        </w:rPr>
        <w:fldChar w:fldCharType="end"/>
      </w:r>
    </w:p>
    <w:p w14:paraId="60534400">
      <w:pPr>
        <w:pStyle w:val="11"/>
        <w:keepNext/>
        <w:keepLines/>
        <w:pageBreakBefore w:val="0"/>
        <w:widowControl w:val="0"/>
        <w:tabs>
          <w:tab w:val="right" w:leader="dot" w:pos="8788"/>
        </w:tabs>
        <w:kinsoku/>
        <w:wordWrap/>
        <w:overflowPunct/>
        <w:topLinePunct w:val="0"/>
        <w:autoSpaceDE/>
        <w:autoSpaceDN/>
        <w:bidi w:val="0"/>
        <w:adjustRightInd/>
        <w:snapToGrid/>
        <w:spacing w:line="500" w:lineRule="exact"/>
        <w:textAlignment w:val="auto"/>
      </w:pPr>
      <w:r>
        <w:rPr>
          <w:szCs w:val="32"/>
          <w:shd w:val="clear" w:color="auto" w:fill="auto"/>
        </w:rPr>
        <w:fldChar w:fldCharType="begin"/>
      </w:r>
      <w:r>
        <w:rPr>
          <w:szCs w:val="32"/>
          <w:shd w:val="clear" w:color="auto" w:fill="auto"/>
        </w:rPr>
        <w:instrText xml:space="preserve"> HYPERLINK \l _Toc25512 </w:instrText>
      </w:r>
      <w:r>
        <w:rPr>
          <w:szCs w:val="32"/>
          <w:shd w:val="clear" w:color="auto" w:fill="auto"/>
        </w:rPr>
        <w:fldChar w:fldCharType="separate"/>
      </w:r>
      <w:r>
        <w:rPr>
          <w:rFonts w:hint="eastAsia"/>
          <w:lang w:eastAsia="zh-CN"/>
        </w:rPr>
        <w:t>六、</w:t>
      </w:r>
      <w:r>
        <w:t>事故防范和整改措施</w:t>
      </w:r>
      <w:r>
        <w:rPr>
          <w:rFonts w:hint="eastAsia"/>
        </w:rPr>
        <w:t>建议</w:t>
      </w:r>
      <w:r>
        <w:tab/>
      </w:r>
      <w:r>
        <w:fldChar w:fldCharType="begin"/>
      </w:r>
      <w:r>
        <w:instrText xml:space="preserve"> PAGEREF _Toc25512 \h </w:instrText>
      </w:r>
      <w:r>
        <w:fldChar w:fldCharType="separate"/>
      </w:r>
      <w:r>
        <w:t>- 11 -</w:t>
      </w:r>
      <w:r>
        <w:fldChar w:fldCharType="end"/>
      </w:r>
      <w:r>
        <w:rPr>
          <w:szCs w:val="32"/>
          <w:shd w:val="clear" w:color="auto" w:fill="auto"/>
        </w:rPr>
        <w:fldChar w:fldCharType="end"/>
      </w:r>
    </w:p>
    <w:p w14:paraId="7963DC21">
      <w:pPr>
        <w:keepNext w:val="0"/>
        <w:keepLines w:val="0"/>
        <w:pageBreakBefore w:val="0"/>
        <w:widowControl/>
        <w:tabs>
          <w:tab w:val="left" w:pos="2242"/>
          <w:tab w:val="center" w:pos="4454"/>
        </w:tabs>
        <w:kinsoku/>
        <w:wordWrap/>
        <w:overflowPunct/>
        <w:topLinePunct w:val="0"/>
        <w:autoSpaceDE/>
        <w:autoSpaceDN/>
        <w:bidi w:val="0"/>
        <w:adjustRightInd/>
        <w:snapToGrid/>
        <w:spacing w:before="0" w:beforeLines="0" w:after="0" w:afterLines="0" w:line="480" w:lineRule="exact"/>
        <w:ind w:right="0" w:rightChars="0"/>
        <w:jc w:val="left"/>
        <w:textAlignment w:val="auto"/>
        <w:rPr>
          <w:rFonts w:hint="eastAsia" w:eastAsia="微软雅黑"/>
          <w:lang w:eastAsia="zh-CN"/>
        </w:rPr>
        <w:sectPr>
          <w:footerReference r:id="rId7" w:type="default"/>
          <w:pgSz w:w="11906" w:h="16838"/>
          <w:pgMar w:top="2041" w:right="1559" w:bottom="1701" w:left="1559" w:header="851" w:footer="1701" w:gutter="0"/>
          <w:pgNumType w:fmt="numberInDash" w:start="1"/>
          <w:cols w:space="720" w:num="1"/>
          <w:docGrid w:type="lines" w:linePitch="312" w:charSpace="0"/>
        </w:sectPr>
      </w:pPr>
      <w:r>
        <w:rPr>
          <w:szCs w:val="32"/>
          <w:shd w:val="clear" w:color="auto" w:fill="auto"/>
        </w:rPr>
        <w:fldChar w:fldCharType="end"/>
      </w:r>
    </w:p>
    <w:p w14:paraId="06BFD8E9">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0"/>
        <w:rPr>
          <w:rFonts w:hint="eastAsia" w:ascii="方正小标宋简体" w:hAnsi="方正小标宋_GBK" w:eastAsia="方正小标宋简体" w:cs="方正小标宋_GBK"/>
          <w:w w:val="90"/>
          <w:sz w:val="44"/>
          <w:szCs w:val="44"/>
          <w:lang w:val="en-US" w:eastAsia="zh-CN"/>
        </w:rPr>
      </w:pPr>
      <w:bookmarkStart w:id="1" w:name="_Toc23575"/>
      <w:bookmarkStart w:id="2" w:name="_Toc5786"/>
    </w:p>
    <w:bookmarkEnd w:id="0"/>
    <w:bookmarkEnd w:id="1"/>
    <w:bookmarkEnd w:id="2"/>
    <w:p w14:paraId="35D5FE19">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0"/>
        <w:rPr>
          <w:rFonts w:hint="eastAsia" w:ascii="方正小标宋简体" w:hAnsi="方正小标宋简体" w:eastAsia="方正小标宋简体" w:cs="方正小标宋简体"/>
          <w:b w:val="0"/>
          <w:bCs w:val="0"/>
          <w:sz w:val="44"/>
          <w:szCs w:val="44"/>
          <w:lang w:val="en-US" w:eastAsia="zh-CN"/>
        </w:rPr>
      </w:pPr>
      <w:bookmarkStart w:id="3" w:name="_Toc28731"/>
      <w:bookmarkStart w:id="4" w:name="_Toc32397"/>
      <w:bookmarkStart w:id="5" w:name="_Toc10221"/>
      <w:bookmarkStart w:id="6" w:name="_Toc26275"/>
      <w:bookmarkStart w:id="7" w:name="_Toc8040"/>
      <w:bookmarkStart w:id="8" w:name="_Toc8980"/>
      <w:bookmarkStart w:id="9" w:name="_Toc1279"/>
      <w:bookmarkStart w:id="10" w:name="_Toc16324"/>
      <w:bookmarkStart w:id="11" w:name="_Toc12530"/>
      <w:r>
        <w:rPr>
          <w:rFonts w:hint="eastAsia" w:ascii="方正小标宋简体" w:hAnsi="方正小标宋简体" w:eastAsia="方正小标宋简体" w:cs="方正小标宋简体"/>
          <w:b w:val="0"/>
          <w:bCs w:val="0"/>
          <w:sz w:val="44"/>
          <w:szCs w:val="44"/>
          <w:lang w:val="en-US" w:eastAsia="zh-CN"/>
        </w:rPr>
        <w:t>静海区大邱庄镇德财恒鑫金属制品厂</w:t>
      </w:r>
      <w:bookmarkEnd w:id="3"/>
      <w:bookmarkEnd w:id="4"/>
      <w:bookmarkEnd w:id="5"/>
      <w:bookmarkEnd w:id="6"/>
      <w:bookmarkStart w:id="12" w:name="_Toc21421"/>
      <w:bookmarkStart w:id="13" w:name="_Toc10856"/>
      <w:bookmarkStart w:id="14" w:name="_Toc2133"/>
    </w:p>
    <w:p w14:paraId="0015C942">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0"/>
        <w:rPr>
          <w:rFonts w:ascii="方正小标宋简体" w:hAnsi="方正小标宋_GBK" w:eastAsia="方正小标宋简体" w:cs="方正小标宋_GBK"/>
          <w:b w:val="0"/>
          <w:bCs w:val="0"/>
          <w:w w:val="90"/>
          <w:sz w:val="44"/>
          <w:szCs w:val="44"/>
        </w:rPr>
      </w:pPr>
      <w:bookmarkStart w:id="15" w:name="_Toc7779"/>
      <w:r>
        <w:rPr>
          <w:rFonts w:hint="eastAsia" w:ascii="方正小标宋简体" w:hAnsi="方正小标宋简体" w:eastAsia="方正小标宋简体" w:cs="方正小标宋简体"/>
          <w:b w:val="0"/>
          <w:bCs w:val="0"/>
          <w:sz w:val="44"/>
          <w:szCs w:val="44"/>
          <w:lang w:eastAsia="zh-CN"/>
        </w:rPr>
        <w:t>“</w:t>
      </w:r>
      <w:r>
        <w:rPr>
          <w:rFonts w:hint="eastAsia" w:ascii="方正小标宋简体" w:hAnsi="方正小标宋简体" w:eastAsia="方正小标宋简体" w:cs="方正小标宋简体"/>
          <w:b w:val="0"/>
          <w:bCs w:val="0"/>
          <w:sz w:val="44"/>
          <w:szCs w:val="44"/>
          <w:lang w:val="en-US" w:eastAsia="zh-CN"/>
        </w:rPr>
        <w:t>7</w:t>
      </w:r>
      <w:r>
        <w:rPr>
          <w:rFonts w:hint="eastAsia" w:ascii="方正小标宋简体" w:hAnsi="方正小标宋简体" w:eastAsia="方正小标宋简体" w:cs="方正小标宋简体"/>
          <w:b w:val="0"/>
          <w:bCs w:val="0"/>
          <w:sz w:val="44"/>
          <w:szCs w:val="44"/>
          <w:lang w:eastAsia="zh-CN"/>
        </w:rPr>
        <w:t>·2</w:t>
      </w:r>
      <w:r>
        <w:rPr>
          <w:rFonts w:hint="eastAsia" w:ascii="方正小标宋简体" w:hAnsi="方正小标宋简体" w:eastAsia="方正小标宋简体" w:cs="方正小标宋简体"/>
          <w:b w:val="0"/>
          <w:bCs w:val="0"/>
          <w:sz w:val="44"/>
          <w:szCs w:val="44"/>
          <w:lang w:val="en-US" w:eastAsia="zh-CN"/>
        </w:rPr>
        <w:t>5</w:t>
      </w:r>
      <w:r>
        <w:rPr>
          <w:rFonts w:hint="eastAsia" w:ascii="方正小标宋简体" w:hAnsi="方正小标宋简体" w:eastAsia="方正小标宋简体" w:cs="方正小标宋简体"/>
          <w:b w:val="0"/>
          <w:bCs w:val="0"/>
          <w:sz w:val="44"/>
          <w:szCs w:val="44"/>
          <w:lang w:eastAsia="zh-CN"/>
        </w:rPr>
        <w:t>”</w:t>
      </w:r>
      <w:r>
        <w:rPr>
          <w:rFonts w:hint="eastAsia" w:ascii="方正小标宋简体" w:hAnsi="方正小标宋简体" w:eastAsia="方正小标宋简体" w:cs="方正小标宋简体"/>
          <w:b w:val="0"/>
          <w:bCs w:val="0"/>
          <w:sz w:val="44"/>
          <w:szCs w:val="44"/>
          <w:lang w:val="en-US" w:eastAsia="zh-CN"/>
        </w:rPr>
        <w:t>一般触电事故调查报告</w:t>
      </w:r>
      <w:bookmarkEnd w:id="7"/>
      <w:bookmarkEnd w:id="8"/>
      <w:bookmarkEnd w:id="9"/>
      <w:bookmarkEnd w:id="10"/>
      <w:bookmarkEnd w:id="11"/>
      <w:bookmarkEnd w:id="12"/>
      <w:bookmarkEnd w:id="13"/>
      <w:bookmarkEnd w:id="14"/>
      <w:bookmarkEnd w:id="15"/>
    </w:p>
    <w:p w14:paraId="537DDA0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ascii="仿宋_GB2312" w:hAnsi="仿宋_GB2312" w:eastAsia="仿宋_GB2312" w:cs="仿宋_GB2312"/>
          <w:sz w:val="32"/>
          <w:szCs w:val="32"/>
        </w:rPr>
      </w:pPr>
    </w:p>
    <w:p w14:paraId="118D8024">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eastAsia="仿宋_GB2312"/>
          <w:sz w:val="32"/>
          <w:szCs w:val="32"/>
          <w:lang w:val="en-US" w:eastAsia="zh-CN"/>
        </w:rPr>
      </w:pPr>
      <w:r>
        <w:rPr>
          <w:rFonts w:hint="eastAsia" w:ascii="宋体" w:hAnsi="宋体" w:eastAsia="宋体" w:cs="宋体"/>
          <w:sz w:val="32"/>
          <w:szCs w:val="32"/>
          <w:lang w:val="en-US" w:eastAsia="zh-CN"/>
        </w:rPr>
        <w:t>2023</w:t>
      </w:r>
      <w:r>
        <w:rPr>
          <w:rFonts w:hint="eastAsia" w:ascii="仿宋_GB2312" w:hAnsi="仿宋_GB2312" w:eastAsia="仿宋_GB2312" w:cs="仿宋_GB2312"/>
          <w:sz w:val="32"/>
          <w:szCs w:val="32"/>
          <w:lang w:val="en-US" w:eastAsia="zh-CN"/>
        </w:rPr>
        <w:t>年</w:t>
      </w:r>
      <w:r>
        <w:rPr>
          <w:rFonts w:hint="eastAsia" w:ascii="宋体" w:hAnsi="宋体" w:eastAsia="宋体" w:cs="宋体"/>
          <w:sz w:val="32"/>
          <w:szCs w:val="32"/>
          <w:lang w:val="en-US" w:eastAsia="zh-CN"/>
        </w:rPr>
        <w:t>7</w:t>
      </w:r>
      <w:r>
        <w:rPr>
          <w:rFonts w:hint="eastAsia" w:ascii="仿宋_GB2312" w:hAnsi="仿宋_GB2312" w:eastAsia="仿宋_GB2312" w:cs="仿宋_GB2312"/>
          <w:sz w:val="32"/>
          <w:szCs w:val="32"/>
          <w:lang w:val="en-US" w:eastAsia="zh-CN"/>
        </w:rPr>
        <w:t>月</w:t>
      </w:r>
      <w:r>
        <w:rPr>
          <w:rFonts w:hint="eastAsia" w:ascii="宋体" w:hAnsi="宋体" w:eastAsia="宋体" w:cs="宋体"/>
          <w:sz w:val="32"/>
          <w:szCs w:val="32"/>
          <w:lang w:val="en-US" w:eastAsia="zh-CN"/>
        </w:rPr>
        <w:t>25</w:t>
      </w:r>
      <w:r>
        <w:rPr>
          <w:rFonts w:hint="eastAsia" w:ascii="仿宋_GB2312" w:hAnsi="仿宋_GB2312" w:eastAsia="仿宋_GB2312" w:cs="仿宋_GB2312"/>
          <w:sz w:val="32"/>
          <w:szCs w:val="32"/>
          <w:lang w:val="en-US" w:eastAsia="zh-CN"/>
        </w:rPr>
        <w:t>日</w:t>
      </w:r>
      <w:r>
        <w:rPr>
          <w:rFonts w:hint="eastAsia" w:ascii="宋体" w:hAnsi="宋体" w:eastAsia="宋体" w:cs="宋体"/>
          <w:sz w:val="32"/>
          <w:szCs w:val="32"/>
          <w:lang w:val="en-US" w:eastAsia="zh-CN"/>
        </w:rPr>
        <w:t>3</w:t>
      </w:r>
      <w:r>
        <w:rPr>
          <w:rFonts w:hint="eastAsia" w:ascii="仿宋_GB2312" w:hAnsi="仿宋_GB2312" w:eastAsia="仿宋_GB2312" w:cs="仿宋_GB2312"/>
          <w:sz w:val="32"/>
          <w:szCs w:val="32"/>
          <w:lang w:val="en-US" w:eastAsia="zh-CN"/>
        </w:rPr>
        <w:t>时</w:t>
      </w:r>
      <w:r>
        <w:rPr>
          <w:rFonts w:hint="eastAsia" w:ascii="宋体" w:hAnsi="宋体" w:eastAsia="宋体" w:cs="宋体"/>
          <w:sz w:val="32"/>
          <w:szCs w:val="32"/>
          <w:lang w:val="en-US" w:eastAsia="zh-CN"/>
        </w:rPr>
        <w:t>10</w:t>
      </w:r>
      <w:r>
        <w:rPr>
          <w:rFonts w:hint="eastAsia" w:ascii="仿宋_GB2312" w:hAnsi="仿宋_GB2312" w:eastAsia="仿宋_GB2312" w:cs="仿宋_GB2312"/>
          <w:sz w:val="32"/>
          <w:szCs w:val="32"/>
          <w:lang w:val="en-US" w:eastAsia="zh-CN"/>
        </w:rPr>
        <w:t>分许，位于静海区大邱庄镇的天津市德财恒鑫金属制品厂制钉二车间内发生一起触电事故，造成1人死亡，直接经济损失约</w:t>
      </w:r>
      <w:r>
        <w:rPr>
          <w:rFonts w:hint="eastAsia" w:ascii="宋体" w:hAnsi="宋体" w:eastAsia="宋体" w:cs="宋体"/>
          <w:sz w:val="32"/>
          <w:szCs w:val="32"/>
          <w:lang w:val="en-US" w:eastAsia="zh-CN"/>
        </w:rPr>
        <w:t>137</w:t>
      </w:r>
      <w:r>
        <w:rPr>
          <w:rFonts w:hint="eastAsia" w:ascii="仿宋_GB2312" w:hAnsi="仿宋_GB2312" w:eastAsia="仿宋_GB2312" w:cs="仿宋_GB2312"/>
          <w:sz w:val="32"/>
          <w:szCs w:val="32"/>
          <w:lang w:val="en-US" w:eastAsia="zh-CN"/>
        </w:rPr>
        <w:t>万元。</w:t>
      </w:r>
    </w:p>
    <w:p w14:paraId="1BA40B60">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依据《中华人民共和国安全生产法》《生产安全事故报告和调查处理条例》等有关法律法规规定，我区成立了静海区大邱庄镇德财恒鑫金属制品厂“</w:t>
      </w:r>
      <w:r>
        <w:rPr>
          <w:rFonts w:hint="eastAsia" w:ascii="宋体" w:hAnsi="宋体" w:eastAsia="宋体" w:cs="宋体"/>
          <w:sz w:val="32"/>
          <w:szCs w:val="32"/>
          <w:lang w:val="en-US" w:eastAsia="zh-CN"/>
        </w:rPr>
        <w:t>7</w:t>
      </w:r>
      <w:r>
        <w:rPr>
          <w:rFonts w:hint="eastAsia" w:ascii="仿宋_GB2312" w:hAnsi="仿宋_GB2312" w:eastAsia="仿宋_GB2312" w:cs="仿宋_GB2312"/>
          <w:sz w:val="32"/>
          <w:szCs w:val="32"/>
          <w:lang w:val="en-US" w:eastAsia="zh-CN"/>
        </w:rPr>
        <w:t>·</w:t>
      </w:r>
      <w:r>
        <w:rPr>
          <w:rFonts w:hint="eastAsia" w:ascii="宋体" w:hAnsi="宋体" w:eastAsia="宋体" w:cs="宋体"/>
          <w:sz w:val="32"/>
          <w:szCs w:val="32"/>
          <w:lang w:val="en-US" w:eastAsia="zh-CN"/>
        </w:rPr>
        <w:t>25</w:t>
      </w:r>
      <w:r>
        <w:rPr>
          <w:rFonts w:hint="eastAsia" w:ascii="仿宋_GB2312" w:hAnsi="仿宋_GB2312" w:eastAsia="仿宋_GB2312" w:cs="仿宋_GB2312"/>
          <w:sz w:val="32"/>
          <w:szCs w:val="32"/>
          <w:lang w:val="en-US" w:eastAsia="zh-CN"/>
        </w:rPr>
        <w:t>”一般触电事故调查组（以下简称：事故调查组）。事故调查组由区应急管理局、公安静海分局、区人力社保局、区市场监管局、区工信局、区总工会、大邱庄镇人民政府、国网天津静海供电有限公司等单位组成，邀请区纪委监委、区检察院参加，聘请有关专家参与调查。</w:t>
      </w:r>
    </w:p>
    <w:p w14:paraId="7420573C">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事故调查组按照“四不放过”和“科学严谨、依法依规、实事求是、注重实效”的原则，通过现场勘查、调查取证、综合分析，查明了事故发生的经过、原因和直接经济损失情况，认定了事故性质和责任，提出了对事故责任单位、人员的处理建议以及事故防范和整改措施建议。现将有关情况报告如下：</w:t>
      </w:r>
    </w:p>
    <w:p w14:paraId="56DD1B2C">
      <w:pPr>
        <w:pStyle w:val="2"/>
        <w:keepNext/>
        <w:keepLines/>
        <w:pageBreakBefore w:val="0"/>
        <w:widowControl w:val="0"/>
        <w:kinsoku/>
        <w:wordWrap/>
        <w:overflowPunct/>
        <w:topLinePunct w:val="0"/>
        <w:autoSpaceDE/>
        <w:autoSpaceDN/>
        <w:bidi w:val="0"/>
        <w:adjustRightInd/>
        <w:snapToGrid/>
        <w:ind w:left="0" w:leftChars="0" w:firstLine="640" w:firstLineChars="200"/>
        <w:textAlignment w:val="auto"/>
      </w:pPr>
      <w:bookmarkStart w:id="16" w:name="_Toc29088"/>
      <w:bookmarkStart w:id="17" w:name="_Toc6491"/>
      <w:bookmarkStart w:id="18" w:name="_Toc23858"/>
      <w:r>
        <w:rPr>
          <w:rFonts w:hint="eastAsia"/>
        </w:rPr>
        <w:t>一、事故基本情况</w:t>
      </w:r>
      <w:bookmarkEnd w:id="16"/>
      <w:bookmarkEnd w:id="17"/>
      <w:bookmarkEnd w:id="18"/>
    </w:p>
    <w:p w14:paraId="7EEB57CC">
      <w:pPr>
        <w:pStyle w:val="3"/>
        <w:keepNext/>
        <w:keepLines/>
        <w:pageBreakBefore w:val="0"/>
        <w:widowControl w:val="0"/>
        <w:kinsoku/>
        <w:wordWrap/>
        <w:overflowPunct/>
        <w:topLinePunct w:val="0"/>
        <w:autoSpaceDE/>
        <w:autoSpaceDN/>
        <w:bidi w:val="0"/>
        <w:adjustRightInd/>
        <w:snapToGrid/>
        <w:ind w:left="0" w:leftChars="0" w:firstLine="640" w:firstLineChars="200"/>
        <w:textAlignment w:val="auto"/>
      </w:pPr>
      <w:bookmarkStart w:id="19" w:name="_Toc15294"/>
      <w:bookmarkStart w:id="20" w:name="_Toc5647"/>
      <w:bookmarkStart w:id="21" w:name="_Toc29985"/>
      <w:r>
        <w:rPr>
          <w:rFonts w:hint="eastAsia"/>
          <w:lang w:eastAsia="zh-CN"/>
        </w:rPr>
        <w:t>（</w:t>
      </w:r>
      <w:r>
        <w:rPr>
          <w:rFonts w:hint="eastAsia"/>
        </w:rPr>
        <w:t>一</w:t>
      </w:r>
      <w:r>
        <w:rPr>
          <w:rFonts w:hint="eastAsia"/>
          <w:lang w:eastAsia="zh-CN"/>
        </w:rPr>
        <w:t>）</w:t>
      </w:r>
      <w:bookmarkEnd w:id="19"/>
      <w:bookmarkEnd w:id="20"/>
      <w:r>
        <w:rPr>
          <w:rFonts w:hint="eastAsia" w:ascii="Times New Roman" w:hAnsi="Times New Roman" w:eastAsia="楷体_GB2312" w:cs="Times New Roman"/>
          <w:kern w:val="2"/>
          <w:sz w:val="32"/>
          <w:szCs w:val="20"/>
          <w:lang w:val="en-US" w:eastAsia="zh-CN" w:bidi="ar-SA"/>
        </w:rPr>
        <w:t>事故相关单位和人员情况</w:t>
      </w:r>
      <w:bookmarkEnd w:id="21"/>
    </w:p>
    <w:p w14:paraId="6BF7CAC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宋体" w:hAnsi="宋体" w:eastAsia="宋体" w:cs="宋体"/>
          <w:sz w:val="32"/>
          <w:szCs w:val="32"/>
          <w:lang w:val="en-US" w:eastAsia="zh-CN"/>
        </w:rPr>
        <w:t>1</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kern w:val="2"/>
          <w:sz w:val="32"/>
          <w:szCs w:val="32"/>
          <w:lang w:val="en-US" w:eastAsia="zh-CN" w:bidi="ar-SA"/>
        </w:rPr>
        <w:t>天津市德财恒鑫金属制品厂（以下简称：</w:t>
      </w:r>
      <w:r>
        <w:rPr>
          <w:rFonts w:hint="eastAsia" w:ascii="仿宋_GB2312" w:hAnsi="仿宋_GB2312" w:eastAsia="仿宋_GB2312" w:cs="仿宋_GB2312"/>
          <w:sz w:val="32"/>
          <w:szCs w:val="32"/>
          <w:lang w:val="en-US" w:eastAsia="zh-CN"/>
        </w:rPr>
        <w:t>德财恒鑫金属制品厂</w:t>
      </w:r>
      <w:r>
        <w:rPr>
          <w:rFonts w:hint="eastAsia" w:ascii="仿宋_GB2312" w:hAnsi="仿宋_GB2312" w:eastAsia="仿宋_GB2312" w:cs="仿宋_GB2312"/>
          <w:kern w:val="2"/>
          <w:sz w:val="32"/>
          <w:szCs w:val="32"/>
          <w:lang w:val="en-US" w:eastAsia="zh-CN" w:bidi="ar-SA"/>
        </w:rPr>
        <w:t>）</w:t>
      </w:r>
    </w:p>
    <w:p w14:paraId="6167E09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eastAsia="仿宋_GB2312"/>
          <w:sz w:val="32"/>
          <w:szCs w:val="32"/>
        </w:rPr>
      </w:pPr>
      <w:r>
        <w:rPr>
          <w:rFonts w:hint="eastAsia" w:ascii="仿宋_GB2312" w:hAnsi="仿宋_GB2312" w:eastAsia="仿宋_GB2312" w:cs="仿宋_GB2312"/>
          <w:sz w:val="32"/>
          <w:szCs w:val="32"/>
          <w:lang w:val="en-US" w:eastAsia="zh-CN"/>
        </w:rPr>
        <w:t>德财恒鑫金属制品厂位于天津市静海区大邱庄镇胡连庄村东</w:t>
      </w:r>
      <w:r>
        <w:rPr>
          <w:rFonts w:hint="eastAsia" w:ascii="宋体" w:hAnsi="宋体" w:eastAsia="宋体" w:cs="宋体"/>
          <w:kern w:val="2"/>
          <w:sz w:val="32"/>
          <w:szCs w:val="32"/>
          <w:lang w:val="en-US" w:eastAsia="zh-CN" w:bidi="ar-SA"/>
        </w:rPr>
        <w:t>50</w:t>
      </w:r>
      <w:r>
        <w:rPr>
          <w:rFonts w:hint="eastAsia" w:ascii="仿宋_GB2312" w:hAnsi="仿宋_GB2312" w:eastAsia="仿宋_GB2312" w:cs="仿宋_GB2312"/>
          <w:sz w:val="32"/>
          <w:szCs w:val="32"/>
          <w:lang w:val="en-US" w:eastAsia="zh-CN"/>
        </w:rPr>
        <w:t>米</w:t>
      </w:r>
      <w:r>
        <w:rPr>
          <w:rFonts w:hint="eastAsia" w:ascii="仿宋_GB2312" w:hAnsi="仿宋_GB2312" w:eastAsia="仿宋_GB2312" w:cs="仿宋_GB2312"/>
          <w:kern w:val="2"/>
          <w:sz w:val="32"/>
          <w:szCs w:val="32"/>
          <w:lang w:val="en-US" w:eastAsia="zh-CN" w:bidi="ar-SA"/>
        </w:rPr>
        <w:t>，民营企业，成立于</w:t>
      </w:r>
      <w:r>
        <w:rPr>
          <w:rFonts w:hint="eastAsia" w:ascii="宋体" w:hAnsi="宋体" w:eastAsia="宋体" w:cs="宋体"/>
          <w:kern w:val="2"/>
          <w:sz w:val="32"/>
          <w:szCs w:val="32"/>
          <w:lang w:val="en-US" w:eastAsia="zh-CN" w:bidi="ar-SA"/>
        </w:rPr>
        <w:t>2014</w:t>
      </w:r>
      <w:r>
        <w:rPr>
          <w:rFonts w:hint="eastAsia" w:ascii="仿宋_GB2312" w:hAnsi="仿宋_GB2312" w:eastAsia="仿宋_GB2312" w:cs="仿宋_GB2312"/>
          <w:kern w:val="2"/>
          <w:sz w:val="32"/>
          <w:szCs w:val="32"/>
          <w:lang w:val="en-US" w:eastAsia="zh-CN" w:bidi="ar-SA"/>
        </w:rPr>
        <w:t>年</w:t>
      </w:r>
      <w:r>
        <w:rPr>
          <w:rFonts w:hint="eastAsia" w:ascii="宋体" w:hAnsi="宋体" w:eastAsia="宋体" w:cs="宋体"/>
          <w:kern w:val="2"/>
          <w:sz w:val="32"/>
          <w:szCs w:val="32"/>
          <w:lang w:val="en-US" w:eastAsia="zh-CN" w:bidi="ar-SA"/>
        </w:rPr>
        <w:t>7</w:t>
      </w:r>
      <w:r>
        <w:rPr>
          <w:rFonts w:hint="eastAsia" w:ascii="仿宋_GB2312" w:hAnsi="仿宋_GB2312" w:eastAsia="仿宋_GB2312" w:cs="仿宋_GB2312"/>
          <w:kern w:val="2"/>
          <w:sz w:val="32"/>
          <w:szCs w:val="32"/>
          <w:lang w:val="en-US" w:eastAsia="zh-CN" w:bidi="ar-SA"/>
        </w:rPr>
        <w:t>月</w:t>
      </w:r>
      <w:r>
        <w:rPr>
          <w:rFonts w:hint="eastAsia" w:ascii="宋体" w:hAnsi="宋体" w:eastAsia="宋体" w:cs="宋体"/>
          <w:kern w:val="2"/>
          <w:sz w:val="32"/>
          <w:szCs w:val="32"/>
          <w:lang w:val="en-US" w:eastAsia="zh-CN" w:bidi="ar-SA"/>
        </w:rPr>
        <w:t>28</w:t>
      </w:r>
      <w:r>
        <w:rPr>
          <w:rFonts w:hint="eastAsia" w:ascii="仿宋_GB2312" w:hAnsi="仿宋_GB2312" w:eastAsia="仿宋_GB2312" w:cs="仿宋_GB2312"/>
          <w:kern w:val="2"/>
          <w:sz w:val="32"/>
          <w:szCs w:val="32"/>
          <w:lang w:val="en-US" w:eastAsia="zh-CN" w:bidi="ar-SA"/>
        </w:rPr>
        <w:t>日，</w:t>
      </w:r>
      <w:r>
        <w:rPr>
          <w:rFonts w:hint="eastAsia" w:ascii="仿宋_GB2312" w:hAnsi="仿宋_GB2312" w:eastAsia="仿宋_GB2312" w:cs="仿宋_GB2312"/>
          <w:sz w:val="32"/>
          <w:szCs w:val="32"/>
          <w:lang w:val="en-US" w:eastAsia="zh-CN"/>
        </w:rPr>
        <w:t>企业类型：</w:t>
      </w:r>
      <w:r>
        <w:rPr>
          <w:rFonts w:hint="eastAsia" w:ascii="仿宋_GB2312" w:hAnsi="仿宋_GB2312" w:eastAsia="仿宋_GB2312" w:cs="仿宋_GB2312"/>
          <w:kern w:val="2"/>
          <w:sz w:val="32"/>
          <w:szCs w:val="32"/>
          <w:lang w:val="en-US" w:eastAsia="zh-CN" w:bidi="ar-SA"/>
        </w:rPr>
        <w:t>普通合伙企业，</w:t>
      </w:r>
      <w:r>
        <w:rPr>
          <w:rFonts w:hint="eastAsia" w:ascii="仿宋_GB2312" w:hAnsi="仿宋_GB2312" w:eastAsia="仿宋_GB2312" w:cs="仿宋_GB2312"/>
          <w:sz w:val="32"/>
          <w:szCs w:val="32"/>
          <w:lang w:val="en-US" w:eastAsia="zh-CN"/>
        </w:rPr>
        <w:t>统一社会信用代码：</w:t>
      </w:r>
      <w:r>
        <w:rPr>
          <w:rFonts w:hint="eastAsia" w:ascii="宋体" w:hAnsi="宋体" w:eastAsia="宋体" w:cs="宋体"/>
          <w:kern w:val="2"/>
          <w:sz w:val="32"/>
          <w:szCs w:val="32"/>
          <w:lang w:val="en-US" w:eastAsia="zh-CN" w:bidi="ar-SA"/>
        </w:rPr>
        <w:t>91120223300405093</w:t>
      </w:r>
      <w:r>
        <w:rPr>
          <w:rFonts w:hint="default" w:ascii="Times New Roman" w:hAnsi="Times New Roman" w:eastAsia="仿宋_GB2312" w:cs="Times New Roman"/>
          <w:kern w:val="2"/>
          <w:sz w:val="32"/>
          <w:szCs w:val="32"/>
          <w:lang w:val="en-US" w:eastAsia="zh-CN" w:bidi="ar-SA"/>
        </w:rPr>
        <w:t>A</w:t>
      </w:r>
      <w:r>
        <w:rPr>
          <w:rFonts w:hint="eastAsia" w:ascii="仿宋_GB2312" w:hAnsi="仿宋_GB2312" w:eastAsia="仿宋_GB2312" w:cs="仿宋_GB2312"/>
          <w:kern w:val="2"/>
          <w:sz w:val="32"/>
          <w:szCs w:val="32"/>
          <w:lang w:val="en-US" w:eastAsia="zh-CN" w:bidi="ar-SA"/>
        </w:rPr>
        <w:t>，执行事务合伙人：严婧，实际主要负责人：王从德，经营范围：金属工具、金属丝绳、紧固件加工制造等。</w:t>
      </w:r>
    </w:p>
    <w:p w14:paraId="10931E0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宋体" w:hAnsi="宋体" w:eastAsia="宋体" w:cs="宋体"/>
          <w:sz w:val="32"/>
          <w:szCs w:val="32"/>
          <w:lang w:val="en-US" w:eastAsia="zh-CN"/>
        </w:rPr>
        <w:t>2</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kern w:val="2"/>
          <w:sz w:val="32"/>
          <w:szCs w:val="32"/>
          <w:lang w:val="en-US" w:eastAsia="zh-CN" w:bidi="ar-SA"/>
        </w:rPr>
        <w:t>耿治升</w:t>
      </w:r>
    </w:p>
    <w:p w14:paraId="36685B7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2"/>
          <w:sz w:val="32"/>
          <w:szCs w:val="32"/>
          <w:lang w:val="en-US" w:eastAsia="zh-CN" w:bidi="ar-SA"/>
        </w:rPr>
      </w:pPr>
      <w:bookmarkStart w:id="22" w:name="_Toc20494"/>
      <w:bookmarkStart w:id="23" w:name="_Toc7418"/>
      <w:r>
        <w:rPr>
          <w:rFonts w:hint="eastAsia" w:ascii="仿宋_GB2312" w:hAnsi="仿宋_GB2312" w:eastAsia="仿宋_GB2312" w:cs="仿宋_GB2312"/>
          <w:kern w:val="2"/>
          <w:sz w:val="32"/>
          <w:szCs w:val="32"/>
          <w:lang w:val="en-US" w:eastAsia="zh-CN" w:bidi="ar-SA"/>
        </w:rPr>
        <w:t>耿治升，男，</w:t>
      </w:r>
      <w:r>
        <w:rPr>
          <w:rFonts w:hint="eastAsia" w:ascii="宋体" w:hAnsi="宋体" w:eastAsia="宋体" w:cs="宋体"/>
          <w:kern w:val="2"/>
          <w:sz w:val="32"/>
          <w:szCs w:val="32"/>
          <w:lang w:val="en-US" w:eastAsia="zh-CN" w:bidi="ar-SA"/>
        </w:rPr>
        <w:t>39</w:t>
      </w:r>
      <w:r>
        <w:rPr>
          <w:rFonts w:hint="eastAsia" w:ascii="仿宋_GB2312" w:hAnsi="仿宋_GB2312" w:eastAsia="仿宋_GB2312" w:cs="仿宋_GB2312"/>
          <w:kern w:val="2"/>
          <w:sz w:val="32"/>
          <w:szCs w:val="32"/>
          <w:lang w:val="en-US" w:eastAsia="zh-CN" w:bidi="ar-SA"/>
        </w:rPr>
        <w:t>岁，身份证号</w:t>
      </w:r>
      <w:r>
        <w:rPr>
          <w:rFonts w:hint="eastAsia" w:ascii="宋体" w:hAnsi="宋体" w:eastAsia="宋体" w:cs="宋体"/>
          <w:kern w:val="2"/>
          <w:sz w:val="32"/>
          <w:szCs w:val="32"/>
          <w:lang w:val="en-US" w:eastAsia="zh-CN" w:bidi="ar-SA"/>
        </w:rPr>
        <w:t xml:space="preserve">：     </w:t>
      </w:r>
      <w:bookmarkStart w:id="78" w:name="_GoBack"/>
      <w:bookmarkEnd w:id="78"/>
      <w:r>
        <w:rPr>
          <w:rFonts w:hint="eastAsia" w:ascii="仿宋_GB2312" w:hAnsi="仿宋_GB2312" w:eastAsia="仿宋_GB2312" w:cs="仿宋_GB2312"/>
          <w:kern w:val="2"/>
          <w:sz w:val="32"/>
          <w:szCs w:val="32"/>
          <w:lang w:val="en-US" w:eastAsia="zh-CN" w:bidi="ar-SA"/>
        </w:rPr>
        <w:t>；</w:t>
      </w:r>
      <w:r>
        <w:rPr>
          <w:rFonts w:hint="eastAsia" w:ascii="宋体" w:hAnsi="宋体" w:eastAsia="宋体" w:cs="宋体"/>
          <w:kern w:val="2"/>
          <w:sz w:val="32"/>
          <w:szCs w:val="32"/>
          <w:lang w:val="en-US" w:eastAsia="zh-CN" w:bidi="ar-SA"/>
        </w:rPr>
        <w:t>2017</w:t>
      </w:r>
      <w:r>
        <w:rPr>
          <w:rFonts w:hint="eastAsia" w:ascii="仿宋_GB2312" w:hAnsi="仿宋_GB2312" w:eastAsia="仿宋_GB2312" w:cs="仿宋_GB2312"/>
          <w:kern w:val="2"/>
          <w:sz w:val="32"/>
          <w:szCs w:val="32"/>
          <w:lang w:val="en-US" w:eastAsia="zh-CN" w:bidi="ar-SA"/>
        </w:rPr>
        <w:t>年起耿治升以个人名义租赁德财恒鑫金属制品厂制钉二车间用于螺丝钉生产，耿治升对外经营、买原材料、对外打款、给其雇佣的工人缴纳意外保险均是使用德财恒鑫金属制品厂的名义开展，其租赁的制钉二车间内的设备设施为耿治升自行采购，该车间内从事生产活动包括死者在内的</w:t>
      </w:r>
      <w:r>
        <w:rPr>
          <w:rFonts w:hint="eastAsia" w:ascii="宋体" w:hAnsi="宋体" w:eastAsia="宋体" w:cs="宋体"/>
          <w:kern w:val="2"/>
          <w:sz w:val="32"/>
          <w:szCs w:val="32"/>
          <w:lang w:val="en-US" w:eastAsia="zh-CN" w:bidi="ar-SA"/>
        </w:rPr>
        <w:t>8</w:t>
      </w:r>
      <w:r>
        <w:rPr>
          <w:rFonts w:hint="eastAsia" w:ascii="仿宋_GB2312" w:hAnsi="仿宋_GB2312" w:eastAsia="仿宋_GB2312" w:cs="仿宋_GB2312"/>
          <w:kern w:val="2"/>
          <w:sz w:val="32"/>
          <w:szCs w:val="32"/>
          <w:lang w:val="en-US" w:eastAsia="zh-CN" w:bidi="ar-SA"/>
        </w:rPr>
        <w:t>名员工由耿治升聘用并由其发放工资。</w:t>
      </w:r>
    </w:p>
    <w:bookmarkEnd w:id="22"/>
    <w:bookmarkEnd w:id="23"/>
    <w:p w14:paraId="1499D773">
      <w:pPr>
        <w:pStyle w:val="3"/>
        <w:keepNext/>
        <w:keepLines/>
        <w:pageBreakBefore w:val="0"/>
        <w:widowControl w:val="0"/>
        <w:kinsoku/>
        <w:wordWrap/>
        <w:overflowPunct/>
        <w:topLinePunct w:val="0"/>
        <w:autoSpaceDE/>
        <w:autoSpaceDN/>
        <w:bidi w:val="0"/>
        <w:adjustRightInd/>
        <w:snapToGrid/>
        <w:ind w:left="0" w:leftChars="0" w:firstLine="640" w:firstLineChars="200"/>
        <w:textAlignment w:val="auto"/>
        <w:rPr>
          <w:rFonts w:hint="eastAsia"/>
          <w:lang w:eastAsia="zh-CN"/>
        </w:rPr>
      </w:pPr>
      <w:bookmarkStart w:id="24" w:name="_Toc16245"/>
      <w:r>
        <w:rPr>
          <w:rFonts w:hint="eastAsia"/>
          <w:lang w:val="en-US" w:eastAsia="zh-CN"/>
        </w:rPr>
        <w:t>（二）厂房租赁情况</w:t>
      </w:r>
      <w:bookmarkEnd w:id="24"/>
    </w:p>
    <w:p w14:paraId="00751AA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kern w:val="2"/>
          <w:sz w:val="32"/>
          <w:szCs w:val="32"/>
          <w:lang w:val="en-US" w:eastAsia="zh-CN" w:bidi="ar-SA"/>
        </w:rPr>
      </w:pPr>
      <w:bookmarkStart w:id="25" w:name="_Toc23591"/>
      <w:bookmarkStart w:id="26" w:name="_Toc20996"/>
      <w:r>
        <w:rPr>
          <w:rFonts w:hint="eastAsia" w:ascii="宋体" w:hAnsi="宋体" w:eastAsia="宋体" w:cs="宋体"/>
          <w:kern w:val="2"/>
          <w:sz w:val="32"/>
          <w:szCs w:val="32"/>
          <w:lang w:val="en-US" w:eastAsia="zh-CN" w:bidi="ar-SA"/>
        </w:rPr>
        <w:t>2017</w:t>
      </w:r>
      <w:r>
        <w:rPr>
          <w:rFonts w:hint="eastAsia" w:ascii="仿宋_GB2312" w:hAnsi="仿宋_GB2312" w:eastAsia="仿宋_GB2312" w:cs="仿宋_GB2312"/>
          <w:kern w:val="2"/>
          <w:sz w:val="32"/>
          <w:szCs w:val="32"/>
          <w:lang w:val="en-US" w:eastAsia="zh-CN" w:bidi="ar-SA"/>
        </w:rPr>
        <w:t>年起耿治升以个人名义租赁德财恒鑫金属制品厂制钉二车间用于螺丝钉生产，</w:t>
      </w:r>
      <w:r>
        <w:rPr>
          <w:rFonts w:hint="eastAsia" w:ascii="宋体" w:hAnsi="宋体" w:eastAsia="宋体" w:cs="宋体"/>
          <w:kern w:val="2"/>
          <w:sz w:val="32"/>
          <w:szCs w:val="32"/>
          <w:lang w:val="en-US" w:eastAsia="zh-CN" w:bidi="ar-SA"/>
        </w:rPr>
        <w:t>2020</w:t>
      </w:r>
      <w:r>
        <w:rPr>
          <w:rFonts w:hint="eastAsia" w:ascii="仿宋_GB2312" w:hAnsi="仿宋_GB2312" w:eastAsia="仿宋_GB2312" w:cs="仿宋_GB2312"/>
          <w:kern w:val="2"/>
          <w:sz w:val="32"/>
          <w:szCs w:val="32"/>
          <w:lang w:val="en-US" w:eastAsia="zh-CN" w:bidi="ar-SA"/>
        </w:rPr>
        <w:t>年</w:t>
      </w:r>
      <w:r>
        <w:rPr>
          <w:rFonts w:hint="eastAsia" w:ascii="宋体" w:hAnsi="宋体" w:eastAsia="宋体" w:cs="宋体"/>
          <w:kern w:val="2"/>
          <w:sz w:val="32"/>
          <w:szCs w:val="32"/>
          <w:lang w:val="en-US" w:eastAsia="zh-CN" w:bidi="ar-SA"/>
        </w:rPr>
        <w:t>6</w:t>
      </w:r>
      <w:r>
        <w:rPr>
          <w:rFonts w:hint="eastAsia" w:ascii="仿宋_GB2312" w:hAnsi="仿宋_GB2312" w:eastAsia="仿宋_GB2312" w:cs="仿宋_GB2312"/>
          <w:kern w:val="2"/>
          <w:sz w:val="32"/>
          <w:szCs w:val="32"/>
          <w:lang w:val="en-US" w:eastAsia="zh-CN" w:bidi="ar-SA"/>
        </w:rPr>
        <w:t>月</w:t>
      </w:r>
      <w:r>
        <w:rPr>
          <w:rFonts w:hint="eastAsia" w:ascii="宋体" w:hAnsi="宋体" w:eastAsia="宋体" w:cs="宋体"/>
          <w:kern w:val="2"/>
          <w:sz w:val="32"/>
          <w:szCs w:val="32"/>
          <w:lang w:val="en-US" w:eastAsia="zh-CN" w:bidi="ar-SA"/>
        </w:rPr>
        <w:t>6</w:t>
      </w:r>
      <w:r>
        <w:rPr>
          <w:rFonts w:hint="eastAsia" w:ascii="仿宋_GB2312" w:hAnsi="仿宋_GB2312" w:eastAsia="仿宋_GB2312" w:cs="仿宋_GB2312"/>
          <w:kern w:val="2"/>
          <w:sz w:val="32"/>
          <w:szCs w:val="32"/>
          <w:lang w:val="en-US" w:eastAsia="zh-CN" w:bidi="ar-SA"/>
        </w:rPr>
        <w:t>日，德财恒鑫金属制品厂与耿治升签订了《租赁合同》，合同约定耿治升租赁德财恒鑫金属制品厂建筑面积为</w:t>
      </w:r>
      <w:r>
        <w:rPr>
          <w:rFonts w:hint="eastAsia" w:ascii="宋体" w:hAnsi="宋体" w:eastAsia="宋体" w:cs="宋体"/>
          <w:kern w:val="2"/>
          <w:sz w:val="32"/>
          <w:szCs w:val="32"/>
          <w:lang w:val="en-US" w:eastAsia="zh-CN" w:bidi="ar-SA"/>
        </w:rPr>
        <w:t>400</w:t>
      </w:r>
      <w:r>
        <w:rPr>
          <w:rFonts w:hint="eastAsia" w:ascii="仿宋_GB2312" w:hAnsi="仿宋_GB2312" w:eastAsia="仿宋_GB2312" w:cs="仿宋_GB2312"/>
          <w:kern w:val="2"/>
          <w:sz w:val="32"/>
          <w:szCs w:val="32"/>
          <w:lang w:val="en-US" w:eastAsia="zh-CN" w:bidi="ar-SA"/>
        </w:rPr>
        <w:t>平方米的厂房，年租赁费</w:t>
      </w:r>
      <w:r>
        <w:rPr>
          <w:rFonts w:hint="eastAsia" w:ascii="宋体" w:hAnsi="宋体" w:eastAsia="宋体" w:cs="宋体"/>
          <w:kern w:val="2"/>
          <w:sz w:val="32"/>
          <w:szCs w:val="32"/>
          <w:lang w:val="en-US" w:eastAsia="zh-CN" w:bidi="ar-SA"/>
        </w:rPr>
        <w:t>30000</w:t>
      </w:r>
      <w:r>
        <w:rPr>
          <w:rFonts w:hint="eastAsia" w:ascii="仿宋_GB2312" w:hAnsi="仿宋_GB2312" w:eastAsia="仿宋_GB2312" w:cs="仿宋_GB2312"/>
          <w:kern w:val="2"/>
          <w:sz w:val="32"/>
          <w:szCs w:val="32"/>
          <w:lang w:val="en-US" w:eastAsia="zh-CN" w:bidi="ar-SA"/>
        </w:rPr>
        <w:t>元，租期</w:t>
      </w:r>
      <w:r>
        <w:rPr>
          <w:rFonts w:hint="eastAsia" w:ascii="宋体" w:hAnsi="宋体" w:eastAsia="宋体" w:cs="宋体"/>
          <w:kern w:val="2"/>
          <w:sz w:val="32"/>
          <w:szCs w:val="32"/>
          <w:lang w:val="en-US" w:eastAsia="zh-CN" w:bidi="ar-SA"/>
        </w:rPr>
        <w:t>5</w:t>
      </w:r>
      <w:r>
        <w:rPr>
          <w:rFonts w:hint="eastAsia" w:ascii="仿宋_GB2312" w:hAnsi="仿宋_GB2312" w:eastAsia="仿宋_GB2312" w:cs="仿宋_GB2312"/>
          <w:kern w:val="2"/>
          <w:sz w:val="32"/>
          <w:szCs w:val="32"/>
          <w:lang w:val="en-US" w:eastAsia="zh-CN" w:bidi="ar-SA"/>
        </w:rPr>
        <w:t>年，自</w:t>
      </w:r>
      <w:r>
        <w:rPr>
          <w:rFonts w:hint="eastAsia" w:ascii="宋体" w:hAnsi="宋体" w:eastAsia="宋体" w:cs="宋体"/>
          <w:kern w:val="2"/>
          <w:sz w:val="32"/>
          <w:szCs w:val="32"/>
          <w:lang w:val="en-US" w:eastAsia="zh-CN" w:bidi="ar-SA"/>
        </w:rPr>
        <w:t>2020</w:t>
      </w:r>
      <w:r>
        <w:rPr>
          <w:rFonts w:hint="eastAsia" w:ascii="仿宋_GB2312" w:hAnsi="仿宋_GB2312" w:eastAsia="仿宋_GB2312" w:cs="仿宋_GB2312"/>
          <w:kern w:val="2"/>
          <w:sz w:val="32"/>
          <w:szCs w:val="32"/>
          <w:lang w:val="en-US" w:eastAsia="zh-CN" w:bidi="ar-SA"/>
        </w:rPr>
        <w:t>年</w:t>
      </w:r>
      <w:r>
        <w:rPr>
          <w:rFonts w:hint="eastAsia" w:ascii="宋体" w:hAnsi="宋体" w:eastAsia="宋体" w:cs="宋体"/>
          <w:kern w:val="2"/>
          <w:sz w:val="32"/>
          <w:szCs w:val="32"/>
          <w:lang w:val="en-US" w:eastAsia="zh-CN" w:bidi="ar-SA"/>
        </w:rPr>
        <w:t>6</w:t>
      </w:r>
      <w:r>
        <w:rPr>
          <w:rFonts w:hint="eastAsia" w:ascii="仿宋_GB2312" w:hAnsi="仿宋_GB2312" w:eastAsia="仿宋_GB2312" w:cs="仿宋_GB2312"/>
          <w:kern w:val="2"/>
          <w:sz w:val="32"/>
          <w:szCs w:val="32"/>
          <w:lang w:val="en-US" w:eastAsia="zh-CN" w:bidi="ar-SA"/>
        </w:rPr>
        <w:t>月</w:t>
      </w:r>
      <w:r>
        <w:rPr>
          <w:rFonts w:hint="eastAsia" w:ascii="宋体" w:hAnsi="宋体" w:eastAsia="宋体" w:cs="宋体"/>
          <w:kern w:val="2"/>
          <w:sz w:val="32"/>
          <w:szCs w:val="32"/>
          <w:lang w:val="en-US" w:eastAsia="zh-CN" w:bidi="ar-SA"/>
        </w:rPr>
        <w:t>6</w:t>
      </w:r>
      <w:r>
        <w:rPr>
          <w:rFonts w:hint="eastAsia" w:ascii="仿宋_GB2312" w:hAnsi="仿宋_GB2312" w:eastAsia="仿宋_GB2312" w:cs="仿宋_GB2312"/>
          <w:kern w:val="2"/>
          <w:sz w:val="32"/>
          <w:szCs w:val="32"/>
          <w:lang w:val="en-US" w:eastAsia="zh-CN" w:bidi="ar-SA"/>
        </w:rPr>
        <w:t>日至</w:t>
      </w:r>
      <w:r>
        <w:rPr>
          <w:rFonts w:hint="eastAsia" w:ascii="宋体" w:hAnsi="宋体" w:eastAsia="宋体" w:cs="宋体"/>
          <w:kern w:val="2"/>
          <w:sz w:val="32"/>
          <w:szCs w:val="32"/>
          <w:lang w:val="en-US" w:eastAsia="zh-CN" w:bidi="ar-SA"/>
        </w:rPr>
        <w:t>2025</w:t>
      </w:r>
      <w:r>
        <w:rPr>
          <w:rFonts w:hint="eastAsia" w:ascii="仿宋_GB2312" w:hAnsi="仿宋_GB2312" w:eastAsia="仿宋_GB2312" w:cs="仿宋_GB2312"/>
          <w:kern w:val="2"/>
          <w:sz w:val="32"/>
          <w:szCs w:val="32"/>
          <w:lang w:val="en-US" w:eastAsia="zh-CN" w:bidi="ar-SA"/>
        </w:rPr>
        <w:t>年</w:t>
      </w:r>
      <w:r>
        <w:rPr>
          <w:rFonts w:hint="eastAsia" w:ascii="宋体" w:hAnsi="宋体" w:eastAsia="宋体" w:cs="宋体"/>
          <w:kern w:val="2"/>
          <w:sz w:val="32"/>
          <w:szCs w:val="32"/>
          <w:lang w:val="en-US" w:eastAsia="zh-CN" w:bidi="ar-SA"/>
        </w:rPr>
        <w:t>6</w:t>
      </w:r>
      <w:r>
        <w:rPr>
          <w:rFonts w:hint="eastAsia" w:ascii="仿宋_GB2312" w:hAnsi="仿宋_GB2312" w:eastAsia="仿宋_GB2312" w:cs="仿宋_GB2312"/>
          <w:kern w:val="2"/>
          <w:sz w:val="32"/>
          <w:szCs w:val="32"/>
          <w:lang w:val="en-US" w:eastAsia="zh-CN" w:bidi="ar-SA"/>
        </w:rPr>
        <w:t>月</w:t>
      </w:r>
      <w:r>
        <w:rPr>
          <w:rFonts w:hint="eastAsia" w:ascii="宋体" w:hAnsi="宋体" w:eastAsia="宋体" w:cs="宋体"/>
          <w:kern w:val="2"/>
          <w:sz w:val="32"/>
          <w:szCs w:val="32"/>
          <w:lang w:val="en-US" w:eastAsia="zh-CN" w:bidi="ar-SA"/>
        </w:rPr>
        <w:t>5</w:t>
      </w:r>
      <w:r>
        <w:rPr>
          <w:rFonts w:hint="eastAsia" w:ascii="仿宋_GB2312" w:hAnsi="仿宋_GB2312" w:eastAsia="仿宋_GB2312" w:cs="仿宋_GB2312"/>
          <w:kern w:val="2"/>
          <w:sz w:val="32"/>
          <w:szCs w:val="32"/>
          <w:lang w:val="en-US" w:eastAsia="zh-CN" w:bidi="ar-SA"/>
        </w:rPr>
        <w:t>日止。德财恒鑫金属制品厂将制钉二车间出租给耿治升时双方未签订专门的安全生产管理协议，也未在《租赁合同》中约定各自的安全生产管理职责。</w:t>
      </w:r>
    </w:p>
    <w:p w14:paraId="3C6258C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截止事发时厂房内</w:t>
      </w:r>
      <w:r>
        <w:rPr>
          <w:rFonts w:hint="eastAsia" w:ascii="宋体" w:hAnsi="宋体" w:eastAsia="宋体" w:cs="宋体"/>
          <w:kern w:val="2"/>
          <w:sz w:val="32"/>
          <w:szCs w:val="32"/>
          <w:lang w:val="en-US" w:eastAsia="zh-CN" w:bidi="ar-SA"/>
        </w:rPr>
        <w:t>22</w:t>
      </w:r>
      <w:r>
        <w:rPr>
          <w:rFonts w:hint="eastAsia" w:ascii="仿宋_GB2312" w:hAnsi="仿宋_GB2312" w:eastAsia="仿宋_GB2312" w:cs="仿宋_GB2312"/>
          <w:kern w:val="2"/>
          <w:sz w:val="32"/>
          <w:szCs w:val="32"/>
          <w:lang w:val="en-US" w:eastAsia="zh-CN" w:bidi="ar-SA"/>
        </w:rPr>
        <w:t>台打帽机、</w:t>
      </w:r>
      <w:r>
        <w:rPr>
          <w:rFonts w:hint="eastAsia" w:ascii="宋体" w:hAnsi="宋体" w:eastAsia="宋体" w:cs="宋体"/>
          <w:kern w:val="2"/>
          <w:sz w:val="32"/>
          <w:szCs w:val="32"/>
          <w:lang w:val="en-US" w:eastAsia="zh-CN" w:bidi="ar-SA"/>
        </w:rPr>
        <w:t>14</w:t>
      </w:r>
      <w:r>
        <w:rPr>
          <w:rFonts w:hint="eastAsia" w:ascii="仿宋_GB2312" w:hAnsi="仿宋_GB2312" w:eastAsia="仿宋_GB2312" w:cs="仿宋_GB2312"/>
          <w:kern w:val="2"/>
          <w:sz w:val="32"/>
          <w:szCs w:val="32"/>
          <w:lang w:val="en-US" w:eastAsia="zh-CN" w:bidi="ar-SA"/>
        </w:rPr>
        <w:t>台搓丝机、</w:t>
      </w:r>
      <w:r>
        <w:rPr>
          <w:rFonts w:hint="eastAsia" w:ascii="宋体" w:hAnsi="宋体" w:eastAsia="宋体" w:cs="宋体"/>
          <w:kern w:val="2"/>
          <w:sz w:val="32"/>
          <w:szCs w:val="32"/>
          <w:lang w:val="en-US" w:eastAsia="zh-CN" w:bidi="ar-SA"/>
        </w:rPr>
        <w:t>1</w:t>
      </w:r>
      <w:r>
        <w:rPr>
          <w:rFonts w:hint="eastAsia" w:ascii="仿宋_GB2312" w:hAnsi="仿宋_GB2312" w:eastAsia="仿宋_GB2312" w:cs="仿宋_GB2312"/>
          <w:kern w:val="2"/>
          <w:sz w:val="32"/>
          <w:szCs w:val="32"/>
          <w:lang w:val="en-US" w:eastAsia="zh-CN" w:bidi="ar-SA"/>
        </w:rPr>
        <w:t>台分料机及电闸箱至上述设备的电源线均为耿治升在租赁期间先后添置，均归耿治升所有。</w:t>
      </w:r>
    </w:p>
    <w:p w14:paraId="190E0FB6">
      <w:pPr>
        <w:pStyle w:val="3"/>
        <w:bidi w:val="0"/>
      </w:pPr>
      <w:bookmarkStart w:id="27" w:name="_Toc15489"/>
      <w:r>
        <w:rPr>
          <w:rFonts w:hint="eastAsia"/>
        </w:rPr>
        <w:t>（三）</w:t>
      </w:r>
      <w:bookmarkEnd w:id="25"/>
      <w:bookmarkEnd w:id="26"/>
      <w:r>
        <w:rPr>
          <w:rFonts w:hint="eastAsia"/>
          <w:lang w:val="en-US"/>
        </w:rPr>
        <w:t>制</w:t>
      </w:r>
      <w:r>
        <w:rPr>
          <w:rFonts w:hint="default"/>
        </w:rPr>
        <w:t>钉工艺</w:t>
      </w:r>
      <w:r>
        <w:rPr>
          <w:rFonts w:hint="eastAsia"/>
          <w:lang w:val="en-US"/>
        </w:rPr>
        <w:t>流程</w:t>
      </w:r>
      <w:bookmarkEnd w:id="27"/>
    </w:p>
    <w:p w14:paraId="2819F39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德财恒鑫金属制品厂制钉二车间制</w:t>
      </w:r>
      <w:r>
        <w:rPr>
          <w:rFonts w:hint="default" w:ascii="仿宋_GB2312" w:hAnsi="仿宋_GB2312" w:eastAsia="仿宋_GB2312" w:cs="仿宋_GB2312"/>
          <w:kern w:val="2"/>
          <w:sz w:val="32"/>
          <w:szCs w:val="32"/>
          <w:lang w:val="en-US" w:eastAsia="zh-CN" w:bidi="ar-SA"/>
        </w:rPr>
        <w:t>钉工艺</w:t>
      </w:r>
      <w:r>
        <w:rPr>
          <w:rFonts w:hint="eastAsia" w:ascii="仿宋_GB2312" w:hAnsi="仿宋_GB2312" w:eastAsia="仿宋_GB2312" w:cs="仿宋_GB2312"/>
          <w:kern w:val="2"/>
          <w:sz w:val="32"/>
          <w:szCs w:val="32"/>
          <w:lang w:val="en-US" w:eastAsia="zh-CN" w:bidi="ar-SA"/>
        </w:rPr>
        <w:t>流程主要是</w:t>
      </w:r>
      <w:r>
        <w:rPr>
          <w:rFonts w:hint="default" w:ascii="仿宋_GB2312" w:hAnsi="仿宋_GB2312" w:eastAsia="仿宋_GB2312" w:cs="仿宋_GB2312"/>
          <w:kern w:val="2"/>
          <w:sz w:val="32"/>
          <w:szCs w:val="32"/>
          <w:lang w:val="en-US" w:eastAsia="zh-CN" w:bidi="ar-SA"/>
        </w:rPr>
        <w:t>将</w:t>
      </w:r>
      <w:r>
        <w:rPr>
          <w:rFonts w:hint="eastAsia" w:ascii="仿宋_GB2312" w:hAnsi="仿宋_GB2312" w:eastAsia="仿宋_GB2312" w:cs="仿宋_GB2312"/>
          <w:kern w:val="2"/>
          <w:sz w:val="32"/>
          <w:szCs w:val="32"/>
          <w:lang w:val="en-US" w:eastAsia="zh-CN" w:bidi="ar-SA"/>
        </w:rPr>
        <w:t>原材料盘条</w:t>
      </w:r>
      <w:r>
        <w:rPr>
          <w:rFonts w:hint="default" w:ascii="仿宋_GB2312" w:hAnsi="仿宋_GB2312" w:eastAsia="仿宋_GB2312" w:cs="仿宋_GB2312"/>
          <w:kern w:val="2"/>
          <w:sz w:val="32"/>
          <w:szCs w:val="32"/>
          <w:lang w:val="en-US" w:eastAsia="zh-CN" w:bidi="ar-SA"/>
        </w:rPr>
        <w:t>经过打帽、搓丝</w:t>
      </w:r>
      <w:r>
        <w:rPr>
          <w:rFonts w:hint="eastAsia" w:ascii="仿宋_GB2312" w:hAnsi="仿宋_GB2312" w:eastAsia="仿宋_GB2312" w:cs="仿宋_GB2312"/>
          <w:kern w:val="2"/>
          <w:sz w:val="32"/>
          <w:szCs w:val="32"/>
          <w:lang w:val="en-US" w:eastAsia="zh-CN" w:bidi="ar-SA"/>
        </w:rPr>
        <w:t>工序</w:t>
      </w:r>
      <w:r>
        <w:rPr>
          <w:rFonts w:hint="default" w:ascii="仿宋_GB2312" w:hAnsi="仿宋_GB2312" w:eastAsia="仿宋_GB2312" w:cs="仿宋_GB2312"/>
          <w:kern w:val="2"/>
          <w:sz w:val="32"/>
          <w:szCs w:val="32"/>
          <w:lang w:val="en-US" w:eastAsia="zh-CN" w:bidi="ar-SA"/>
        </w:rPr>
        <w:t>后送</w:t>
      </w:r>
      <w:r>
        <w:rPr>
          <w:rFonts w:hint="eastAsia" w:ascii="仿宋_GB2312" w:hAnsi="仿宋_GB2312" w:eastAsia="仿宋_GB2312" w:cs="仿宋_GB2312"/>
          <w:kern w:val="2"/>
          <w:sz w:val="32"/>
          <w:szCs w:val="32"/>
          <w:lang w:val="en-US" w:eastAsia="zh-CN" w:bidi="ar-SA"/>
        </w:rPr>
        <w:t>至外厂</w:t>
      </w:r>
      <w:r>
        <w:rPr>
          <w:rFonts w:hint="default" w:ascii="仿宋_GB2312" w:hAnsi="仿宋_GB2312" w:eastAsia="仿宋_GB2312" w:cs="仿宋_GB2312"/>
          <w:kern w:val="2"/>
          <w:sz w:val="32"/>
          <w:szCs w:val="32"/>
          <w:lang w:val="en-US" w:eastAsia="zh-CN" w:bidi="ar-SA"/>
        </w:rPr>
        <w:t>进行表面处理，</w:t>
      </w:r>
      <w:r>
        <w:rPr>
          <w:rFonts w:hint="eastAsia" w:ascii="仿宋_GB2312" w:hAnsi="仿宋_GB2312" w:eastAsia="仿宋_GB2312" w:cs="仿宋_GB2312"/>
          <w:kern w:val="2"/>
          <w:sz w:val="32"/>
          <w:szCs w:val="32"/>
          <w:lang w:val="en-US" w:eastAsia="zh-CN" w:bidi="ar-SA"/>
        </w:rPr>
        <w:t>再</w:t>
      </w:r>
      <w:r>
        <w:rPr>
          <w:rFonts w:hint="default" w:ascii="仿宋_GB2312" w:hAnsi="仿宋_GB2312" w:eastAsia="仿宋_GB2312" w:cs="仿宋_GB2312"/>
          <w:kern w:val="2"/>
          <w:sz w:val="32"/>
          <w:szCs w:val="32"/>
          <w:lang w:val="en-US" w:eastAsia="zh-CN" w:bidi="ar-SA"/>
        </w:rPr>
        <w:t>经打包、装箱</w:t>
      </w:r>
      <w:r>
        <w:rPr>
          <w:rFonts w:hint="eastAsia" w:ascii="仿宋_GB2312" w:hAnsi="仿宋_GB2312" w:eastAsia="仿宋_GB2312" w:cs="仿宋_GB2312"/>
          <w:kern w:val="2"/>
          <w:sz w:val="32"/>
          <w:szCs w:val="32"/>
          <w:lang w:val="en-US" w:eastAsia="zh-CN" w:bidi="ar-SA"/>
        </w:rPr>
        <w:t>后存入成品仓库</w:t>
      </w:r>
      <w:r>
        <w:rPr>
          <w:rFonts w:hint="default" w:ascii="仿宋_GB2312" w:hAnsi="仿宋_GB2312" w:eastAsia="仿宋_GB2312" w:cs="仿宋_GB2312"/>
          <w:kern w:val="2"/>
          <w:sz w:val="32"/>
          <w:szCs w:val="32"/>
          <w:lang w:val="en-US" w:eastAsia="zh-CN" w:bidi="ar-SA"/>
        </w:rPr>
        <w:t>。对于打帽</w:t>
      </w:r>
      <w:r>
        <w:rPr>
          <w:rFonts w:hint="eastAsia" w:ascii="仿宋_GB2312" w:hAnsi="仿宋_GB2312" w:eastAsia="仿宋_GB2312" w:cs="仿宋_GB2312"/>
          <w:kern w:val="2"/>
          <w:sz w:val="32"/>
          <w:szCs w:val="32"/>
          <w:lang w:val="en-US" w:eastAsia="zh-CN" w:bidi="ar-SA"/>
        </w:rPr>
        <w:t>、</w:t>
      </w:r>
      <w:r>
        <w:rPr>
          <w:rFonts w:hint="default" w:ascii="仿宋_GB2312" w:hAnsi="仿宋_GB2312" w:eastAsia="仿宋_GB2312" w:cs="仿宋_GB2312"/>
          <w:kern w:val="2"/>
          <w:sz w:val="32"/>
          <w:szCs w:val="32"/>
          <w:lang w:val="en-US" w:eastAsia="zh-CN" w:bidi="ar-SA"/>
        </w:rPr>
        <w:t>搓丝</w:t>
      </w:r>
      <w:r>
        <w:rPr>
          <w:rFonts w:hint="eastAsia" w:ascii="仿宋_GB2312" w:hAnsi="仿宋_GB2312" w:eastAsia="仿宋_GB2312" w:cs="仿宋_GB2312"/>
          <w:kern w:val="2"/>
          <w:sz w:val="32"/>
          <w:szCs w:val="32"/>
          <w:lang w:val="en-US" w:eastAsia="zh-CN" w:bidi="ar-SA"/>
        </w:rPr>
        <w:t>生产工序</w:t>
      </w:r>
      <w:r>
        <w:rPr>
          <w:rFonts w:hint="default" w:ascii="仿宋_GB2312" w:hAnsi="仿宋_GB2312" w:eastAsia="仿宋_GB2312" w:cs="仿宋_GB2312"/>
          <w:kern w:val="2"/>
          <w:sz w:val="32"/>
          <w:szCs w:val="32"/>
          <w:lang w:val="en-US" w:eastAsia="zh-CN" w:bidi="ar-SA"/>
        </w:rPr>
        <w:t>过程</w:t>
      </w:r>
      <w:r>
        <w:rPr>
          <w:rFonts w:hint="eastAsia" w:ascii="仿宋_GB2312" w:hAnsi="仿宋_GB2312" w:eastAsia="仿宋_GB2312" w:cs="仿宋_GB2312"/>
          <w:kern w:val="2"/>
          <w:sz w:val="32"/>
          <w:szCs w:val="32"/>
          <w:lang w:val="en-US" w:eastAsia="zh-CN" w:bidi="ar-SA"/>
        </w:rPr>
        <w:t>中</w:t>
      </w:r>
      <w:r>
        <w:rPr>
          <w:rFonts w:hint="default" w:ascii="仿宋_GB2312" w:hAnsi="仿宋_GB2312" w:eastAsia="仿宋_GB2312" w:cs="仿宋_GB2312"/>
          <w:kern w:val="2"/>
          <w:sz w:val="32"/>
          <w:szCs w:val="32"/>
          <w:lang w:val="en-US" w:eastAsia="zh-CN" w:bidi="ar-SA"/>
        </w:rPr>
        <w:t>可能产生的</w:t>
      </w:r>
      <w:r>
        <w:rPr>
          <w:rFonts w:hint="eastAsia" w:ascii="仿宋_GB2312" w:hAnsi="仿宋_GB2312" w:eastAsia="仿宋_GB2312" w:cs="仿宋_GB2312"/>
          <w:kern w:val="2"/>
          <w:sz w:val="32"/>
          <w:szCs w:val="32"/>
          <w:lang w:val="en-US" w:eastAsia="zh-CN" w:bidi="ar-SA"/>
        </w:rPr>
        <w:t>金属钉不良</w:t>
      </w:r>
      <w:r>
        <w:rPr>
          <w:rFonts w:hint="default" w:ascii="仿宋_GB2312" w:hAnsi="仿宋_GB2312" w:eastAsia="仿宋_GB2312" w:cs="仿宋_GB2312"/>
          <w:kern w:val="2"/>
          <w:sz w:val="32"/>
          <w:szCs w:val="32"/>
          <w:lang w:val="en-US" w:eastAsia="zh-CN" w:bidi="ar-SA"/>
        </w:rPr>
        <w:t>品需要用分料机进行筛分处理，将合格品和废品用分料机分离出来。</w:t>
      </w:r>
    </w:p>
    <w:p w14:paraId="486F741F">
      <w:pPr>
        <w:keepNext w:val="0"/>
        <w:keepLines w:val="0"/>
        <w:pageBreakBefore w:val="0"/>
        <w:widowControl w:val="0"/>
        <w:kinsoku/>
        <w:wordWrap/>
        <w:overflowPunct/>
        <w:topLinePunct w:val="0"/>
        <w:autoSpaceDE/>
        <w:autoSpaceDN/>
        <w:bidi w:val="0"/>
        <w:adjustRightInd/>
        <w:snapToGrid/>
        <w:spacing w:line="560" w:lineRule="exact"/>
        <w:ind w:firstLine="420" w:firstLineChars="200"/>
        <w:textAlignment w:val="auto"/>
        <w:rPr>
          <w:rFonts w:hint="eastAsia" w:ascii="黑体" w:hAnsi="黑体" w:eastAsia="黑体" w:cs="黑体"/>
          <w:sz w:val="24"/>
          <w:szCs w:val="24"/>
          <w:lang w:val="en-US" w:eastAsia="zh-CN"/>
        </w:rPr>
      </w:pPr>
      <w:r>
        <w:rPr>
          <w:rFonts w:hint="default"/>
          <w:lang w:eastAsia="zh-CN"/>
        </w:rPr>
        <w:drawing>
          <wp:anchor distT="0" distB="0" distL="114300" distR="114300" simplePos="0" relativeHeight="251662336" behindDoc="0" locked="0" layoutInCell="1" allowOverlap="1">
            <wp:simplePos x="0" y="0"/>
            <wp:positionH relativeFrom="column">
              <wp:posOffset>95250</wp:posOffset>
            </wp:positionH>
            <wp:positionV relativeFrom="page">
              <wp:posOffset>6350635</wp:posOffset>
            </wp:positionV>
            <wp:extent cx="5272405" cy="1944370"/>
            <wp:effectExtent l="9525" t="9525" r="13970" b="17780"/>
            <wp:wrapTopAndBottom/>
            <wp:docPr id="4" name="图片 2" descr="241693447556_.p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descr="241693447556_.pic"/>
                    <pic:cNvPicPr>
                      <a:picLocks noChangeAspect="1"/>
                    </pic:cNvPicPr>
                  </pic:nvPicPr>
                  <pic:blipFill>
                    <a:blip r:embed="rId10"/>
                    <a:stretch>
                      <a:fillRect/>
                    </a:stretch>
                  </pic:blipFill>
                  <pic:spPr>
                    <a:xfrm>
                      <a:off x="0" y="0"/>
                      <a:ext cx="5272405" cy="1944370"/>
                    </a:xfrm>
                    <a:prstGeom prst="rect">
                      <a:avLst/>
                    </a:prstGeom>
                    <a:noFill/>
                    <a:ln w="9525" cap="flat" cmpd="sng">
                      <a:solidFill>
                        <a:srgbClr val="000000"/>
                      </a:solidFill>
                      <a:prstDash val="solid"/>
                      <a:round/>
                      <a:headEnd type="none" w="med" len="med"/>
                      <a:tailEnd type="none" w="med" len="med"/>
                    </a:ln>
                  </pic:spPr>
                </pic:pic>
              </a:graphicData>
            </a:graphic>
          </wp:anchor>
        </w:drawing>
      </w:r>
      <w:r>
        <w:rPr>
          <w:rFonts w:hint="default" w:ascii="仿宋_GB2312" w:hAnsi="仿宋_GB2312" w:eastAsia="仿宋_GB2312" w:cs="仿宋_GB2312"/>
          <w:kern w:val="2"/>
          <w:sz w:val="32"/>
          <w:szCs w:val="32"/>
          <w:lang w:val="en-US" w:eastAsia="zh-CN" w:bidi="ar-SA"/>
        </w:rPr>
        <w:t>该起事故涉及工艺阶段为分料机筛分，</w:t>
      </w:r>
      <w:r>
        <w:rPr>
          <w:rFonts w:hint="eastAsia" w:ascii="仿宋_GB2312" w:hAnsi="仿宋_GB2312" w:eastAsia="仿宋_GB2312" w:cs="仿宋_GB2312"/>
          <w:kern w:val="2"/>
          <w:sz w:val="32"/>
          <w:szCs w:val="32"/>
          <w:lang w:val="en-US" w:eastAsia="zh-CN" w:bidi="ar-SA"/>
        </w:rPr>
        <w:t>分料工艺流程主要是操作人员</w:t>
      </w:r>
      <w:r>
        <w:rPr>
          <w:rFonts w:hint="default" w:ascii="仿宋_GB2312" w:hAnsi="仿宋_GB2312" w:eastAsia="仿宋_GB2312" w:cs="仿宋_GB2312"/>
          <w:kern w:val="2"/>
          <w:sz w:val="32"/>
          <w:szCs w:val="32"/>
          <w:lang w:val="en-US" w:eastAsia="zh-CN" w:bidi="ar-SA"/>
        </w:rPr>
        <w:t>使用铁簸箕将</w:t>
      </w:r>
      <w:r>
        <w:rPr>
          <w:rFonts w:hint="eastAsia" w:ascii="仿宋_GB2312" w:hAnsi="仿宋_GB2312" w:eastAsia="仿宋_GB2312" w:cs="仿宋_GB2312"/>
          <w:kern w:val="2"/>
          <w:sz w:val="32"/>
          <w:szCs w:val="32"/>
          <w:lang w:val="en-US" w:eastAsia="zh-CN" w:bidi="ar-SA"/>
        </w:rPr>
        <w:t>金属钉不良</w:t>
      </w:r>
      <w:r>
        <w:rPr>
          <w:rFonts w:hint="default" w:ascii="仿宋_GB2312" w:hAnsi="仿宋_GB2312" w:eastAsia="仿宋_GB2312" w:cs="仿宋_GB2312"/>
          <w:kern w:val="2"/>
          <w:sz w:val="32"/>
          <w:szCs w:val="32"/>
          <w:lang w:val="en-US" w:eastAsia="zh-CN" w:bidi="ar-SA"/>
        </w:rPr>
        <w:t>品倒入分料机的振动料斗，</w:t>
      </w:r>
      <w:r>
        <w:rPr>
          <w:rFonts w:hint="eastAsia" w:ascii="仿宋_GB2312" w:hAnsi="仿宋_GB2312" w:eastAsia="仿宋_GB2312" w:cs="仿宋_GB2312"/>
          <w:kern w:val="2"/>
          <w:sz w:val="32"/>
          <w:szCs w:val="32"/>
          <w:lang w:val="en-US" w:eastAsia="zh-CN" w:bidi="ar-SA"/>
        </w:rPr>
        <w:t>金属钉不良</w:t>
      </w:r>
      <w:r>
        <w:rPr>
          <w:rFonts w:hint="default" w:ascii="仿宋_GB2312" w:hAnsi="仿宋_GB2312" w:eastAsia="仿宋_GB2312" w:cs="仿宋_GB2312"/>
          <w:kern w:val="2"/>
          <w:sz w:val="32"/>
          <w:szCs w:val="32"/>
          <w:lang w:val="en-US" w:eastAsia="zh-CN" w:bidi="ar-SA"/>
        </w:rPr>
        <w:t>品经过分料机的滚轴进行产品分离，合格品</w:t>
      </w:r>
      <w:r>
        <w:rPr>
          <w:rFonts w:hint="eastAsia" w:ascii="仿宋_GB2312" w:hAnsi="仿宋_GB2312" w:eastAsia="仿宋_GB2312" w:cs="仿宋_GB2312"/>
          <w:kern w:val="2"/>
          <w:sz w:val="32"/>
          <w:szCs w:val="32"/>
          <w:lang w:val="en-US" w:eastAsia="zh-CN" w:bidi="ar-SA"/>
        </w:rPr>
        <w:t>和</w:t>
      </w:r>
      <w:r>
        <w:rPr>
          <w:rFonts w:hint="default" w:ascii="仿宋_GB2312" w:hAnsi="仿宋_GB2312" w:eastAsia="仿宋_GB2312" w:cs="仿宋_GB2312"/>
          <w:kern w:val="2"/>
          <w:sz w:val="32"/>
          <w:szCs w:val="32"/>
          <w:lang w:val="en-US" w:eastAsia="zh-CN" w:bidi="ar-SA"/>
        </w:rPr>
        <w:t>废品</w:t>
      </w:r>
      <w:r>
        <w:rPr>
          <w:rFonts w:hint="eastAsia" w:ascii="仿宋_GB2312" w:hAnsi="仿宋_GB2312" w:eastAsia="仿宋_GB2312" w:cs="仿宋_GB2312"/>
          <w:kern w:val="2"/>
          <w:sz w:val="32"/>
          <w:szCs w:val="32"/>
          <w:lang w:val="en-US" w:eastAsia="zh-CN" w:bidi="ar-SA"/>
        </w:rPr>
        <w:t>分别</w:t>
      </w:r>
      <w:r>
        <w:rPr>
          <w:rFonts w:hint="default" w:ascii="仿宋_GB2312" w:hAnsi="仿宋_GB2312" w:eastAsia="仿宋_GB2312" w:cs="仿宋_GB2312"/>
          <w:kern w:val="2"/>
          <w:sz w:val="32"/>
          <w:szCs w:val="32"/>
          <w:lang w:val="en-US" w:eastAsia="zh-CN" w:bidi="ar-SA"/>
        </w:rPr>
        <w:t>自分料机滚轴</w:t>
      </w:r>
      <w:r>
        <w:rPr>
          <w:rFonts w:hint="eastAsia" w:ascii="仿宋_GB2312" w:hAnsi="仿宋_GB2312" w:eastAsia="仿宋_GB2312" w:cs="仿宋_GB2312"/>
          <w:kern w:val="2"/>
          <w:sz w:val="32"/>
          <w:szCs w:val="32"/>
          <w:lang w:val="en-US" w:eastAsia="zh-CN" w:bidi="ar-SA"/>
        </w:rPr>
        <w:t>下落</w:t>
      </w:r>
      <w:r>
        <w:rPr>
          <w:rFonts w:hint="default" w:ascii="仿宋_GB2312" w:hAnsi="仿宋_GB2312" w:eastAsia="仿宋_GB2312" w:cs="仿宋_GB2312"/>
          <w:kern w:val="2"/>
          <w:sz w:val="32"/>
          <w:szCs w:val="32"/>
          <w:lang w:val="en-US" w:eastAsia="zh-CN" w:bidi="ar-SA"/>
        </w:rPr>
        <w:t>进入合格品桶</w:t>
      </w:r>
      <w:r>
        <w:rPr>
          <w:rFonts w:hint="eastAsia" w:ascii="仿宋_GB2312" w:hAnsi="仿宋_GB2312" w:eastAsia="仿宋_GB2312" w:cs="仿宋_GB2312"/>
          <w:kern w:val="2"/>
          <w:sz w:val="32"/>
          <w:szCs w:val="32"/>
          <w:lang w:val="en-US" w:eastAsia="zh-CN" w:bidi="ar-SA"/>
        </w:rPr>
        <w:t>和</w:t>
      </w:r>
      <w:r>
        <w:rPr>
          <w:rFonts w:hint="default" w:ascii="仿宋_GB2312" w:hAnsi="仿宋_GB2312" w:eastAsia="仿宋_GB2312" w:cs="仿宋_GB2312"/>
          <w:kern w:val="2"/>
          <w:sz w:val="32"/>
          <w:szCs w:val="32"/>
          <w:lang w:val="en-US" w:eastAsia="zh-CN" w:bidi="ar-SA"/>
        </w:rPr>
        <w:t>废品</w:t>
      </w:r>
      <w:r>
        <w:rPr>
          <w:rFonts w:hint="eastAsia" w:ascii="仿宋_GB2312" w:hAnsi="仿宋_GB2312" w:eastAsia="仿宋_GB2312" w:cs="仿宋_GB2312"/>
          <w:kern w:val="2"/>
          <w:sz w:val="32"/>
          <w:szCs w:val="32"/>
          <w:lang w:val="en-US" w:eastAsia="zh-CN" w:bidi="ar-SA"/>
        </w:rPr>
        <w:t>桶</w:t>
      </w:r>
      <w:r>
        <w:rPr>
          <w:rFonts w:hint="default" w:ascii="仿宋_GB2312" w:hAnsi="仿宋_GB2312" w:eastAsia="仿宋_GB2312" w:cs="仿宋_GB2312"/>
          <w:kern w:val="2"/>
          <w:sz w:val="32"/>
          <w:szCs w:val="32"/>
          <w:lang w:val="en-US" w:eastAsia="zh-CN" w:bidi="ar-SA"/>
        </w:rPr>
        <w:t>。</w:t>
      </w:r>
    </w:p>
    <w:p w14:paraId="764F9A92">
      <w:pPr>
        <w:pStyle w:val="4"/>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黑体" w:hAnsi="黑体" w:eastAsia="黑体" w:cs="黑体"/>
          <w:sz w:val="28"/>
          <w:szCs w:val="28"/>
          <w:lang w:val="en-US" w:eastAsia="zh-CN"/>
        </w:rPr>
      </w:pPr>
      <w:r>
        <w:rPr>
          <w:rFonts w:hint="eastAsia" w:ascii="黑体" w:hAnsi="黑体" w:eastAsia="黑体" w:cs="黑体"/>
          <w:sz w:val="24"/>
          <w:szCs w:val="24"/>
          <w:lang w:val="en-US" w:eastAsia="zh-CN"/>
        </w:rPr>
        <w:t>图1 制钉工艺流程图</w:t>
      </w:r>
    </w:p>
    <w:p w14:paraId="5FA55D00">
      <w:pPr>
        <w:pStyle w:val="3"/>
        <w:keepNext/>
        <w:keepLines/>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default" w:ascii="Times New Roman" w:hAnsi="Times New Roman" w:cs="Times New Roman"/>
        </w:rPr>
      </w:pPr>
      <w:bookmarkStart w:id="28" w:name="_Toc14830"/>
      <w:r>
        <w:rPr>
          <w:rFonts w:hint="eastAsia" w:cs="Times New Roman"/>
          <w:lang w:val="en-US" w:eastAsia="zh-CN"/>
        </w:rPr>
        <w:t>（四）</w:t>
      </w:r>
      <w:r>
        <w:rPr>
          <w:rFonts w:hint="eastAsia" w:ascii="Times New Roman" w:hAnsi="Times New Roman" w:cs="Times New Roman"/>
          <w:lang w:val="en-US"/>
        </w:rPr>
        <w:t>分料区域的</w:t>
      </w:r>
      <w:r>
        <w:rPr>
          <w:rFonts w:hint="default" w:ascii="Times New Roman" w:hAnsi="Times New Roman" w:cs="Times New Roman"/>
        </w:rPr>
        <w:t>设备设施情况</w:t>
      </w:r>
      <w:bookmarkEnd w:id="28"/>
    </w:p>
    <w:p w14:paraId="3771B4C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Calibri" w:eastAsia="仿宋_GB2312" w:cs="Times New Roman"/>
          <w:kern w:val="2"/>
          <w:sz w:val="32"/>
          <w:szCs w:val="32"/>
          <w:lang w:val="en-US" w:eastAsia="zh-CN" w:bidi="ar-SA"/>
        </w:rPr>
      </w:pPr>
      <w:r>
        <w:rPr>
          <w:rFonts w:hint="eastAsia" w:ascii="仿宋_GB2312" w:hAnsi="Calibri" w:eastAsia="仿宋_GB2312" w:cs="Times New Roman"/>
          <w:kern w:val="2"/>
          <w:sz w:val="32"/>
          <w:szCs w:val="32"/>
          <w:lang w:val="en-US" w:eastAsia="zh-CN" w:bidi="ar-SA"/>
        </w:rPr>
        <w:t>分料区域</w:t>
      </w:r>
      <w:r>
        <w:rPr>
          <w:rFonts w:hint="default" w:ascii="仿宋_GB2312" w:hAnsi="Calibri" w:eastAsia="仿宋_GB2312" w:cs="Times New Roman"/>
          <w:kern w:val="2"/>
          <w:sz w:val="32"/>
          <w:szCs w:val="32"/>
          <w:lang w:val="en-US" w:eastAsia="zh-CN" w:bidi="ar-SA"/>
        </w:rPr>
        <w:t>布置</w:t>
      </w:r>
      <w:r>
        <w:rPr>
          <w:rFonts w:hint="eastAsia" w:ascii="仿宋_GB2312" w:eastAsia="仿宋_GB2312" w:cs="Times New Roman"/>
          <w:kern w:val="2"/>
          <w:sz w:val="32"/>
          <w:szCs w:val="32"/>
          <w:lang w:val="en-US" w:eastAsia="zh-CN" w:bidi="ar-SA"/>
        </w:rPr>
        <w:t>在</w:t>
      </w:r>
      <w:r>
        <w:rPr>
          <w:rFonts w:hint="default" w:ascii="仿宋_GB2312" w:hAnsi="Calibri" w:eastAsia="仿宋_GB2312" w:cs="Times New Roman"/>
          <w:kern w:val="2"/>
          <w:sz w:val="32"/>
          <w:szCs w:val="32"/>
          <w:lang w:val="en-US" w:eastAsia="zh-CN" w:bidi="ar-SA"/>
        </w:rPr>
        <w:t>制钉二车间内，其东南侧</w:t>
      </w:r>
      <w:r>
        <w:rPr>
          <w:rFonts w:hint="eastAsia" w:ascii="仿宋_GB2312" w:eastAsia="仿宋_GB2312" w:cs="Times New Roman"/>
          <w:kern w:val="2"/>
          <w:sz w:val="32"/>
          <w:szCs w:val="32"/>
          <w:lang w:val="en-US" w:eastAsia="zh-CN" w:bidi="ar-SA"/>
        </w:rPr>
        <w:t>为车间</w:t>
      </w:r>
      <w:r>
        <w:rPr>
          <w:rFonts w:hint="default" w:ascii="仿宋_GB2312" w:hAnsi="Calibri" w:eastAsia="仿宋_GB2312" w:cs="Times New Roman"/>
          <w:kern w:val="2"/>
          <w:sz w:val="32"/>
          <w:szCs w:val="32"/>
          <w:lang w:val="en-US" w:eastAsia="zh-CN" w:bidi="ar-SA"/>
        </w:rPr>
        <w:t>隔墙，隔墙的</w:t>
      </w:r>
      <w:r>
        <w:rPr>
          <w:rFonts w:hint="eastAsia" w:ascii="仿宋_GB2312" w:eastAsia="仿宋_GB2312" w:cs="Times New Roman"/>
          <w:kern w:val="2"/>
          <w:sz w:val="32"/>
          <w:szCs w:val="32"/>
          <w:lang w:val="en-US" w:eastAsia="zh-CN" w:bidi="ar-SA"/>
        </w:rPr>
        <w:t>另一侧</w:t>
      </w:r>
      <w:r>
        <w:rPr>
          <w:rFonts w:hint="default" w:ascii="仿宋_GB2312" w:hAnsi="Calibri" w:eastAsia="仿宋_GB2312" w:cs="Times New Roman"/>
          <w:kern w:val="2"/>
          <w:sz w:val="32"/>
          <w:szCs w:val="32"/>
          <w:lang w:val="en-US" w:eastAsia="zh-CN" w:bidi="ar-SA"/>
        </w:rPr>
        <w:t>为甩油机区域；分料机的东南侧靠墙部位为通道；分料机西侧为制钉设备，北侧隔通道为制钉设备。</w:t>
      </w:r>
    </w:p>
    <w:p w14:paraId="5467BFB6">
      <w:pPr>
        <w:keepNext w:val="0"/>
        <w:keepLines w:val="0"/>
        <w:pageBreakBefore w:val="0"/>
        <w:widowControl w:val="0"/>
        <w:numPr>
          <w:ilvl w:val="0"/>
          <w:numId w:val="0"/>
        </w:numPr>
        <w:tabs>
          <w:tab w:val="left" w:pos="7770"/>
        </w:tabs>
        <w:kinsoku/>
        <w:wordWrap/>
        <w:overflowPunct/>
        <w:topLinePunct w:val="0"/>
        <w:autoSpaceDE/>
        <w:autoSpaceDN/>
        <w:bidi w:val="0"/>
        <w:adjustRightInd/>
        <w:snapToGrid/>
        <w:spacing w:line="560" w:lineRule="exact"/>
        <w:ind w:firstLine="420" w:firstLineChars="200"/>
        <w:textAlignment w:val="auto"/>
        <w:rPr>
          <w:rFonts w:hint="default" w:ascii="仿宋_GB2312" w:hAnsi="Calibri" w:eastAsia="仿宋_GB2312" w:cs="Times New Roman"/>
          <w:kern w:val="2"/>
          <w:sz w:val="32"/>
          <w:szCs w:val="32"/>
          <w:lang w:val="en-US" w:eastAsia="zh-CN" w:bidi="ar-SA"/>
        </w:rPr>
      </w:pPr>
      <w:r>
        <w:drawing>
          <wp:anchor distT="0" distB="0" distL="114300" distR="114300" simplePos="0" relativeHeight="251663360" behindDoc="0" locked="0" layoutInCell="1" allowOverlap="1">
            <wp:simplePos x="0" y="0"/>
            <wp:positionH relativeFrom="column">
              <wp:posOffset>290830</wp:posOffset>
            </wp:positionH>
            <wp:positionV relativeFrom="page">
              <wp:posOffset>3834765</wp:posOffset>
            </wp:positionV>
            <wp:extent cx="4794250" cy="3602990"/>
            <wp:effectExtent l="0" t="0" r="6350" b="6985"/>
            <wp:wrapTopAndBottom/>
            <wp:docPr id="5" name="图片 3" descr="/private/var/folders/_s/q9d9vj8d2cdg9fgnjfpt3kwc0000gn/T/com.kingsoft.wpsoffice.mac/photoedit2/20230831142447/temp.pngtemp"/>
            <wp:cNvGraphicFramePr/>
            <a:graphic xmlns:a="http://schemas.openxmlformats.org/drawingml/2006/main">
              <a:graphicData uri="http://schemas.openxmlformats.org/drawingml/2006/picture">
                <pic:pic xmlns:pic="http://schemas.openxmlformats.org/drawingml/2006/picture">
                  <pic:nvPicPr>
                    <pic:cNvPr id="5" name="图片 3" descr="/private/var/folders/_s/q9d9vj8d2cdg9fgnjfpt3kwc0000gn/T/com.kingsoft.wpsoffice.mac/photoedit2/20230831142447/temp.pngtemp"/>
                    <pic:cNvPicPr/>
                  </pic:nvPicPr>
                  <pic:blipFill>
                    <a:blip r:embed="rId11"/>
                    <a:stretch>
                      <a:fillRect/>
                    </a:stretch>
                  </pic:blipFill>
                  <pic:spPr>
                    <a:xfrm>
                      <a:off x="0" y="0"/>
                      <a:ext cx="4794250" cy="3602990"/>
                    </a:xfrm>
                    <a:prstGeom prst="rect">
                      <a:avLst/>
                    </a:prstGeom>
                    <a:noFill/>
                    <a:ln>
                      <a:noFill/>
                    </a:ln>
                  </pic:spPr>
                </pic:pic>
              </a:graphicData>
            </a:graphic>
          </wp:anchor>
        </w:drawing>
      </w:r>
      <w:r>
        <w:rPr>
          <w:rFonts w:hint="default" w:ascii="仿宋_GB2312" w:hAnsi="Calibri" w:eastAsia="仿宋_GB2312" w:cs="Times New Roman"/>
          <w:kern w:val="2"/>
          <w:sz w:val="32"/>
          <w:szCs w:val="32"/>
          <w:lang w:val="en-US" w:eastAsia="zh-CN" w:bidi="ar-SA"/>
        </w:rPr>
        <w:t>分料机距隔墙约</w:t>
      </w:r>
      <w:r>
        <w:rPr>
          <w:rFonts w:hint="default" w:ascii="宋体" w:hAnsi="宋体" w:eastAsia="宋体" w:cs="宋体"/>
          <w:kern w:val="2"/>
          <w:sz w:val="32"/>
          <w:szCs w:val="32"/>
          <w:lang w:val="en-US" w:eastAsia="zh-CN" w:bidi="ar-SA"/>
        </w:rPr>
        <w:t>0.1</w:t>
      </w:r>
      <w:r>
        <w:rPr>
          <w:rFonts w:hint="default" w:ascii="Times New Roman" w:hAnsi="Times New Roman" w:eastAsia="仿宋_GB2312" w:cs="Times New Roman"/>
          <w:kern w:val="2"/>
          <w:sz w:val="32"/>
          <w:szCs w:val="32"/>
          <w:lang w:val="en-US" w:eastAsia="zh-CN" w:bidi="ar-SA"/>
        </w:rPr>
        <w:t>m</w:t>
      </w:r>
      <w:r>
        <w:rPr>
          <w:rFonts w:hint="default" w:ascii="仿宋_GB2312" w:hAnsi="Calibri" w:eastAsia="仿宋_GB2312" w:cs="Times New Roman"/>
          <w:kern w:val="2"/>
          <w:sz w:val="32"/>
          <w:szCs w:val="32"/>
          <w:lang w:val="en-US" w:eastAsia="zh-CN" w:bidi="ar-SA"/>
        </w:rPr>
        <w:t>，分料机</w:t>
      </w:r>
      <w:r>
        <w:rPr>
          <w:rFonts w:hint="eastAsia" w:ascii="仿宋_GB2312" w:hAnsi="Calibri" w:eastAsia="仿宋_GB2312" w:cs="Times New Roman"/>
          <w:kern w:val="2"/>
          <w:sz w:val="32"/>
          <w:szCs w:val="32"/>
          <w:lang w:val="en-US" w:eastAsia="zh-CN" w:bidi="ar-SA"/>
        </w:rPr>
        <w:t>滚轴</w:t>
      </w:r>
      <w:r>
        <w:rPr>
          <w:rFonts w:hint="default" w:ascii="仿宋_GB2312" w:hAnsi="Calibri" w:eastAsia="仿宋_GB2312" w:cs="Times New Roman"/>
          <w:kern w:val="2"/>
          <w:sz w:val="32"/>
          <w:szCs w:val="32"/>
          <w:lang w:val="en-US" w:eastAsia="zh-CN" w:bidi="ar-SA"/>
        </w:rPr>
        <w:t>的高度约</w:t>
      </w:r>
      <w:r>
        <w:rPr>
          <w:rFonts w:hint="default" w:ascii="宋体" w:hAnsi="宋体" w:eastAsia="宋体" w:cs="宋体"/>
          <w:kern w:val="2"/>
          <w:sz w:val="32"/>
          <w:szCs w:val="32"/>
          <w:lang w:val="en-US" w:eastAsia="zh-CN" w:bidi="ar-SA"/>
        </w:rPr>
        <w:t>0.6</w:t>
      </w:r>
      <w:r>
        <w:rPr>
          <w:rFonts w:hint="default" w:ascii="Times New Roman" w:hAnsi="Times New Roman" w:eastAsia="仿宋_GB2312" w:cs="Times New Roman"/>
          <w:kern w:val="2"/>
          <w:sz w:val="32"/>
          <w:szCs w:val="32"/>
          <w:lang w:val="en-US" w:eastAsia="zh-CN" w:bidi="ar-SA"/>
        </w:rPr>
        <w:t>m</w:t>
      </w:r>
      <w:r>
        <w:rPr>
          <w:rFonts w:hint="default" w:ascii="仿宋_GB2312" w:hAnsi="Calibri" w:eastAsia="仿宋_GB2312" w:cs="Times New Roman"/>
          <w:kern w:val="2"/>
          <w:sz w:val="32"/>
          <w:szCs w:val="32"/>
          <w:lang w:val="en-US" w:eastAsia="zh-CN" w:bidi="ar-SA"/>
        </w:rPr>
        <w:t>，分料机</w:t>
      </w:r>
      <w:r>
        <w:rPr>
          <w:rFonts w:hint="eastAsia" w:ascii="仿宋_GB2312" w:hAnsi="Calibri" w:eastAsia="仿宋_GB2312" w:cs="Times New Roman"/>
          <w:kern w:val="2"/>
          <w:sz w:val="32"/>
          <w:szCs w:val="32"/>
          <w:lang w:val="en-US" w:eastAsia="zh-CN" w:bidi="ar-SA"/>
        </w:rPr>
        <w:t>前放置料</w:t>
      </w:r>
      <w:r>
        <w:rPr>
          <w:rFonts w:hint="default" w:ascii="仿宋_GB2312" w:hAnsi="Calibri" w:eastAsia="仿宋_GB2312" w:cs="Times New Roman"/>
          <w:kern w:val="2"/>
          <w:sz w:val="32"/>
          <w:szCs w:val="32"/>
          <w:lang w:val="en-US" w:eastAsia="zh-CN" w:bidi="ar-SA"/>
        </w:rPr>
        <w:t>桶，分料机上方有一金属平台，高度约</w:t>
      </w:r>
      <w:r>
        <w:rPr>
          <w:rFonts w:hint="default" w:ascii="宋体" w:hAnsi="宋体" w:eastAsia="宋体" w:cs="宋体"/>
          <w:kern w:val="2"/>
          <w:sz w:val="32"/>
          <w:szCs w:val="32"/>
          <w:lang w:val="en-US" w:eastAsia="zh-CN" w:bidi="ar-SA"/>
        </w:rPr>
        <w:t>1.65</w:t>
      </w:r>
      <w:r>
        <w:rPr>
          <w:rFonts w:hint="default" w:ascii="Times New Roman" w:hAnsi="Times New Roman" w:eastAsia="宋体" w:cs="Times New Roman"/>
          <w:kern w:val="2"/>
          <w:sz w:val="32"/>
          <w:szCs w:val="32"/>
          <w:lang w:val="en-US" w:eastAsia="zh-CN" w:bidi="ar-SA"/>
        </w:rPr>
        <w:t>m</w:t>
      </w:r>
      <w:r>
        <w:rPr>
          <w:rFonts w:hint="default" w:ascii="仿宋_GB2312" w:hAnsi="Calibri" w:eastAsia="仿宋_GB2312" w:cs="Times New Roman"/>
          <w:kern w:val="2"/>
          <w:sz w:val="32"/>
          <w:szCs w:val="32"/>
          <w:lang w:val="en-US" w:eastAsia="zh-CN" w:bidi="ar-SA"/>
        </w:rPr>
        <w:t>，</w:t>
      </w:r>
      <w:r>
        <w:rPr>
          <w:rFonts w:hint="eastAsia" w:ascii="仿宋_GB2312" w:hAnsi="Calibri" w:eastAsia="仿宋_GB2312" w:cs="Times New Roman"/>
          <w:kern w:val="2"/>
          <w:sz w:val="32"/>
          <w:szCs w:val="32"/>
          <w:lang w:val="en-US" w:eastAsia="zh-CN" w:bidi="ar-SA"/>
        </w:rPr>
        <w:t>金属</w:t>
      </w:r>
      <w:r>
        <w:rPr>
          <w:rFonts w:hint="default" w:ascii="仿宋_GB2312" w:hAnsi="Calibri" w:eastAsia="仿宋_GB2312" w:cs="Times New Roman"/>
          <w:kern w:val="2"/>
          <w:sz w:val="32"/>
          <w:szCs w:val="32"/>
          <w:lang w:val="en-US" w:eastAsia="zh-CN" w:bidi="ar-SA"/>
        </w:rPr>
        <w:t>平台与分料机之间</w:t>
      </w:r>
      <w:r>
        <w:rPr>
          <w:rFonts w:hint="eastAsia" w:ascii="仿宋_GB2312" w:hAnsi="Calibri" w:eastAsia="仿宋_GB2312" w:cs="Times New Roman"/>
          <w:kern w:val="2"/>
          <w:sz w:val="32"/>
          <w:szCs w:val="32"/>
          <w:lang w:val="en-US" w:eastAsia="zh-CN" w:bidi="ar-SA"/>
        </w:rPr>
        <w:t>设置</w:t>
      </w:r>
      <w:r>
        <w:rPr>
          <w:rFonts w:hint="default" w:ascii="仿宋_GB2312" w:hAnsi="Calibri" w:eastAsia="仿宋_GB2312" w:cs="Times New Roman"/>
          <w:kern w:val="2"/>
          <w:sz w:val="32"/>
          <w:szCs w:val="32"/>
          <w:lang w:val="en-US" w:eastAsia="zh-CN" w:bidi="ar-SA"/>
        </w:rPr>
        <w:t>照明灯、分料机配电箱、甩油机控制箱，</w:t>
      </w:r>
      <w:r>
        <w:rPr>
          <w:rFonts w:hint="eastAsia" w:ascii="仿宋_GB2312" w:hAnsi="Calibri" w:eastAsia="仿宋_GB2312" w:cs="Times New Roman"/>
          <w:kern w:val="2"/>
          <w:sz w:val="32"/>
          <w:szCs w:val="32"/>
          <w:lang w:val="en-US" w:eastAsia="zh-CN" w:bidi="ar-SA"/>
        </w:rPr>
        <w:t>金属</w:t>
      </w:r>
      <w:r>
        <w:rPr>
          <w:rFonts w:hint="default" w:ascii="仿宋_GB2312" w:hAnsi="Calibri" w:eastAsia="仿宋_GB2312" w:cs="Times New Roman"/>
          <w:kern w:val="2"/>
          <w:sz w:val="32"/>
          <w:szCs w:val="32"/>
          <w:lang w:val="en-US" w:eastAsia="zh-CN" w:bidi="ar-SA"/>
        </w:rPr>
        <w:t>平台上放置一手持电钻，分料机配电箱高度为</w:t>
      </w:r>
      <w:r>
        <w:rPr>
          <w:rFonts w:hint="default" w:ascii="宋体" w:hAnsi="宋体" w:eastAsia="宋体" w:cs="宋体"/>
          <w:kern w:val="2"/>
          <w:sz w:val="32"/>
          <w:szCs w:val="32"/>
          <w:lang w:val="en-US" w:eastAsia="zh-CN" w:bidi="ar-SA"/>
        </w:rPr>
        <w:t>1.65</w:t>
      </w:r>
      <w:r>
        <w:rPr>
          <w:rFonts w:hint="default" w:ascii="Times New Roman" w:hAnsi="Times New Roman" w:eastAsia="仿宋_GB2312" w:cs="Times New Roman"/>
          <w:kern w:val="2"/>
          <w:sz w:val="32"/>
          <w:szCs w:val="32"/>
          <w:lang w:val="en-US" w:eastAsia="zh-CN" w:bidi="ar-SA"/>
        </w:rPr>
        <w:t>m</w:t>
      </w:r>
      <w:r>
        <w:rPr>
          <w:rFonts w:hint="default" w:ascii="仿宋_GB2312" w:hAnsi="Calibri" w:eastAsia="仿宋_GB2312" w:cs="Times New Roman"/>
          <w:kern w:val="2"/>
          <w:sz w:val="32"/>
          <w:szCs w:val="32"/>
          <w:lang w:val="en-US" w:eastAsia="zh-CN" w:bidi="ar-SA"/>
        </w:rPr>
        <w:t>。分料机的左侧放置盘条垛。</w:t>
      </w:r>
    </w:p>
    <w:p w14:paraId="3AF225DC">
      <w:pPr>
        <w:pStyle w:val="4"/>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黑体" w:hAnsi="黑体" w:eastAsia="黑体" w:cs="黑体"/>
          <w:sz w:val="28"/>
          <w:szCs w:val="28"/>
          <w:lang w:val="en-US" w:eastAsia="zh-CN"/>
        </w:rPr>
      </w:pPr>
      <w:r>
        <w:rPr>
          <w:rFonts w:hint="eastAsia" w:ascii="黑体" w:hAnsi="黑体" w:eastAsia="黑体" w:cs="黑体"/>
          <w:sz w:val="24"/>
          <w:szCs w:val="24"/>
          <w:lang w:val="en-US" w:eastAsia="zh-CN"/>
        </w:rPr>
        <w:t>图2 分料区域</w:t>
      </w:r>
      <w:r>
        <w:rPr>
          <w:rFonts w:hint="default" w:ascii="黑体" w:hAnsi="黑体" w:eastAsia="黑体" w:cs="黑体"/>
          <w:sz w:val="24"/>
          <w:szCs w:val="24"/>
          <w:lang w:val="en-US" w:eastAsia="zh-CN"/>
        </w:rPr>
        <w:t>设备设施</w:t>
      </w:r>
    </w:p>
    <w:p w14:paraId="148720E1">
      <w:pPr>
        <w:pStyle w:val="3"/>
        <w:keepNext/>
        <w:keepLines/>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default" w:ascii="Times New Roman" w:hAnsi="Times New Roman" w:cs="Times New Roman"/>
        </w:rPr>
      </w:pPr>
      <w:bookmarkStart w:id="29" w:name="_Toc2534"/>
      <w:r>
        <w:rPr>
          <w:rFonts w:hint="eastAsia" w:cs="Times New Roman"/>
          <w:lang w:val="en-US" w:eastAsia="zh-CN"/>
        </w:rPr>
        <w:t>（五）</w:t>
      </w:r>
      <w:r>
        <w:rPr>
          <w:rFonts w:hint="eastAsia" w:ascii="Times New Roman" w:hAnsi="Times New Roman" w:cs="Times New Roman"/>
          <w:lang w:val="en-US"/>
        </w:rPr>
        <w:t>分料</w:t>
      </w:r>
      <w:r>
        <w:rPr>
          <w:rFonts w:hint="eastAsia" w:cs="Times New Roman"/>
          <w:lang w:val="en-US" w:eastAsia="zh-CN"/>
        </w:rPr>
        <w:t>机</w:t>
      </w:r>
      <w:r>
        <w:rPr>
          <w:rFonts w:hint="default" w:ascii="Times New Roman" w:hAnsi="Times New Roman" w:cs="Times New Roman"/>
        </w:rPr>
        <w:t>情况</w:t>
      </w:r>
      <w:bookmarkEnd w:id="29"/>
    </w:p>
    <w:p w14:paraId="76B4BA8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分料机为耿治升在</w:t>
      </w:r>
      <w:r>
        <w:rPr>
          <w:rFonts w:hint="eastAsia" w:ascii="宋体" w:hAnsi="宋体" w:eastAsia="宋体" w:cs="宋体"/>
          <w:sz w:val="32"/>
          <w:szCs w:val="32"/>
          <w:lang w:val="en-US" w:eastAsia="zh-CN"/>
        </w:rPr>
        <w:t>2021</w:t>
      </w:r>
      <w:r>
        <w:rPr>
          <w:rFonts w:hint="eastAsia" w:ascii="仿宋_GB2312" w:hAnsi="仿宋_GB2312" w:eastAsia="仿宋_GB2312" w:cs="仿宋_GB2312"/>
          <w:sz w:val="32"/>
          <w:szCs w:val="32"/>
          <w:lang w:val="en-US" w:eastAsia="zh-CN"/>
        </w:rPr>
        <w:t>年</w:t>
      </w:r>
      <w:r>
        <w:rPr>
          <w:rFonts w:hint="eastAsia" w:ascii="宋体" w:hAnsi="宋体" w:eastAsia="宋体" w:cs="宋体"/>
          <w:sz w:val="32"/>
          <w:szCs w:val="32"/>
          <w:lang w:val="en-US" w:eastAsia="zh-CN"/>
        </w:rPr>
        <w:t>11</w:t>
      </w:r>
      <w:r>
        <w:rPr>
          <w:rFonts w:hint="eastAsia" w:ascii="仿宋_GB2312" w:hAnsi="仿宋_GB2312" w:eastAsia="仿宋_GB2312" w:cs="仿宋_GB2312"/>
          <w:sz w:val="32"/>
          <w:szCs w:val="32"/>
          <w:lang w:val="en-US" w:eastAsia="zh-CN"/>
        </w:rPr>
        <w:t>月前后购买的二手自制设备，无生产厂家，分料机主要由振动料斗、振动料斗电机、滚轴、滚轴电机、振动斗开关、滚轴开关等组成。</w:t>
      </w:r>
    </w:p>
    <w:p w14:paraId="6BD59DEB">
      <w:pPr>
        <w:pStyle w:val="4"/>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黑体" w:hAnsi="黑体" w:eastAsia="黑体" w:cs="黑体"/>
          <w:sz w:val="24"/>
          <w:szCs w:val="24"/>
          <w:lang w:val="en-US" w:eastAsia="zh-CN"/>
        </w:rPr>
      </w:pPr>
      <w:r>
        <w:rPr>
          <w:rFonts w:hint="default" w:ascii="黑体" w:hAnsi="黑体" w:eastAsia="黑体" w:cs="黑体"/>
          <w:sz w:val="24"/>
          <w:szCs w:val="24"/>
          <w:lang w:val="en-US" w:eastAsia="zh-CN"/>
        </w:rPr>
        <w:drawing>
          <wp:anchor distT="0" distB="0" distL="114300" distR="114300" simplePos="0" relativeHeight="251660288" behindDoc="0" locked="0" layoutInCell="1" allowOverlap="1">
            <wp:simplePos x="0" y="0"/>
            <wp:positionH relativeFrom="column">
              <wp:posOffset>549910</wp:posOffset>
            </wp:positionH>
            <wp:positionV relativeFrom="paragraph">
              <wp:posOffset>67945</wp:posOffset>
            </wp:positionV>
            <wp:extent cx="4149090" cy="1786255"/>
            <wp:effectExtent l="0" t="0" r="3810" b="4445"/>
            <wp:wrapTopAndBottom/>
            <wp:docPr id="1" name="图片 42" descr="E:\微信文件\WeChat Files\wxid_79coyhyitpsr52\FileStorage\Temp\1692679298903.png"/>
            <wp:cNvGraphicFramePr/>
            <a:graphic xmlns:a="http://schemas.openxmlformats.org/drawingml/2006/main">
              <a:graphicData uri="http://schemas.openxmlformats.org/drawingml/2006/picture">
                <pic:pic xmlns:pic="http://schemas.openxmlformats.org/drawingml/2006/picture">
                  <pic:nvPicPr>
                    <pic:cNvPr id="1" name="图片 42" descr="E:\微信文件\WeChat Files\wxid_79coyhyitpsr52\FileStorage\Temp\1692679298903.png"/>
                    <pic:cNvPicPr/>
                  </pic:nvPicPr>
                  <pic:blipFill>
                    <a:blip r:embed="rId12"/>
                    <a:stretch>
                      <a:fillRect/>
                    </a:stretch>
                  </pic:blipFill>
                  <pic:spPr>
                    <a:xfrm>
                      <a:off x="0" y="0"/>
                      <a:ext cx="4149090" cy="1786255"/>
                    </a:xfrm>
                    <a:prstGeom prst="rect">
                      <a:avLst/>
                    </a:prstGeom>
                    <a:noFill/>
                    <a:ln>
                      <a:noFill/>
                    </a:ln>
                  </pic:spPr>
                </pic:pic>
              </a:graphicData>
            </a:graphic>
          </wp:anchor>
        </w:drawing>
      </w:r>
      <w:r>
        <w:rPr>
          <w:rFonts w:hint="eastAsia" w:ascii="黑体" w:hAnsi="黑体" w:eastAsia="黑体" w:cs="黑体"/>
          <w:sz w:val="24"/>
          <w:szCs w:val="24"/>
          <w:lang w:val="en-US" w:eastAsia="zh-CN"/>
        </w:rPr>
        <w:t>图3 分料机情况</w:t>
      </w:r>
    </w:p>
    <w:p w14:paraId="22FD82E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20" w:firstLineChars="200"/>
        <w:textAlignment w:val="auto"/>
        <w:rPr>
          <w:rFonts w:hint="eastAsia" w:ascii="黑体" w:hAnsi="黑体" w:eastAsia="黑体" w:cs="黑体"/>
          <w:sz w:val="24"/>
          <w:szCs w:val="24"/>
          <w:lang w:val="en-US" w:eastAsia="zh-CN"/>
        </w:rPr>
      </w:pPr>
      <w:r>
        <w:rPr>
          <w:rFonts w:hint="default"/>
          <w:lang w:val="en-US" w:eastAsia="zh-CN"/>
        </w:rPr>
        <w:drawing>
          <wp:anchor distT="0" distB="0" distL="114300" distR="114300" simplePos="0" relativeHeight="251661312" behindDoc="0" locked="0" layoutInCell="1" allowOverlap="1">
            <wp:simplePos x="0" y="0"/>
            <wp:positionH relativeFrom="column">
              <wp:posOffset>761365</wp:posOffset>
            </wp:positionH>
            <wp:positionV relativeFrom="paragraph">
              <wp:posOffset>1494790</wp:posOffset>
            </wp:positionV>
            <wp:extent cx="3735705" cy="3563620"/>
            <wp:effectExtent l="0" t="0" r="7620" b="8255"/>
            <wp:wrapTopAndBottom/>
            <wp:docPr id="3" name="图片 73" descr="微信图片_202308281605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73" descr="微信图片_20230828160541"/>
                    <pic:cNvPicPr>
                      <a:picLocks noChangeAspect="1"/>
                    </pic:cNvPicPr>
                  </pic:nvPicPr>
                  <pic:blipFill>
                    <a:blip r:embed="rId13"/>
                    <a:stretch>
                      <a:fillRect/>
                    </a:stretch>
                  </pic:blipFill>
                  <pic:spPr>
                    <a:xfrm>
                      <a:off x="0" y="0"/>
                      <a:ext cx="3735705" cy="3563620"/>
                    </a:xfrm>
                    <a:prstGeom prst="rect">
                      <a:avLst/>
                    </a:prstGeom>
                    <a:noFill/>
                    <a:ln>
                      <a:noFill/>
                    </a:ln>
                  </pic:spPr>
                </pic:pic>
              </a:graphicData>
            </a:graphic>
          </wp:anchor>
        </w:drawing>
      </w:r>
      <w:r>
        <w:rPr>
          <w:rFonts w:hint="eastAsia" w:ascii="仿宋_GB2312" w:hAnsi="仿宋_GB2312" w:eastAsia="仿宋_GB2312" w:cs="仿宋_GB2312"/>
          <w:sz w:val="32"/>
          <w:szCs w:val="32"/>
          <w:lang w:val="en-US" w:eastAsia="zh-CN"/>
        </w:rPr>
        <w:t>分料机外壳上设有滚轴接线端子，用于滚轴电机供电</w:t>
      </w:r>
      <w:r>
        <w:rPr>
          <w:rFonts w:hint="default"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lang w:val="en-US" w:eastAsia="zh-CN"/>
        </w:rPr>
        <w:t>供电电压为</w:t>
      </w:r>
      <w:r>
        <w:rPr>
          <w:rFonts w:hint="default" w:ascii="Times New Roman" w:hAnsi="Times New Roman" w:eastAsia="仿宋_GB2312" w:cs="Times New Roman"/>
          <w:sz w:val="32"/>
          <w:szCs w:val="32"/>
          <w:lang w:val="en-US" w:eastAsia="zh-CN"/>
        </w:rPr>
        <w:t>AC</w:t>
      </w:r>
      <w:r>
        <w:rPr>
          <w:rFonts w:hint="eastAsia" w:ascii="宋体" w:hAnsi="宋体" w:eastAsia="宋体" w:cs="宋体"/>
          <w:sz w:val="32"/>
          <w:szCs w:val="32"/>
          <w:lang w:val="en-US" w:eastAsia="zh-CN"/>
        </w:rPr>
        <w:t>380</w:t>
      </w:r>
      <w:r>
        <w:rPr>
          <w:rFonts w:hint="eastAsia" w:ascii="Times New Roman" w:hAnsi="Times New Roman" w:eastAsia="仿宋_GB2312" w:cs="Times New Roman"/>
          <w:sz w:val="32"/>
          <w:szCs w:val="32"/>
          <w:lang w:val="en-US" w:eastAsia="zh-CN"/>
        </w:rPr>
        <w:t>V</w:t>
      </w:r>
      <w:r>
        <w:rPr>
          <w:rFonts w:hint="default"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lang w:val="en-US" w:eastAsia="zh-CN"/>
        </w:rPr>
        <w:t>滚轴接线端子距地面约</w:t>
      </w:r>
      <w:r>
        <w:rPr>
          <w:rFonts w:hint="eastAsia" w:ascii="宋体" w:hAnsi="宋体" w:eastAsia="宋体" w:cs="宋体"/>
          <w:sz w:val="32"/>
          <w:szCs w:val="32"/>
          <w:lang w:val="en-US" w:eastAsia="zh-CN"/>
        </w:rPr>
        <w:t>0.56</w:t>
      </w:r>
      <w:r>
        <w:rPr>
          <w:rFonts w:hint="default" w:ascii="Times New Roman" w:hAnsi="Times New Roman" w:eastAsia="仿宋_GB2312" w:cs="Times New Roman"/>
          <w:sz w:val="32"/>
          <w:szCs w:val="32"/>
          <w:lang w:val="en-US" w:eastAsia="zh-CN"/>
        </w:rPr>
        <w:t>m</w:t>
      </w:r>
      <w:r>
        <w:rPr>
          <w:rFonts w:hint="eastAsia" w:ascii="仿宋_GB2312" w:hAnsi="仿宋_GB2312" w:eastAsia="仿宋_GB2312" w:cs="仿宋_GB2312"/>
          <w:sz w:val="32"/>
          <w:szCs w:val="32"/>
          <w:lang w:val="en-US" w:eastAsia="zh-CN"/>
        </w:rPr>
        <w:t>，距上方的金属平台约</w:t>
      </w:r>
      <w:r>
        <w:rPr>
          <w:rFonts w:hint="eastAsia" w:ascii="宋体" w:hAnsi="宋体" w:eastAsia="宋体" w:cs="宋体"/>
          <w:sz w:val="32"/>
          <w:szCs w:val="32"/>
          <w:lang w:val="en-US" w:eastAsia="zh-CN"/>
        </w:rPr>
        <w:t>1</w:t>
      </w:r>
      <w:r>
        <w:rPr>
          <w:rFonts w:hint="eastAsia" w:ascii="Times New Roman" w:hAnsi="Times New Roman" w:eastAsia="仿宋_GB2312" w:cs="Times New Roman"/>
          <w:sz w:val="32"/>
          <w:szCs w:val="32"/>
          <w:lang w:val="en-US" w:eastAsia="zh-CN"/>
        </w:rPr>
        <w:t>m</w:t>
      </w:r>
      <w:r>
        <w:rPr>
          <w:rFonts w:hint="eastAsia" w:ascii="仿宋_GB2312" w:hAnsi="仿宋_GB2312" w:eastAsia="仿宋_GB2312" w:cs="仿宋_GB2312"/>
          <w:sz w:val="32"/>
          <w:szCs w:val="32"/>
          <w:lang w:val="en-US" w:eastAsia="zh-CN"/>
        </w:rPr>
        <w:t>，滚轴接线端子未设防护壳，端子带电部位裸露，该起事故发生前，</w:t>
      </w:r>
      <w:r>
        <w:rPr>
          <w:rFonts w:hint="eastAsia" w:ascii="Times New Roman" w:hAnsi="Times New Roman" w:eastAsia="仿宋_GB2312" w:cs="Times New Roman"/>
          <w:sz w:val="32"/>
          <w:szCs w:val="32"/>
          <w:lang w:val="en-US" w:eastAsia="zh-CN"/>
        </w:rPr>
        <w:t>滚轴</w:t>
      </w:r>
      <w:r>
        <w:rPr>
          <w:rFonts w:hint="eastAsia" w:ascii="仿宋_GB2312" w:hAnsi="仿宋_GB2312" w:eastAsia="仿宋_GB2312" w:cs="仿宋_GB2312"/>
          <w:sz w:val="32"/>
          <w:szCs w:val="32"/>
          <w:lang w:val="en-US" w:eastAsia="zh-CN"/>
        </w:rPr>
        <w:t>接线端子为带电状态。</w:t>
      </w:r>
      <w:bookmarkStart w:id="30" w:name="_Toc8757"/>
      <w:bookmarkStart w:id="31" w:name="_Toc27252"/>
    </w:p>
    <w:p w14:paraId="347DB045">
      <w:pPr>
        <w:pStyle w:val="4"/>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黑体" w:hAnsi="黑体" w:eastAsia="黑体" w:cs="黑体"/>
          <w:sz w:val="24"/>
          <w:szCs w:val="24"/>
          <w:lang w:val="en-US" w:eastAsia="zh-CN"/>
        </w:rPr>
      </w:pPr>
      <w:r>
        <w:rPr>
          <w:rFonts w:hint="eastAsia" w:ascii="黑体" w:hAnsi="黑体" w:eastAsia="黑体" w:cs="黑体"/>
          <w:sz w:val="24"/>
          <w:szCs w:val="24"/>
          <w:lang w:val="en-US" w:eastAsia="zh-CN"/>
        </w:rPr>
        <w:t>图4 滚轴接线端子情况</w:t>
      </w:r>
    </w:p>
    <w:p w14:paraId="415FBDB3">
      <w:pPr>
        <w:pStyle w:val="3"/>
        <w:keepNext/>
        <w:keepLines/>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cs="Times New Roman"/>
          <w:lang w:val="en-US" w:eastAsia="zh-CN"/>
        </w:rPr>
      </w:pPr>
      <w:bookmarkStart w:id="32" w:name="_Toc3956"/>
      <w:r>
        <w:rPr>
          <w:rFonts w:hint="eastAsia" w:cs="Times New Roman"/>
          <w:lang w:val="en-US" w:eastAsia="zh-CN"/>
        </w:rPr>
        <w:t>（六）分料区域总体配电情况</w:t>
      </w:r>
      <w:bookmarkEnd w:id="32"/>
    </w:p>
    <w:p w14:paraId="16877CAD">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Calibri" w:eastAsia="仿宋_GB2312" w:cs="Times New Roman"/>
          <w:kern w:val="2"/>
          <w:sz w:val="32"/>
          <w:szCs w:val="32"/>
          <w:lang w:val="en-US" w:eastAsia="zh-CN" w:bidi="ar-SA"/>
        </w:rPr>
        <w:t>分料区域</w:t>
      </w:r>
      <w:r>
        <w:rPr>
          <w:rFonts w:hint="eastAsia" w:ascii="仿宋_GB2312" w:eastAsia="仿宋_GB2312" w:cs="Times New Roman"/>
          <w:kern w:val="2"/>
          <w:sz w:val="32"/>
          <w:szCs w:val="32"/>
          <w:lang w:val="en-US" w:eastAsia="zh-CN" w:bidi="ar-SA"/>
        </w:rPr>
        <w:t>内的设备设施</w:t>
      </w:r>
      <w:r>
        <w:rPr>
          <w:rFonts w:hint="eastAsia" w:ascii="仿宋_GB2312" w:hAnsi="仿宋_GB2312" w:eastAsia="仿宋_GB2312" w:cs="仿宋_GB2312"/>
          <w:sz w:val="32"/>
          <w:szCs w:val="32"/>
          <w:lang w:val="en-US" w:eastAsia="zh-CN"/>
        </w:rPr>
        <w:t>分料机、手持电钻、照明灯等设备由制钉二车间总配电箱供电，总配电箱内设置断路器（额定电流</w:t>
      </w:r>
      <w:r>
        <w:rPr>
          <w:rFonts w:hint="default" w:ascii="Times New Roman" w:hAnsi="Times New Roman" w:eastAsia="仿宋_GB2312" w:cs="Times New Roman"/>
          <w:sz w:val="32"/>
          <w:szCs w:val="32"/>
          <w:lang w:val="en-US" w:eastAsia="zh-CN"/>
        </w:rPr>
        <w:t>In</w:t>
      </w:r>
      <w:r>
        <w:rPr>
          <w:rFonts w:hint="eastAsia" w:ascii="宋体" w:hAnsi="宋体" w:eastAsia="宋体" w:cs="宋体"/>
          <w:sz w:val="32"/>
          <w:szCs w:val="32"/>
          <w:lang w:val="en-US" w:eastAsia="zh-CN"/>
        </w:rPr>
        <w:t>250</w:t>
      </w:r>
      <w:r>
        <w:rPr>
          <w:rFonts w:hint="default" w:ascii="Times New Roman" w:hAnsi="Times New Roman" w:eastAsia="仿宋_GB2312" w:cs="Times New Roman"/>
          <w:sz w:val="32"/>
          <w:szCs w:val="32"/>
          <w:lang w:val="en-US" w:eastAsia="zh-CN"/>
        </w:rPr>
        <w:t>A</w:t>
      </w:r>
      <w:r>
        <w:rPr>
          <w:rFonts w:hint="eastAsia" w:ascii="仿宋_GB2312" w:hAnsi="仿宋_GB2312" w:eastAsia="仿宋_GB2312" w:cs="仿宋_GB2312"/>
          <w:sz w:val="32"/>
          <w:szCs w:val="32"/>
          <w:lang w:val="en-US" w:eastAsia="zh-CN"/>
        </w:rPr>
        <w:t>，瞬时过电流脱扣器整定值</w:t>
      </w:r>
      <w:r>
        <w:rPr>
          <w:rFonts w:hint="eastAsia" w:ascii="宋体" w:hAnsi="宋体" w:eastAsia="宋体" w:cs="宋体"/>
          <w:sz w:val="32"/>
          <w:szCs w:val="32"/>
          <w:lang w:val="en-US" w:eastAsia="zh-CN"/>
        </w:rPr>
        <w:t>10</w:t>
      </w:r>
      <w:r>
        <w:rPr>
          <w:rFonts w:hint="default" w:ascii="Times New Roman" w:hAnsi="Times New Roman" w:eastAsia="仿宋_GB2312" w:cs="Times New Roman"/>
          <w:sz w:val="32"/>
          <w:szCs w:val="32"/>
          <w:lang w:val="en-US" w:eastAsia="zh-CN"/>
        </w:rPr>
        <w:t>In</w:t>
      </w:r>
      <w:r>
        <w:rPr>
          <w:rFonts w:hint="eastAsia" w:ascii="仿宋_GB2312" w:hAnsi="仿宋_GB2312" w:eastAsia="仿宋_GB2312" w:cs="仿宋_GB2312"/>
          <w:sz w:val="32"/>
          <w:szCs w:val="32"/>
          <w:lang w:val="en-US" w:eastAsia="zh-CN"/>
        </w:rPr>
        <w:t>±</w:t>
      </w:r>
      <w:r>
        <w:rPr>
          <w:rFonts w:hint="eastAsia" w:ascii="宋体" w:hAnsi="宋体" w:eastAsia="宋体" w:cs="宋体"/>
          <w:sz w:val="32"/>
          <w:szCs w:val="32"/>
          <w:lang w:val="en-US" w:eastAsia="zh-CN"/>
        </w:rPr>
        <w:t>20</w:t>
      </w:r>
      <w:r>
        <w:rPr>
          <w:rFonts w:hint="eastAsia" w:ascii="仿宋_GB2312" w:hAnsi="仿宋_GB2312" w:eastAsia="仿宋_GB2312" w:cs="仿宋_GB2312"/>
          <w:sz w:val="32"/>
          <w:szCs w:val="32"/>
          <w:lang w:val="en-US" w:eastAsia="zh-CN"/>
        </w:rPr>
        <w:t>%）和漏电断路器（额定漏电动作电流</w:t>
      </w:r>
      <w:r>
        <w:rPr>
          <w:rFonts w:hint="eastAsia" w:ascii="宋体" w:hAnsi="宋体" w:eastAsia="宋体" w:cs="宋体"/>
          <w:sz w:val="32"/>
          <w:szCs w:val="32"/>
          <w:lang w:val="en-US" w:eastAsia="zh-CN"/>
        </w:rPr>
        <w:t>30</w:t>
      </w:r>
      <w:r>
        <w:rPr>
          <w:rFonts w:hint="eastAsia" w:ascii="仿宋_GB2312" w:hAnsi="仿宋_GB2312" w:eastAsia="仿宋_GB2312" w:cs="仿宋_GB2312"/>
          <w:sz w:val="32"/>
          <w:szCs w:val="32"/>
          <w:lang w:val="en-US" w:eastAsia="zh-CN"/>
        </w:rPr>
        <w:t>mA），漏电断路器未接入配电线路，电源线经总配电箱的断路器接入</w:t>
      </w:r>
      <w:r>
        <w:rPr>
          <w:rFonts w:hint="eastAsia" w:ascii="宋体" w:hAnsi="宋体" w:eastAsia="宋体" w:cs="宋体"/>
          <w:sz w:val="32"/>
          <w:szCs w:val="32"/>
          <w:lang w:val="en-US" w:eastAsia="zh-CN"/>
        </w:rPr>
        <w:t>1</w:t>
      </w:r>
      <w:r>
        <w:rPr>
          <w:rFonts w:hint="eastAsia" w:ascii="仿宋_GB2312" w:hAnsi="仿宋_GB2312" w:eastAsia="仿宋_GB2312" w:cs="仿宋_GB2312"/>
          <w:sz w:val="32"/>
          <w:szCs w:val="32"/>
          <w:lang w:val="en-US" w:eastAsia="zh-CN"/>
        </w:rPr>
        <w:t>#配电箱和</w:t>
      </w:r>
      <w:r>
        <w:rPr>
          <w:rFonts w:hint="eastAsia" w:ascii="宋体" w:hAnsi="宋体" w:eastAsia="宋体" w:cs="宋体"/>
          <w:sz w:val="32"/>
          <w:szCs w:val="32"/>
          <w:lang w:val="en-US" w:eastAsia="zh-CN"/>
        </w:rPr>
        <w:t>2</w:t>
      </w:r>
      <w:r>
        <w:rPr>
          <w:rFonts w:hint="eastAsia" w:ascii="仿宋_GB2312" w:hAnsi="仿宋_GB2312" w:eastAsia="仿宋_GB2312" w:cs="仿宋_GB2312"/>
          <w:sz w:val="32"/>
          <w:szCs w:val="32"/>
          <w:lang w:val="en-US" w:eastAsia="zh-CN"/>
        </w:rPr>
        <w:t>#配电箱。</w:t>
      </w:r>
      <w:r>
        <w:rPr>
          <w:rFonts w:hint="eastAsia" w:ascii="宋体" w:hAnsi="宋体" w:eastAsia="宋体" w:cs="宋体"/>
          <w:sz w:val="32"/>
          <w:szCs w:val="32"/>
          <w:lang w:val="en-US" w:eastAsia="zh-CN"/>
        </w:rPr>
        <w:t>1</w:t>
      </w:r>
      <w:r>
        <w:rPr>
          <w:rFonts w:hint="eastAsia" w:ascii="仿宋_GB2312" w:hAnsi="仿宋_GB2312" w:eastAsia="仿宋_GB2312" w:cs="仿宋_GB2312"/>
          <w:sz w:val="32"/>
          <w:szCs w:val="32"/>
          <w:lang w:val="en-US" w:eastAsia="zh-CN"/>
        </w:rPr>
        <w:t>#配电箱引出的电源线接入分料机配电箱。</w:t>
      </w:r>
      <w:r>
        <w:rPr>
          <w:rFonts w:hint="eastAsia" w:ascii="宋体" w:hAnsi="宋体" w:eastAsia="宋体" w:cs="宋体"/>
          <w:sz w:val="32"/>
          <w:szCs w:val="32"/>
          <w:lang w:val="en-US" w:eastAsia="zh-CN"/>
        </w:rPr>
        <w:t>2</w:t>
      </w:r>
      <w:r>
        <w:rPr>
          <w:rFonts w:hint="eastAsia" w:ascii="仿宋_GB2312" w:hAnsi="仿宋_GB2312" w:eastAsia="仿宋_GB2312" w:cs="仿宋_GB2312"/>
          <w:sz w:val="32"/>
          <w:szCs w:val="32"/>
          <w:lang w:val="en-US" w:eastAsia="zh-CN"/>
        </w:rPr>
        <w:t>#配电箱引出的电源线通过插板供分料机的振动料斗用电。分料机配电箱供分料机滚轴电机及其他用电设备用电。</w:t>
      </w:r>
      <w:r>
        <w:rPr>
          <w:rFonts w:hint="eastAsia" w:ascii="宋体" w:hAnsi="宋体" w:eastAsia="宋体" w:cs="宋体"/>
          <w:sz w:val="32"/>
          <w:szCs w:val="32"/>
          <w:lang w:val="en-US" w:eastAsia="zh-CN"/>
        </w:rPr>
        <w:t>1</w:t>
      </w:r>
      <w:r>
        <w:rPr>
          <w:rFonts w:hint="eastAsia" w:ascii="仿宋_GB2312" w:hAnsi="仿宋_GB2312" w:eastAsia="仿宋_GB2312" w:cs="仿宋_GB2312"/>
          <w:sz w:val="32"/>
          <w:szCs w:val="32"/>
          <w:lang w:val="en-US" w:eastAsia="zh-CN"/>
        </w:rPr>
        <w:t>#配电箱、</w:t>
      </w:r>
      <w:r>
        <w:rPr>
          <w:rFonts w:hint="eastAsia" w:ascii="宋体" w:hAnsi="宋体" w:eastAsia="宋体" w:cs="宋体"/>
          <w:sz w:val="32"/>
          <w:szCs w:val="32"/>
          <w:lang w:val="en-US" w:eastAsia="zh-CN"/>
        </w:rPr>
        <w:t>2</w:t>
      </w:r>
      <w:r>
        <w:rPr>
          <w:rFonts w:hint="eastAsia" w:ascii="仿宋_GB2312" w:hAnsi="仿宋_GB2312" w:eastAsia="仿宋_GB2312" w:cs="仿宋_GB2312"/>
          <w:sz w:val="32"/>
          <w:szCs w:val="32"/>
          <w:lang w:val="en-US" w:eastAsia="zh-CN"/>
        </w:rPr>
        <w:t>#配电箱和分料机配电箱内均</w:t>
      </w:r>
      <w:r>
        <w:rPr>
          <w:rFonts w:hint="eastAsia" w:ascii="仿宋_GB2312" w:eastAsia="仿宋_GB2312"/>
          <w:sz w:val="32"/>
          <w:szCs w:val="32"/>
          <w:lang w:val="en-US" w:eastAsia="zh-CN"/>
        </w:rPr>
        <w:t>未设置剩余电流动作保护装置。</w:t>
      </w:r>
    </w:p>
    <w:p w14:paraId="71E3A2E1">
      <w:pPr>
        <w:pStyle w:val="4"/>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黑体" w:hAnsi="黑体" w:eastAsia="黑体" w:cs="黑体"/>
          <w:sz w:val="24"/>
          <w:szCs w:val="24"/>
          <w:lang w:val="en-US" w:eastAsia="zh-CN"/>
        </w:rPr>
      </w:pPr>
      <w:r>
        <w:rPr>
          <w:rFonts w:hint="eastAsia" w:ascii="仿宋_GB2312" w:hAnsi="仿宋_GB2312" w:eastAsia="仿宋_GB2312" w:cs="仿宋_GB2312"/>
          <w:sz w:val="32"/>
          <w:szCs w:val="32"/>
          <w:lang w:val="en-US" w:eastAsia="zh-CN"/>
        </w:rPr>
        <w:drawing>
          <wp:anchor distT="0" distB="0" distL="114300" distR="114300" simplePos="0" relativeHeight="251664384" behindDoc="0" locked="0" layoutInCell="1" allowOverlap="1">
            <wp:simplePos x="0" y="0"/>
            <wp:positionH relativeFrom="column">
              <wp:posOffset>317500</wp:posOffset>
            </wp:positionH>
            <wp:positionV relativeFrom="paragraph">
              <wp:posOffset>10795</wp:posOffset>
            </wp:positionV>
            <wp:extent cx="4886960" cy="3456305"/>
            <wp:effectExtent l="0" t="0" r="8890" b="1270"/>
            <wp:wrapTopAndBottom/>
            <wp:docPr id="7" name="图片 7"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图片1"/>
                    <pic:cNvPicPr>
                      <a:picLocks noChangeAspect="1"/>
                    </pic:cNvPicPr>
                  </pic:nvPicPr>
                  <pic:blipFill>
                    <a:blip r:embed="rId14"/>
                    <a:stretch>
                      <a:fillRect/>
                    </a:stretch>
                  </pic:blipFill>
                  <pic:spPr>
                    <a:xfrm>
                      <a:off x="0" y="0"/>
                      <a:ext cx="4886960" cy="3456305"/>
                    </a:xfrm>
                    <a:prstGeom prst="rect">
                      <a:avLst/>
                    </a:prstGeom>
                  </pic:spPr>
                </pic:pic>
              </a:graphicData>
            </a:graphic>
          </wp:anchor>
        </w:drawing>
      </w:r>
      <w:r>
        <w:rPr>
          <w:rFonts w:hint="eastAsia" w:ascii="黑体" w:hAnsi="黑体" w:eastAsia="黑体" w:cs="黑体"/>
          <w:sz w:val="24"/>
          <w:szCs w:val="24"/>
          <w:lang w:val="en-US" w:eastAsia="zh-CN"/>
        </w:rPr>
        <w:t xml:space="preserve">图5 </w:t>
      </w:r>
      <w:r>
        <w:rPr>
          <w:rFonts w:hint="default" w:ascii="黑体" w:hAnsi="黑体" w:eastAsia="黑体" w:cs="黑体"/>
          <w:sz w:val="24"/>
          <w:szCs w:val="24"/>
          <w:lang w:val="en-US" w:eastAsia="zh-CN"/>
        </w:rPr>
        <w:t>分料</w:t>
      </w:r>
      <w:r>
        <w:rPr>
          <w:rFonts w:hint="eastAsia" w:ascii="黑体" w:hAnsi="黑体" w:eastAsia="黑体" w:cs="黑体"/>
          <w:sz w:val="24"/>
          <w:szCs w:val="24"/>
          <w:lang w:val="en-US" w:eastAsia="zh-CN"/>
        </w:rPr>
        <w:t>区域配电接线示意</w:t>
      </w:r>
      <w:r>
        <w:rPr>
          <w:rFonts w:hint="default" w:ascii="黑体" w:hAnsi="黑体" w:eastAsia="黑体" w:cs="黑体"/>
          <w:sz w:val="24"/>
          <w:szCs w:val="24"/>
          <w:lang w:val="en-US" w:eastAsia="zh-CN"/>
        </w:rPr>
        <w:t>图</w:t>
      </w:r>
    </w:p>
    <w:p w14:paraId="1D4B0E9A">
      <w:pPr>
        <w:rPr>
          <w:rFonts w:hint="eastAsia"/>
          <w:lang w:val="en-US" w:eastAsia="zh-CN"/>
        </w:rPr>
      </w:pPr>
    </w:p>
    <w:p w14:paraId="0D4A9DAD">
      <w:pPr>
        <w:pStyle w:val="3"/>
        <w:keepNext/>
        <w:keepLines/>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cs="Times New Roman"/>
          <w:lang w:val="en-US" w:eastAsia="zh-CN"/>
        </w:rPr>
      </w:pPr>
      <w:bookmarkStart w:id="33" w:name="_Toc29655"/>
      <w:r>
        <w:rPr>
          <w:rFonts w:hint="eastAsia" w:cs="Times New Roman"/>
          <w:lang w:val="en-US" w:eastAsia="zh-CN"/>
        </w:rPr>
        <w:t>（七）</w:t>
      </w:r>
      <w:r>
        <w:rPr>
          <w:rFonts w:hint="default"/>
        </w:rPr>
        <w:t>分料机</w:t>
      </w:r>
      <w:r>
        <w:rPr>
          <w:rFonts w:hint="eastAsia"/>
          <w:lang w:val="en-US"/>
        </w:rPr>
        <w:t>配</w:t>
      </w:r>
      <w:r>
        <w:rPr>
          <w:rFonts w:hint="default"/>
        </w:rPr>
        <w:t>电</w:t>
      </w:r>
      <w:r>
        <w:rPr>
          <w:rFonts w:hint="eastAsia"/>
          <w:lang w:val="en-US"/>
        </w:rPr>
        <w:t>情况</w:t>
      </w:r>
      <w:bookmarkEnd w:id="33"/>
    </w:p>
    <w:p w14:paraId="07936CA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分料机振动料斗</w:t>
      </w:r>
      <w:r>
        <w:rPr>
          <w:rFonts w:hint="eastAsia" w:ascii="仿宋_GB2312" w:hAnsi="仿宋_GB2312" w:eastAsia="仿宋_GB2312" w:cs="仿宋_GB2312"/>
          <w:sz w:val="32"/>
          <w:szCs w:val="32"/>
          <w:lang w:val="en-US" w:eastAsia="zh-CN"/>
        </w:rPr>
        <w:t>的</w:t>
      </w:r>
      <w:r>
        <w:rPr>
          <w:rFonts w:hint="default" w:ascii="仿宋_GB2312" w:hAnsi="仿宋_GB2312" w:eastAsia="仿宋_GB2312" w:cs="仿宋_GB2312"/>
          <w:sz w:val="32"/>
          <w:szCs w:val="32"/>
          <w:lang w:val="en-US" w:eastAsia="zh-CN"/>
        </w:rPr>
        <w:t>供电为</w:t>
      </w:r>
      <w:r>
        <w:rPr>
          <w:rFonts w:hint="default" w:ascii="Times New Roman" w:hAnsi="Times New Roman" w:eastAsia="仿宋_GB2312" w:cs="Times New Roman"/>
          <w:sz w:val="32"/>
          <w:szCs w:val="32"/>
          <w:lang w:val="en-US" w:eastAsia="zh-CN"/>
        </w:rPr>
        <w:t>AC</w:t>
      </w:r>
      <w:r>
        <w:rPr>
          <w:rFonts w:hint="default" w:ascii="宋体" w:hAnsi="宋体" w:eastAsia="宋体" w:cs="宋体"/>
          <w:sz w:val="32"/>
          <w:szCs w:val="32"/>
          <w:lang w:val="en-US" w:eastAsia="zh-CN"/>
        </w:rPr>
        <w:t>220</w:t>
      </w:r>
      <w:r>
        <w:rPr>
          <w:rFonts w:hint="default" w:ascii="Times New Roman" w:hAnsi="Times New Roman" w:eastAsia="仿宋_GB2312" w:cs="Times New Roman"/>
          <w:sz w:val="32"/>
          <w:szCs w:val="32"/>
          <w:lang w:val="en-US" w:eastAsia="zh-CN"/>
        </w:rPr>
        <w:t>V</w:t>
      </w:r>
      <w:r>
        <w:rPr>
          <w:rFonts w:hint="default"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lang w:val="en-US" w:eastAsia="zh-CN"/>
        </w:rPr>
        <w:t>电源线</w:t>
      </w:r>
      <w:r>
        <w:rPr>
          <w:rFonts w:hint="default" w:ascii="仿宋_GB2312" w:hAnsi="仿宋_GB2312" w:eastAsia="仿宋_GB2312" w:cs="仿宋_GB2312"/>
          <w:sz w:val="32"/>
          <w:szCs w:val="32"/>
          <w:lang w:val="en-US" w:eastAsia="zh-CN"/>
        </w:rPr>
        <w:t>自</w:t>
      </w:r>
      <w:r>
        <w:rPr>
          <w:rFonts w:hint="eastAsia" w:ascii="宋体" w:hAnsi="宋体" w:eastAsia="宋体" w:cs="宋体"/>
          <w:sz w:val="32"/>
          <w:szCs w:val="32"/>
          <w:lang w:val="en-US" w:eastAsia="zh-CN"/>
        </w:rPr>
        <w:t>2</w:t>
      </w: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sz w:val="32"/>
          <w:szCs w:val="32"/>
          <w:lang w:val="en-US" w:eastAsia="zh-CN"/>
        </w:rPr>
        <w:t>配电箱</w:t>
      </w:r>
      <w:r>
        <w:rPr>
          <w:rFonts w:hint="eastAsia" w:ascii="仿宋_GB2312" w:hAnsi="仿宋_GB2312" w:eastAsia="仿宋_GB2312" w:cs="仿宋_GB2312"/>
          <w:sz w:val="32"/>
          <w:szCs w:val="32"/>
          <w:lang w:val="en-US" w:eastAsia="zh-CN"/>
        </w:rPr>
        <w:t>通过</w:t>
      </w:r>
      <w:r>
        <w:rPr>
          <w:rFonts w:hint="default" w:ascii="仿宋_GB2312" w:hAnsi="仿宋_GB2312" w:eastAsia="仿宋_GB2312" w:cs="仿宋_GB2312"/>
          <w:sz w:val="32"/>
          <w:szCs w:val="32"/>
          <w:lang w:val="en-US" w:eastAsia="zh-CN"/>
        </w:rPr>
        <w:t>插座与振动料斗</w:t>
      </w:r>
      <w:r>
        <w:rPr>
          <w:rFonts w:hint="eastAsia" w:ascii="仿宋_GB2312" w:hAnsi="仿宋_GB2312" w:eastAsia="仿宋_GB2312" w:cs="仿宋_GB2312"/>
          <w:sz w:val="32"/>
          <w:szCs w:val="32"/>
          <w:lang w:val="en-US" w:eastAsia="zh-CN"/>
        </w:rPr>
        <w:t>连接</w:t>
      </w:r>
      <w:r>
        <w:rPr>
          <w:rFonts w:hint="default" w:ascii="仿宋_GB2312" w:hAnsi="仿宋_GB2312" w:eastAsia="仿宋_GB2312" w:cs="仿宋_GB2312"/>
          <w:sz w:val="32"/>
          <w:szCs w:val="32"/>
          <w:lang w:val="en-US" w:eastAsia="zh-CN"/>
        </w:rPr>
        <w:t>，连接部位设置了电机的</w:t>
      </w:r>
      <w:r>
        <w:rPr>
          <w:rFonts w:hint="eastAsia" w:ascii="仿宋_GB2312" w:hAnsi="仿宋_GB2312" w:eastAsia="仿宋_GB2312" w:cs="仿宋_GB2312"/>
          <w:sz w:val="32"/>
          <w:szCs w:val="32"/>
          <w:lang w:val="en-US" w:eastAsia="zh-CN"/>
        </w:rPr>
        <w:t>开关</w:t>
      </w:r>
      <w:r>
        <w:rPr>
          <w:rFonts w:hint="default" w:ascii="仿宋_GB2312" w:hAnsi="仿宋_GB2312" w:eastAsia="仿宋_GB2312" w:cs="仿宋_GB2312"/>
          <w:sz w:val="32"/>
          <w:szCs w:val="32"/>
          <w:lang w:val="en-US" w:eastAsia="zh-CN"/>
        </w:rPr>
        <w:t>及调速</w:t>
      </w:r>
      <w:r>
        <w:rPr>
          <w:rFonts w:hint="eastAsia" w:ascii="仿宋_GB2312" w:hAnsi="仿宋_GB2312" w:eastAsia="仿宋_GB2312" w:cs="仿宋_GB2312"/>
          <w:sz w:val="32"/>
          <w:szCs w:val="32"/>
          <w:lang w:val="en-US" w:eastAsia="zh-CN"/>
        </w:rPr>
        <w:t>旋钮</w:t>
      </w:r>
      <w:r>
        <w:rPr>
          <w:rFonts w:hint="default" w:ascii="仿宋_GB2312" w:hAnsi="仿宋_GB2312" w:eastAsia="仿宋_GB2312" w:cs="仿宋_GB2312"/>
          <w:sz w:val="32"/>
          <w:szCs w:val="32"/>
          <w:lang w:val="en-US" w:eastAsia="zh-CN"/>
        </w:rPr>
        <w:t>。滚轴电机</w:t>
      </w:r>
      <w:r>
        <w:rPr>
          <w:rFonts w:hint="eastAsia" w:ascii="仿宋_GB2312" w:hAnsi="仿宋_GB2312" w:eastAsia="仿宋_GB2312" w:cs="仿宋_GB2312"/>
          <w:sz w:val="32"/>
          <w:szCs w:val="32"/>
          <w:lang w:val="en-US" w:eastAsia="zh-CN"/>
        </w:rPr>
        <w:t>的</w:t>
      </w:r>
      <w:r>
        <w:rPr>
          <w:rFonts w:hint="default" w:ascii="仿宋_GB2312" w:hAnsi="仿宋_GB2312" w:eastAsia="仿宋_GB2312" w:cs="仿宋_GB2312"/>
          <w:sz w:val="32"/>
          <w:szCs w:val="32"/>
          <w:lang w:val="en-US" w:eastAsia="zh-CN"/>
        </w:rPr>
        <w:t>供电为</w:t>
      </w:r>
      <w:r>
        <w:rPr>
          <w:rFonts w:hint="default" w:ascii="Times New Roman" w:hAnsi="Times New Roman" w:eastAsia="仿宋_GB2312" w:cs="Times New Roman"/>
          <w:sz w:val="32"/>
          <w:szCs w:val="32"/>
          <w:lang w:val="en-US" w:eastAsia="zh-CN"/>
        </w:rPr>
        <w:t>AC</w:t>
      </w:r>
      <w:r>
        <w:rPr>
          <w:rFonts w:hint="default" w:ascii="宋体" w:hAnsi="宋体" w:eastAsia="宋体" w:cs="宋体"/>
          <w:sz w:val="32"/>
          <w:szCs w:val="32"/>
          <w:lang w:val="en-US" w:eastAsia="zh-CN"/>
        </w:rPr>
        <w:t>380</w:t>
      </w:r>
      <w:r>
        <w:rPr>
          <w:rFonts w:hint="default" w:ascii="Times New Roman" w:hAnsi="Times New Roman" w:eastAsia="仿宋_GB2312" w:cs="Times New Roman"/>
          <w:sz w:val="32"/>
          <w:szCs w:val="32"/>
          <w:lang w:val="en-US" w:eastAsia="zh-CN"/>
        </w:rPr>
        <w:t>V</w:t>
      </w:r>
      <w:r>
        <w:rPr>
          <w:rFonts w:hint="default"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lang w:val="en-US" w:eastAsia="zh-CN"/>
        </w:rPr>
        <w:t>电源线自</w:t>
      </w:r>
      <w:r>
        <w:rPr>
          <w:rFonts w:hint="default" w:ascii="仿宋_GB2312" w:hAnsi="仿宋_GB2312" w:eastAsia="仿宋_GB2312" w:cs="仿宋_GB2312"/>
          <w:sz w:val="32"/>
          <w:szCs w:val="32"/>
          <w:lang w:val="en-US" w:eastAsia="zh-CN"/>
        </w:rPr>
        <w:t>分料机配电箱</w:t>
      </w:r>
      <w:r>
        <w:rPr>
          <w:rFonts w:hint="eastAsia" w:ascii="仿宋_GB2312" w:hAnsi="仿宋_GB2312" w:eastAsia="仿宋_GB2312" w:cs="仿宋_GB2312"/>
          <w:sz w:val="32"/>
          <w:szCs w:val="32"/>
          <w:lang w:val="en-US" w:eastAsia="zh-CN"/>
        </w:rPr>
        <w:t>接入滚轴接线端子与电机连接</w:t>
      </w:r>
      <w:r>
        <w:rPr>
          <w:rFonts w:hint="default" w:ascii="仿宋_GB2312" w:hAnsi="仿宋_GB2312" w:eastAsia="仿宋_GB2312" w:cs="仿宋_GB2312"/>
          <w:sz w:val="32"/>
          <w:szCs w:val="32"/>
          <w:lang w:val="en-US" w:eastAsia="zh-CN"/>
        </w:rPr>
        <w:t>。</w:t>
      </w:r>
    </w:p>
    <w:p w14:paraId="2058CFB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lang w:val="en-US" w:eastAsia="zh-CN"/>
        </w:rPr>
      </w:pPr>
      <w:r>
        <w:rPr>
          <w:rFonts w:hint="default" w:ascii="仿宋_GB2312" w:hAnsi="仿宋_GB2312" w:eastAsia="仿宋_GB2312" w:cs="仿宋_GB2312"/>
          <w:sz w:val="32"/>
          <w:szCs w:val="32"/>
          <w:lang w:val="en-US" w:eastAsia="zh-CN"/>
        </w:rPr>
        <w:t>分料机未设置接零、接地保护；分料机的振动料斗及滚轴电机供电线路均未</w:t>
      </w:r>
      <w:r>
        <w:rPr>
          <w:rFonts w:hint="eastAsia" w:ascii="仿宋_GB2312" w:eastAsia="仿宋_GB2312"/>
          <w:sz w:val="32"/>
          <w:szCs w:val="32"/>
          <w:lang w:val="en-US" w:eastAsia="zh-CN"/>
        </w:rPr>
        <w:t>设置剩余电流动作保护装置</w:t>
      </w:r>
      <w:r>
        <w:rPr>
          <w:rFonts w:hint="default"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lang w:val="en-US" w:eastAsia="zh-CN"/>
        </w:rPr>
        <w:t>分料机</w:t>
      </w:r>
      <w:r>
        <w:rPr>
          <w:rFonts w:hint="default" w:ascii="仿宋_GB2312" w:hAnsi="仿宋_GB2312" w:eastAsia="仿宋_GB2312" w:cs="仿宋_GB2312"/>
          <w:sz w:val="32"/>
          <w:szCs w:val="32"/>
          <w:lang w:val="en-US" w:eastAsia="zh-CN"/>
        </w:rPr>
        <w:t>配电箱未设置门板，配电箱内接线端子裸露；配电箱无接地保护；分料机振动料斗的电机通过</w:t>
      </w:r>
      <w:r>
        <w:rPr>
          <w:rFonts w:hint="eastAsia" w:ascii="仿宋_GB2312" w:hAnsi="仿宋_GB2312" w:eastAsia="仿宋_GB2312" w:cs="仿宋_GB2312"/>
          <w:sz w:val="32"/>
          <w:szCs w:val="32"/>
          <w:lang w:val="en-US" w:eastAsia="zh-CN"/>
        </w:rPr>
        <w:t>插板</w:t>
      </w:r>
      <w:r>
        <w:rPr>
          <w:rFonts w:hint="default" w:ascii="仿宋_GB2312" w:hAnsi="仿宋_GB2312" w:eastAsia="仿宋_GB2312" w:cs="仿宋_GB2312"/>
          <w:sz w:val="32"/>
          <w:szCs w:val="32"/>
          <w:lang w:val="en-US" w:eastAsia="zh-CN"/>
        </w:rPr>
        <w:t>供电。</w:t>
      </w:r>
    </w:p>
    <w:p w14:paraId="525964E7">
      <w:pPr>
        <w:pStyle w:val="2"/>
        <w:bidi w:val="0"/>
      </w:pPr>
      <w:bookmarkStart w:id="34" w:name="_Toc10041"/>
      <w:r>
        <w:rPr>
          <w:rFonts w:hint="eastAsia"/>
        </w:rPr>
        <w:t>二、事故发生的经过及应急处置情况</w:t>
      </w:r>
      <w:bookmarkEnd w:id="30"/>
      <w:bookmarkEnd w:id="31"/>
      <w:bookmarkEnd w:id="34"/>
    </w:p>
    <w:p w14:paraId="557F4483">
      <w:pPr>
        <w:pStyle w:val="3"/>
        <w:bidi w:val="0"/>
      </w:pPr>
      <w:bookmarkStart w:id="35" w:name="_Toc16051"/>
      <w:bookmarkStart w:id="36" w:name="_Toc27746"/>
      <w:bookmarkStart w:id="37" w:name="_Toc15785"/>
      <w:r>
        <w:rPr>
          <w:rFonts w:hint="eastAsia"/>
        </w:rPr>
        <w:t>（一）事故经过</w:t>
      </w:r>
      <w:bookmarkEnd w:id="35"/>
      <w:bookmarkEnd w:id="36"/>
      <w:bookmarkEnd w:id="37"/>
    </w:p>
    <w:p w14:paraId="2C528FF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24"/>
          <w:szCs w:val="24"/>
          <w:lang w:val="en-US" w:eastAsia="zh-CN"/>
        </w:rPr>
      </w:pPr>
      <w:r>
        <w:rPr>
          <w:rFonts w:hint="eastAsia" w:ascii="宋体" w:hAnsi="宋体" w:eastAsia="宋体" w:cs="宋体"/>
          <w:sz w:val="32"/>
          <w:szCs w:val="32"/>
          <w:lang w:val="en-US" w:eastAsia="zh-CN"/>
        </w:rPr>
        <w:t>2023</w:t>
      </w:r>
      <w:r>
        <w:rPr>
          <w:rFonts w:hint="default" w:ascii="仿宋_GB2312" w:hAnsi="仿宋_GB2312" w:eastAsia="仿宋_GB2312" w:cs="仿宋_GB2312"/>
          <w:sz w:val="32"/>
          <w:szCs w:val="32"/>
          <w:lang w:val="en-US" w:eastAsia="zh-CN"/>
        </w:rPr>
        <w:t>年</w:t>
      </w:r>
      <w:r>
        <w:rPr>
          <w:rFonts w:hint="default" w:ascii="宋体" w:hAnsi="宋体" w:eastAsia="宋体" w:cs="宋体"/>
          <w:sz w:val="32"/>
          <w:szCs w:val="32"/>
          <w:lang w:val="en-US" w:eastAsia="zh-CN"/>
        </w:rPr>
        <w:t>7</w:t>
      </w:r>
      <w:r>
        <w:rPr>
          <w:rFonts w:hint="default" w:ascii="仿宋_GB2312" w:hAnsi="仿宋_GB2312" w:eastAsia="仿宋_GB2312" w:cs="仿宋_GB2312"/>
          <w:sz w:val="32"/>
          <w:szCs w:val="32"/>
          <w:lang w:val="en-US" w:eastAsia="zh-CN"/>
        </w:rPr>
        <w:t>月</w:t>
      </w:r>
      <w:r>
        <w:rPr>
          <w:rFonts w:hint="default" w:ascii="宋体" w:hAnsi="宋体" w:eastAsia="宋体" w:cs="宋体"/>
          <w:sz w:val="32"/>
          <w:szCs w:val="32"/>
          <w:lang w:val="en-US" w:eastAsia="zh-CN"/>
        </w:rPr>
        <w:t>25</w:t>
      </w:r>
      <w:r>
        <w:rPr>
          <w:rFonts w:hint="default" w:ascii="仿宋_GB2312" w:hAnsi="仿宋_GB2312" w:eastAsia="仿宋_GB2312" w:cs="仿宋_GB2312"/>
          <w:sz w:val="32"/>
          <w:szCs w:val="32"/>
          <w:lang w:val="en-US" w:eastAsia="zh-CN"/>
        </w:rPr>
        <w:t>日</w:t>
      </w:r>
      <w:r>
        <w:rPr>
          <w:rFonts w:hint="default" w:ascii="宋体" w:hAnsi="宋体" w:eastAsia="宋体" w:cs="宋体"/>
          <w:sz w:val="32"/>
          <w:szCs w:val="32"/>
          <w:lang w:val="en-US" w:eastAsia="zh-CN"/>
        </w:rPr>
        <w:t>3</w:t>
      </w:r>
      <w:r>
        <w:rPr>
          <w:rFonts w:hint="default" w:ascii="仿宋_GB2312" w:hAnsi="仿宋_GB2312" w:eastAsia="仿宋_GB2312" w:cs="仿宋_GB2312"/>
          <w:sz w:val="32"/>
          <w:szCs w:val="32"/>
          <w:lang w:val="en-US" w:eastAsia="zh-CN"/>
        </w:rPr>
        <w:t>时</w:t>
      </w:r>
      <w:r>
        <w:rPr>
          <w:rFonts w:hint="default" w:ascii="宋体" w:hAnsi="宋体" w:eastAsia="宋体" w:cs="宋体"/>
          <w:sz w:val="32"/>
          <w:szCs w:val="32"/>
          <w:lang w:val="en-US" w:eastAsia="zh-CN"/>
        </w:rPr>
        <w:t>9</w:t>
      </w:r>
      <w:r>
        <w:rPr>
          <w:rFonts w:hint="default" w:ascii="仿宋_GB2312" w:hAnsi="仿宋_GB2312" w:eastAsia="仿宋_GB2312" w:cs="仿宋_GB2312"/>
          <w:sz w:val="32"/>
          <w:szCs w:val="32"/>
          <w:lang w:val="en-US" w:eastAsia="zh-CN"/>
        </w:rPr>
        <w:t>分左右，分料工翟子豪前往分料</w:t>
      </w:r>
      <w:r>
        <w:rPr>
          <w:rFonts w:hint="eastAsia" w:ascii="仿宋_GB2312" w:hAnsi="仿宋_GB2312" w:eastAsia="仿宋_GB2312" w:cs="仿宋_GB2312"/>
          <w:sz w:val="32"/>
          <w:szCs w:val="32"/>
          <w:lang w:val="en-US" w:eastAsia="zh-CN"/>
        </w:rPr>
        <w:t>机处</w:t>
      </w:r>
      <w:r>
        <w:rPr>
          <w:rFonts w:hint="default" w:ascii="仿宋_GB2312" w:hAnsi="仿宋_GB2312" w:eastAsia="仿宋_GB2312" w:cs="仿宋_GB2312"/>
          <w:sz w:val="32"/>
          <w:szCs w:val="32"/>
          <w:lang w:val="en-US" w:eastAsia="zh-CN"/>
        </w:rPr>
        <w:t>进行筛分作业，此时打帽工黄青波正背对着翟子豪在打帽机处作业。</w:t>
      </w:r>
      <w:r>
        <w:rPr>
          <w:rFonts w:hint="default" w:ascii="宋体" w:hAnsi="宋体" w:eastAsia="宋体" w:cs="宋体"/>
          <w:sz w:val="32"/>
          <w:szCs w:val="32"/>
          <w:lang w:val="en-US" w:eastAsia="zh-CN"/>
        </w:rPr>
        <w:t>3</w:t>
      </w:r>
      <w:r>
        <w:rPr>
          <w:rFonts w:hint="default" w:ascii="仿宋_GB2312" w:hAnsi="仿宋_GB2312" w:eastAsia="仿宋_GB2312" w:cs="仿宋_GB2312"/>
          <w:sz w:val="32"/>
          <w:szCs w:val="32"/>
          <w:lang w:val="en-US" w:eastAsia="zh-CN"/>
        </w:rPr>
        <w:t>时</w:t>
      </w:r>
      <w:r>
        <w:rPr>
          <w:rFonts w:hint="default" w:ascii="宋体" w:hAnsi="宋体" w:eastAsia="宋体" w:cs="宋体"/>
          <w:sz w:val="32"/>
          <w:szCs w:val="32"/>
          <w:lang w:val="en-US" w:eastAsia="zh-CN"/>
        </w:rPr>
        <w:t>10</w:t>
      </w:r>
      <w:r>
        <w:rPr>
          <w:rFonts w:hint="default" w:ascii="仿宋_GB2312" w:hAnsi="仿宋_GB2312" w:eastAsia="仿宋_GB2312" w:cs="仿宋_GB2312"/>
          <w:sz w:val="32"/>
          <w:szCs w:val="32"/>
          <w:lang w:val="en-US" w:eastAsia="zh-CN"/>
        </w:rPr>
        <w:t>分</w:t>
      </w:r>
      <w:r>
        <w:rPr>
          <w:rFonts w:hint="default" w:ascii="宋体" w:hAnsi="宋体" w:eastAsia="宋体" w:cs="宋体"/>
          <w:sz w:val="32"/>
          <w:szCs w:val="32"/>
          <w:lang w:val="en-US" w:eastAsia="zh-CN"/>
        </w:rPr>
        <w:t>17</w:t>
      </w:r>
      <w:r>
        <w:rPr>
          <w:rFonts w:hint="default" w:ascii="仿宋_GB2312" w:hAnsi="仿宋_GB2312" w:eastAsia="仿宋_GB2312" w:cs="仿宋_GB2312"/>
          <w:sz w:val="32"/>
          <w:szCs w:val="32"/>
          <w:lang w:val="en-US" w:eastAsia="zh-CN"/>
        </w:rPr>
        <w:t>秒左右，黄青波听到翟子豪“啊”一声，便转身跑到现场，黄青波看到翟子豪的身体侧趴在分料机上抽搐，</w:t>
      </w:r>
      <w:r>
        <w:rPr>
          <w:rFonts w:hint="eastAsia" w:ascii="仿宋_GB2312" w:hAnsi="仿宋_GB2312" w:eastAsia="仿宋_GB2312" w:cs="仿宋_GB2312"/>
          <w:sz w:val="32"/>
          <w:szCs w:val="32"/>
          <w:lang w:val="en-US" w:eastAsia="zh-CN"/>
        </w:rPr>
        <w:t>便</w:t>
      </w:r>
      <w:r>
        <w:rPr>
          <w:rFonts w:hint="default" w:ascii="仿宋_GB2312" w:hAnsi="仿宋_GB2312" w:eastAsia="仿宋_GB2312" w:cs="仿宋_GB2312"/>
          <w:sz w:val="32"/>
          <w:szCs w:val="32"/>
          <w:lang w:val="en-US" w:eastAsia="zh-CN"/>
        </w:rPr>
        <w:t>立即</w:t>
      </w:r>
      <w:r>
        <w:rPr>
          <w:rFonts w:hint="eastAsia" w:ascii="仿宋_GB2312" w:hAnsi="仿宋_GB2312" w:eastAsia="仿宋_GB2312" w:cs="仿宋_GB2312"/>
          <w:sz w:val="32"/>
          <w:szCs w:val="32"/>
          <w:lang w:val="en-US" w:eastAsia="zh-CN"/>
        </w:rPr>
        <w:t>关闭了分料机配电箱内的断路器</w:t>
      </w:r>
      <w:r>
        <w:rPr>
          <w:rFonts w:hint="default"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lang w:val="en-US" w:eastAsia="zh-CN"/>
        </w:rPr>
        <w:t>然后</w:t>
      </w:r>
      <w:r>
        <w:rPr>
          <w:rFonts w:hint="default" w:ascii="仿宋_GB2312" w:hAnsi="仿宋_GB2312" w:eastAsia="仿宋_GB2312" w:cs="仿宋_GB2312"/>
          <w:sz w:val="32"/>
          <w:szCs w:val="32"/>
          <w:lang w:val="en-US" w:eastAsia="zh-CN"/>
        </w:rPr>
        <w:t>将翟子豪平放到了地面上，并通知班长耿广力。耿广力赶到现场后向负责人耿治升拨打电话告知了此事，耿治升</w:t>
      </w:r>
      <w:r>
        <w:rPr>
          <w:rFonts w:hint="eastAsia" w:ascii="仿宋_GB2312" w:hAnsi="仿宋_GB2312" w:eastAsia="仿宋_GB2312" w:cs="仿宋_GB2312"/>
          <w:sz w:val="32"/>
          <w:szCs w:val="32"/>
          <w:lang w:val="en-US" w:eastAsia="zh-CN"/>
        </w:rPr>
        <w:t>赶到</w:t>
      </w:r>
      <w:r>
        <w:rPr>
          <w:rFonts w:hint="default" w:ascii="仿宋_GB2312" w:hAnsi="仿宋_GB2312" w:eastAsia="仿宋_GB2312" w:cs="仿宋_GB2312"/>
          <w:sz w:val="32"/>
          <w:szCs w:val="32"/>
          <w:lang w:val="en-US" w:eastAsia="zh-CN"/>
        </w:rPr>
        <w:t>现场后开车将翟子豪送往静海区医院，途中耿治升拨打了</w:t>
      </w:r>
      <w:r>
        <w:rPr>
          <w:rFonts w:hint="default" w:ascii="宋体" w:hAnsi="宋体" w:eastAsia="宋体" w:cs="宋体"/>
          <w:sz w:val="32"/>
          <w:szCs w:val="32"/>
          <w:lang w:val="en-US" w:eastAsia="zh-CN"/>
        </w:rPr>
        <w:t>120</w:t>
      </w:r>
      <w:r>
        <w:rPr>
          <w:rFonts w:hint="default" w:ascii="仿宋_GB2312" w:hAnsi="仿宋_GB2312" w:eastAsia="仿宋_GB2312" w:cs="仿宋_GB2312"/>
          <w:sz w:val="32"/>
          <w:szCs w:val="32"/>
          <w:lang w:val="en-US" w:eastAsia="zh-CN"/>
        </w:rPr>
        <w:t>急救电话，</w:t>
      </w:r>
      <w:r>
        <w:rPr>
          <w:rFonts w:hint="eastAsia" w:ascii="仿宋_GB2312" w:hAnsi="仿宋_GB2312" w:eastAsia="仿宋_GB2312" w:cs="仿宋_GB2312"/>
          <w:sz w:val="32"/>
          <w:szCs w:val="32"/>
          <w:lang w:val="en-US" w:eastAsia="zh-CN"/>
        </w:rPr>
        <w:t>并在</w:t>
      </w:r>
      <w:r>
        <w:rPr>
          <w:rFonts w:hint="default" w:ascii="仿宋_GB2312" w:hAnsi="仿宋_GB2312" w:eastAsia="仿宋_GB2312" w:cs="仿宋_GB2312"/>
          <w:sz w:val="32"/>
          <w:szCs w:val="32"/>
          <w:lang w:val="en-US" w:eastAsia="zh-CN"/>
        </w:rPr>
        <w:t>中途与</w:t>
      </w:r>
      <w:r>
        <w:rPr>
          <w:rFonts w:hint="default" w:ascii="宋体" w:hAnsi="宋体" w:eastAsia="宋体" w:cs="宋体"/>
          <w:sz w:val="32"/>
          <w:szCs w:val="32"/>
          <w:lang w:val="en-US" w:eastAsia="zh-CN"/>
        </w:rPr>
        <w:t>120</w:t>
      </w:r>
      <w:r>
        <w:rPr>
          <w:rFonts w:hint="default" w:ascii="仿宋_GB2312" w:hAnsi="仿宋_GB2312" w:eastAsia="仿宋_GB2312" w:cs="仿宋_GB2312"/>
          <w:sz w:val="32"/>
          <w:szCs w:val="32"/>
          <w:lang w:val="en-US" w:eastAsia="zh-CN"/>
        </w:rPr>
        <w:t>急救车汇合，</w:t>
      </w:r>
      <w:r>
        <w:rPr>
          <w:rFonts w:hint="eastAsia" w:ascii="仿宋_GB2312" w:hAnsi="仿宋_GB2312" w:eastAsia="仿宋_GB2312" w:cs="仿宋_GB2312"/>
          <w:sz w:val="32"/>
          <w:szCs w:val="32"/>
          <w:lang w:val="en-US" w:eastAsia="zh-CN"/>
        </w:rPr>
        <w:t>随后</w:t>
      </w:r>
      <w:r>
        <w:rPr>
          <w:rFonts w:hint="default" w:ascii="仿宋_GB2312" w:hAnsi="仿宋_GB2312" w:eastAsia="仿宋_GB2312" w:cs="仿宋_GB2312"/>
          <w:sz w:val="32"/>
          <w:szCs w:val="32"/>
          <w:lang w:val="en-US" w:eastAsia="zh-CN"/>
        </w:rPr>
        <w:t>翟子豪被</w:t>
      </w:r>
      <w:r>
        <w:rPr>
          <w:rFonts w:hint="default" w:ascii="宋体" w:hAnsi="宋体" w:eastAsia="宋体" w:cs="宋体"/>
          <w:sz w:val="32"/>
          <w:szCs w:val="32"/>
          <w:lang w:val="en-US" w:eastAsia="zh-CN"/>
        </w:rPr>
        <w:t>120</w:t>
      </w:r>
      <w:r>
        <w:rPr>
          <w:rFonts w:hint="default" w:ascii="仿宋_GB2312" w:hAnsi="仿宋_GB2312" w:eastAsia="仿宋_GB2312" w:cs="仿宋_GB2312"/>
          <w:sz w:val="32"/>
          <w:szCs w:val="32"/>
          <w:lang w:val="en-US" w:eastAsia="zh-CN"/>
        </w:rPr>
        <w:t>急救车送往静海区医院救治，经抢救无效死亡。</w:t>
      </w:r>
    </w:p>
    <w:p w14:paraId="2E1266AA">
      <w:pPr>
        <w:pStyle w:val="3"/>
        <w:bidi w:val="0"/>
      </w:pPr>
      <w:bookmarkStart w:id="38" w:name="_Toc15406"/>
      <w:bookmarkStart w:id="39" w:name="_Toc31080"/>
      <w:bookmarkStart w:id="40" w:name="_Toc16310"/>
      <w:r>
        <w:rPr>
          <w:rFonts w:hint="eastAsia"/>
        </w:rPr>
        <w:t>（</w:t>
      </w:r>
      <w:r>
        <w:rPr>
          <w:rFonts w:hint="eastAsia"/>
          <w:lang w:eastAsia="zh-CN"/>
        </w:rPr>
        <w:t>二</w:t>
      </w:r>
      <w:r>
        <w:rPr>
          <w:rFonts w:hint="eastAsia"/>
        </w:rPr>
        <w:t>）事故应急</w:t>
      </w:r>
      <w:r>
        <w:t>处置情况</w:t>
      </w:r>
      <w:bookmarkEnd w:id="38"/>
      <w:bookmarkEnd w:id="39"/>
      <w:bookmarkEnd w:id="40"/>
    </w:p>
    <w:p w14:paraId="5DCD7A3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eastAsia="仿宋_GB2312"/>
          <w:sz w:val="32"/>
          <w:szCs w:val="32"/>
        </w:rPr>
      </w:pPr>
      <w:r>
        <w:rPr>
          <w:rFonts w:hint="eastAsia" w:ascii="仿宋_GB2312" w:eastAsia="仿宋_GB2312"/>
          <w:sz w:val="32"/>
          <w:szCs w:val="32"/>
          <w:lang w:eastAsia="zh-CN"/>
        </w:rPr>
        <w:t>事故发生后，现场人员及时将事故情况上报制钉二车间负责人，积极开展救援，将伤者送到医院救治。区应急管理局、公安静海分局、大邱庄镇人民政府等部门有关领导第一时间赶赴现场开展事故应急处置工作。该起事故</w:t>
      </w:r>
      <w:r>
        <w:rPr>
          <w:rFonts w:hint="eastAsia" w:ascii="仿宋_GB2312" w:eastAsia="仿宋_GB2312"/>
          <w:sz w:val="32"/>
          <w:szCs w:val="32"/>
          <w:lang w:val="en-US" w:eastAsia="zh-CN"/>
        </w:rPr>
        <w:t>处置得当</w:t>
      </w:r>
      <w:r>
        <w:rPr>
          <w:rFonts w:hint="eastAsia" w:ascii="仿宋_GB2312" w:eastAsia="仿宋_GB2312"/>
          <w:sz w:val="32"/>
          <w:szCs w:val="32"/>
          <w:lang w:eastAsia="zh-CN"/>
        </w:rPr>
        <w:t>，未造成事故扩大、次生灾害和网络舆情</w:t>
      </w:r>
      <w:r>
        <w:rPr>
          <w:rFonts w:hint="eastAsia" w:ascii="仿宋_GB2312" w:eastAsia="仿宋_GB2312"/>
          <w:sz w:val="32"/>
          <w:szCs w:val="32"/>
          <w:lang w:val="en-US" w:eastAsia="zh-CN"/>
        </w:rPr>
        <w:t>等</w:t>
      </w:r>
      <w:r>
        <w:rPr>
          <w:rFonts w:hint="eastAsia" w:ascii="仿宋_GB2312" w:eastAsia="仿宋_GB2312"/>
          <w:sz w:val="32"/>
          <w:szCs w:val="32"/>
          <w:lang w:eastAsia="zh-CN"/>
        </w:rPr>
        <w:t>。</w:t>
      </w:r>
    </w:p>
    <w:p w14:paraId="15DF7468">
      <w:pPr>
        <w:pStyle w:val="2"/>
        <w:bidi w:val="0"/>
      </w:pPr>
      <w:bookmarkStart w:id="41" w:name="_Toc30563"/>
      <w:bookmarkStart w:id="42" w:name="_Toc17736"/>
      <w:bookmarkStart w:id="43" w:name="_Toc4571"/>
      <w:r>
        <w:rPr>
          <w:rFonts w:hint="eastAsia"/>
        </w:rPr>
        <w:t>三、事故伤亡情况及直接经济损失</w:t>
      </w:r>
      <w:bookmarkEnd w:id="41"/>
      <w:bookmarkEnd w:id="42"/>
      <w:bookmarkEnd w:id="43"/>
    </w:p>
    <w:p w14:paraId="414D7B00">
      <w:pPr>
        <w:pStyle w:val="3"/>
        <w:bidi w:val="0"/>
      </w:pPr>
      <w:bookmarkStart w:id="44" w:name="_Toc10240"/>
      <w:bookmarkStart w:id="45" w:name="_Toc28819"/>
      <w:bookmarkStart w:id="46" w:name="_Toc27813"/>
      <w:r>
        <w:rPr>
          <w:rFonts w:hint="eastAsia"/>
        </w:rPr>
        <w:t>（一）死亡人员情况</w:t>
      </w:r>
      <w:bookmarkEnd w:id="44"/>
      <w:bookmarkEnd w:id="45"/>
      <w:bookmarkEnd w:id="46"/>
    </w:p>
    <w:p w14:paraId="55C91342">
      <w:pPr>
        <w:pStyle w:val="4"/>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仿宋_GB2312" w:eastAsia="仿宋_GB2312"/>
          <w:sz w:val="32"/>
          <w:szCs w:val="32"/>
          <w:lang w:val="en-US"/>
        </w:rPr>
      </w:pPr>
      <w:r>
        <w:rPr>
          <w:rFonts w:hint="default" w:ascii="仿宋_GB2312" w:hAnsi="仿宋_GB2312" w:eastAsia="仿宋_GB2312" w:cs="仿宋_GB2312"/>
          <w:sz w:val="32"/>
          <w:szCs w:val="32"/>
          <w:lang w:val="en-US" w:eastAsia="zh-CN"/>
        </w:rPr>
        <w:t>翟子豪</w:t>
      </w:r>
      <w:r>
        <w:rPr>
          <w:rFonts w:hint="eastAsia" w:ascii="仿宋_GB2312" w:hAnsi="Calibri" w:eastAsia="仿宋_GB2312" w:cs="Times New Roman"/>
          <w:kern w:val="2"/>
          <w:sz w:val="32"/>
          <w:szCs w:val="32"/>
          <w:lang w:val="en-US" w:eastAsia="zh-CN" w:bidi="ar-SA"/>
        </w:rPr>
        <w:t>，男</w:t>
      </w:r>
      <w:r>
        <w:rPr>
          <w:rFonts w:hint="eastAsia" w:ascii="宋体" w:hAnsi="宋体" w:eastAsia="宋体" w:cs="宋体"/>
          <w:kern w:val="2"/>
          <w:sz w:val="32"/>
          <w:szCs w:val="32"/>
          <w:lang w:val="en-US" w:eastAsia="zh-CN" w:bidi="ar-SA"/>
        </w:rPr>
        <w:t>，15</w:t>
      </w:r>
      <w:r>
        <w:rPr>
          <w:rFonts w:hint="eastAsia" w:ascii="仿宋_GB2312" w:hAnsi="Calibri" w:eastAsia="仿宋_GB2312" w:cs="Times New Roman"/>
          <w:kern w:val="2"/>
          <w:sz w:val="32"/>
          <w:szCs w:val="32"/>
          <w:lang w:val="en-US" w:eastAsia="zh-CN" w:bidi="ar-SA"/>
        </w:rPr>
        <w:t>岁，</w:t>
      </w:r>
      <w:r>
        <w:rPr>
          <w:rFonts w:hint="eastAsia" w:ascii="仿宋_GB2312" w:eastAsia="仿宋_GB2312" w:cs="Times New Roman"/>
          <w:color w:val="auto"/>
          <w:kern w:val="2"/>
          <w:sz w:val="32"/>
          <w:szCs w:val="32"/>
          <w:highlight w:val="none"/>
          <w:lang w:val="en-US" w:eastAsia="zh-CN" w:bidi="ar-SA"/>
        </w:rPr>
        <w:t>河南省开封市兰考县</w:t>
      </w:r>
      <w:r>
        <w:rPr>
          <w:rFonts w:hint="eastAsia" w:ascii="仿宋_GB2312" w:hAnsi="Calibri" w:eastAsia="仿宋_GB2312" w:cs="Times New Roman"/>
          <w:color w:val="auto"/>
          <w:kern w:val="2"/>
          <w:sz w:val="32"/>
          <w:szCs w:val="32"/>
          <w:highlight w:val="none"/>
          <w:lang w:val="en-US" w:eastAsia="zh-CN" w:bidi="ar-SA"/>
        </w:rPr>
        <w:t>人</w:t>
      </w:r>
      <w:r>
        <w:rPr>
          <w:rFonts w:hint="eastAsia" w:ascii="仿宋_GB2312" w:eastAsia="仿宋_GB2312" w:cs="Times New Roman"/>
          <w:kern w:val="2"/>
          <w:sz w:val="32"/>
          <w:szCs w:val="32"/>
          <w:lang w:val="en-US" w:eastAsia="zh-CN" w:bidi="ar-SA"/>
        </w:rPr>
        <w:t>，为</w:t>
      </w:r>
      <w:r>
        <w:rPr>
          <w:rFonts w:hint="eastAsia" w:ascii="仿宋_GB2312" w:hAnsi="仿宋_GB2312" w:eastAsia="仿宋_GB2312" w:cs="仿宋_GB2312"/>
          <w:sz w:val="32"/>
          <w:szCs w:val="32"/>
          <w:lang w:val="en-US" w:eastAsia="zh-CN"/>
        </w:rPr>
        <w:t>耿治升雇佣，负责拾捡打帽机生产出来的不良品金属钉并使用分料机将不良品金属钉进行筛分。依据天津市公安局静海分局物证鉴定所出具的《法医学尸体检验鉴定书》（津公静技鉴字[</w:t>
      </w:r>
      <w:r>
        <w:rPr>
          <w:rFonts w:hint="eastAsia" w:ascii="宋体" w:hAnsi="宋体" w:eastAsia="宋体" w:cs="宋体"/>
          <w:kern w:val="2"/>
          <w:sz w:val="32"/>
          <w:szCs w:val="32"/>
          <w:lang w:val="en-US" w:eastAsia="zh-CN" w:bidi="ar-SA"/>
        </w:rPr>
        <w:t>2023</w:t>
      </w:r>
      <w:r>
        <w:rPr>
          <w:rFonts w:hint="eastAsia" w:ascii="仿宋_GB2312" w:hAnsi="仿宋_GB2312" w:eastAsia="仿宋_GB2312" w:cs="仿宋_GB2312"/>
          <w:sz w:val="32"/>
          <w:szCs w:val="32"/>
          <w:lang w:val="en-US" w:eastAsia="zh-CN"/>
        </w:rPr>
        <w:t>]</w:t>
      </w:r>
      <w:r>
        <w:rPr>
          <w:rFonts w:hint="eastAsia" w:ascii="宋体" w:hAnsi="宋体" w:eastAsia="宋体" w:cs="宋体"/>
          <w:kern w:val="2"/>
          <w:sz w:val="32"/>
          <w:szCs w:val="32"/>
          <w:lang w:val="en-US" w:eastAsia="zh-CN" w:bidi="ar-SA"/>
        </w:rPr>
        <w:t>79</w:t>
      </w:r>
      <w:r>
        <w:rPr>
          <w:rFonts w:hint="eastAsia" w:ascii="仿宋_GB2312" w:hAnsi="仿宋_GB2312" w:eastAsia="仿宋_GB2312" w:cs="仿宋_GB2312"/>
          <w:sz w:val="32"/>
          <w:szCs w:val="32"/>
          <w:lang w:val="en-US" w:eastAsia="zh-CN"/>
        </w:rPr>
        <w:t>号），翟子豪符合电击死亡。</w:t>
      </w:r>
    </w:p>
    <w:p w14:paraId="223E60A6">
      <w:pPr>
        <w:pStyle w:val="3"/>
        <w:bidi w:val="0"/>
      </w:pPr>
      <w:bookmarkStart w:id="47" w:name="_Toc25641"/>
      <w:bookmarkStart w:id="48" w:name="_Toc5860"/>
      <w:bookmarkStart w:id="49" w:name="_Toc8640"/>
      <w:r>
        <w:rPr>
          <w:rFonts w:hint="eastAsia"/>
        </w:rPr>
        <w:t>（二）事故直接经济损失</w:t>
      </w:r>
      <w:bookmarkEnd w:id="47"/>
      <w:bookmarkEnd w:id="48"/>
      <w:bookmarkEnd w:id="49"/>
    </w:p>
    <w:p w14:paraId="41A57FF3">
      <w:pPr>
        <w:pStyle w:val="4"/>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ascii="仿宋_GB2312" w:eastAsia="仿宋_GB2312"/>
          <w:sz w:val="32"/>
          <w:szCs w:val="32"/>
        </w:rPr>
      </w:pPr>
      <w:r>
        <w:rPr>
          <w:rFonts w:hint="eastAsia" w:ascii="仿宋_GB2312" w:eastAsia="仿宋_GB2312"/>
          <w:sz w:val="32"/>
          <w:szCs w:val="32"/>
        </w:rPr>
        <w:t>事故造成的直接经济损失约为</w:t>
      </w:r>
      <w:r>
        <w:rPr>
          <w:rFonts w:hint="eastAsia" w:ascii="宋体" w:hAnsi="宋体" w:eastAsia="宋体" w:cs="宋体"/>
          <w:kern w:val="2"/>
          <w:sz w:val="32"/>
          <w:szCs w:val="32"/>
          <w:lang w:val="en-US" w:eastAsia="zh-CN" w:bidi="ar-SA"/>
        </w:rPr>
        <w:t>137</w:t>
      </w:r>
      <w:r>
        <w:rPr>
          <w:rFonts w:hint="eastAsia" w:ascii="仿宋_GB2312" w:eastAsia="仿宋_GB2312"/>
          <w:sz w:val="32"/>
          <w:szCs w:val="32"/>
        </w:rPr>
        <w:t>万元人民币（不含事故罚款）。</w:t>
      </w:r>
    </w:p>
    <w:p w14:paraId="24E80E28">
      <w:pPr>
        <w:pStyle w:val="2"/>
        <w:bidi w:val="0"/>
      </w:pPr>
      <w:bookmarkStart w:id="50" w:name="_Toc12283"/>
      <w:bookmarkStart w:id="51" w:name="_Toc22198"/>
      <w:bookmarkStart w:id="52" w:name="_Toc21489"/>
      <w:r>
        <w:rPr>
          <w:rFonts w:hint="eastAsia"/>
        </w:rPr>
        <w:t>四、事故原因和</w:t>
      </w:r>
      <w:r>
        <w:t>性质</w:t>
      </w:r>
      <w:bookmarkEnd w:id="50"/>
      <w:bookmarkEnd w:id="51"/>
      <w:bookmarkEnd w:id="52"/>
    </w:p>
    <w:p w14:paraId="51AD6033">
      <w:pPr>
        <w:pStyle w:val="4"/>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仿宋_GB2312" w:eastAsia="仿宋_GB2312"/>
          <w:sz w:val="32"/>
          <w:szCs w:val="32"/>
        </w:rPr>
      </w:pPr>
      <w:r>
        <w:rPr>
          <w:rFonts w:hint="eastAsia" w:ascii="仿宋_GB2312" w:eastAsia="仿宋_GB2312"/>
          <w:sz w:val="32"/>
          <w:szCs w:val="32"/>
        </w:rPr>
        <w:t>事故调查组对</w:t>
      </w:r>
      <w:r>
        <w:rPr>
          <w:rFonts w:hint="eastAsia" w:ascii="仿宋_GB2312" w:hAnsi="仿宋_GB2312" w:eastAsia="仿宋_GB2312" w:cs="仿宋_GB2312"/>
          <w:sz w:val="32"/>
          <w:szCs w:val="32"/>
          <w:lang w:val="en-US" w:eastAsia="zh-CN"/>
        </w:rPr>
        <w:t>静海区大邱庄镇德财恒鑫金属制品厂“</w:t>
      </w:r>
      <w:r>
        <w:rPr>
          <w:rFonts w:hint="eastAsia" w:ascii="宋体" w:hAnsi="宋体" w:eastAsia="宋体" w:cs="宋体"/>
          <w:sz w:val="32"/>
          <w:szCs w:val="32"/>
          <w:lang w:val="en-US" w:eastAsia="zh-CN"/>
        </w:rPr>
        <w:t>7</w:t>
      </w:r>
      <w:r>
        <w:rPr>
          <w:rFonts w:hint="eastAsia" w:ascii="仿宋_GB2312" w:eastAsia="仿宋_GB2312"/>
          <w:sz w:val="32"/>
          <w:szCs w:val="32"/>
          <w:lang w:val="en-US" w:eastAsia="zh-CN"/>
        </w:rPr>
        <w:t>·</w:t>
      </w:r>
      <w:r>
        <w:rPr>
          <w:rFonts w:hint="eastAsia" w:ascii="宋体" w:hAnsi="宋体" w:eastAsia="宋体" w:cs="宋体"/>
          <w:sz w:val="32"/>
          <w:szCs w:val="32"/>
          <w:lang w:val="en-US" w:eastAsia="zh-CN"/>
        </w:rPr>
        <w:t>25</w:t>
      </w:r>
      <w:r>
        <w:rPr>
          <w:rFonts w:hint="eastAsia" w:ascii="仿宋_GB2312" w:hAnsi="仿宋_GB2312" w:eastAsia="仿宋_GB2312" w:cs="仿宋_GB2312"/>
          <w:sz w:val="32"/>
          <w:szCs w:val="32"/>
          <w:lang w:val="en-US" w:eastAsia="zh-CN"/>
        </w:rPr>
        <w:t>”一般触电事故</w:t>
      </w:r>
      <w:r>
        <w:rPr>
          <w:rFonts w:hint="eastAsia" w:ascii="仿宋_GB2312" w:eastAsia="仿宋_GB2312"/>
          <w:sz w:val="32"/>
          <w:szCs w:val="32"/>
        </w:rPr>
        <w:t>进行了全面调查，通过查阅资料、调查取证、现场勘查、综合分析，认定</w:t>
      </w:r>
      <w:r>
        <w:rPr>
          <w:rFonts w:hint="eastAsia" w:ascii="仿宋_GB2312" w:eastAsia="仿宋_GB2312"/>
          <w:sz w:val="32"/>
          <w:szCs w:val="32"/>
          <w:lang w:eastAsia="zh-CN"/>
        </w:rPr>
        <w:t>了</w:t>
      </w:r>
      <w:r>
        <w:rPr>
          <w:rFonts w:hint="eastAsia" w:ascii="仿宋_GB2312" w:eastAsia="仿宋_GB2312"/>
          <w:sz w:val="32"/>
          <w:szCs w:val="32"/>
        </w:rPr>
        <w:t>该</w:t>
      </w:r>
      <w:r>
        <w:rPr>
          <w:rFonts w:hint="eastAsia" w:ascii="仿宋_GB2312" w:eastAsia="仿宋_GB2312"/>
          <w:sz w:val="32"/>
          <w:szCs w:val="32"/>
          <w:lang w:eastAsia="zh-CN"/>
        </w:rPr>
        <w:t>起</w:t>
      </w:r>
      <w:r>
        <w:rPr>
          <w:rFonts w:hint="eastAsia" w:ascii="仿宋_GB2312" w:eastAsia="仿宋_GB2312"/>
          <w:sz w:val="32"/>
          <w:szCs w:val="32"/>
        </w:rPr>
        <w:t>事故发生的原因。</w:t>
      </w:r>
    </w:p>
    <w:p w14:paraId="19BA04DB">
      <w:pPr>
        <w:pStyle w:val="3"/>
        <w:bidi w:val="0"/>
      </w:pPr>
      <w:bookmarkStart w:id="53" w:name="_Toc12102"/>
      <w:bookmarkStart w:id="54" w:name="_Toc20576"/>
      <w:bookmarkStart w:id="55" w:name="_Toc11532"/>
      <w:r>
        <w:rPr>
          <w:rFonts w:hint="eastAsia"/>
        </w:rPr>
        <w:t>（一）事故</w:t>
      </w:r>
      <w:r>
        <w:t>直接原因</w:t>
      </w:r>
      <w:bookmarkEnd w:id="53"/>
      <w:bookmarkEnd w:id="54"/>
      <w:bookmarkEnd w:id="55"/>
    </w:p>
    <w:p w14:paraId="5ABABAB9">
      <w:pPr>
        <w:pStyle w:val="4"/>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仿宋_GB2312" w:eastAsia="仿宋_GB2312"/>
          <w:sz w:val="32"/>
          <w:szCs w:val="32"/>
        </w:rPr>
      </w:pPr>
      <w:bookmarkStart w:id="56" w:name="_Toc947"/>
      <w:bookmarkStart w:id="57" w:name="_Toc7715"/>
      <w:r>
        <w:rPr>
          <w:rFonts w:hint="default" w:ascii="仿宋_GB2312" w:eastAsia="仿宋_GB2312"/>
          <w:sz w:val="32"/>
          <w:szCs w:val="32"/>
        </w:rPr>
        <w:t>翟子豪在分料作业过程中触碰到分料机滚轴接线端子的裸露带电部位，而分料机配电系统</w:t>
      </w:r>
      <w:r>
        <w:rPr>
          <w:rFonts w:hint="eastAsia" w:ascii="仿宋_GB2312" w:eastAsia="仿宋_GB2312"/>
          <w:sz w:val="32"/>
          <w:szCs w:val="32"/>
          <w:lang w:val="en-US" w:eastAsia="zh-CN"/>
        </w:rPr>
        <w:t>未设置剩余电流动作保护装置</w:t>
      </w:r>
      <w:r>
        <w:rPr>
          <w:rFonts w:hint="default" w:ascii="仿宋_GB2312" w:eastAsia="仿宋_GB2312"/>
          <w:sz w:val="32"/>
          <w:szCs w:val="32"/>
        </w:rPr>
        <w:t>，</w:t>
      </w:r>
      <w:r>
        <w:rPr>
          <w:rFonts w:hint="eastAsia" w:ascii="仿宋_GB2312" w:eastAsia="仿宋_GB2312"/>
          <w:sz w:val="32"/>
          <w:szCs w:val="32"/>
          <w:lang w:eastAsia="zh-CN"/>
        </w:rPr>
        <w:t>从</w:t>
      </w:r>
      <w:r>
        <w:rPr>
          <w:rFonts w:hint="default" w:ascii="仿宋_GB2312" w:eastAsia="仿宋_GB2312"/>
          <w:sz w:val="32"/>
          <w:szCs w:val="32"/>
        </w:rPr>
        <w:t>而造成了触电事故</w:t>
      </w:r>
      <w:r>
        <w:rPr>
          <w:rFonts w:hint="eastAsia" w:ascii="仿宋_GB2312" w:eastAsia="仿宋_GB2312"/>
          <w:sz w:val="32"/>
          <w:szCs w:val="32"/>
          <w:lang w:val="en-US" w:eastAsia="zh-CN"/>
        </w:rPr>
        <w:t>致其死亡</w:t>
      </w:r>
      <w:r>
        <w:rPr>
          <w:rFonts w:hint="default" w:ascii="仿宋_GB2312" w:eastAsia="仿宋_GB2312"/>
          <w:sz w:val="32"/>
          <w:szCs w:val="32"/>
        </w:rPr>
        <w:t>。</w:t>
      </w:r>
    </w:p>
    <w:p w14:paraId="130975A6">
      <w:pPr>
        <w:pStyle w:val="3"/>
        <w:bidi w:val="0"/>
      </w:pPr>
      <w:bookmarkStart w:id="58" w:name="_Toc26129"/>
      <w:r>
        <w:rPr>
          <w:rFonts w:hint="eastAsia"/>
        </w:rPr>
        <w:t>（二）事故</w:t>
      </w:r>
      <w:r>
        <w:t>间接原因</w:t>
      </w:r>
      <w:bookmarkEnd w:id="56"/>
      <w:bookmarkEnd w:id="57"/>
      <w:bookmarkEnd w:id="58"/>
    </w:p>
    <w:p w14:paraId="23BFE154">
      <w:pPr>
        <w:pStyle w:val="4"/>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仿宋_GB2312" w:eastAsia="仿宋_GB2312" w:cs="仿宋_GB2312"/>
          <w:sz w:val="32"/>
          <w:szCs w:val="32"/>
          <w:lang w:val="en-US" w:eastAsia="zh-CN"/>
        </w:rPr>
      </w:pPr>
      <w:r>
        <w:rPr>
          <w:rFonts w:hint="eastAsia" w:ascii="宋体" w:hAnsi="宋体" w:eastAsia="宋体" w:cs="宋体"/>
          <w:sz w:val="32"/>
          <w:szCs w:val="32"/>
          <w:lang w:val="en-US" w:eastAsia="zh-CN"/>
        </w:rPr>
        <w:t>1</w:t>
      </w:r>
      <w:r>
        <w:rPr>
          <w:rFonts w:hint="eastAsia" w:ascii="仿宋_GB2312" w:eastAsia="仿宋_GB2312" w:cs="仿宋_GB2312"/>
          <w:sz w:val="32"/>
          <w:szCs w:val="32"/>
          <w:lang w:val="en-US" w:eastAsia="zh-CN"/>
        </w:rPr>
        <w:t>.</w:t>
      </w:r>
      <w:r>
        <w:rPr>
          <w:rFonts w:hint="eastAsia" w:ascii="仿宋_GB2312" w:hAnsi="仿宋_GB2312" w:eastAsia="仿宋_GB2312" w:cs="仿宋_GB2312"/>
          <w:sz w:val="32"/>
          <w:szCs w:val="32"/>
          <w:lang w:val="en-US" w:eastAsia="zh-CN"/>
        </w:rPr>
        <w:t>德财恒鑫金属制品厂</w:t>
      </w:r>
      <w:r>
        <w:rPr>
          <w:rFonts w:hint="eastAsia" w:ascii="Times New Roman" w:hAnsi="Times New Roman" w:eastAsia="仿宋_GB2312" w:cs="Times New Roman"/>
          <w:sz w:val="32"/>
          <w:szCs w:val="32"/>
          <w:lang w:val="en-US" w:eastAsia="zh-CN"/>
        </w:rPr>
        <w:t>违反了《中华人民共和国安全生产法》第四十九条第一款</w:t>
      </w:r>
      <w:r>
        <w:rPr>
          <w:rFonts w:hint="eastAsia" w:ascii="仿宋_GB2312" w:hAnsi="仿宋_GB2312" w:eastAsia="仿宋_GB2312" w:cs="仿宋_GB2312"/>
          <w:sz w:val="32"/>
          <w:szCs w:val="32"/>
          <w:vertAlign w:val="superscript"/>
          <w:lang w:val="en-US" w:eastAsia="zh-CN"/>
        </w:rPr>
        <w:t>[</w:t>
      </w:r>
      <w:r>
        <w:rPr>
          <w:rFonts w:hint="eastAsia" w:ascii="仿宋_GB2312" w:hAnsi="仿宋_GB2312" w:eastAsia="仿宋_GB2312" w:cs="仿宋_GB2312"/>
          <w:sz w:val="32"/>
          <w:szCs w:val="32"/>
          <w:vertAlign w:val="superscript"/>
          <w:lang w:val="en-US" w:eastAsia="zh-CN"/>
        </w:rPr>
        <w:footnoteReference w:id="0"/>
      </w:r>
      <w:r>
        <w:rPr>
          <w:rFonts w:hint="eastAsia" w:ascii="仿宋_GB2312" w:hAnsi="仿宋_GB2312" w:eastAsia="仿宋_GB2312" w:cs="仿宋_GB2312"/>
          <w:sz w:val="32"/>
          <w:szCs w:val="32"/>
          <w:vertAlign w:val="superscript"/>
          <w:lang w:val="en-US" w:eastAsia="zh-CN"/>
        </w:rPr>
        <w:t>]</w:t>
      </w:r>
      <w:r>
        <w:rPr>
          <w:rFonts w:hint="eastAsia" w:ascii="仿宋_GB2312" w:hAnsi="仿宋_GB2312" w:eastAsia="仿宋_GB2312" w:cs="仿宋_GB2312"/>
          <w:sz w:val="32"/>
          <w:szCs w:val="32"/>
          <w:lang w:val="en-US" w:eastAsia="zh-CN"/>
        </w:rPr>
        <w:t>的</w:t>
      </w:r>
      <w:r>
        <w:rPr>
          <w:rFonts w:hint="eastAsia" w:ascii="Times New Roman" w:hAnsi="Times New Roman" w:eastAsia="仿宋_GB2312" w:cs="Times New Roman"/>
          <w:sz w:val="32"/>
          <w:szCs w:val="32"/>
          <w:lang w:val="en-US" w:eastAsia="zh-CN"/>
        </w:rPr>
        <w:t>规定</w:t>
      </w:r>
      <w:r>
        <w:rPr>
          <w:rFonts w:hint="eastAsia" w:ascii="仿宋_GB2312" w:eastAsia="仿宋_GB2312" w:cs="仿宋_GB2312"/>
          <w:sz w:val="32"/>
          <w:szCs w:val="32"/>
          <w:lang w:val="en-US" w:eastAsia="zh-CN"/>
        </w:rPr>
        <w:t>，</w:t>
      </w:r>
      <w:r>
        <w:rPr>
          <w:rFonts w:hint="eastAsia" w:ascii="Times New Roman" w:hAnsi="Times New Roman" w:eastAsia="仿宋_GB2312" w:cs="Times New Roman"/>
          <w:sz w:val="32"/>
          <w:szCs w:val="32"/>
          <w:lang w:val="en-US" w:eastAsia="zh-CN"/>
        </w:rPr>
        <w:t>将生产经营场所出租给不具备相应资质的个人耿治升</w:t>
      </w:r>
      <w:r>
        <w:rPr>
          <w:rFonts w:hint="eastAsia" w:ascii="仿宋_GB2312" w:eastAsia="仿宋_GB2312" w:cs="仿宋_GB2312"/>
          <w:sz w:val="32"/>
          <w:szCs w:val="32"/>
          <w:lang w:val="en-US" w:eastAsia="zh-CN"/>
        </w:rPr>
        <w:t>。</w:t>
      </w:r>
    </w:p>
    <w:p w14:paraId="2E0598DC">
      <w:pPr>
        <w:pStyle w:val="4"/>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仿宋_GB2312" w:hAnsi="黑体" w:eastAsia="仿宋_GB2312" w:cs="黑体"/>
          <w:sz w:val="32"/>
          <w:szCs w:val="32"/>
          <w:lang w:val="en-US" w:eastAsia="zh-CN"/>
        </w:rPr>
      </w:pPr>
      <w:r>
        <w:rPr>
          <w:rFonts w:hint="eastAsia" w:ascii="宋体" w:hAnsi="宋体" w:eastAsia="宋体" w:cs="宋体"/>
          <w:sz w:val="32"/>
          <w:szCs w:val="32"/>
          <w:lang w:val="en-US" w:eastAsia="zh-CN"/>
        </w:rPr>
        <w:t>2.</w:t>
      </w:r>
      <w:r>
        <w:rPr>
          <w:rFonts w:hint="eastAsia" w:ascii="仿宋_GB2312" w:hAnsi="仿宋_GB2312" w:eastAsia="仿宋_GB2312" w:cs="仿宋_GB2312"/>
          <w:sz w:val="32"/>
          <w:szCs w:val="32"/>
          <w:lang w:val="en-US" w:eastAsia="zh-CN"/>
        </w:rPr>
        <w:t>德财恒鑫金属制品厂</w:t>
      </w:r>
      <w:r>
        <w:rPr>
          <w:rFonts w:hint="eastAsia" w:ascii="Times New Roman" w:hAnsi="Times New Roman" w:eastAsia="仿宋_GB2312" w:cs="Times New Roman"/>
          <w:sz w:val="32"/>
          <w:szCs w:val="32"/>
          <w:lang w:val="en-US" w:eastAsia="zh-CN"/>
        </w:rPr>
        <w:t>违反了《中华人民共和国安全生产法》第二十八条第一款</w:t>
      </w:r>
      <w:r>
        <w:rPr>
          <w:rFonts w:hint="eastAsia" w:ascii="仿宋_GB2312" w:hAnsi="仿宋_GB2312" w:eastAsia="仿宋_GB2312" w:cs="仿宋_GB2312"/>
          <w:sz w:val="32"/>
          <w:szCs w:val="32"/>
          <w:vertAlign w:val="superscript"/>
          <w:lang w:val="en-US" w:eastAsia="zh-CN"/>
        </w:rPr>
        <w:t>[</w:t>
      </w:r>
      <w:r>
        <w:rPr>
          <w:rFonts w:hint="eastAsia" w:ascii="仿宋_GB2312" w:hAnsi="仿宋_GB2312" w:eastAsia="仿宋_GB2312" w:cs="仿宋_GB2312"/>
          <w:sz w:val="32"/>
          <w:szCs w:val="32"/>
          <w:vertAlign w:val="superscript"/>
          <w:lang w:val="en-US" w:eastAsia="zh-CN"/>
        </w:rPr>
        <w:footnoteReference w:id="1"/>
      </w:r>
      <w:r>
        <w:rPr>
          <w:rFonts w:hint="eastAsia" w:ascii="仿宋_GB2312" w:hAnsi="仿宋_GB2312" w:eastAsia="仿宋_GB2312" w:cs="仿宋_GB2312"/>
          <w:sz w:val="32"/>
          <w:szCs w:val="32"/>
          <w:vertAlign w:val="superscript"/>
          <w:lang w:val="en-US" w:eastAsia="zh-CN"/>
        </w:rPr>
        <w:t>]</w:t>
      </w:r>
      <w:r>
        <w:rPr>
          <w:rFonts w:hint="eastAsia" w:ascii="Times New Roman" w:hAnsi="Times New Roman" w:eastAsia="仿宋_GB2312" w:cs="Times New Roman"/>
          <w:sz w:val="32"/>
          <w:szCs w:val="32"/>
          <w:lang w:val="en-US" w:eastAsia="zh-CN"/>
        </w:rPr>
        <w:t>的规</w:t>
      </w:r>
      <w:r>
        <w:rPr>
          <w:rFonts w:hint="eastAsia" w:ascii="仿宋_GB2312" w:hAnsi="仿宋_GB2312" w:eastAsia="仿宋_GB2312" w:cs="仿宋_GB2312"/>
          <w:sz w:val="32"/>
          <w:szCs w:val="32"/>
          <w:lang w:val="en-US" w:eastAsia="zh-CN"/>
        </w:rPr>
        <w:t>定，未对翟子豪进行安全生产教育和培训，未保证其具备必要的安全生产知识，也未对翟子豪进行风险教育和技能培训，未确保其掌握安全风险的基本情况、管控措施及应急处置措施。</w:t>
      </w:r>
    </w:p>
    <w:p w14:paraId="4D4EAC74">
      <w:pPr>
        <w:pStyle w:val="4"/>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仿宋_GB2312" w:hAnsi="黑体" w:eastAsia="仿宋_GB2312" w:cs="黑体"/>
          <w:sz w:val="32"/>
          <w:szCs w:val="32"/>
          <w:lang w:val="en-US" w:eastAsia="zh-CN"/>
        </w:rPr>
      </w:pPr>
      <w:r>
        <w:rPr>
          <w:rFonts w:hint="eastAsia" w:ascii="宋体" w:hAnsi="宋体" w:eastAsia="宋体" w:cs="宋体"/>
          <w:sz w:val="32"/>
          <w:szCs w:val="32"/>
          <w:lang w:val="en-US" w:eastAsia="zh-CN"/>
        </w:rPr>
        <w:t>3</w:t>
      </w:r>
      <w:r>
        <w:rPr>
          <w:rFonts w:hint="eastAsia" w:ascii="仿宋_GB2312" w:hAnsi="黑体" w:eastAsia="仿宋_GB2312" w:cs="黑体"/>
          <w:sz w:val="32"/>
          <w:szCs w:val="32"/>
          <w:lang w:val="en-US" w:eastAsia="zh-CN"/>
        </w:rPr>
        <w:t>.</w:t>
      </w:r>
      <w:r>
        <w:rPr>
          <w:rFonts w:hint="eastAsia" w:ascii="仿宋_GB2312" w:hAnsi="仿宋_GB2312" w:eastAsia="仿宋_GB2312" w:cs="仿宋_GB2312"/>
          <w:sz w:val="32"/>
          <w:szCs w:val="32"/>
          <w:lang w:val="en-US" w:eastAsia="zh-CN"/>
        </w:rPr>
        <w:t>德财恒鑫金属制品厂</w:t>
      </w:r>
      <w:r>
        <w:rPr>
          <w:rFonts w:hint="eastAsia" w:ascii="Times New Roman" w:hAnsi="Times New Roman" w:eastAsia="仿宋_GB2312" w:cs="Times New Roman"/>
          <w:sz w:val="32"/>
          <w:szCs w:val="32"/>
          <w:lang w:val="en-US" w:eastAsia="zh-CN"/>
        </w:rPr>
        <w:t>违反了《中华人民共和国安全生产法》第四十一条第二款</w:t>
      </w:r>
      <w:r>
        <w:rPr>
          <w:rFonts w:hint="eastAsia" w:ascii="仿宋_GB2312" w:hAnsi="仿宋_GB2312" w:eastAsia="仿宋_GB2312" w:cs="仿宋_GB2312"/>
          <w:sz w:val="32"/>
          <w:szCs w:val="32"/>
          <w:vertAlign w:val="superscript"/>
          <w:lang w:val="en-US" w:eastAsia="zh-CN"/>
        </w:rPr>
        <w:t>[</w:t>
      </w:r>
      <w:r>
        <w:rPr>
          <w:rFonts w:hint="eastAsia" w:ascii="仿宋_GB2312" w:hAnsi="仿宋_GB2312" w:eastAsia="仿宋_GB2312" w:cs="仿宋_GB2312"/>
          <w:sz w:val="32"/>
          <w:szCs w:val="32"/>
          <w:vertAlign w:val="superscript"/>
          <w:lang w:val="en-US" w:eastAsia="zh-CN"/>
        </w:rPr>
        <w:footnoteReference w:id="2"/>
      </w:r>
      <w:r>
        <w:rPr>
          <w:rFonts w:hint="eastAsia" w:ascii="仿宋_GB2312" w:hAnsi="仿宋_GB2312" w:eastAsia="仿宋_GB2312" w:cs="仿宋_GB2312"/>
          <w:sz w:val="32"/>
          <w:szCs w:val="32"/>
          <w:vertAlign w:val="superscript"/>
          <w:lang w:val="en-US" w:eastAsia="zh-CN"/>
        </w:rPr>
        <w:t>]</w:t>
      </w:r>
      <w:r>
        <w:rPr>
          <w:rFonts w:hint="eastAsia" w:ascii="仿宋_GB2312" w:hAnsi="仿宋_GB2312" w:eastAsia="仿宋_GB2312" w:cs="仿宋_GB2312"/>
          <w:sz w:val="32"/>
          <w:szCs w:val="32"/>
          <w:lang w:val="en-US" w:eastAsia="zh-CN"/>
        </w:rPr>
        <w:t>、</w:t>
      </w:r>
      <w:r>
        <w:rPr>
          <w:rFonts w:hint="eastAsia" w:ascii="Times New Roman" w:hAnsi="Times New Roman" w:eastAsia="仿宋_GB2312" w:cs="Times New Roman"/>
          <w:sz w:val="32"/>
          <w:szCs w:val="32"/>
          <w:lang w:val="en-US" w:eastAsia="zh-CN"/>
        </w:rPr>
        <w:t>第四十九条第二款</w:t>
      </w:r>
      <w:r>
        <w:rPr>
          <w:rFonts w:hint="eastAsia" w:ascii="仿宋_GB2312" w:hAnsi="仿宋_GB2312" w:eastAsia="仿宋_GB2312" w:cs="仿宋_GB2312"/>
          <w:sz w:val="32"/>
          <w:szCs w:val="32"/>
          <w:vertAlign w:val="superscript"/>
          <w:lang w:val="en-US" w:eastAsia="zh-CN"/>
        </w:rPr>
        <w:t>[</w:t>
      </w:r>
      <w:r>
        <w:rPr>
          <w:rFonts w:hint="eastAsia" w:ascii="仿宋_GB2312" w:hAnsi="仿宋_GB2312" w:eastAsia="仿宋_GB2312" w:cs="仿宋_GB2312"/>
          <w:sz w:val="32"/>
          <w:szCs w:val="32"/>
          <w:vertAlign w:val="superscript"/>
          <w:lang w:val="en-US" w:eastAsia="zh-CN"/>
        </w:rPr>
        <w:footnoteReference w:id="3"/>
      </w:r>
      <w:r>
        <w:rPr>
          <w:rFonts w:hint="eastAsia" w:ascii="仿宋_GB2312" w:hAnsi="仿宋_GB2312" w:eastAsia="仿宋_GB2312" w:cs="仿宋_GB2312"/>
          <w:sz w:val="32"/>
          <w:szCs w:val="32"/>
          <w:vertAlign w:val="superscript"/>
          <w:lang w:val="en-US" w:eastAsia="zh-CN"/>
        </w:rPr>
        <w:t>]</w:t>
      </w:r>
      <w:r>
        <w:rPr>
          <w:rFonts w:hint="eastAsia" w:ascii="Times New Roman" w:hAnsi="Times New Roman" w:eastAsia="仿宋_GB2312" w:cs="Times New Roman"/>
          <w:sz w:val="32"/>
          <w:szCs w:val="32"/>
          <w:lang w:val="en-US" w:eastAsia="zh-CN"/>
        </w:rPr>
        <w:t>的规</w:t>
      </w:r>
      <w:r>
        <w:rPr>
          <w:rFonts w:hint="eastAsia" w:ascii="仿宋_GB2312" w:hAnsi="仿宋_GB2312" w:eastAsia="仿宋_GB2312" w:cs="仿宋_GB2312"/>
          <w:sz w:val="32"/>
          <w:szCs w:val="32"/>
          <w:lang w:val="en-US" w:eastAsia="zh-CN"/>
        </w:rPr>
        <w:t>定，未建立生产安全事故隐患排查治理制度，</w:t>
      </w:r>
      <w:r>
        <w:rPr>
          <w:rFonts w:hint="eastAsia" w:ascii="仿宋_GB2312" w:eastAsia="仿宋_GB2312" w:cs="仿宋_GB2312"/>
          <w:sz w:val="32"/>
          <w:szCs w:val="32"/>
          <w:lang w:val="en-US" w:eastAsia="zh-CN"/>
        </w:rPr>
        <w:t>未对制钉二车间定期开展安全检查，未能及时发现并消除分料机工作区域存在的事故隐患。</w:t>
      </w:r>
    </w:p>
    <w:p w14:paraId="116DDF82">
      <w:pPr>
        <w:pStyle w:val="4"/>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Times New Roman" w:hAnsi="Times New Roman" w:eastAsia="仿宋_GB2312" w:cs="Times New Roman"/>
          <w:sz w:val="32"/>
          <w:szCs w:val="32"/>
          <w:lang w:val="en-US" w:eastAsia="zh-CN"/>
        </w:rPr>
      </w:pPr>
      <w:r>
        <w:rPr>
          <w:rFonts w:hint="eastAsia" w:ascii="宋体" w:hAnsi="宋体" w:eastAsia="宋体" w:cs="宋体"/>
          <w:sz w:val="32"/>
          <w:szCs w:val="32"/>
          <w:lang w:val="en-US" w:eastAsia="zh-CN"/>
        </w:rPr>
        <w:t>4.</w:t>
      </w:r>
      <w:r>
        <w:rPr>
          <w:rFonts w:hint="eastAsia" w:ascii="仿宋_GB2312" w:hAnsi="黑体" w:eastAsia="仿宋_GB2312" w:cs="黑体"/>
          <w:sz w:val="32"/>
          <w:szCs w:val="32"/>
          <w:lang w:val="en-US" w:eastAsia="zh-CN"/>
        </w:rPr>
        <w:t>耿治升</w:t>
      </w:r>
      <w:r>
        <w:rPr>
          <w:rFonts w:hint="eastAsia" w:ascii="仿宋_GB2312" w:hAnsi="仿宋_GB2312" w:eastAsia="仿宋_GB2312" w:cs="仿宋_GB2312"/>
          <w:sz w:val="32"/>
          <w:szCs w:val="32"/>
          <w:lang w:val="en-US" w:eastAsia="zh-CN"/>
        </w:rPr>
        <w:t>作为</w:t>
      </w:r>
      <w:r>
        <w:rPr>
          <w:rFonts w:hint="eastAsia" w:ascii="仿宋_GB2312" w:hAnsi="黑体" w:eastAsia="仿宋_GB2312" w:cs="黑体"/>
          <w:sz w:val="32"/>
          <w:szCs w:val="32"/>
          <w:lang w:val="en-US" w:eastAsia="zh-CN"/>
        </w:rPr>
        <w:t>本次触电事故中</w:t>
      </w:r>
      <w:r>
        <w:rPr>
          <w:rFonts w:hint="eastAsia" w:ascii="仿宋_GB2312" w:hAnsi="仿宋_GB2312" w:eastAsia="仿宋_GB2312" w:cs="仿宋_GB2312"/>
          <w:sz w:val="32"/>
          <w:szCs w:val="32"/>
          <w:lang w:val="en-US" w:eastAsia="zh-CN"/>
        </w:rPr>
        <w:t>生产经营活动的负责人</w:t>
      </w:r>
      <w:r>
        <w:rPr>
          <w:rFonts w:hint="eastAsia" w:ascii="Times New Roman" w:hAnsi="Times New Roman" w:eastAsia="仿宋_GB2312" w:cs="Times New Roman"/>
          <w:sz w:val="32"/>
          <w:szCs w:val="32"/>
          <w:lang w:val="en-US" w:eastAsia="zh-CN"/>
        </w:rPr>
        <w:t>，对于</w:t>
      </w:r>
      <w:r>
        <w:rPr>
          <w:rFonts w:hint="eastAsia" w:ascii="仿宋_GB2312" w:eastAsia="仿宋_GB2312" w:cs="仿宋_GB2312"/>
          <w:sz w:val="32"/>
          <w:szCs w:val="32"/>
          <w:lang w:val="en-US" w:eastAsia="zh-CN"/>
        </w:rPr>
        <w:t>分料机</w:t>
      </w:r>
      <w:r>
        <w:rPr>
          <w:rFonts w:hint="default" w:ascii="仿宋_GB2312" w:eastAsia="仿宋_GB2312" w:cs="仿宋_GB2312"/>
          <w:sz w:val="32"/>
          <w:szCs w:val="32"/>
          <w:lang w:val="en-US" w:eastAsia="zh-CN"/>
        </w:rPr>
        <w:t>滚轴接线端子</w:t>
      </w:r>
      <w:r>
        <w:rPr>
          <w:rFonts w:hint="eastAsia" w:ascii="仿宋_GB2312" w:eastAsia="仿宋_GB2312" w:cs="仿宋_GB2312"/>
          <w:sz w:val="32"/>
          <w:szCs w:val="32"/>
          <w:lang w:val="en-US" w:eastAsia="zh-CN"/>
        </w:rPr>
        <w:t>带电部位裸露、分料机工作区域没有充分的活动余地和足够的退避空间</w:t>
      </w:r>
      <w:r>
        <w:rPr>
          <w:rStyle w:val="19"/>
          <w:rFonts w:hint="default" w:ascii="仿宋_GB2312" w:eastAsia="仿宋_GB2312" w:cs="仿宋_GB2312"/>
          <w:sz w:val="32"/>
          <w:szCs w:val="32"/>
          <w:lang w:val="en-US" w:eastAsia="zh-CN"/>
        </w:rPr>
        <w:t>[</w:t>
      </w:r>
      <w:r>
        <w:rPr>
          <w:rStyle w:val="19"/>
          <w:rFonts w:hint="default" w:ascii="仿宋_GB2312" w:eastAsia="仿宋_GB2312" w:cs="仿宋_GB2312"/>
          <w:sz w:val="32"/>
          <w:szCs w:val="32"/>
          <w:lang w:val="en-US" w:eastAsia="zh-CN"/>
        </w:rPr>
        <w:footnoteReference w:id="4"/>
      </w:r>
      <w:r>
        <w:rPr>
          <w:rStyle w:val="19"/>
          <w:rFonts w:hint="default" w:ascii="仿宋_GB2312" w:eastAsia="仿宋_GB2312" w:cs="仿宋_GB2312"/>
          <w:sz w:val="32"/>
          <w:szCs w:val="32"/>
          <w:lang w:val="en-US" w:eastAsia="zh-CN"/>
        </w:rPr>
        <w:t>]</w:t>
      </w:r>
      <w:r>
        <w:rPr>
          <w:rFonts w:hint="default" w:ascii="仿宋_GB2312" w:eastAsia="仿宋_GB2312" w:cs="仿宋_GB2312"/>
          <w:sz w:val="32"/>
          <w:szCs w:val="32"/>
          <w:lang w:val="en-US" w:eastAsia="zh-CN"/>
        </w:rPr>
        <w:t>可能造成人员在分料机操作中触碰到滚轴接线端子裸露带电部位</w:t>
      </w:r>
      <w:r>
        <w:rPr>
          <w:rFonts w:hint="eastAsia" w:ascii="仿宋_GB2312" w:eastAsia="仿宋_GB2312" w:cs="仿宋_GB2312"/>
          <w:sz w:val="32"/>
          <w:szCs w:val="32"/>
          <w:lang w:val="en-US" w:eastAsia="zh-CN"/>
        </w:rPr>
        <w:t>的问题</w:t>
      </w:r>
      <w:r>
        <w:rPr>
          <w:rFonts w:hint="eastAsia" w:ascii="Times New Roman" w:hAnsi="Times New Roman" w:eastAsia="仿宋_GB2312" w:cs="Times New Roman"/>
          <w:sz w:val="32"/>
          <w:szCs w:val="32"/>
          <w:lang w:val="en-US" w:eastAsia="zh-CN"/>
        </w:rPr>
        <w:t>未及时发现并采取措施消除事故隐患。</w:t>
      </w:r>
    </w:p>
    <w:p w14:paraId="6FF5EDDD">
      <w:pPr>
        <w:pStyle w:val="3"/>
        <w:bidi w:val="0"/>
      </w:pPr>
      <w:bookmarkStart w:id="59" w:name="_Toc2878"/>
      <w:bookmarkStart w:id="60" w:name="_Toc26035"/>
      <w:bookmarkStart w:id="61" w:name="_Toc29940"/>
      <w:r>
        <w:rPr>
          <w:rFonts w:hint="eastAsia"/>
        </w:rPr>
        <w:t>（三）事故性质</w:t>
      </w:r>
      <w:bookmarkEnd w:id="59"/>
      <w:bookmarkEnd w:id="60"/>
      <w:bookmarkEnd w:id="61"/>
    </w:p>
    <w:p w14:paraId="7057219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_GB2312" w:eastAsia="仿宋_GB2312" w:cs="仿宋_GB2312"/>
          <w:sz w:val="32"/>
          <w:szCs w:val="32"/>
        </w:rPr>
      </w:pPr>
      <w:r>
        <w:rPr>
          <w:rFonts w:hint="eastAsia" w:ascii="仿宋_GB2312" w:eastAsia="仿宋_GB2312" w:cs="仿宋_GB2312"/>
          <w:sz w:val="32"/>
          <w:szCs w:val="32"/>
        </w:rPr>
        <w:t>事故</w:t>
      </w:r>
      <w:r>
        <w:rPr>
          <w:rFonts w:ascii="仿宋_GB2312" w:eastAsia="仿宋_GB2312" w:cs="仿宋_GB2312"/>
          <w:sz w:val="32"/>
          <w:szCs w:val="32"/>
        </w:rPr>
        <w:t>调查组认定，</w:t>
      </w:r>
      <w:r>
        <w:rPr>
          <w:rFonts w:hint="eastAsia" w:ascii="仿宋_GB2312" w:hAnsi="仿宋_GB2312" w:eastAsia="仿宋_GB2312" w:cs="仿宋_GB2312"/>
          <w:sz w:val="32"/>
          <w:szCs w:val="32"/>
          <w:lang w:val="en-US" w:eastAsia="zh-CN"/>
        </w:rPr>
        <w:t>静海区大邱庄镇德财恒鑫金属制品厂“</w:t>
      </w:r>
      <w:r>
        <w:rPr>
          <w:rFonts w:hint="eastAsia" w:ascii="宋体" w:hAnsi="宋体" w:eastAsia="宋体" w:cs="宋体"/>
          <w:sz w:val="32"/>
          <w:szCs w:val="32"/>
          <w:lang w:val="en-US" w:eastAsia="zh-CN"/>
        </w:rPr>
        <w:t>7</w:t>
      </w:r>
      <w:r>
        <w:rPr>
          <w:rFonts w:hint="eastAsia" w:ascii="仿宋_GB2312" w:hAnsi="仿宋_GB2312" w:eastAsia="仿宋_GB2312" w:cs="仿宋_GB2312"/>
          <w:sz w:val="32"/>
          <w:szCs w:val="32"/>
          <w:lang w:val="en-US" w:eastAsia="zh-CN"/>
        </w:rPr>
        <w:t>·</w:t>
      </w:r>
      <w:r>
        <w:rPr>
          <w:rFonts w:hint="eastAsia" w:ascii="宋体" w:hAnsi="宋体" w:eastAsia="宋体" w:cs="宋体"/>
          <w:sz w:val="32"/>
          <w:szCs w:val="32"/>
          <w:lang w:val="en-US" w:eastAsia="zh-CN"/>
        </w:rPr>
        <w:t>25</w:t>
      </w:r>
      <w:r>
        <w:rPr>
          <w:rFonts w:hint="eastAsia" w:ascii="仿宋_GB2312" w:hAnsi="仿宋_GB2312" w:eastAsia="仿宋_GB2312" w:cs="仿宋_GB2312"/>
          <w:sz w:val="32"/>
          <w:szCs w:val="32"/>
          <w:lang w:val="en-US" w:eastAsia="zh-CN"/>
        </w:rPr>
        <w:t>”一般触电事故</w:t>
      </w:r>
      <w:r>
        <w:rPr>
          <w:rFonts w:hint="eastAsia" w:ascii="仿宋_GB2312" w:eastAsia="仿宋_GB2312" w:cs="仿宋_GB2312"/>
          <w:sz w:val="32"/>
          <w:szCs w:val="32"/>
        </w:rPr>
        <w:t>是</w:t>
      </w:r>
      <w:r>
        <w:rPr>
          <w:rFonts w:ascii="仿宋_GB2312" w:eastAsia="仿宋_GB2312" w:cs="仿宋_GB2312"/>
          <w:sz w:val="32"/>
          <w:szCs w:val="32"/>
        </w:rPr>
        <w:t>一起生产安全责任事故。</w:t>
      </w:r>
      <w:r>
        <w:rPr>
          <w:rFonts w:hint="eastAsia" w:ascii="仿宋_GB2312" w:hAnsi="仿宋_GB2312" w:eastAsia="仿宋_GB2312" w:cs="仿宋_GB2312"/>
          <w:sz w:val="32"/>
          <w:szCs w:val="32"/>
          <w:lang w:val="en-US" w:eastAsia="zh-CN"/>
        </w:rPr>
        <w:t>德财恒鑫金属制品厂于</w:t>
      </w:r>
      <w:r>
        <w:rPr>
          <w:rFonts w:hint="eastAsia" w:ascii="宋体" w:hAnsi="宋体" w:eastAsia="宋体" w:cs="宋体"/>
          <w:sz w:val="32"/>
          <w:szCs w:val="32"/>
          <w:lang w:val="en-US" w:eastAsia="zh-CN"/>
        </w:rPr>
        <w:t>7</w:t>
      </w:r>
      <w:r>
        <w:rPr>
          <w:rFonts w:hint="eastAsia" w:ascii="仿宋_GB2312" w:eastAsia="仿宋_GB2312" w:cs="仿宋_GB2312"/>
          <w:sz w:val="32"/>
          <w:szCs w:val="32"/>
        </w:rPr>
        <w:t>月</w:t>
      </w:r>
      <w:r>
        <w:rPr>
          <w:rFonts w:hint="eastAsia" w:ascii="宋体" w:hAnsi="宋体" w:eastAsia="宋体" w:cs="宋体"/>
          <w:sz w:val="32"/>
          <w:szCs w:val="32"/>
          <w:lang w:val="en-US" w:eastAsia="zh-CN"/>
        </w:rPr>
        <w:t>25</w:t>
      </w:r>
      <w:r>
        <w:rPr>
          <w:rFonts w:hint="eastAsia" w:ascii="仿宋_GB2312" w:eastAsia="仿宋_GB2312" w:cs="仿宋_GB2312"/>
          <w:sz w:val="32"/>
          <w:szCs w:val="32"/>
        </w:rPr>
        <w:t>日</w:t>
      </w:r>
      <w:r>
        <w:rPr>
          <w:rFonts w:hint="eastAsia" w:ascii="宋体" w:hAnsi="宋体" w:eastAsia="宋体" w:cs="宋体"/>
          <w:sz w:val="32"/>
          <w:szCs w:val="32"/>
          <w:lang w:val="en-US" w:eastAsia="zh-CN"/>
        </w:rPr>
        <w:t>8</w:t>
      </w:r>
      <w:r>
        <w:rPr>
          <w:rFonts w:hint="eastAsia" w:ascii="仿宋_GB2312" w:eastAsia="仿宋_GB2312" w:cs="仿宋_GB2312"/>
          <w:sz w:val="32"/>
          <w:szCs w:val="32"/>
        </w:rPr>
        <w:t>时</w:t>
      </w:r>
      <w:r>
        <w:rPr>
          <w:rFonts w:hint="eastAsia" w:ascii="宋体" w:hAnsi="宋体" w:eastAsia="宋体" w:cs="宋体"/>
          <w:sz w:val="32"/>
          <w:szCs w:val="32"/>
          <w:lang w:val="en-US" w:eastAsia="zh-CN"/>
        </w:rPr>
        <w:t>10</w:t>
      </w:r>
      <w:r>
        <w:rPr>
          <w:rFonts w:hint="eastAsia" w:ascii="仿宋_GB2312" w:eastAsia="仿宋_GB2312" w:cs="仿宋_GB2312"/>
          <w:sz w:val="32"/>
          <w:szCs w:val="32"/>
          <w:lang w:val="en-US" w:eastAsia="zh-CN"/>
        </w:rPr>
        <w:t>分向区应急管理局</w:t>
      </w:r>
      <w:r>
        <w:rPr>
          <w:rFonts w:ascii="仿宋_GB2312" w:eastAsia="仿宋_GB2312" w:cs="仿宋_GB2312"/>
          <w:sz w:val="32"/>
          <w:szCs w:val="32"/>
        </w:rPr>
        <w:t>上报了事故情况，</w:t>
      </w:r>
      <w:r>
        <w:rPr>
          <w:rFonts w:hint="eastAsia" w:ascii="仿宋_GB2312" w:hAnsi="仿宋_GB2312" w:eastAsia="仿宋_GB2312" w:cs="仿宋_GB2312"/>
          <w:sz w:val="32"/>
          <w:szCs w:val="32"/>
          <w:lang w:val="en-US" w:eastAsia="zh-CN"/>
        </w:rPr>
        <w:t>德财恒鑫金属制品厂</w:t>
      </w:r>
      <w:r>
        <w:rPr>
          <w:rFonts w:hint="eastAsia" w:ascii="仿宋_GB2312" w:hAnsi="仿宋" w:eastAsia="仿宋_GB2312"/>
          <w:sz w:val="32"/>
          <w:szCs w:val="32"/>
        </w:rPr>
        <w:t>未依法按时限要求上报事故</w:t>
      </w:r>
      <w:r>
        <w:rPr>
          <w:rFonts w:hint="eastAsia" w:ascii="仿宋_GB2312" w:hAnsi="仿宋" w:eastAsia="仿宋_GB2312"/>
          <w:sz w:val="32"/>
          <w:szCs w:val="32"/>
          <w:lang w:eastAsia="zh-CN"/>
        </w:rPr>
        <w:t>，</w:t>
      </w:r>
      <w:r>
        <w:rPr>
          <w:rFonts w:hint="eastAsia" w:ascii="仿宋_GB2312" w:eastAsia="仿宋_GB2312" w:cs="仿宋_GB2312"/>
          <w:sz w:val="32"/>
          <w:szCs w:val="32"/>
        </w:rPr>
        <w:t>属</w:t>
      </w:r>
      <w:r>
        <w:rPr>
          <w:rFonts w:hint="eastAsia" w:ascii="仿宋_GB2312" w:eastAsia="仿宋_GB2312" w:cs="仿宋_GB2312"/>
          <w:sz w:val="32"/>
          <w:szCs w:val="32"/>
          <w:lang w:eastAsia="zh-CN"/>
        </w:rPr>
        <w:t>迟报事故</w:t>
      </w:r>
      <w:r>
        <w:rPr>
          <w:rFonts w:ascii="仿宋_GB2312" w:eastAsia="仿宋_GB2312" w:cs="仿宋_GB2312"/>
          <w:sz w:val="32"/>
          <w:szCs w:val="32"/>
        </w:rPr>
        <w:t>。</w:t>
      </w:r>
    </w:p>
    <w:p w14:paraId="7615D658">
      <w:pPr>
        <w:pStyle w:val="2"/>
        <w:bidi w:val="0"/>
      </w:pPr>
      <w:bookmarkStart w:id="62" w:name="_Toc22280"/>
      <w:bookmarkStart w:id="63" w:name="_Toc17833"/>
      <w:bookmarkStart w:id="64" w:name="_Toc29944"/>
      <w:r>
        <w:rPr>
          <w:rFonts w:hint="eastAsia"/>
        </w:rPr>
        <w:t>五、对事故责任单位及</w:t>
      </w:r>
      <w:r>
        <w:t>人员</w:t>
      </w:r>
      <w:r>
        <w:rPr>
          <w:rFonts w:hint="eastAsia"/>
        </w:rPr>
        <w:t>的处理建议</w:t>
      </w:r>
      <w:bookmarkEnd w:id="62"/>
      <w:bookmarkEnd w:id="63"/>
      <w:bookmarkEnd w:id="64"/>
    </w:p>
    <w:p w14:paraId="30945313">
      <w:pPr>
        <w:pStyle w:val="3"/>
        <w:bidi w:val="0"/>
        <w:rPr>
          <w:rFonts w:hint="default"/>
          <w:lang w:val="en-US" w:eastAsia="zh-CN"/>
        </w:rPr>
      </w:pPr>
      <w:bookmarkStart w:id="65" w:name="_Toc6627"/>
      <w:bookmarkStart w:id="66" w:name="_Toc25466"/>
      <w:bookmarkStart w:id="67" w:name="_Toc8836"/>
      <w:bookmarkStart w:id="68" w:name="_Toc14798"/>
      <w:bookmarkStart w:id="69" w:name="_Toc27591"/>
      <w:r>
        <w:rPr>
          <w:rFonts w:hint="eastAsia"/>
          <w:lang w:eastAsia="zh-CN"/>
        </w:rPr>
        <w:t>（一）</w:t>
      </w:r>
      <w:bookmarkEnd w:id="65"/>
      <w:bookmarkEnd w:id="66"/>
      <w:bookmarkEnd w:id="67"/>
      <w:r>
        <w:rPr>
          <w:rFonts w:hint="eastAsia"/>
          <w:lang w:val="en-US" w:eastAsia="zh-CN"/>
        </w:rPr>
        <w:t>建议移送司法机关处理的人员</w:t>
      </w:r>
    </w:p>
    <w:p w14:paraId="294AA455">
      <w:pPr>
        <w:pStyle w:val="3"/>
        <w:keepNext/>
        <w:keepLines/>
        <w:pageBreakBefore w:val="0"/>
        <w:widowControl w:val="0"/>
        <w:kinsoku/>
        <w:wordWrap/>
        <w:overflowPunct/>
        <w:topLinePunct w:val="0"/>
        <w:autoSpaceDE/>
        <w:autoSpaceDN/>
        <w:bidi w:val="0"/>
        <w:adjustRightInd/>
        <w:snapToGrid/>
        <w:jc w:val="both"/>
        <w:textAlignment w:val="auto"/>
        <w:rPr>
          <w:rFonts w:hint="default"/>
          <w:lang w:val="en-US" w:eastAsia="zh-CN"/>
        </w:rPr>
      </w:pPr>
      <w:r>
        <w:rPr>
          <w:rFonts w:hint="eastAsia" w:ascii="仿宋_GB2312" w:hAnsi="仿宋_GB2312" w:eastAsia="仿宋_GB2312" w:cs="仿宋_GB2312"/>
          <w:sz w:val="32"/>
          <w:szCs w:val="32"/>
          <w:lang w:val="en-US" w:eastAsia="zh-CN"/>
        </w:rPr>
        <w:t>耿治升</w:t>
      </w:r>
      <w:r>
        <w:rPr>
          <w:rFonts w:hint="eastAsia" w:ascii="仿宋_GB2312" w:eastAsia="仿宋_GB2312" w:cs="仿宋_GB2312"/>
          <w:sz w:val="32"/>
          <w:szCs w:val="32"/>
          <w:lang w:val="en-US" w:eastAsia="zh-CN"/>
        </w:rPr>
        <w:t>对事故发生负有直接责任，建议由公安机关立案调查。</w:t>
      </w:r>
    </w:p>
    <w:p w14:paraId="00851577">
      <w:pPr>
        <w:pStyle w:val="3"/>
        <w:bidi w:val="0"/>
      </w:pPr>
      <w:bookmarkStart w:id="70" w:name="_Toc20184"/>
      <w:r>
        <w:rPr>
          <w:rFonts w:hint="eastAsia"/>
        </w:rPr>
        <w:t>（</w:t>
      </w:r>
      <w:r>
        <w:rPr>
          <w:rFonts w:hint="eastAsia"/>
          <w:lang w:val="en-US" w:eastAsia="zh-CN"/>
        </w:rPr>
        <w:t>二</w:t>
      </w:r>
      <w:r>
        <w:t>）</w:t>
      </w:r>
      <w:r>
        <w:rPr>
          <w:rFonts w:hint="eastAsia"/>
        </w:rPr>
        <w:t>建议给予行政处罚的单位</w:t>
      </w:r>
      <w:bookmarkEnd w:id="68"/>
      <w:bookmarkEnd w:id="69"/>
      <w:bookmarkEnd w:id="70"/>
    </w:p>
    <w:p w14:paraId="463852BF">
      <w:pPr>
        <w:pStyle w:val="4"/>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0"/>
        <w:textAlignment w:val="auto"/>
        <w:rPr>
          <w:rFonts w:ascii="仿宋_GB2312" w:hAnsi="黑体" w:eastAsia="仿宋_GB2312" w:cs="黑体"/>
          <w:sz w:val="32"/>
          <w:szCs w:val="32"/>
        </w:rPr>
      </w:pPr>
      <w:r>
        <w:rPr>
          <w:rFonts w:hint="eastAsia" w:ascii="仿宋_GB2312" w:hAnsi="仿宋_GB2312" w:eastAsia="仿宋_GB2312" w:cs="仿宋_GB2312"/>
          <w:sz w:val="32"/>
          <w:szCs w:val="32"/>
          <w:lang w:val="en-US" w:eastAsia="zh-CN"/>
        </w:rPr>
        <w:t>德财恒鑫金属制品厂</w:t>
      </w:r>
      <w:r>
        <w:rPr>
          <w:rFonts w:ascii="仿宋_GB2312" w:hAnsi="黑体" w:eastAsia="仿宋_GB2312" w:cs="黑体"/>
          <w:sz w:val="32"/>
          <w:szCs w:val="32"/>
        </w:rPr>
        <w:t>未</w:t>
      </w:r>
      <w:r>
        <w:rPr>
          <w:rFonts w:hint="eastAsia" w:ascii="仿宋_GB2312" w:hAnsi="黑体" w:eastAsia="仿宋_GB2312" w:cs="黑体"/>
          <w:sz w:val="32"/>
          <w:szCs w:val="32"/>
        </w:rPr>
        <w:t>落实</w:t>
      </w:r>
      <w:r>
        <w:rPr>
          <w:rFonts w:ascii="仿宋_GB2312" w:hAnsi="黑体" w:eastAsia="仿宋_GB2312" w:cs="黑体"/>
          <w:sz w:val="32"/>
          <w:szCs w:val="32"/>
        </w:rPr>
        <w:t>安全生产主体责任，</w:t>
      </w:r>
      <w:r>
        <w:rPr>
          <w:rFonts w:hint="eastAsia" w:ascii="仿宋_GB2312" w:hAnsi="黑体" w:eastAsia="仿宋_GB2312" w:cs="黑体"/>
          <w:sz w:val="32"/>
          <w:szCs w:val="32"/>
        </w:rPr>
        <w:t>存在</w:t>
      </w:r>
      <w:r>
        <w:rPr>
          <w:rFonts w:hint="eastAsia" w:ascii="Times New Roman" w:hAnsi="Times New Roman" w:eastAsia="仿宋_GB2312" w:cs="Times New Roman"/>
          <w:sz w:val="32"/>
          <w:szCs w:val="32"/>
          <w:lang w:val="en-US" w:eastAsia="zh-CN"/>
        </w:rPr>
        <w:t>将生产经营场所出租给不具备相应资质的个人</w:t>
      </w:r>
      <w:r>
        <w:rPr>
          <w:rFonts w:hint="eastAsia" w:ascii="仿宋_GB2312" w:hAnsi="黑体" w:eastAsia="仿宋_GB2312" w:cs="黑体"/>
          <w:sz w:val="32"/>
          <w:szCs w:val="32"/>
          <w:lang w:eastAsia="zh-CN"/>
        </w:rPr>
        <w:t>、</w:t>
      </w:r>
      <w:r>
        <w:rPr>
          <w:rFonts w:hint="eastAsia" w:ascii="仿宋_GB2312" w:eastAsia="仿宋_GB2312" w:cs="仿宋_GB2312"/>
          <w:sz w:val="32"/>
          <w:szCs w:val="32"/>
          <w:lang w:val="en-US" w:eastAsia="zh-CN"/>
        </w:rPr>
        <w:t>未对承租方的安全生产工作统一协调管理、未定期进行安全检查</w:t>
      </w:r>
      <w:r>
        <w:rPr>
          <w:rFonts w:ascii="仿宋_GB2312" w:hAnsi="黑体" w:eastAsia="仿宋_GB2312" w:cs="黑体"/>
          <w:sz w:val="32"/>
          <w:szCs w:val="32"/>
        </w:rPr>
        <w:t>等问题，对事故发生负有责任。依据</w:t>
      </w:r>
      <w:r>
        <w:rPr>
          <w:rFonts w:hint="eastAsia" w:ascii="仿宋_GB2312" w:hAnsi="黑体" w:eastAsia="仿宋_GB2312" w:cs="黑体"/>
          <w:sz w:val="32"/>
          <w:szCs w:val="32"/>
        </w:rPr>
        <w:t>《中华人民共和国</w:t>
      </w:r>
      <w:r>
        <w:rPr>
          <w:rFonts w:ascii="仿宋_GB2312" w:hAnsi="黑体" w:eastAsia="仿宋_GB2312" w:cs="黑体"/>
          <w:sz w:val="32"/>
          <w:szCs w:val="32"/>
        </w:rPr>
        <w:t>安全生产法</w:t>
      </w:r>
      <w:r>
        <w:rPr>
          <w:rFonts w:hint="eastAsia" w:ascii="仿宋_GB2312" w:hAnsi="黑体" w:eastAsia="仿宋_GB2312" w:cs="黑体"/>
          <w:sz w:val="32"/>
          <w:szCs w:val="32"/>
        </w:rPr>
        <w:t>》第</w:t>
      </w:r>
      <w:r>
        <w:rPr>
          <w:rFonts w:ascii="仿宋_GB2312" w:hAnsi="黑体" w:eastAsia="仿宋_GB2312" w:cs="黑体"/>
          <w:sz w:val="32"/>
          <w:szCs w:val="32"/>
        </w:rPr>
        <w:t>一百一十四条</w:t>
      </w:r>
      <w:r>
        <w:rPr>
          <w:rFonts w:hint="eastAsia" w:ascii="仿宋_GB2312" w:hAnsi="黑体" w:eastAsia="仿宋_GB2312" w:cs="黑体"/>
          <w:sz w:val="32"/>
          <w:szCs w:val="32"/>
        </w:rPr>
        <w:t>第一项</w:t>
      </w:r>
      <w:r>
        <w:rPr>
          <w:rFonts w:hint="eastAsia" w:ascii="仿宋_GB2312" w:hAnsi="黑体" w:eastAsia="仿宋_GB2312" w:cs="黑体"/>
          <w:sz w:val="32"/>
          <w:szCs w:val="32"/>
          <w:vertAlign w:val="superscript"/>
          <w:lang w:val="en-US" w:eastAsia="zh-CN"/>
        </w:rPr>
        <w:t>[</w:t>
      </w:r>
      <w:r>
        <w:rPr>
          <w:rStyle w:val="19"/>
          <w:rFonts w:hint="eastAsia" w:ascii="仿宋_GB2312" w:hAnsi="Times New Roman" w:eastAsia="仿宋_GB2312" w:cs="仿宋_GB2312"/>
          <w:sz w:val="32"/>
          <w:szCs w:val="32"/>
          <w:lang w:val="en-US" w:eastAsia="zh-CN"/>
        </w:rPr>
        <w:footnoteReference w:id="5"/>
      </w:r>
      <w:r>
        <w:rPr>
          <w:rFonts w:hint="eastAsia" w:ascii="仿宋_GB2312" w:hAnsi="黑体" w:eastAsia="仿宋_GB2312" w:cs="黑体"/>
          <w:sz w:val="32"/>
          <w:szCs w:val="32"/>
          <w:vertAlign w:val="superscript"/>
          <w:lang w:val="en-US" w:eastAsia="zh-CN"/>
        </w:rPr>
        <w:t>]</w:t>
      </w:r>
      <w:r>
        <w:rPr>
          <w:rFonts w:ascii="仿宋_GB2312" w:hAnsi="黑体" w:eastAsia="仿宋_GB2312" w:cs="黑体"/>
          <w:sz w:val="32"/>
          <w:szCs w:val="32"/>
        </w:rPr>
        <w:t>的规定，</w:t>
      </w:r>
      <w:r>
        <w:rPr>
          <w:rFonts w:hint="eastAsia" w:ascii="仿宋_GB2312" w:hAnsi="黑体" w:eastAsia="仿宋_GB2312" w:cs="黑体"/>
          <w:sz w:val="32"/>
          <w:szCs w:val="32"/>
        </w:rPr>
        <w:t>建议</w:t>
      </w:r>
      <w:r>
        <w:rPr>
          <w:rFonts w:ascii="仿宋_GB2312" w:hAnsi="黑体" w:eastAsia="仿宋_GB2312" w:cs="黑体"/>
          <w:sz w:val="32"/>
          <w:szCs w:val="32"/>
        </w:rPr>
        <w:t>由区应急管理局对该</w:t>
      </w:r>
      <w:r>
        <w:rPr>
          <w:rFonts w:hint="eastAsia" w:ascii="仿宋_GB2312" w:hAnsi="黑体" w:eastAsia="仿宋_GB2312" w:cs="黑体"/>
          <w:sz w:val="32"/>
          <w:szCs w:val="32"/>
        </w:rPr>
        <w:t>公司</w:t>
      </w:r>
      <w:r>
        <w:rPr>
          <w:rFonts w:hint="eastAsia" w:ascii="仿宋_GB2312" w:hAnsi="黑体" w:eastAsia="仿宋_GB2312" w:cs="黑体"/>
          <w:sz w:val="32"/>
          <w:szCs w:val="32"/>
          <w:lang w:val="en-US" w:eastAsia="zh-CN"/>
        </w:rPr>
        <w:t>给予人民币</w:t>
      </w:r>
      <w:r>
        <w:rPr>
          <w:rFonts w:hint="eastAsia" w:ascii="宋体" w:hAnsi="宋体" w:eastAsia="宋体" w:cs="宋体"/>
          <w:kern w:val="2"/>
          <w:sz w:val="32"/>
          <w:szCs w:val="32"/>
          <w:lang w:val="en-US" w:eastAsia="zh-CN" w:bidi="ar-SA"/>
        </w:rPr>
        <w:t>49</w:t>
      </w:r>
      <w:r>
        <w:rPr>
          <w:rFonts w:hint="eastAsia" w:ascii="仿宋_GB2312" w:hAnsi="黑体" w:eastAsia="仿宋_GB2312" w:cs="黑体"/>
          <w:sz w:val="32"/>
          <w:szCs w:val="32"/>
          <w:lang w:val="en-US" w:eastAsia="zh-CN"/>
        </w:rPr>
        <w:t>万元罚款的</w:t>
      </w:r>
      <w:r>
        <w:rPr>
          <w:rFonts w:ascii="仿宋_GB2312" w:hAnsi="黑体" w:eastAsia="仿宋_GB2312" w:cs="黑体"/>
          <w:sz w:val="32"/>
          <w:szCs w:val="32"/>
        </w:rPr>
        <w:t>行政处罚。</w:t>
      </w:r>
    </w:p>
    <w:p w14:paraId="58B90CC2">
      <w:pPr>
        <w:pStyle w:val="3"/>
        <w:bidi w:val="0"/>
      </w:pPr>
      <w:bookmarkStart w:id="71" w:name="_Toc3124"/>
      <w:bookmarkStart w:id="72" w:name="_Toc19710"/>
      <w:bookmarkStart w:id="73" w:name="_Toc189"/>
      <w:r>
        <w:rPr>
          <w:rFonts w:hint="eastAsia"/>
        </w:rPr>
        <w:t>（</w:t>
      </w:r>
      <w:r>
        <w:rPr>
          <w:rFonts w:hint="eastAsia"/>
          <w:lang w:val="en-US" w:eastAsia="zh-CN"/>
        </w:rPr>
        <w:t>三</w:t>
      </w:r>
      <w:r>
        <w:t>）</w:t>
      </w:r>
      <w:r>
        <w:rPr>
          <w:rFonts w:hint="eastAsia"/>
        </w:rPr>
        <w:t>建议给予行政处罚的责任人</w:t>
      </w:r>
      <w:bookmarkEnd w:id="71"/>
      <w:bookmarkEnd w:id="72"/>
      <w:bookmarkEnd w:id="73"/>
    </w:p>
    <w:p w14:paraId="62CA830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eastAsia="仿宋_GB2312"/>
          <w:sz w:val="32"/>
          <w:szCs w:val="32"/>
        </w:rPr>
      </w:pPr>
      <w:r>
        <w:rPr>
          <w:rFonts w:hint="eastAsia" w:ascii="仿宋_GB2312" w:hAnsi="黑体" w:eastAsia="仿宋_GB2312" w:cs="黑体"/>
          <w:sz w:val="32"/>
          <w:szCs w:val="32"/>
          <w:lang w:val="en-US" w:eastAsia="zh-CN"/>
        </w:rPr>
        <w:t>王从德</w:t>
      </w:r>
      <w:r>
        <w:rPr>
          <w:rFonts w:hint="eastAsia" w:ascii="仿宋_GB2312" w:hAnsi="仿宋_GB2312" w:eastAsia="仿宋_GB2312" w:cs="仿宋_GB2312"/>
          <w:sz w:val="32"/>
          <w:szCs w:val="32"/>
          <w:lang w:val="en-US" w:eastAsia="zh-CN"/>
        </w:rPr>
        <w:t>作为德财恒鑫金属制品厂的主要负责人</w:t>
      </w:r>
      <w:r>
        <w:rPr>
          <w:rFonts w:hint="eastAsia" w:ascii="仿宋_GB2312" w:hAnsi="黑体" w:eastAsia="仿宋_GB2312" w:cs="黑体"/>
          <w:sz w:val="32"/>
          <w:szCs w:val="32"/>
          <w:lang w:val="en-US" w:eastAsia="zh-CN"/>
        </w:rPr>
        <w:t>，未履行《中华人民共和国安全生产法》第二十一条第三项</w:t>
      </w:r>
      <w:r>
        <w:rPr>
          <w:rStyle w:val="19"/>
          <w:rFonts w:hint="eastAsia" w:ascii="仿宋_GB2312" w:hAnsi="黑体" w:eastAsia="仿宋_GB2312" w:cs="黑体"/>
          <w:sz w:val="32"/>
          <w:szCs w:val="32"/>
          <w:lang w:val="en-US" w:eastAsia="zh-CN"/>
        </w:rPr>
        <w:t>[</w:t>
      </w:r>
      <w:r>
        <w:rPr>
          <w:rStyle w:val="19"/>
          <w:rFonts w:hint="eastAsia" w:ascii="仿宋_GB2312" w:hAnsi="黑体" w:eastAsia="仿宋_GB2312" w:cs="黑体"/>
          <w:sz w:val="32"/>
          <w:szCs w:val="32"/>
          <w:lang w:val="en-US" w:eastAsia="zh-CN"/>
        </w:rPr>
        <w:footnoteReference w:id="6"/>
      </w:r>
      <w:r>
        <w:rPr>
          <w:rStyle w:val="19"/>
          <w:rFonts w:hint="eastAsia" w:ascii="仿宋_GB2312" w:hAnsi="黑体" w:eastAsia="仿宋_GB2312" w:cs="黑体"/>
          <w:sz w:val="32"/>
          <w:szCs w:val="32"/>
          <w:lang w:val="en-US" w:eastAsia="zh-CN"/>
        </w:rPr>
        <w:t>]</w:t>
      </w:r>
      <w:r>
        <w:rPr>
          <w:rFonts w:hint="eastAsia" w:ascii="仿宋_GB2312" w:hAnsi="黑体" w:eastAsia="仿宋_GB2312" w:cs="黑体"/>
          <w:sz w:val="32"/>
          <w:szCs w:val="32"/>
          <w:lang w:val="en-US" w:eastAsia="zh-CN"/>
        </w:rPr>
        <w:t>、第五项</w:t>
      </w:r>
      <w:r>
        <w:rPr>
          <w:rStyle w:val="19"/>
          <w:rFonts w:hint="eastAsia" w:ascii="仿宋_GB2312" w:hAnsi="黑体" w:eastAsia="仿宋_GB2312" w:cs="黑体"/>
          <w:sz w:val="32"/>
          <w:szCs w:val="32"/>
          <w:lang w:val="en-US" w:eastAsia="zh-CN"/>
        </w:rPr>
        <w:t>[</w:t>
      </w:r>
      <w:r>
        <w:rPr>
          <w:rStyle w:val="19"/>
          <w:rFonts w:hint="eastAsia" w:ascii="仿宋_GB2312" w:hAnsi="黑体" w:eastAsia="仿宋_GB2312" w:cs="黑体"/>
          <w:sz w:val="32"/>
          <w:szCs w:val="32"/>
          <w:lang w:val="en-US" w:eastAsia="zh-CN"/>
        </w:rPr>
        <w:footnoteReference w:id="7"/>
      </w:r>
      <w:r>
        <w:rPr>
          <w:rStyle w:val="19"/>
          <w:rFonts w:hint="eastAsia" w:ascii="仿宋_GB2312" w:hAnsi="黑体" w:eastAsia="仿宋_GB2312" w:cs="黑体"/>
          <w:sz w:val="32"/>
          <w:szCs w:val="32"/>
          <w:lang w:val="en-US" w:eastAsia="zh-CN"/>
        </w:rPr>
        <w:t>]</w:t>
      </w:r>
      <w:r>
        <w:rPr>
          <w:rFonts w:hint="eastAsia" w:ascii="仿宋_GB2312" w:hAnsi="黑体" w:eastAsia="仿宋_GB2312" w:cs="黑体"/>
          <w:sz w:val="32"/>
          <w:szCs w:val="32"/>
          <w:lang w:val="en-US" w:eastAsia="zh-CN"/>
        </w:rPr>
        <w:t>的安全生产管理职责，未组织制定并实施本单位安全生产教育和培训计划、未及时消除生产安全事故隐患，</w:t>
      </w:r>
      <w:r>
        <w:rPr>
          <w:rFonts w:hint="eastAsia" w:eastAsia="仿宋_GB2312"/>
          <w:sz w:val="32"/>
          <w:szCs w:val="32"/>
          <w:lang w:eastAsia="zh-CN"/>
        </w:rPr>
        <w:t>对事故发生负有责任。</w:t>
      </w:r>
      <w:r>
        <w:rPr>
          <w:rFonts w:ascii="Times New Roman" w:hAnsi="Times New Roman" w:eastAsia="仿宋_GB2312" w:cs="Times New Roman"/>
          <w:sz w:val="32"/>
          <w:szCs w:val="32"/>
        </w:rPr>
        <w:t>依据《中华人民共和国安全生产法》</w:t>
      </w:r>
      <w:r>
        <w:rPr>
          <w:rFonts w:hint="eastAsia" w:ascii="仿宋_GB2312" w:hAnsi="Times New Roman" w:eastAsia="仿宋_GB2312" w:cs="仿宋_GB2312"/>
          <w:sz w:val="32"/>
          <w:szCs w:val="32"/>
          <w:lang w:val="en-US" w:eastAsia="zh-CN"/>
        </w:rPr>
        <w:t>第九十五条第一项</w:t>
      </w:r>
      <w:r>
        <w:rPr>
          <w:rFonts w:hint="eastAsia" w:ascii="仿宋_GB2312" w:hAnsi="Times New Roman" w:eastAsia="仿宋_GB2312" w:cs="仿宋_GB2312"/>
          <w:sz w:val="32"/>
          <w:szCs w:val="32"/>
          <w:vertAlign w:val="superscript"/>
          <w:lang w:val="en-US" w:eastAsia="zh-CN"/>
        </w:rPr>
        <w:t>[</w:t>
      </w:r>
      <w:r>
        <w:rPr>
          <w:rStyle w:val="19"/>
          <w:rFonts w:hint="eastAsia" w:ascii="仿宋_GB2312" w:hAnsi="Times New Roman" w:eastAsia="仿宋_GB2312" w:cs="仿宋_GB2312"/>
          <w:sz w:val="32"/>
          <w:szCs w:val="32"/>
          <w:lang w:val="en-US" w:eastAsia="zh-CN"/>
        </w:rPr>
        <w:footnoteReference w:id="8"/>
      </w:r>
      <w:r>
        <w:rPr>
          <w:rFonts w:hint="eastAsia" w:ascii="仿宋_GB2312" w:hAnsi="Times New Roman" w:eastAsia="仿宋_GB2312" w:cs="仿宋_GB2312"/>
          <w:sz w:val="32"/>
          <w:szCs w:val="32"/>
          <w:vertAlign w:val="superscript"/>
          <w:lang w:val="en-US" w:eastAsia="zh-CN"/>
        </w:rPr>
        <w:t>]</w:t>
      </w:r>
      <w:r>
        <w:rPr>
          <w:rFonts w:hint="eastAsia" w:ascii="仿宋_GB2312" w:hAnsi="Times New Roman" w:eastAsia="仿宋_GB2312" w:cs="仿宋_GB2312"/>
          <w:sz w:val="32"/>
          <w:szCs w:val="32"/>
          <w:lang w:val="en-US" w:eastAsia="zh-CN"/>
        </w:rPr>
        <w:t>的规定</w:t>
      </w:r>
      <w:r>
        <w:rPr>
          <w:rFonts w:ascii="Times New Roman" w:hAnsi="Times New Roman" w:eastAsia="仿宋_GB2312" w:cs="Times New Roman"/>
          <w:sz w:val="32"/>
          <w:szCs w:val="32"/>
        </w:rPr>
        <w:t>，</w:t>
      </w:r>
      <w:r>
        <w:rPr>
          <w:rFonts w:hint="eastAsia" w:ascii="仿宋_GB2312" w:hAnsi="黑体" w:eastAsia="仿宋_GB2312" w:cs="黑体"/>
          <w:sz w:val="32"/>
          <w:szCs w:val="32"/>
        </w:rPr>
        <w:t>对其处上一年年收入</w:t>
      </w:r>
      <w:r>
        <w:rPr>
          <w:rFonts w:hint="eastAsia" w:ascii="宋体" w:hAnsi="宋体" w:eastAsia="宋体" w:cs="宋体"/>
          <w:sz w:val="32"/>
          <w:szCs w:val="32"/>
          <w:lang w:val="en-US" w:eastAsia="zh-CN"/>
        </w:rPr>
        <w:t>4</w:t>
      </w:r>
      <w:r>
        <w:rPr>
          <w:rFonts w:hint="eastAsia" w:ascii="宋体" w:hAnsi="宋体" w:eastAsia="宋体" w:cs="宋体"/>
          <w:sz w:val="32"/>
          <w:szCs w:val="32"/>
        </w:rPr>
        <w:t>0</w:t>
      </w:r>
      <w:r>
        <w:rPr>
          <w:rFonts w:hint="eastAsia" w:ascii="仿宋_GB2312" w:hAnsi="黑体" w:eastAsia="仿宋_GB2312" w:cs="黑体"/>
          <w:sz w:val="32"/>
          <w:szCs w:val="32"/>
        </w:rPr>
        <w:t>%的罚款</w:t>
      </w:r>
      <w:r>
        <w:rPr>
          <w:rFonts w:hint="eastAsia" w:ascii="仿宋_GB2312" w:hAnsi="黑体" w:eastAsia="仿宋_GB2312" w:cs="黑体"/>
          <w:sz w:val="32"/>
          <w:szCs w:val="32"/>
          <w:lang w:eastAsia="zh-CN"/>
        </w:rPr>
        <w:t>；</w:t>
      </w:r>
      <w:r>
        <w:rPr>
          <w:rFonts w:hint="eastAsia" w:ascii="仿宋_GB2312" w:hAnsi="黑体" w:eastAsia="仿宋_GB2312" w:cs="黑体"/>
          <w:sz w:val="32"/>
          <w:szCs w:val="32"/>
          <w:lang w:val="en-US" w:eastAsia="zh-CN"/>
        </w:rPr>
        <w:t>王从德</w:t>
      </w:r>
      <w:r>
        <w:rPr>
          <w:rFonts w:hint="eastAsia" w:eastAsia="仿宋_GB2312"/>
          <w:sz w:val="32"/>
          <w:szCs w:val="32"/>
          <w:lang w:eastAsia="zh-CN"/>
        </w:rPr>
        <w:t>作为公司主要负责人迟报事故，依据</w:t>
      </w:r>
      <w:r>
        <w:rPr>
          <w:rFonts w:hint="eastAsia" w:ascii="仿宋_GB2312" w:hAnsi="黑体" w:eastAsia="仿宋_GB2312" w:cs="黑体"/>
          <w:sz w:val="32"/>
          <w:szCs w:val="32"/>
        </w:rPr>
        <w:t>《中华人民共和国</w:t>
      </w:r>
      <w:r>
        <w:rPr>
          <w:rFonts w:ascii="仿宋_GB2312" w:hAnsi="黑体" w:eastAsia="仿宋_GB2312" w:cs="黑体"/>
          <w:sz w:val="32"/>
          <w:szCs w:val="32"/>
        </w:rPr>
        <w:t>安全生产法</w:t>
      </w:r>
      <w:r>
        <w:rPr>
          <w:rFonts w:hint="eastAsia" w:ascii="仿宋_GB2312" w:hAnsi="黑体" w:eastAsia="仿宋_GB2312" w:cs="黑体"/>
          <w:sz w:val="32"/>
          <w:szCs w:val="32"/>
        </w:rPr>
        <w:t>》</w:t>
      </w:r>
      <w:r>
        <w:rPr>
          <w:rFonts w:hint="eastAsia" w:ascii="仿宋_GB2312" w:hAnsi="黑体" w:eastAsia="仿宋_GB2312" w:cs="黑体"/>
          <w:sz w:val="32"/>
          <w:szCs w:val="32"/>
          <w:lang w:val="en-US" w:eastAsia="zh-CN"/>
        </w:rPr>
        <w:t>第一百一十条第二款</w:t>
      </w:r>
      <w:r>
        <w:rPr>
          <w:rFonts w:hint="eastAsia" w:ascii="仿宋_GB2312" w:hAnsi="黑体" w:eastAsia="仿宋_GB2312" w:cs="黑体"/>
          <w:sz w:val="32"/>
          <w:szCs w:val="32"/>
          <w:vertAlign w:val="superscript"/>
          <w:lang w:val="en-US" w:eastAsia="zh-CN"/>
        </w:rPr>
        <w:t>[</w:t>
      </w:r>
      <w:r>
        <w:rPr>
          <w:rStyle w:val="19"/>
          <w:rFonts w:ascii="仿宋_GB2312" w:hAnsi="黑体" w:eastAsia="仿宋_GB2312" w:cs="黑体"/>
          <w:sz w:val="32"/>
          <w:szCs w:val="32"/>
        </w:rPr>
        <w:footnoteReference w:id="9"/>
      </w:r>
      <w:r>
        <w:rPr>
          <w:rFonts w:hint="eastAsia" w:ascii="仿宋_GB2312" w:hAnsi="黑体" w:eastAsia="仿宋_GB2312" w:cs="黑体"/>
          <w:sz w:val="32"/>
          <w:szCs w:val="32"/>
          <w:vertAlign w:val="superscript"/>
          <w:lang w:val="en-US" w:eastAsia="zh-CN"/>
        </w:rPr>
        <w:t>]</w:t>
      </w:r>
      <w:r>
        <w:rPr>
          <w:rFonts w:ascii="仿宋_GB2312" w:hAnsi="黑体" w:eastAsia="仿宋_GB2312" w:cs="黑体"/>
          <w:sz w:val="32"/>
          <w:szCs w:val="32"/>
        </w:rPr>
        <w:t>的</w:t>
      </w:r>
      <w:r>
        <w:rPr>
          <w:rFonts w:hint="eastAsia" w:ascii="仿宋_GB2312" w:hAnsi="仿宋_GB2312" w:eastAsia="仿宋_GB2312" w:cs="仿宋_GB2312"/>
          <w:sz w:val="32"/>
          <w:szCs w:val="32"/>
          <w:lang w:eastAsia="zh-CN"/>
        </w:rPr>
        <w:t>规定，对其处</w:t>
      </w:r>
      <w:r>
        <w:rPr>
          <w:rFonts w:hint="eastAsia" w:ascii="仿宋_GB2312" w:hAnsi="黑体" w:eastAsia="仿宋_GB2312" w:cs="黑体"/>
          <w:sz w:val="32"/>
          <w:szCs w:val="32"/>
        </w:rPr>
        <w:t>上一年年收入</w:t>
      </w:r>
      <w:r>
        <w:rPr>
          <w:rFonts w:hint="eastAsia" w:ascii="宋体" w:hAnsi="宋体" w:eastAsia="宋体" w:cs="宋体"/>
          <w:sz w:val="32"/>
          <w:szCs w:val="32"/>
          <w:lang w:val="en-US" w:eastAsia="zh-CN"/>
        </w:rPr>
        <w:t>6</w:t>
      </w:r>
      <w:r>
        <w:rPr>
          <w:rFonts w:hint="eastAsia" w:ascii="宋体" w:hAnsi="宋体" w:eastAsia="宋体" w:cs="宋体"/>
          <w:sz w:val="32"/>
          <w:szCs w:val="32"/>
        </w:rPr>
        <w:t>0</w:t>
      </w:r>
      <w:r>
        <w:rPr>
          <w:rFonts w:hint="eastAsia" w:ascii="仿宋_GB2312" w:hAnsi="黑体" w:eastAsia="仿宋_GB2312" w:cs="黑体"/>
          <w:sz w:val="32"/>
          <w:szCs w:val="32"/>
        </w:rPr>
        <w:t>%的罚款</w:t>
      </w:r>
      <w:r>
        <w:rPr>
          <w:rFonts w:hint="eastAsia" w:ascii="仿宋_GB2312" w:hAnsi="黑体" w:eastAsia="仿宋_GB2312" w:cs="黑体"/>
          <w:sz w:val="32"/>
          <w:szCs w:val="32"/>
          <w:lang w:eastAsia="zh-CN"/>
        </w:rPr>
        <w:t>。</w:t>
      </w:r>
      <w:r>
        <w:rPr>
          <w:rFonts w:eastAsia="仿宋_GB2312"/>
          <w:sz w:val="32"/>
          <w:szCs w:val="32"/>
        </w:rPr>
        <w:t>建议由区应急管理局对</w:t>
      </w:r>
      <w:r>
        <w:rPr>
          <w:rFonts w:hint="eastAsia" w:ascii="仿宋_GB2312" w:hAnsi="黑体" w:eastAsia="仿宋_GB2312" w:cs="黑体"/>
          <w:sz w:val="32"/>
          <w:szCs w:val="32"/>
          <w:lang w:val="en-US" w:eastAsia="zh-CN"/>
        </w:rPr>
        <w:t>王从德</w:t>
      </w:r>
      <w:r>
        <w:rPr>
          <w:rFonts w:hint="eastAsia" w:eastAsia="仿宋_GB2312"/>
          <w:sz w:val="32"/>
          <w:szCs w:val="32"/>
          <w:lang w:eastAsia="zh-CN"/>
        </w:rPr>
        <w:t>合并处罚，共计处</w:t>
      </w:r>
      <w:r>
        <w:rPr>
          <w:rFonts w:eastAsia="仿宋_GB2312"/>
          <w:sz w:val="32"/>
          <w:szCs w:val="32"/>
        </w:rPr>
        <w:t>上一年年收入</w:t>
      </w:r>
      <w:r>
        <w:rPr>
          <w:rFonts w:hint="eastAsia" w:ascii="宋体" w:hAnsi="宋体" w:eastAsia="宋体" w:cs="宋体"/>
          <w:sz w:val="32"/>
          <w:szCs w:val="32"/>
          <w:lang w:val="en-US" w:eastAsia="zh-CN"/>
        </w:rPr>
        <w:t>100</w:t>
      </w:r>
      <w:r>
        <w:rPr>
          <w:rFonts w:hint="eastAsia" w:ascii="仿宋_GB2312" w:hAnsi="Times New Roman" w:eastAsia="仿宋_GB2312" w:cs="仿宋_GB2312"/>
          <w:sz w:val="32"/>
          <w:szCs w:val="32"/>
          <w:lang w:val="en-US" w:eastAsia="zh-CN"/>
        </w:rPr>
        <w:t>%</w:t>
      </w:r>
      <w:r>
        <w:rPr>
          <w:rFonts w:eastAsia="仿宋_GB2312"/>
          <w:sz w:val="32"/>
          <w:szCs w:val="32"/>
        </w:rPr>
        <w:t>的罚款</w:t>
      </w:r>
      <w:r>
        <w:rPr>
          <w:rFonts w:hint="eastAsia" w:eastAsia="仿宋_GB2312"/>
          <w:sz w:val="32"/>
          <w:szCs w:val="32"/>
          <w:lang w:eastAsia="zh-CN"/>
        </w:rPr>
        <w:t>，共计人民币</w:t>
      </w:r>
      <w:r>
        <w:rPr>
          <w:rFonts w:hint="default" w:ascii="宋体" w:hAnsi="宋体" w:eastAsia="宋体" w:cs="宋体"/>
          <w:sz w:val="32"/>
          <w:szCs w:val="32"/>
          <w:lang w:val="en" w:eastAsia="zh-CN"/>
        </w:rPr>
        <w:t>10</w:t>
      </w:r>
      <w:r>
        <w:rPr>
          <w:rFonts w:hint="eastAsia" w:eastAsia="仿宋_GB2312"/>
          <w:sz w:val="32"/>
          <w:szCs w:val="32"/>
          <w:lang w:val="en-US" w:eastAsia="zh-CN"/>
        </w:rPr>
        <w:t>万元</w:t>
      </w:r>
      <w:r>
        <w:rPr>
          <w:rFonts w:eastAsia="仿宋_GB2312"/>
          <w:sz w:val="32"/>
          <w:szCs w:val="32"/>
        </w:rPr>
        <w:t>。</w:t>
      </w:r>
    </w:p>
    <w:p w14:paraId="4475BCA3">
      <w:pPr>
        <w:pStyle w:val="3"/>
        <w:bidi w:val="0"/>
        <w:rPr>
          <w:rFonts w:hint="eastAsia" w:eastAsia="楷体_GB2312"/>
          <w:lang w:eastAsia="zh-CN"/>
        </w:rPr>
      </w:pPr>
      <w:bookmarkStart w:id="74" w:name="_Toc9646"/>
      <w:r>
        <w:rPr>
          <w:rFonts w:hint="eastAsia"/>
        </w:rPr>
        <w:t>（</w:t>
      </w:r>
      <w:r>
        <w:rPr>
          <w:rFonts w:hint="eastAsia"/>
          <w:lang w:val="en-US" w:eastAsia="zh-CN"/>
        </w:rPr>
        <w:t>四</w:t>
      </w:r>
      <w:r>
        <w:t>）</w:t>
      </w:r>
      <w:r>
        <w:rPr>
          <w:rFonts w:hint="eastAsia"/>
          <w:lang w:eastAsia="zh-CN"/>
        </w:rPr>
        <w:t>其他处理建议</w:t>
      </w:r>
      <w:bookmarkEnd w:id="74"/>
    </w:p>
    <w:p w14:paraId="280EE00F">
      <w:pPr>
        <w:pStyle w:val="4"/>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该事故中存在涉嫌非法招用不满</w:t>
      </w:r>
      <w:r>
        <w:rPr>
          <w:rFonts w:hint="eastAsia" w:ascii="宋体" w:hAnsi="宋体" w:eastAsia="宋体" w:cs="宋体"/>
          <w:kern w:val="2"/>
          <w:sz w:val="32"/>
          <w:szCs w:val="32"/>
          <w:lang w:val="en-US" w:eastAsia="zh-CN" w:bidi="ar-SA"/>
        </w:rPr>
        <w:t>16</w:t>
      </w:r>
      <w:r>
        <w:rPr>
          <w:rFonts w:hint="eastAsia" w:ascii="仿宋_GB2312" w:hAnsi="仿宋_GB2312" w:eastAsia="仿宋_GB2312" w:cs="仿宋_GB2312"/>
          <w:sz w:val="32"/>
          <w:szCs w:val="32"/>
          <w:lang w:val="en-US" w:eastAsia="zh-CN"/>
        </w:rPr>
        <w:t>周岁的童工就业问题，已由区人力社保局立案调查。</w:t>
      </w:r>
    </w:p>
    <w:p w14:paraId="1FFD6C90">
      <w:pPr>
        <w:pStyle w:val="2"/>
        <w:bidi w:val="0"/>
        <w:rPr>
          <w:rFonts w:hint="eastAsia"/>
        </w:rPr>
      </w:pPr>
      <w:r>
        <w:rPr>
          <w:rFonts w:hint="eastAsia"/>
          <w:lang w:val="en-US" w:eastAsia="zh-CN"/>
        </w:rPr>
        <w:t xml:space="preserve"> </w:t>
      </w:r>
      <w:bookmarkStart w:id="75" w:name="_Toc1104"/>
      <w:bookmarkStart w:id="76" w:name="_Toc25512"/>
      <w:bookmarkStart w:id="77" w:name="_Toc22812"/>
      <w:r>
        <w:rPr>
          <w:rFonts w:hint="eastAsia"/>
          <w:lang w:eastAsia="zh-CN"/>
        </w:rPr>
        <w:t>六、</w:t>
      </w:r>
      <w:r>
        <w:t>事故防范和整改措施</w:t>
      </w:r>
      <w:r>
        <w:rPr>
          <w:rFonts w:hint="eastAsia"/>
        </w:rPr>
        <w:t>建议</w:t>
      </w:r>
      <w:bookmarkEnd w:id="75"/>
      <w:bookmarkEnd w:id="76"/>
      <w:bookmarkEnd w:id="77"/>
    </w:p>
    <w:p w14:paraId="5C29548C">
      <w:pPr>
        <w:pStyle w:val="4"/>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eastAsia="仿宋_GB2312"/>
          <w:sz w:val="32"/>
          <w:szCs w:val="32"/>
          <w:lang w:eastAsia="zh-CN"/>
        </w:rPr>
      </w:pPr>
      <w:r>
        <w:rPr>
          <w:rFonts w:hint="eastAsia" w:ascii="仿宋_GB2312" w:hAnsi="仿宋_GB2312" w:eastAsia="仿宋_GB2312" w:cs="仿宋_GB2312"/>
          <w:sz w:val="32"/>
          <w:szCs w:val="32"/>
          <w:lang w:val="en-US" w:eastAsia="zh-CN"/>
        </w:rPr>
        <w:t>德财恒鑫金属制品厂及相关人员</w:t>
      </w:r>
      <w:r>
        <w:rPr>
          <w:rFonts w:eastAsia="仿宋_GB2312"/>
          <w:sz w:val="32"/>
          <w:szCs w:val="32"/>
        </w:rPr>
        <w:t>要严格遵守《中华人民共和国安全生产法》</w:t>
      </w:r>
      <w:r>
        <w:rPr>
          <w:rFonts w:hint="eastAsia" w:eastAsia="仿宋_GB2312"/>
          <w:sz w:val="32"/>
          <w:szCs w:val="32"/>
          <w:lang w:eastAsia="zh-CN"/>
        </w:rPr>
        <w:t>《</w:t>
      </w:r>
      <w:r>
        <w:rPr>
          <w:rFonts w:eastAsia="仿宋_GB2312"/>
          <w:sz w:val="32"/>
          <w:szCs w:val="32"/>
        </w:rPr>
        <w:t>中华人民共和国</w:t>
      </w:r>
      <w:r>
        <w:rPr>
          <w:rFonts w:hint="eastAsia" w:eastAsia="仿宋_GB2312"/>
          <w:sz w:val="32"/>
          <w:szCs w:val="32"/>
          <w:lang w:val="en-US" w:eastAsia="zh-CN"/>
        </w:rPr>
        <w:t>劳动法</w:t>
      </w:r>
      <w:r>
        <w:rPr>
          <w:rFonts w:hint="eastAsia" w:eastAsia="仿宋_GB2312"/>
          <w:sz w:val="32"/>
          <w:szCs w:val="32"/>
          <w:lang w:eastAsia="zh-CN"/>
        </w:rPr>
        <w:t>》《生产安全事故报告和调查处理条例》</w:t>
      </w:r>
      <w:r>
        <w:rPr>
          <w:rFonts w:eastAsia="仿宋_GB2312"/>
          <w:sz w:val="32"/>
          <w:szCs w:val="32"/>
        </w:rPr>
        <w:t>《</w:t>
      </w:r>
      <w:r>
        <w:rPr>
          <w:rFonts w:hint="eastAsia" w:eastAsia="仿宋_GB2312"/>
          <w:sz w:val="32"/>
          <w:szCs w:val="32"/>
          <w:lang w:val="en-US" w:eastAsia="zh-CN"/>
        </w:rPr>
        <w:t>天津市生产经营单位安全生产主体责任规定</w:t>
      </w:r>
      <w:r>
        <w:rPr>
          <w:rFonts w:eastAsia="仿宋_GB2312"/>
          <w:sz w:val="32"/>
          <w:szCs w:val="32"/>
        </w:rPr>
        <w:t>》等法律法规的要求，</w:t>
      </w:r>
      <w:r>
        <w:rPr>
          <w:rFonts w:hint="eastAsia" w:eastAsia="仿宋_GB2312"/>
          <w:sz w:val="32"/>
          <w:szCs w:val="32"/>
          <w:lang w:eastAsia="zh-CN"/>
        </w:rPr>
        <w:t>依法</w:t>
      </w:r>
      <w:r>
        <w:rPr>
          <w:rFonts w:eastAsia="仿宋_GB2312"/>
          <w:sz w:val="32"/>
          <w:szCs w:val="32"/>
        </w:rPr>
        <w:t>落实安全生产责任，</w:t>
      </w:r>
      <w:r>
        <w:rPr>
          <w:rFonts w:hint="eastAsia" w:eastAsia="仿宋_GB2312"/>
          <w:sz w:val="32"/>
          <w:szCs w:val="32"/>
          <w:lang w:eastAsia="zh-CN"/>
        </w:rPr>
        <w:t>严格按照法律法规要求从事生产经营活动。</w:t>
      </w:r>
    </w:p>
    <w:p w14:paraId="0D4E87C2">
      <w:pPr>
        <w:pStyle w:val="4"/>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仿宋_GB2312" w:hAnsi="仿宋_GB2312" w:eastAsia="仿宋_GB2312" w:cs="仿宋_GB2312"/>
          <w:sz w:val="32"/>
          <w:szCs w:val="32"/>
          <w:lang w:val="en-US" w:eastAsia="zh-CN"/>
        </w:rPr>
      </w:pPr>
      <w:r>
        <w:rPr>
          <w:rFonts w:hint="eastAsia" w:ascii="宋体" w:hAnsi="宋体" w:eastAsia="宋体" w:cs="宋体"/>
          <w:sz w:val="32"/>
          <w:szCs w:val="32"/>
          <w:lang w:val="en-US" w:eastAsia="zh-CN"/>
        </w:rPr>
        <w:t>1</w:t>
      </w:r>
      <w:r>
        <w:rPr>
          <w:rFonts w:hint="eastAsia" w:ascii="仿宋_GB2312" w:hAnsi="仿宋_GB2312" w:eastAsia="仿宋_GB2312" w:cs="仿宋_GB2312"/>
          <w:sz w:val="32"/>
          <w:szCs w:val="32"/>
          <w:lang w:val="en-US" w:eastAsia="zh-CN"/>
        </w:rPr>
        <w:t>.将生产经营项目、场所、设备出租给其他单位时应对承租单位的资质进行核查，确保其具备必要的安全生产条件及相应资质。</w:t>
      </w:r>
    </w:p>
    <w:p w14:paraId="147B0EF4">
      <w:pPr>
        <w:pStyle w:val="4"/>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仿宋_GB2312" w:hAnsi="仿宋_GB2312" w:eastAsia="仿宋_GB2312" w:cs="仿宋_GB2312"/>
          <w:sz w:val="32"/>
          <w:szCs w:val="32"/>
          <w:lang w:val="en-US" w:eastAsia="zh-CN"/>
        </w:rPr>
      </w:pPr>
      <w:r>
        <w:rPr>
          <w:rFonts w:hint="eastAsia" w:ascii="宋体" w:hAnsi="宋体" w:eastAsia="宋体" w:cs="宋体"/>
          <w:sz w:val="32"/>
          <w:szCs w:val="32"/>
          <w:lang w:val="en-US" w:eastAsia="zh-CN"/>
        </w:rPr>
        <w:t>2.</w:t>
      </w:r>
      <w:r>
        <w:rPr>
          <w:rFonts w:hint="eastAsia" w:ascii="仿宋_GB2312" w:hAnsi="仿宋_GB2312" w:eastAsia="仿宋_GB2312" w:cs="仿宋_GB2312"/>
          <w:sz w:val="32"/>
          <w:szCs w:val="32"/>
          <w:lang w:val="en-US" w:eastAsia="zh-CN"/>
        </w:rPr>
        <w:t>要履行隐患排查治理责任，建立健全并落实生产安全事故隐患排查治理制度，明确厂区内所有从业人员的事故隐患排查治理责任及范围；编制事故隐患排查清单，明确事故隐患排查事项、排查标准和责任人等内容，建立事故隐患排查治理台账，如实记录排查时间、隐患内容、具体位置、隐患排查人、整改措施、整改责任人、整改完成时限、资金保障、整改验收等内容。</w:t>
      </w:r>
    </w:p>
    <w:p w14:paraId="2E6C8011">
      <w:pPr>
        <w:pStyle w:val="4"/>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仿宋_GB2312" w:hAnsi="仿宋_GB2312" w:eastAsia="仿宋_GB2312" w:cs="仿宋_GB2312"/>
          <w:sz w:val="32"/>
          <w:szCs w:val="32"/>
          <w:lang w:val="en-US" w:eastAsia="zh-CN"/>
        </w:rPr>
      </w:pPr>
      <w:r>
        <w:rPr>
          <w:rFonts w:hint="eastAsia" w:ascii="宋体" w:hAnsi="宋体" w:eastAsia="宋体" w:cs="宋体"/>
          <w:sz w:val="32"/>
          <w:szCs w:val="32"/>
          <w:lang w:val="en-US" w:eastAsia="zh-CN"/>
        </w:rPr>
        <w:t>3.</w:t>
      </w:r>
      <w:r>
        <w:rPr>
          <w:rFonts w:hint="eastAsia" w:ascii="仿宋_GB2312" w:hAnsi="仿宋_GB2312" w:eastAsia="仿宋_GB2312" w:cs="仿宋_GB2312"/>
          <w:sz w:val="32"/>
          <w:szCs w:val="32"/>
          <w:lang w:val="en-US" w:eastAsia="zh-CN"/>
        </w:rPr>
        <w:t>要对厂区内从业人员进行安全生产教育和培训，尤其是要开展风险教育和技能培训，保证从业人员具备必要的安全生产知识，确保从业人员掌握安全风险的基本情况、管控措施及应急处置措施。</w:t>
      </w:r>
    </w:p>
    <w:p w14:paraId="729FF06E">
      <w:pPr>
        <w:pStyle w:val="4"/>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仿宋_GB2312" w:hAnsi="仿宋_GB2312" w:eastAsia="仿宋_GB2312" w:cs="仿宋_GB2312"/>
          <w:sz w:val="32"/>
          <w:szCs w:val="32"/>
          <w:lang w:val="en-US" w:eastAsia="zh-CN"/>
        </w:rPr>
      </w:pPr>
      <w:r>
        <w:rPr>
          <w:rFonts w:hint="eastAsia" w:ascii="宋体" w:hAnsi="宋体" w:eastAsia="宋体" w:cs="宋体"/>
          <w:sz w:val="32"/>
          <w:szCs w:val="32"/>
          <w:lang w:val="en-US" w:eastAsia="zh-CN"/>
        </w:rPr>
        <w:t>4.</w:t>
      </w:r>
      <w:r>
        <w:rPr>
          <w:rFonts w:hint="eastAsia" w:ascii="仿宋_GB2312" w:hAnsi="仿宋_GB2312" w:eastAsia="仿宋_GB2312" w:cs="仿宋_GB2312"/>
          <w:sz w:val="32"/>
          <w:szCs w:val="32"/>
          <w:lang w:val="en-US" w:eastAsia="zh-CN"/>
        </w:rPr>
        <w:t>加强对《</w:t>
      </w:r>
      <w:r>
        <w:rPr>
          <w:rFonts w:eastAsia="仿宋_GB2312"/>
          <w:sz w:val="32"/>
          <w:szCs w:val="32"/>
        </w:rPr>
        <w:t>中华人民共和国</w:t>
      </w:r>
      <w:r>
        <w:rPr>
          <w:rFonts w:hint="eastAsia" w:eastAsia="仿宋_GB2312"/>
          <w:sz w:val="32"/>
          <w:szCs w:val="32"/>
          <w:lang w:val="en-US" w:eastAsia="zh-CN"/>
        </w:rPr>
        <w:t>劳动法</w:t>
      </w:r>
      <w:r>
        <w:rPr>
          <w:rFonts w:hint="eastAsia" w:ascii="仿宋_GB2312" w:hAnsi="仿宋_GB2312" w:eastAsia="仿宋_GB2312" w:cs="仿宋_GB2312"/>
          <w:sz w:val="32"/>
          <w:szCs w:val="32"/>
          <w:lang w:val="en-US" w:eastAsia="zh-CN"/>
        </w:rPr>
        <w:t>》《中华人民共和国劳动合同法》《禁止使用童工规定》等相关法律法规学习，依法依规用工，拒绝使用童工。加强日常用工管理，在招录员工时应认真审核员工的基本信息、身份证明材料，仔细核对照片，并通过审查学历文凭等方式确定员工实际年龄。对企业内年龄偏小的员工主动询问、核实情况，发现问题立即纠正，杜绝违法使用童工的情况发生。</w:t>
      </w:r>
    </w:p>
    <w:p w14:paraId="36E28D32">
      <w:pPr>
        <w:pStyle w:val="4"/>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仿宋_GB2312" w:hAnsi="黑体" w:eastAsia="仿宋_GB2312" w:cs="黑体"/>
          <w:sz w:val="32"/>
          <w:szCs w:val="32"/>
        </w:rPr>
      </w:pPr>
      <w:r>
        <w:rPr>
          <w:rFonts w:hint="eastAsia" w:ascii="宋体" w:hAnsi="宋体" w:eastAsia="宋体" w:cs="宋体"/>
          <w:sz w:val="32"/>
          <w:szCs w:val="32"/>
          <w:lang w:val="en-US" w:eastAsia="zh-CN"/>
        </w:rPr>
        <w:t>5</w:t>
      </w:r>
      <w:r>
        <w:rPr>
          <w:rFonts w:hint="eastAsia" w:ascii="仿宋_GB2312" w:hAnsi="仿宋_GB2312" w:eastAsia="仿宋_GB2312" w:cs="仿宋_GB2312"/>
          <w:sz w:val="32"/>
          <w:szCs w:val="32"/>
          <w:lang w:val="en-US" w:eastAsia="zh-CN"/>
        </w:rPr>
        <w:t>.加强《中华人民共和国安全生产法》《生产安全事故报告和调查处理条例》等法律法规的学习，提高安全生产管理水平，及时、如实报告生产安全事故。</w:t>
      </w:r>
    </w:p>
    <w:sectPr>
      <w:footerReference r:id="rId8" w:type="default"/>
      <w:pgSz w:w="11906" w:h="16838"/>
      <w:pgMar w:top="2098" w:right="1474" w:bottom="1984" w:left="1587" w:header="851" w:footer="1701" w:gutter="0"/>
      <w:pgNumType w:fmt="numberInDash"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swiss"/>
    <w:pitch w:val="default"/>
    <w:sig w:usb0="80000287" w:usb1="280F3C52" w:usb2="00000016" w:usb3="00000000" w:csb0="0004001F" w:csb1="00000000"/>
  </w:font>
  <w:font w:name="楷体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_GBK">
    <w:panose1 w:val="02000000000000000000"/>
    <w:charset w:val="86"/>
    <w:family w:val="auto"/>
    <w:pitch w:val="default"/>
    <w:sig w:usb0="A00002BF" w:usb1="38CF7CFA" w:usb2="00082016" w:usb3="00000000" w:csb0="00040001"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FB732F">
    <w:pPr>
      <w:pStyle w:val="9"/>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7397C7">
    <w:pPr>
      <w:pStyle w:val="9"/>
      <w:framePr w:wrap="around" w:vAnchor="text" w:hAnchor="margin" w:xAlign="center" w:y="1"/>
      <w:rPr>
        <w:rStyle w:val="18"/>
      </w:rPr>
    </w:pPr>
    <w:r>
      <w:fldChar w:fldCharType="begin"/>
    </w:r>
    <w:r>
      <w:rPr>
        <w:rStyle w:val="18"/>
      </w:rPr>
      <w:instrText xml:space="preserve">PAGE  </w:instrText>
    </w:r>
    <w:r>
      <w:fldChar w:fldCharType="end"/>
    </w:r>
  </w:p>
  <w:p w14:paraId="0CB3631D">
    <w:pPr>
      <w:pStyle w:val="9"/>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8D1B2E">
    <w:pPr>
      <w:pStyle w:val="9"/>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B9EE57">
    <w:pPr>
      <w:pStyle w:val="9"/>
      <w:ind w:right="360"/>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6"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103B2DD">
                          <w:pPr>
                            <w:pStyle w:val="9"/>
                            <w:rPr>
                              <w:rStyle w:val="18"/>
                              <w:sz w:val="28"/>
                              <w:szCs w:val="28"/>
                            </w:rPr>
                          </w:pPr>
                          <w:r>
                            <w:rPr>
                              <w:rFonts w:hint="eastAsia" w:ascii="宋体" w:hAnsi="宋体" w:cs="宋体"/>
                              <w:sz w:val="28"/>
                              <w:szCs w:val="28"/>
                            </w:rPr>
                            <w:fldChar w:fldCharType="begin"/>
                          </w:r>
                          <w:r>
                            <w:rPr>
                              <w:rStyle w:val="18"/>
                              <w:rFonts w:hint="eastAsia" w:ascii="宋体" w:hAnsi="宋体" w:cs="宋体"/>
                              <w:sz w:val="28"/>
                              <w:szCs w:val="28"/>
                            </w:rPr>
                            <w:instrText xml:space="preserve">PAGE  </w:instrText>
                          </w:r>
                          <w:r>
                            <w:rPr>
                              <w:rFonts w:hint="eastAsia" w:ascii="宋体" w:hAnsi="宋体" w:cs="宋体"/>
                              <w:sz w:val="28"/>
                              <w:szCs w:val="28"/>
                            </w:rPr>
                            <w:fldChar w:fldCharType="separate"/>
                          </w:r>
                          <w:r>
                            <w:rPr>
                              <w:rStyle w:val="18"/>
                              <w:rFonts w:ascii="宋体" w:hAnsi="宋体" w:cs="宋体"/>
                              <w:sz w:val="28"/>
                              <w:szCs w:val="28"/>
                            </w:rPr>
                            <w:t>- 1 -</w:t>
                          </w:r>
                          <w:r>
                            <w:rPr>
                              <w:rFonts w:hint="eastAsia" w:ascii="宋体" w:hAnsi="宋体" w:cs="宋体"/>
                              <w:sz w:val="28"/>
                              <w:szCs w:val="28"/>
                            </w:rPr>
                            <w:fldChar w:fldCharType="end"/>
                          </w:r>
                        </w:p>
                      </w:txbxContent>
                    </wps:txbx>
                    <wps:bodyPr wrap="none" lIns="0" tIns="0" rIns="0" bIns="0" upright="1">
                      <a:spAutoFit/>
                    </wps:bodyPr>
                  </wps:wsp>
                </a:graphicData>
              </a:graphic>
            </wp:anchor>
          </w:drawing>
        </mc:Choice>
        <mc:Fallback>
          <w:pict>
            <v:shape id="文本框 3"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PF5s5yQEAAJkDAAAOAAAAAAAAAAEAIAAAAB4BAABkcnMvZTJvRG9j&#10;LnhtbFBLBQYAAAAABgAGAFkBAABZBQAAAAA=&#10;">
              <v:fill on="f" focussize="0,0"/>
              <v:stroke on="f"/>
              <v:imagedata o:title=""/>
              <o:lock v:ext="edit" aspectratio="f"/>
              <v:textbox inset="0mm,0mm,0mm,0mm" style="mso-fit-shape-to-text:t;">
                <w:txbxContent>
                  <w:p w14:paraId="3103B2DD">
                    <w:pPr>
                      <w:pStyle w:val="9"/>
                      <w:rPr>
                        <w:rStyle w:val="18"/>
                        <w:sz w:val="28"/>
                        <w:szCs w:val="28"/>
                      </w:rPr>
                    </w:pPr>
                    <w:r>
                      <w:rPr>
                        <w:rFonts w:hint="eastAsia" w:ascii="宋体" w:hAnsi="宋体" w:cs="宋体"/>
                        <w:sz w:val="28"/>
                        <w:szCs w:val="28"/>
                      </w:rPr>
                      <w:fldChar w:fldCharType="begin"/>
                    </w:r>
                    <w:r>
                      <w:rPr>
                        <w:rStyle w:val="18"/>
                        <w:rFonts w:hint="eastAsia" w:ascii="宋体" w:hAnsi="宋体" w:cs="宋体"/>
                        <w:sz w:val="28"/>
                        <w:szCs w:val="28"/>
                      </w:rPr>
                      <w:instrText xml:space="preserve">PAGE  </w:instrText>
                    </w:r>
                    <w:r>
                      <w:rPr>
                        <w:rFonts w:hint="eastAsia" w:ascii="宋体" w:hAnsi="宋体" w:cs="宋体"/>
                        <w:sz w:val="28"/>
                        <w:szCs w:val="28"/>
                      </w:rPr>
                      <w:fldChar w:fldCharType="separate"/>
                    </w:r>
                    <w:r>
                      <w:rPr>
                        <w:rStyle w:val="18"/>
                        <w:rFonts w:ascii="宋体" w:hAnsi="宋体" w:cs="宋体"/>
                        <w:sz w:val="28"/>
                        <w:szCs w:val="28"/>
                      </w:rPr>
                      <w:t>- 1 -</w:t>
                    </w:r>
                    <w:r>
                      <w:rPr>
                        <w:rFonts w:hint="eastAsia" w:ascii="宋体" w:hAnsi="宋体" w:cs="宋体"/>
                        <w:sz w:val="28"/>
                        <w:szCs w:val="28"/>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0">
    <w:p>
      <w:r>
        <w:separator/>
      </w:r>
    </w:p>
  </w:footnote>
  <w:footnote w:type="continuationSeparator" w:id="21">
    <w:p>
      <w:r>
        <w:continuationSeparator/>
      </w:r>
    </w:p>
  </w:footnote>
  <w:footnote w:id="0">
    <w:p w14:paraId="65D167E7">
      <w:pPr>
        <w:pStyle w:val="12"/>
        <w:snapToGrid w:val="0"/>
        <w:rPr>
          <w:rFonts w:hint="eastAsia" w:ascii="宋体" w:hAnsi="宋体" w:eastAsia="宋体" w:cs="宋体"/>
          <w:lang w:eastAsia="zh-CN"/>
        </w:rPr>
      </w:pPr>
      <w:r>
        <w:rPr>
          <w:rFonts w:hint="eastAsia" w:ascii="宋体" w:hAnsi="宋体" w:eastAsia="宋体" w:cs="宋体"/>
          <w:lang w:val="en-US" w:eastAsia="zh-CN"/>
        </w:rPr>
        <w:t>[</w:t>
      </w:r>
      <w:r>
        <w:rPr>
          <w:rFonts w:hint="eastAsia" w:ascii="宋体" w:hAnsi="宋体" w:eastAsia="宋体" w:cs="宋体"/>
          <w:lang w:val="en-US" w:eastAsia="zh-CN"/>
        </w:rPr>
        <w:footnoteRef/>
      </w:r>
      <w:r>
        <w:rPr>
          <w:rFonts w:hint="eastAsia" w:ascii="宋体" w:hAnsi="宋体" w:eastAsia="宋体" w:cs="宋体"/>
          <w:lang w:val="en-US" w:eastAsia="zh-CN"/>
        </w:rPr>
        <w:t>]</w:t>
      </w:r>
      <w:r>
        <w:rPr>
          <w:rFonts w:hint="eastAsia" w:ascii="宋体" w:hAnsi="宋体" w:eastAsia="宋体" w:cs="宋体"/>
          <w:lang w:eastAsia="zh-CN"/>
        </w:rPr>
        <w:t>《中华人民共和国安全生产法》第</w:t>
      </w:r>
      <w:r>
        <w:rPr>
          <w:rFonts w:hint="eastAsia" w:ascii="宋体" w:hAnsi="宋体" w:eastAsia="宋体" w:cs="宋体"/>
          <w:lang w:val="en-US" w:eastAsia="zh-CN"/>
        </w:rPr>
        <w:t>四十九</w:t>
      </w:r>
      <w:r>
        <w:rPr>
          <w:rFonts w:hint="eastAsia" w:ascii="宋体" w:hAnsi="宋体" w:eastAsia="宋体" w:cs="宋体"/>
          <w:lang w:eastAsia="zh-CN"/>
        </w:rPr>
        <w:t>条</w:t>
      </w:r>
      <w:r>
        <w:rPr>
          <w:rFonts w:hint="eastAsia" w:ascii="宋体" w:hAnsi="宋体" w:eastAsia="宋体" w:cs="宋体"/>
          <w:lang w:val="en-US" w:eastAsia="zh-CN"/>
        </w:rPr>
        <w:t>第一款</w:t>
      </w:r>
      <w:r>
        <w:rPr>
          <w:rFonts w:hint="eastAsia" w:ascii="宋体" w:hAnsi="宋体" w:eastAsia="宋体" w:cs="宋体"/>
          <w:lang w:eastAsia="zh-CN"/>
        </w:rPr>
        <w:t>：生产经营单位不得将生产经营项目、场所、设备发包或者出租给不具备安全生产条件或者相应资质的单位或者个人。</w:t>
      </w:r>
    </w:p>
  </w:footnote>
  <w:footnote w:id="1">
    <w:p w14:paraId="039E4543">
      <w:pPr>
        <w:pStyle w:val="12"/>
        <w:keepNext w:val="0"/>
        <w:keepLines w:val="0"/>
        <w:pageBreakBefore w:val="0"/>
        <w:widowControl w:val="0"/>
        <w:kinsoku/>
        <w:wordWrap/>
        <w:overflowPunct/>
        <w:topLinePunct w:val="0"/>
        <w:autoSpaceDE/>
        <w:autoSpaceDN/>
        <w:bidi w:val="0"/>
        <w:adjustRightInd/>
        <w:snapToGrid w:val="0"/>
        <w:spacing w:line="240" w:lineRule="auto"/>
        <w:ind w:firstLine="0" w:firstLineChars="0"/>
        <w:jc w:val="left"/>
        <w:textAlignment w:val="auto"/>
        <w:rPr>
          <w:rFonts w:hint="eastAsia" w:ascii="宋体" w:hAnsi="宋体" w:eastAsia="宋体" w:cs="宋体"/>
          <w:lang w:val="en-US" w:eastAsia="zh-CN"/>
        </w:rPr>
      </w:pPr>
      <w:r>
        <w:rPr>
          <w:rFonts w:hint="eastAsia" w:ascii="宋体" w:hAnsi="宋体" w:eastAsia="宋体" w:cs="宋体"/>
          <w:lang w:val="en-US" w:eastAsia="zh-CN"/>
        </w:rPr>
        <w:t>[</w:t>
      </w:r>
      <w:r>
        <w:rPr>
          <w:rFonts w:hint="eastAsia" w:ascii="宋体" w:hAnsi="宋体" w:eastAsia="宋体" w:cs="宋体"/>
          <w:lang w:val="en-US" w:eastAsia="zh-CN"/>
        </w:rPr>
        <w:footnoteRef/>
      </w:r>
      <w:r>
        <w:rPr>
          <w:rFonts w:hint="eastAsia" w:ascii="宋体" w:hAnsi="宋体" w:eastAsia="宋体" w:cs="宋体"/>
          <w:lang w:val="en-US" w:eastAsia="zh-CN"/>
        </w:rPr>
        <w:t>]</w:t>
      </w:r>
      <w:r>
        <w:rPr>
          <w:rFonts w:hint="eastAsia" w:ascii="宋体" w:hAnsi="宋体" w:eastAsia="宋体" w:cs="宋体"/>
          <w:lang w:eastAsia="zh-CN"/>
        </w:rPr>
        <w:t>《中华人民共和国安全生产法》第</w:t>
      </w:r>
      <w:r>
        <w:rPr>
          <w:rFonts w:hint="eastAsia" w:ascii="宋体" w:hAnsi="宋体" w:eastAsia="宋体" w:cs="宋体"/>
          <w:lang w:val="en-US" w:eastAsia="zh-CN"/>
        </w:rPr>
        <w:t>二十八</w:t>
      </w:r>
      <w:r>
        <w:rPr>
          <w:rFonts w:hint="eastAsia" w:ascii="宋体" w:hAnsi="宋体" w:eastAsia="宋体" w:cs="宋体"/>
          <w:lang w:eastAsia="zh-CN"/>
        </w:rPr>
        <w:t>条</w:t>
      </w:r>
      <w:r>
        <w:rPr>
          <w:rFonts w:hint="eastAsia" w:ascii="宋体" w:hAnsi="宋体" w:eastAsia="宋体" w:cs="宋体"/>
          <w:lang w:val="en-US" w:eastAsia="zh-CN"/>
        </w:rPr>
        <w:t>第一款</w:t>
      </w:r>
      <w:r>
        <w:rPr>
          <w:rFonts w:hint="eastAsia" w:ascii="宋体" w:hAnsi="宋体" w:eastAsia="宋体" w:cs="宋体"/>
          <w:lang w:eastAsia="zh-CN"/>
        </w:rPr>
        <w:t>：</w:t>
      </w:r>
      <w:r>
        <w:rPr>
          <w:rFonts w:hint="eastAsia" w:ascii="宋体" w:hAnsi="宋体" w:eastAsia="宋体" w:cs="宋体"/>
          <w:lang w:val="en-US" w:eastAsia="zh-CN"/>
        </w:rPr>
        <w:t>生产经营单位应当对从业人员进行安全生产教育和培训，保证从业人员具备必要的安全生产知识</w:t>
      </w:r>
      <w:r>
        <w:rPr>
          <w:rFonts w:hint="eastAsia" w:ascii="宋体" w:hAnsi="宋体" w:eastAsia="宋体" w:cs="宋体"/>
          <w:lang w:eastAsia="zh-CN"/>
        </w:rPr>
        <w:t>……</w:t>
      </w:r>
    </w:p>
  </w:footnote>
  <w:footnote w:id="2">
    <w:p w14:paraId="0BB5B823">
      <w:pPr>
        <w:pStyle w:val="12"/>
        <w:keepNext w:val="0"/>
        <w:keepLines w:val="0"/>
        <w:pageBreakBefore w:val="0"/>
        <w:widowControl w:val="0"/>
        <w:kinsoku/>
        <w:wordWrap/>
        <w:overflowPunct/>
        <w:topLinePunct w:val="0"/>
        <w:autoSpaceDE/>
        <w:autoSpaceDN/>
        <w:bidi w:val="0"/>
        <w:adjustRightInd/>
        <w:snapToGrid w:val="0"/>
        <w:spacing w:line="240" w:lineRule="auto"/>
        <w:ind w:firstLine="0" w:firstLineChars="0"/>
        <w:jc w:val="left"/>
        <w:textAlignment w:val="auto"/>
        <w:rPr>
          <w:rFonts w:hint="eastAsia" w:ascii="宋体" w:hAnsi="宋体" w:eastAsia="宋体" w:cs="宋体"/>
          <w:lang w:val="en-US" w:eastAsia="zh-CN"/>
        </w:rPr>
      </w:pPr>
      <w:r>
        <w:rPr>
          <w:rFonts w:hint="eastAsia" w:ascii="宋体" w:hAnsi="宋体" w:eastAsia="宋体" w:cs="宋体"/>
          <w:lang w:val="en-US" w:eastAsia="zh-CN"/>
        </w:rPr>
        <w:t>[</w:t>
      </w:r>
      <w:r>
        <w:rPr>
          <w:rFonts w:hint="eastAsia" w:ascii="宋体" w:hAnsi="宋体" w:eastAsia="宋体" w:cs="宋体"/>
          <w:lang w:val="en-US" w:eastAsia="zh-CN"/>
        </w:rPr>
        <w:footnoteRef/>
      </w:r>
      <w:r>
        <w:rPr>
          <w:rFonts w:hint="eastAsia" w:ascii="宋体" w:hAnsi="宋体" w:eastAsia="宋体" w:cs="宋体"/>
          <w:lang w:val="en-US" w:eastAsia="zh-CN"/>
        </w:rPr>
        <w:t>]</w:t>
      </w:r>
      <w:r>
        <w:rPr>
          <w:rFonts w:hint="eastAsia" w:ascii="宋体" w:hAnsi="宋体" w:eastAsia="宋体" w:cs="宋体"/>
          <w:lang w:eastAsia="zh-CN"/>
        </w:rPr>
        <w:t>《中华人民共和国安全生产法》第</w:t>
      </w:r>
      <w:r>
        <w:rPr>
          <w:rFonts w:hint="eastAsia" w:ascii="宋体" w:hAnsi="宋体" w:eastAsia="宋体" w:cs="宋体"/>
          <w:lang w:val="en-US" w:eastAsia="zh-CN"/>
        </w:rPr>
        <w:t>四十一</w:t>
      </w:r>
      <w:r>
        <w:rPr>
          <w:rFonts w:hint="eastAsia" w:ascii="宋体" w:hAnsi="宋体" w:eastAsia="宋体" w:cs="宋体"/>
          <w:lang w:eastAsia="zh-CN"/>
        </w:rPr>
        <w:t>条</w:t>
      </w:r>
      <w:r>
        <w:rPr>
          <w:rFonts w:hint="eastAsia" w:ascii="宋体" w:hAnsi="宋体" w:eastAsia="宋体" w:cs="宋体"/>
          <w:lang w:val="en-US" w:eastAsia="zh-CN"/>
        </w:rPr>
        <w:t>第二款</w:t>
      </w:r>
      <w:r>
        <w:rPr>
          <w:rFonts w:hint="eastAsia" w:ascii="宋体" w:hAnsi="宋体" w:eastAsia="宋体" w:cs="宋体"/>
          <w:lang w:eastAsia="zh-CN"/>
        </w:rPr>
        <w:t>：生产经营单位应当建立健全并落实生产安全事故隐患排查治理制度，采取技术、管理措施，及时发现并消除事故隐患……</w:t>
      </w:r>
    </w:p>
  </w:footnote>
  <w:footnote w:id="3">
    <w:p w14:paraId="6269F23A">
      <w:pPr>
        <w:pStyle w:val="12"/>
        <w:keepNext w:val="0"/>
        <w:keepLines w:val="0"/>
        <w:pageBreakBefore w:val="0"/>
        <w:widowControl w:val="0"/>
        <w:kinsoku/>
        <w:wordWrap/>
        <w:overflowPunct/>
        <w:topLinePunct w:val="0"/>
        <w:autoSpaceDE/>
        <w:autoSpaceDN/>
        <w:bidi w:val="0"/>
        <w:adjustRightInd/>
        <w:snapToGrid w:val="0"/>
        <w:spacing w:line="240" w:lineRule="auto"/>
        <w:ind w:firstLine="0" w:firstLineChars="0"/>
        <w:jc w:val="left"/>
        <w:textAlignment w:val="auto"/>
        <w:rPr>
          <w:rFonts w:hint="eastAsia" w:ascii="宋体" w:hAnsi="宋体" w:eastAsia="宋体" w:cs="宋体"/>
          <w:lang w:val="en-US" w:eastAsia="zh-CN"/>
        </w:rPr>
      </w:pPr>
      <w:r>
        <w:rPr>
          <w:rFonts w:hint="eastAsia" w:ascii="宋体" w:hAnsi="宋体" w:eastAsia="宋体" w:cs="宋体"/>
          <w:lang w:val="en-US" w:eastAsia="zh-CN"/>
        </w:rPr>
        <w:t>[</w:t>
      </w:r>
      <w:r>
        <w:rPr>
          <w:rFonts w:hint="eastAsia" w:ascii="宋体" w:hAnsi="宋体" w:eastAsia="宋体" w:cs="宋体"/>
          <w:lang w:val="en-US" w:eastAsia="zh-CN"/>
        </w:rPr>
        <w:footnoteRef/>
      </w:r>
      <w:r>
        <w:rPr>
          <w:rFonts w:hint="eastAsia" w:ascii="宋体" w:hAnsi="宋体" w:eastAsia="宋体" w:cs="宋体"/>
          <w:lang w:val="en-US" w:eastAsia="zh-CN"/>
        </w:rPr>
        <w:t>]</w:t>
      </w:r>
      <w:r>
        <w:rPr>
          <w:rFonts w:hint="eastAsia" w:ascii="宋体" w:hAnsi="宋体" w:eastAsia="宋体" w:cs="宋体"/>
          <w:lang w:eastAsia="zh-CN"/>
        </w:rPr>
        <w:t>《中华人民共和国安全生产法》第</w:t>
      </w:r>
      <w:r>
        <w:rPr>
          <w:rFonts w:hint="eastAsia" w:ascii="宋体" w:hAnsi="宋体" w:eastAsia="宋体" w:cs="宋体"/>
          <w:lang w:val="en-US" w:eastAsia="zh-CN"/>
        </w:rPr>
        <w:t>四十九</w:t>
      </w:r>
      <w:r>
        <w:rPr>
          <w:rFonts w:hint="eastAsia" w:ascii="宋体" w:hAnsi="宋体" w:eastAsia="宋体" w:cs="宋体"/>
          <w:lang w:eastAsia="zh-CN"/>
        </w:rPr>
        <w:t>条</w:t>
      </w:r>
      <w:r>
        <w:rPr>
          <w:rFonts w:hint="eastAsia" w:ascii="宋体" w:hAnsi="宋体" w:eastAsia="宋体" w:cs="宋体"/>
          <w:lang w:val="en-US" w:eastAsia="zh-CN"/>
        </w:rPr>
        <w:t>第二款</w:t>
      </w:r>
      <w:r>
        <w:rPr>
          <w:rFonts w:hint="eastAsia" w:ascii="宋体" w:hAnsi="宋体" w:eastAsia="宋体" w:cs="宋体"/>
          <w:lang w:eastAsia="zh-CN"/>
        </w:rPr>
        <w:t>：……生产经营单位对承包单位、承租单位的安全生产工作统一协调、管理，定期进行安全检查，发现安全问题的，应当及时督促整改。</w:t>
      </w:r>
    </w:p>
  </w:footnote>
  <w:footnote w:id="4">
    <w:p w14:paraId="743804E1">
      <w:pPr>
        <w:pStyle w:val="12"/>
        <w:keepNext w:val="0"/>
        <w:keepLines w:val="0"/>
        <w:pageBreakBefore w:val="0"/>
        <w:widowControl w:val="0"/>
        <w:kinsoku/>
        <w:wordWrap/>
        <w:overflowPunct/>
        <w:topLinePunct w:val="0"/>
        <w:autoSpaceDE/>
        <w:autoSpaceDN/>
        <w:bidi w:val="0"/>
        <w:adjustRightInd/>
        <w:snapToGrid w:val="0"/>
        <w:spacing w:line="240" w:lineRule="auto"/>
        <w:ind w:firstLine="0" w:firstLineChars="0"/>
        <w:jc w:val="left"/>
        <w:textAlignment w:val="auto"/>
        <w:rPr>
          <w:rFonts w:hint="eastAsia" w:ascii="宋体" w:hAnsi="宋体" w:eastAsia="宋体" w:cs="宋体"/>
          <w:lang w:val="en-US" w:eastAsia="zh-CN"/>
        </w:rPr>
      </w:pPr>
      <w:r>
        <w:rPr>
          <w:rFonts w:hint="eastAsia" w:ascii="宋体" w:hAnsi="宋体" w:eastAsia="宋体" w:cs="宋体"/>
          <w:lang w:val="en-US" w:eastAsia="zh-CN"/>
        </w:rPr>
        <w:t>[</w:t>
      </w:r>
      <w:r>
        <w:rPr>
          <w:rFonts w:hint="eastAsia" w:ascii="宋体" w:hAnsi="宋体" w:eastAsia="宋体" w:cs="宋体"/>
          <w:lang w:val="en-US" w:eastAsia="zh-CN"/>
        </w:rPr>
        <w:footnoteRef/>
      </w:r>
      <w:r>
        <w:rPr>
          <w:rFonts w:hint="eastAsia" w:ascii="宋体" w:hAnsi="宋体" w:eastAsia="宋体" w:cs="宋体"/>
          <w:lang w:val="en-US" w:eastAsia="zh-CN"/>
        </w:rPr>
        <w:t>]</w:t>
      </w:r>
      <w:r>
        <w:rPr>
          <w:rFonts w:hint="default" w:ascii="宋体" w:hAnsi="宋体" w:eastAsia="宋体" w:cs="宋体"/>
          <w:lang w:val="en-US" w:eastAsia="zh-CN"/>
        </w:rPr>
        <w:t>《生产设备安全卫生设计总则》GB5083-1999 5.7 其工作空间应保证操作人员的头、臂、手、腿、足在正常作业中有充分的活动余地。危险作业点应留有足够的退避空间。</w:t>
      </w:r>
    </w:p>
  </w:footnote>
  <w:footnote w:id="5">
    <w:p w14:paraId="71BEC99A">
      <w:pPr>
        <w:pStyle w:val="12"/>
        <w:keepNext w:val="0"/>
        <w:keepLines w:val="0"/>
        <w:pageBreakBefore w:val="0"/>
        <w:widowControl w:val="0"/>
        <w:kinsoku/>
        <w:wordWrap/>
        <w:overflowPunct/>
        <w:topLinePunct w:val="0"/>
        <w:autoSpaceDE/>
        <w:autoSpaceDN/>
        <w:bidi w:val="0"/>
        <w:adjustRightInd/>
        <w:snapToGrid w:val="0"/>
        <w:textAlignment w:val="auto"/>
        <w:rPr>
          <w:rFonts w:hint="eastAsia" w:ascii="宋体" w:hAnsi="宋体" w:eastAsia="宋体" w:cs="宋体"/>
          <w:lang w:eastAsia="zh-CN"/>
        </w:rPr>
      </w:pPr>
      <w:r>
        <w:rPr>
          <w:rFonts w:hint="eastAsia" w:ascii="宋体" w:hAnsi="宋体" w:eastAsia="宋体" w:cs="宋体"/>
          <w:lang w:val="en-US" w:eastAsia="zh-CN"/>
        </w:rPr>
        <w:t>[</w:t>
      </w:r>
      <w:r>
        <w:rPr>
          <w:rFonts w:hint="eastAsia" w:ascii="宋体" w:hAnsi="宋体" w:eastAsia="宋体" w:cs="宋体"/>
          <w:lang w:val="en-US" w:eastAsia="zh-CN"/>
        </w:rPr>
        <w:footnoteRef/>
      </w:r>
      <w:r>
        <w:rPr>
          <w:rFonts w:hint="eastAsia" w:ascii="宋体" w:hAnsi="宋体" w:eastAsia="宋体" w:cs="宋体"/>
          <w:lang w:val="en-US" w:eastAsia="zh-CN"/>
        </w:rPr>
        <w:t>]《中华人民共和国安全生产法》第一百一十四条：发生生产安全事故，对负有责任的生产经营单位除要求其依法承担相应的赔偿等责任外，由应急管理部门依照下列规定处以罚款:（一）发生一般事故的，处三十万元以上一百万元以下的罚款；</w:t>
      </w:r>
      <w:r>
        <w:rPr>
          <w:rFonts w:hint="eastAsia" w:ascii="宋体" w:hAnsi="宋体" w:eastAsia="宋体" w:cs="宋体"/>
          <w:lang w:eastAsia="zh-CN"/>
        </w:rPr>
        <w:t>……</w:t>
      </w:r>
    </w:p>
  </w:footnote>
  <w:footnote w:id="6">
    <w:p w14:paraId="71AFAA18">
      <w:pPr>
        <w:pStyle w:val="12"/>
        <w:keepNext w:val="0"/>
        <w:keepLines w:val="0"/>
        <w:pageBreakBefore w:val="0"/>
        <w:widowControl w:val="0"/>
        <w:kinsoku/>
        <w:wordWrap/>
        <w:overflowPunct/>
        <w:topLinePunct w:val="0"/>
        <w:autoSpaceDE/>
        <w:autoSpaceDN/>
        <w:bidi w:val="0"/>
        <w:adjustRightInd/>
        <w:snapToGrid w:val="0"/>
        <w:textAlignment w:val="auto"/>
      </w:pPr>
      <w:r>
        <w:rPr>
          <w:rFonts w:hint="eastAsia" w:ascii="宋体" w:hAnsi="宋体" w:eastAsia="宋体" w:cs="宋体"/>
          <w:lang w:val="en-US" w:eastAsia="zh-CN"/>
        </w:rPr>
        <w:t>[</w:t>
      </w:r>
      <w:r>
        <w:rPr>
          <w:rFonts w:hint="eastAsia" w:ascii="宋体" w:hAnsi="宋体" w:eastAsia="宋体" w:cs="宋体"/>
          <w:lang w:val="en-US" w:eastAsia="zh-CN"/>
        </w:rPr>
        <w:footnoteRef/>
      </w:r>
      <w:r>
        <w:rPr>
          <w:rFonts w:hint="eastAsia" w:ascii="宋体" w:hAnsi="宋体" w:eastAsia="宋体" w:cs="宋体"/>
          <w:lang w:val="en-US" w:eastAsia="zh-CN"/>
        </w:rPr>
        <w:t>]《中华人民共和国安全生产法》第二十一条：生产经营单位的主要负责人对本单位安全生产工作负有下列职责:（三）组织制定并实施本单位安全生产教育和培训计划；</w:t>
      </w:r>
      <w:r>
        <w:rPr>
          <w:rFonts w:hint="eastAsia" w:ascii="宋体" w:hAnsi="宋体" w:eastAsia="宋体" w:cs="宋体"/>
          <w:lang w:eastAsia="zh-CN"/>
        </w:rPr>
        <w:t>……</w:t>
      </w:r>
    </w:p>
  </w:footnote>
  <w:footnote w:id="7">
    <w:p w14:paraId="580D6273">
      <w:pPr>
        <w:pStyle w:val="12"/>
        <w:keepNext w:val="0"/>
        <w:keepLines w:val="0"/>
        <w:pageBreakBefore w:val="0"/>
        <w:widowControl w:val="0"/>
        <w:kinsoku/>
        <w:wordWrap/>
        <w:overflowPunct/>
        <w:topLinePunct w:val="0"/>
        <w:autoSpaceDE/>
        <w:autoSpaceDN/>
        <w:bidi w:val="0"/>
        <w:adjustRightInd/>
        <w:snapToGrid w:val="0"/>
        <w:textAlignment w:val="auto"/>
      </w:pPr>
      <w:r>
        <w:rPr>
          <w:rFonts w:hint="eastAsia" w:ascii="宋体" w:hAnsi="宋体" w:eastAsia="宋体" w:cs="宋体"/>
          <w:lang w:val="en-US" w:eastAsia="zh-CN"/>
        </w:rPr>
        <w:t>[</w:t>
      </w:r>
      <w:r>
        <w:rPr>
          <w:rFonts w:hint="eastAsia" w:ascii="宋体" w:hAnsi="宋体" w:eastAsia="宋体" w:cs="宋体"/>
          <w:lang w:val="en-US" w:eastAsia="zh-CN"/>
        </w:rPr>
        <w:footnoteRef/>
      </w:r>
      <w:r>
        <w:rPr>
          <w:rFonts w:hint="eastAsia" w:ascii="宋体" w:hAnsi="宋体" w:eastAsia="宋体" w:cs="宋体"/>
          <w:lang w:val="en-US" w:eastAsia="zh-CN"/>
        </w:rPr>
        <w:t>]《中华人民共和国安全生产法》第二十一条：生产经营单位的主要负责人对本单位安全生产工作负有下列职责:（五）组织建立并落实安全风险分级管控和隐患排查治理双重预防工作机制，督促、检查本单位的安全生产工作，及时消除生产安全事故隐患；</w:t>
      </w:r>
      <w:r>
        <w:rPr>
          <w:rFonts w:hint="eastAsia" w:ascii="宋体" w:hAnsi="宋体" w:eastAsia="宋体" w:cs="宋体"/>
          <w:lang w:eastAsia="zh-CN"/>
        </w:rPr>
        <w:t>……</w:t>
      </w:r>
    </w:p>
  </w:footnote>
  <w:footnote w:id="8">
    <w:p w14:paraId="01A81D50">
      <w:pPr>
        <w:pStyle w:val="12"/>
        <w:keepNext w:val="0"/>
        <w:keepLines w:val="0"/>
        <w:pageBreakBefore w:val="0"/>
        <w:widowControl w:val="0"/>
        <w:kinsoku/>
        <w:wordWrap/>
        <w:overflowPunct/>
        <w:topLinePunct w:val="0"/>
        <w:autoSpaceDE/>
        <w:autoSpaceDN/>
        <w:bidi w:val="0"/>
        <w:adjustRightInd/>
        <w:snapToGrid w:val="0"/>
        <w:textAlignment w:val="auto"/>
        <w:rPr>
          <w:rFonts w:hint="eastAsia" w:ascii="宋体" w:hAnsi="宋体" w:eastAsia="宋体" w:cs="宋体"/>
          <w:lang w:val="en-US" w:eastAsia="zh-CN"/>
        </w:rPr>
      </w:pPr>
      <w:r>
        <w:rPr>
          <w:rFonts w:hint="eastAsia" w:ascii="宋体" w:hAnsi="宋体" w:eastAsia="宋体" w:cs="宋体"/>
          <w:lang w:val="en-US" w:eastAsia="zh-CN"/>
        </w:rPr>
        <w:t>[</w:t>
      </w:r>
      <w:r>
        <w:rPr>
          <w:rFonts w:hint="eastAsia" w:ascii="宋体" w:hAnsi="宋体" w:eastAsia="宋体" w:cs="宋体"/>
          <w:lang w:val="en-US" w:eastAsia="zh-CN"/>
        </w:rPr>
        <w:footnoteRef/>
      </w:r>
      <w:r>
        <w:rPr>
          <w:rFonts w:hint="eastAsia" w:ascii="宋体" w:hAnsi="宋体" w:eastAsia="宋体" w:cs="宋体"/>
          <w:lang w:val="en-US" w:eastAsia="zh-CN"/>
        </w:rPr>
        <w:t>]《中华人民共和国安全生产法》第九十五条：生产经营单位的主要负责人未履行本法规定的安全生产管理职责，导致发生生产安全事故的，由应急管理部门依照下列规定处以罚款: （一）发生一般事故的，处上一年年收入百分之四十的罚款；……</w:t>
      </w:r>
    </w:p>
  </w:footnote>
  <w:footnote w:id="9">
    <w:p w14:paraId="5995C530">
      <w:pPr>
        <w:pStyle w:val="12"/>
        <w:keepNext w:val="0"/>
        <w:keepLines w:val="0"/>
        <w:pageBreakBefore w:val="0"/>
        <w:widowControl w:val="0"/>
        <w:kinsoku/>
        <w:wordWrap/>
        <w:overflowPunct/>
        <w:topLinePunct w:val="0"/>
        <w:autoSpaceDE/>
        <w:autoSpaceDN/>
        <w:bidi w:val="0"/>
        <w:adjustRightInd/>
        <w:snapToGrid w:val="0"/>
        <w:textAlignment w:val="auto"/>
        <w:rPr>
          <w:rFonts w:hint="eastAsia" w:ascii="宋体" w:hAnsi="宋体" w:eastAsia="宋体" w:cs="宋体"/>
          <w:lang w:val="en-US" w:eastAsia="zh-CN"/>
        </w:rPr>
      </w:pPr>
      <w:r>
        <w:rPr>
          <w:rFonts w:hint="eastAsia" w:ascii="宋体" w:hAnsi="宋体" w:eastAsia="宋体" w:cs="宋体"/>
          <w:lang w:val="en-US" w:eastAsia="zh-CN"/>
        </w:rPr>
        <w:t>[</w:t>
      </w:r>
      <w:r>
        <w:rPr>
          <w:rFonts w:hint="eastAsia" w:ascii="宋体" w:hAnsi="宋体" w:eastAsia="宋体" w:cs="宋体"/>
          <w:lang w:val="en-US" w:eastAsia="zh-CN"/>
        </w:rPr>
        <w:footnoteRef/>
      </w:r>
      <w:r>
        <w:rPr>
          <w:rFonts w:hint="eastAsia" w:ascii="宋体" w:hAnsi="宋体" w:eastAsia="宋体" w:cs="宋体"/>
          <w:lang w:val="en-US" w:eastAsia="zh-CN"/>
        </w:rPr>
        <w:t>]《中华人民共和国安全生产法》第一百一十条：生产经营单位的主要负责人在本单位发生生产安全事故时，不立即组织抢救或者在事故调查处理期间擅离职守或者逃匿的，给予降级、撤职的处分，并由应急管理部门处上一年年收入百分之六十至百分之一百的罚款；对逃匿的处十五日以下拘留；构成犯罪的，依照刑法有关规定追究刑事责任。生产经营单位的主要负责人对生产安全事故隐瞒不报、谎报或者迟报的，依照前款规定处罚。</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F46F32">
    <w:pPr>
      <w:pStyle w:val="10"/>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footnotePr>
    <w:footnote w:id="20"/>
    <w:footnote w:id="21"/>
  </w:foot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QyNzJiYzdlMjEwYmE1MjhlNmJhYjc5MTcxYjJjYzIifQ=="/>
  </w:docVars>
  <w:rsids>
    <w:rsidRoot w:val="007B3448"/>
    <w:rsid w:val="000016AF"/>
    <w:rsid w:val="00005AB6"/>
    <w:rsid w:val="000114B9"/>
    <w:rsid w:val="000118AB"/>
    <w:rsid w:val="0001334E"/>
    <w:rsid w:val="000134C6"/>
    <w:rsid w:val="0001583C"/>
    <w:rsid w:val="00017597"/>
    <w:rsid w:val="00022168"/>
    <w:rsid w:val="00022F1E"/>
    <w:rsid w:val="00024DE1"/>
    <w:rsid w:val="0002575D"/>
    <w:rsid w:val="0003040E"/>
    <w:rsid w:val="000313EC"/>
    <w:rsid w:val="000315A4"/>
    <w:rsid w:val="0003194C"/>
    <w:rsid w:val="00033F00"/>
    <w:rsid w:val="00034639"/>
    <w:rsid w:val="0003529C"/>
    <w:rsid w:val="00036FDA"/>
    <w:rsid w:val="000376FE"/>
    <w:rsid w:val="000403D8"/>
    <w:rsid w:val="000420D3"/>
    <w:rsid w:val="00043084"/>
    <w:rsid w:val="000435EC"/>
    <w:rsid w:val="0004372B"/>
    <w:rsid w:val="00047B9B"/>
    <w:rsid w:val="00047ED5"/>
    <w:rsid w:val="00055865"/>
    <w:rsid w:val="00055F09"/>
    <w:rsid w:val="000571E0"/>
    <w:rsid w:val="00060082"/>
    <w:rsid w:val="00060319"/>
    <w:rsid w:val="0006124B"/>
    <w:rsid w:val="000643AC"/>
    <w:rsid w:val="00064E59"/>
    <w:rsid w:val="00075A59"/>
    <w:rsid w:val="00082613"/>
    <w:rsid w:val="0008533F"/>
    <w:rsid w:val="000867AB"/>
    <w:rsid w:val="00093E11"/>
    <w:rsid w:val="000940BD"/>
    <w:rsid w:val="00094A79"/>
    <w:rsid w:val="00094C3F"/>
    <w:rsid w:val="000961AA"/>
    <w:rsid w:val="00096EB8"/>
    <w:rsid w:val="00097BB6"/>
    <w:rsid w:val="000A0310"/>
    <w:rsid w:val="000A26EB"/>
    <w:rsid w:val="000A2FC9"/>
    <w:rsid w:val="000A3179"/>
    <w:rsid w:val="000A5272"/>
    <w:rsid w:val="000A603B"/>
    <w:rsid w:val="000A7417"/>
    <w:rsid w:val="000B0EA8"/>
    <w:rsid w:val="000B1995"/>
    <w:rsid w:val="000B25F1"/>
    <w:rsid w:val="000B3582"/>
    <w:rsid w:val="000B4721"/>
    <w:rsid w:val="000C090E"/>
    <w:rsid w:val="000C4023"/>
    <w:rsid w:val="000C457D"/>
    <w:rsid w:val="000C7DF2"/>
    <w:rsid w:val="000D66F9"/>
    <w:rsid w:val="000E0E8E"/>
    <w:rsid w:val="000E1B57"/>
    <w:rsid w:val="000E32EB"/>
    <w:rsid w:val="000E52E0"/>
    <w:rsid w:val="000F08A7"/>
    <w:rsid w:val="000F2454"/>
    <w:rsid w:val="000F4B5A"/>
    <w:rsid w:val="000F4C73"/>
    <w:rsid w:val="000F6F77"/>
    <w:rsid w:val="00100B9A"/>
    <w:rsid w:val="00100C55"/>
    <w:rsid w:val="0010156E"/>
    <w:rsid w:val="0010294F"/>
    <w:rsid w:val="001036FF"/>
    <w:rsid w:val="00105ADE"/>
    <w:rsid w:val="00105E6F"/>
    <w:rsid w:val="001069B1"/>
    <w:rsid w:val="00110D2F"/>
    <w:rsid w:val="00112437"/>
    <w:rsid w:val="00113E20"/>
    <w:rsid w:val="00117816"/>
    <w:rsid w:val="00117B5B"/>
    <w:rsid w:val="001201D9"/>
    <w:rsid w:val="00121D35"/>
    <w:rsid w:val="00121F31"/>
    <w:rsid w:val="00124338"/>
    <w:rsid w:val="0012646F"/>
    <w:rsid w:val="00127523"/>
    <w:rsid w:val="00130E7D"/>
    <w:rsid w:val="001313F7"/>
    <w:rsid w:val="00131F37"/>
    <w:rsid w:val="00132066"/>
    <w:rsid w:val="00132F79"/>
    <w:rsid w:val="00133779"/>
    <w:rsid w:val="001345C4"/>
    <w:rsid w:val="00136D43"/>
    <w:rsid w:val="00137934"/>
    <w:rsid w:val="00141898"/>
    <w:rsid w:val="00145312"/>
    <w:rsid w:val="00146969"/>
    <w:rsid w:val="00147123"/>
    <w:rsid w:val="00147710"/>
    <w:rsid w:val="00151D7F"/>
    <w:rsid w:val="0016005E"/>
    <w:rsid w:val="00162CCB"/>
    <w:rsid w:val="001636EA"/>
    <w:rsid w:val="00163CE6"/>
    <w:rsid w:val="0016473F"/>
    <w:rsid w:val="00165000"/>
    <w:rsid w:val="00165994"/>
    <w:rsid w:val="00165CB6"/>
    <w:rsid w:val="0017040B"/>
    <w:rsid w:val="00170B70"/>
    <w:rsid w:val="0017271B"/>
    <w:rsid w:val="0017271F"/>
    <w:rsid w:val="0017550C"/>
    <w:rsid w:val="00181B7D"/>
    <w:rsid w:val="00183418"/>
    <w:rsid w:val="00185397"/>
    <w:rsid w:val="00185F9C"/>
    <w:rsid w:val="001900A0"/>
    <w:rsid w:val="00190D88"/>
    <w:rsid w:val="00191B0F"/>
    <w:rsid w:val="00192608"/>
    <w:rsid w:val="00196CE8"/>
    <w:rsid w:val="001A144A"/>
    <w:rsid w:val="001A2166"/>
    <w:rsid w:val="001A2827"/>
    <w:rsid w:val="001A4114"/>
    <w:rsid w:val="001A5807"/>
    <w:rsid w:val="001A782C"/>
    <w:rsid w:val="001A7D99"/>
    <w:rsid w:val="001B1341"/>
    <w:rsid w:val="001B157D"/>
    <w:rsid w:val="001B2AAB"/>
    <w:rsid w:val="001B3A2D"/>
    <w:rsid w:val="001B3D87"/>
    <w:rsid w:val="001B6CE7"/>
    <w:rsid w:val="001B7031"/>
    <w:rsid w:val="001C0B5D"/>
    <w:rsid w:val="001C3573"/>
    <w:rsid w:val="001C3A5D"/>
    <w:rsid w:val="001C52BB"/>
    <w:rsid w:val="001C6B66"/>
    <w:rsid w:val="001D1862"/>
    <w:rsid w:val="001D1905"/>
    <w:rsid w:val="001D1E8B"/>
    <w:rsid w:val="001D22EE"/>
    <w:rsid w:val="001D36BA"/>
    <w:rsid w:val="001D41F6"/>
    <w:rsid w:val="001D501D"/>
    <w:rsid w:val="001D6DEF"/>
    <w:rsid w:val="001D760B"/>
    <w:rsid w:val="001D7DFE"/>
    <w:rsid w:val="001E3863"/>
    <w:rsid w:val="001E3887"/>
    <w:rsid w:val="001E3AB7"/>
    <w:rsid w:val="001E3D30"/>
    <w:rsid w:val="001E4655"/>
    <w:rsid w:val="001F4936"/>
    <w:rsid w:val="001F7ACE"/>
    <w:rsid w:val="00200C09"/>
    <w:rsid w:val="00201A4B"/>
    <w:rsid w:val="00201CAF"/>
    <w:rsid w:val="002038E7"/>
    <w:rsid w:val="0020409F"/>
    <w:rsid w:val="002073B8"/>
    <w:rsid w:val="0021055E"/>
    <w:rsid w:val="002117AD"/>
    <w:rsid w:val="00211E2D"/>
    <w:rsid w:val="00211F1C"/>
    <w:rsid w:val="002125FC"/>
    <w:rsid w:val="0021285F"/>
    <w:rsid w:val="00213B44"/>
    <w:rsid w:val="0021464F"/>
    <w:rsid w:val="00216451"/>
    <w:rsid w:val="00217CC9"/>
    <w:rsid w:val="00220125"/>
    <w:rsid w:val="002225BB"/>
    <w:rsid w:val="00225FDD"/>
    <w:rsid w:val="002274D9"/>
    <w:rsid w:val="00227BD7"/>
    <w:rsid w:val="00232672"/>
    <w:rsid w:val="00236A3D"/>
    <w:rsid w:val="00240865"/>
    <w:rsid w:val="00240E44"/>
    <w:rsid w:val="00247777"/>
    <w:rsid w:val="00253B2A"/>
    <w:rsid w:val="00255325"/>
    <w:rsid w:val="00256E34"/>
    <w:rsid w:val="002600D8"/>
    <w:rsid w:val="002606DB"/>
    <w:rsid w:val="00260F0B"/>
    <w:rsid w:val="0026259B"/>
    <w:rsid w:val="00265F2B"/>
    <w:rsid w:val="002718C4"/>
    <w:rsid w:val="00271ABE"/>
    <w:rsid w:val="0028269A"/>
    <w:rsid w:val="00282B04"/>
    <w:rsid w:val="002837E7"/>
    <w:rsid w:val="00283840"/>
    <w:rsid w:val="0028656F"/>
    <w:rsid w:val="0029152F"/>
    <w:rsid w:val="00295775"/>
    <w:rsid w:val="00295CCE"/>
    <w:rsid w:val="002962A7"/>
    <w:rsid w:val="002A07A9"/>
    <w:rsid w:val="002A28AA"/>
    <w:rsid w:val="002A3239"/>
    <w:rsid w:val="002A3FEE"/>
    <w:rsid w:val="002A567D"/>
    <w:rsid w:val="002A68CB"/>
    <w:rsid w:val="002A6DB7"/>
    <w:rsid w:val="002B574B"/>
    <w:rsid w:val="002B6186"/>
    <w:rsid w:val="002B6DFD"/>
    <w:rsid w:val="002B761F"/>
    <w:rsid w:val="002C0447"/>
    <w:rsid w:val="002C612A"/>
    <w:rsid w:val="002C676F"/>
    <w:rsid w:val="002D1DC9"/>
    <w:rsid w:val="002D3CC5"/>
    <w:rsid w:val="002D4112"/>
    <w:rsid w:val="002E2085"/>
    <w:rsid w:val="002E219D"/>
    <w:rsid w:val="002E426A"/>
    <w:rsid w:val="002E46BF"/>
    <w:rsid w:val="002E665F"/>
    <w:rsid w:val="002E6ABE"/>
    <w:rsid w:val="002F062D"/>
    <w:rsid w:val="002F13FB"/>
    <w:rsid w:val="002F298E"/>
    <w:rsid w:val="002F2E53"/>
    <w:rsid w:val="002F53CE"/>
    <w:rsid w:val="003015C9"/>
    <w:rsid w:val="003039EE"/>
    <w:rsid w:val="00304638"/>
    <w:rsid w:val="00306003"/>
    <w:rsid w:val="00311B6E"/>
    <w:rsid w:val="00315BDF"/>
    <w:rsid w:val="0031658C"/>
    <w:rsid w:val="00316C10"/>
    <w:rsid w:val="00320E0E"/>
    <w:rsid w:val="00321076"/>
    <w:rsid w:val="003228B9"/>
    <w:rsid w:val="003233A9"/>
    <w:rsid w:val="00323B41"/>
    <w:rsid w:val="00323D66"/>
    <w:rsid w:val="00325C58"/>
    <w:rsid w:val="00327603"/>
    <w:rsid w:val="00330CD4"/>
    <w:rsid w:val="00331004"/>
    <w:rsid w:val="0033212E"/>
    <w:rsid w:val="003323C7"/>
    <w:rsid w:val="003402D5"/>
    <w:rsid w:val="00341517"/>
    <w:rsid w:val="00342CCD"/>
    <w:rsid w:val="00343C2E"/>
    <w:rsid w:val="0034557C"/>
    <w:rsid w:val="003506E9"/>
    <w:rsid w:val="00352527"/>
    <w:rsid w:val="003545CB"/>
    <w:rsid w:val="00354C97"/>
    <w:rsid w:val="003602D5"/>
    <w:rsid w:val="0036042A"/>
    <w:rsid w:val="00360CE9"/>
    <w:rsid w:val="00362091"/>
    <w:rsid w:val="00364BEF"/>
    <w:rsid w:val="00364CF8"/>
    <w:rsid w:val="003711AA"/>
    <w:rsid w:val="003720C8"/>
    <w:rsid w:val="00372480"/>
    <w:rsid w:val="00373D4E"/>
    <w:rsid w:val="003752B1"/>
    <w:rsid w:val="00377ADA"/>
    <w:rsid w:val="003806F7"/>
    <w:rsid w:val="003815FD"/>
    <w:rsid w:val="00387197"/>
    <w:rsid w:val="00387C92"/>
    <w:rsid w:val="00390D07"/>
    <w:rsid w:val="003939D3"/>
    <w:rsid w:val="0039447B"/>
    <w:rsid w:val="00396265"/>
    <w:rsid w:val="00396C31"/>
    <w:rsid w:val="003975A9"/>
    <w:rsid w:val="0039779B"/>
    <w:rsid w:val="003A0963"/>
    <w:rsid w:val="003A1D58"/>
    <w:rsid w:val="003A37A4"/>
    <w:rsid w:val="003A4DE3"/>
    <w:rsid w:val="003A65D0"/>
    <w:rsid w:val="003A7984"/>
    <w:rsid w:val="003B2AE0"/>
    <w:rsid w:val="003B345C"/>
    <w:rsid w:val="003C13F0"/>
    <w:rsid w:val="003C33A9"/>
    <w:rsid w:val="003C37C0"/>
    <w:rsid w:val="003C5174"/>
    <w:rsid w:val="003C7C27"/>
    <w:rsid w:val="003C7F02"/>
    <w:rsid w:val="003D0A32"/>
    <w:rsid w:val="003D1E38"/>
    <w:rsid w:val="003D1F1D"/>
    <w:rsid w:val="003D35EC"/>
    <w:rsid w:val="003D528E"/>
    <w:rsid w:val="003D6DF6"/>
    <w:rsid w:val="003E224F"/>
    <w:rsid w:val="003E313D"/>
    <w:rsid w:val="003E3AA5"/>
    <w:rsid w:val="003E491B"/>
    <w:rsid w:val="003E5BB2"/>
    <w:rsid w:val="003E6271"/>
    <w:rsid w:val="003E7011"/>
    <w:rsid w:val="003F0853"/>
    <w:rsid w:val="003F1D2E"/>
    <w:rsid w:val="003F4878"/>
    <w:rsid w:val="003F5C33"/>
    <w:rsid w:val="003F78FB"/>
    <w:rsid w:val="004002E1"/>
    <w:rsid w:val="00402F2A"/>
    <w:rsid w:val="00403E26"/>
    <w:rsid w:val="00420161"/>
    <w:rsid w:val="0042124D"/>
    <w:rsid w:val="004247CB"/>
    <w:rsid w:val="0042695B"/>
    <w:rsid w:val="004344C1"/>
    <w:rsid w:val="0043696F"/>
    <w:rsid w:val="00437C27"/>
    <w:rsid w:val="0044086E"/>
    <w:rsid w:val="00443097"/>
    <w:rsid w:val="00447F29"/>
    <w:rsid w:val="004500CA"/>
    <w:rsid w:val="00450E7A"/>
    <w:rsid w:val="0045257A"/>
    <w:rsid w:val="00457F46"/>
    <w:rsid w:val="0046069C"/>
    <w:rsid w:val="00463DCB"/>
    <w:rsid w:val="0046551D"/>
    <w:rsid w:val="00465764"/>
    <w:rsid w:val="00465DD4"/>
    <w:rsid w:val="004701DD"/>
    <w:rsid w:val="00472548"/>
    <w:rsid w:val="00472906"/>
    <w:rsid w:val="00472925"/>
    <w:rsid w:val="00475AB9"/>
    <w:rsid w:val="00477AFC"/>
    <w:rsid w:val="00477C13"/>
    <w:rsid w:val="004816B4"/>
    <w:rsid w:val="00484DA6"/>
    <w:rsid w:val="00486300"/>
    <w:rsid w:val="00486FD2"/>
    <w:rsid w:val="00494592"/>
    <w:rsid w:val="004975BE"/>
    <w:rsid w:val="004A01FB"/>
    <w:rsid w:val="004A6848"/>
    <w:rsid w:val="004B26BA"/>
    <w:rsid w:val="004B44E1"/>
    <w:rsid w:val="004C2341"/>
    <w:rsid w:val="004C2B7F"/>
    <w:rsid w:val="004C2D93"/>
    <w:rsid w:val="004C69F1"/>
    <w:rsid w:val="004C6C2A"/>
    <w:rsid w:val="004D081C"/>
    <w:rsid w:val="004D0B42"/>
    <w:rsid w:val="004D1C73"/>
    <w:rsid w:val="004D44C3"/>
    <w:rsid w:val="004E232A"/>
    <w:rsid w:val="004E573F"/>
    <w:rsid w:val="004E6B59"/>
    <w:rsid w:val="004E7EE1"/>
    <w:rsid w:val="004F1432"/>
    <w:rsid w:val="004F2A48"/>
    <w:rsid w:val="004F4A61"/>
    <w:rsid w:val="004F68D6"/>
    <w:rsid w:val="00501E09"/>
    <w:rsid w:val="0050308E"/>
    <w:rsid w:val="00503154"/>
    <w:rsid w:val="00510D9B"/>
    <w:rsid w:val="00511858"/>
    <w:rsid w:val="00512F4F"/>
    <w:rsid w:val="0051431D"/>
    <w:rsid w:val="00522248"/>
    <w:rsid w:val="00522FD9"/>
    <w:rsid w:val="00526F71"/>
    <w:rsid w:val="005346AA"/>
    <w:rsid w:val="00535206"/>
    <w:rsid w:val="00537B65"/>
    <w:rsid w:val="00540509"/>
    <w:rsid w:val="00540D96"/>
    <w:rsid w:val="00541DC0"/>
    <w:rsid w:val="00543B38"/>
    <w:rsid w:val="00547ABD"/>
    <w:rsid w:val="005558DE"/>
    <w:rsid w:val="0056070F"/>
    <w:rsid w:val="00563726"/>
    <w:rsid w:val="0056403F"/>
    <w:rsid w:val="00565FDC"/>
    <w:rsid w:val="00566392"/>
    <w:rsid w:val="0056642E"/>
    <w:rsid w:val="0057169C"/>
    <w:rsid w:val="0057625E"/>
    <w:rsid w:val="00580156"/>
    <w:rsid w:val="005812D3"/>
    <w:rsid w:val="005834A3"/>
    <w:rsid w:val="005836C9"/>
    <w:rsid w:val="005908F5"/>
    <w:rsid w:val="005931D8"/>
    <w:rsid w:val="005968C9"/>
    <w:rsid w:val="00596C3E"/>
    <w:rsid w:val="005A0127"/>
    <w:rsid w:val="005A1354"/>
    <w:rsid w:val="005A29D0"/>
    <w:rsid w:val="005A5A70"/>
    <w:rsid w:val="005A5E08"/>
    <w:rsid w:val="005A6744"/>
    <w:rsid w:val="005B0432"/>
    <w:rsid w:val="005B32ED"/>
    <w:rsid w:val="005B3632"/>
    <w:rsid w:val="005B403B"/>
    <w:rsid w:val="005B7D8F"/>
    <w:rsid w:val="005C1BFB"/>
    <w:rsid w:val="005C22F1"/>
    <w:rsid w:val="005C3D3B"/>
    <w:rsid w:val="005C4F5A"/>
    <w:rsid w:val="005C619E"/>
    <w:rsid w:val="005C7942"/>
    <w:rsid w:val="005D1D81"/>
    <w:rsid w:val="005D3D3F"/>
    <w:rsid w:val="005D6276"/>
    <w:rsid w:val="005E18BA"/>
    <w:rsid w:val="005E1DF8"/>
    <w:rsid w:val="005E4931"/>
    <w:rsid w:val="005E537F"/>
    <w:rsid w:val="005F452D"/>
    <w:rsid w:val="005F7AD0"/>
    <w:rsid w:val="00602DB0"/>
    <w:rsid w:val="00603DC8"/>
    <w:rsid w:val="00605CBE"/>
    <w:rsid w:val="00606512"/>
    <w:rsid w:val="006076D7"/>
    <w:rsid w:val="00611BB2"/>
    <w:rsid w:val="00612750"/>
    <w:rsid w:val="00614CC5"/>
    <w:rsid w:val="00615751"/>
    <w:rsid w:val="00616A6E"/>
    <w:rsid w:val="006207E7"/>
    <w:rsid w:val="006244AF"/>
    <w:rsid w:val="00624C0D"/>
    <w:rsid w:val="0063076C"/>
    <w:rsid w:val="00633DE6"/>
    <w:rsid w:val="0063425F"/>
    <w:rsid w:val="006346F2"/>
    <w:rsid w:val="006354C2"/>
    <w:rsid w:val="006354FF"/>
    <w:rsid w:val="006366B5"/>
    <w:rsid w:val="00636CF5"/>
    <w:rsid w:val="00637FCC"/>
    <w:rsid w:val="0064013D"/>
    <w:rsid w:val="006417B3"/>
    <w:rsid w:val="00642FAE"/>
    <w:rsid w:val="006433C6"/>
    <w:rsid w:val="00644D61"/>
    <w:rsid w:val="00651792"/>
    <w:rsid w:val="0065491C"/>
    <w:rsid w:val="0065646A"/>
    <w:rsid w:val="00662302"/>
    <w:rsid w:val="006626A7"/>
    <w:rsid w:val="00665C19"/>
    <w:rsid w:val="006667F2"/>
    <w:rsid w:val="00666DD0"/>
    <w:rsid w:val="0067053D"/>
    <w:rsid w:val="006732DD"/>
    <w:rsid w:val="00673369"/>
    <w:rsid w:val="006746A9"/>
    <w:rsid w:val="00675796"/>
    <w:rsid w:val="00676CFF"/>
    <w:rsid w:val="00677872"/>
    <w:rsid w:val="00680C24"/>
    <w:rsid w:val="006842EF"/>
    <w:rsid w:val="00684759"/>
    <w:rsid w:val="00685181"/>
    <w:rsid w:val="00687758"/>
    <w:rsid w:val="00690F45"/>
    <w:rsid w:val="00692591"/>
    <w:rsid w:val="00693986"/>
    <w:rsid w:val="0069653D"/>
    <w:rsid w:val="00697394"/>
    <w:rsid w:val="006A07A0"/>
    <w:rsid w:val="006A32BB"/>
    <w:rsid w:val="006A3F6F"/>
    <w:rsid w:val="006A5AF3"/>
    <w:rsid w:val="006A5D36"/>
    <w:rsid w:val="006A6B6D"/>
    <w:rsid w:val="006A711C"/>
    <w:rsid w:val="006B069D"/>
    <w:rsid w:val="006C0822"/>
    <w:rsid w:val="006C7574"/>
    <w:rsid w:val="006D00BA"/>
    <w:rsid w:val="006D6451"/>
    <w:rsid w:val="006D7D42"/>
    <w:rsid w:val="006D7FA1"/>
    <w:rsid w:val="006E079B"/>
    <w:rsid w:val="006E3C6A"/>
    <w:rsid w:val="006E45B7"/>
    <w:rsid w:val="006E5982"/>
    <w:rsid w:val="006F086F"/>
    <w:rsid w:val="006F13E1"/>
    <w:rsid w:val="006F53D9"/>
    <w:rsid w:val="00700A69"/>
    <w:rsid w:val="00702C9A"/>
    <w:rsid w:val="00702F82"/>
    <w:rsid w:val="007035FE"/>
    <w:rsid w:val="007103EF"/>
    <w:rsid w:val="0071064D"/>
    <w:rsid w:val="00715BE1"/>
    <w:rsid w:val="007174BB"/>
    <w:rsid w:val="00720ADF"/>
    <w:rsid w:val="00723FF4"/>
    <w:rsid w:val="00725234"/>
    <w:rsid w:val="00725454"/>
    <w:rsid w:val="00726120"/>
    <w:rsid w:val="00726763"/>
    <w:rsid w:val="00731EFB"/>
    <w:rsid w:val="00732BF6"/>
    <w:rsid w:val="007335D0"/>
    <w:rsid w:val="00734DA2"/>
    <w:rsid w:val="00736AD9"/>
    <w:rsid w:val="007371B9"/>
    <w:rsid w:val="00740594"/>
    <w:rsid w:val="007426A0"/>
    <w:rsid w:val="007436C7"/>
    <w:rsid w:val="007437DB"/>
    <w:rsid w:val="007439CE"/>
    <w:rsid w:val="00746A1D"/>
    <w:rsid w:val="00747ED7"/>
    <w:rsid w:val="007501BB"/>
    <w:rsid w:val="0075162E"/>
    <w:rsid w:val="00751E1C"/>
    <w:rsid w:val="00752023"/>
    <w:rsid w:val="007554CC"/>
    <w:rsid w:val="00757310"/>
    <w:rsid w:val="00761543"/>
    <w:rsid w:val="007662E2"/>
    <w:rsid w:val="00766B1D"/>
    <w:rsid w:val="00770552"/>
    <w:rsid w:val="00770D05"/>
    <w:rsid w:val="00771AF6"/>
    <w:rsid w:val="00772EC1"/>
    <w:rsid w:val="007749E8"/>
    <w:rsid w:val="0077568C"/>
    <w:rsid w:val="007767D7"/>
    <w:rsid w:val="007772AF"/>
    <w:rsid w:val="007775C2"/>
    <w:rsid w:val="00777A43"/>
    <w:rsid w:val="00780412"/>
    <w:rsid w:val="007808E6"/>
    <w:rsid w:val="00781F02"/>
    <w:rsid w:val="00783795"/>
    <w:rsid w:val="0078593B"/>
    <w:rsid w:val="00791353"/>
    <w:rsid w:val="007A297F"/>
    <w:rsid w:val="007A331B"/>
    <w:rsid w:val="007A6051"/>
    <w:rsid w:val="007A72CB"/>
    <w:rsid w:val="007A7B89"/>
    <w:rsid w:val="007B17CC"/>
    <w:rsid w:val="007B1CF8"/>
    <w:rsid w:val="007B3448"/>
    <w:rsid w:val="007B4B34"/>
    <w:rsid w:val="007B6714"/>
    <w:rsid w:val="007C0A11"/>
    <w:rsid w:val="007C0FCD"/>
    <w:rsid w:val="007C57BB"/>
    <w:rsid w:val="007C57FF"/>
    <w:rsid w:val="007D01F1"/>
    <w:rsid w:val="007D63DF"/>
    <w:rsid w:val="007E251F"/>
    <w:rsid w:val="007E2C83"/>
    <w:rsid w:val="007E41F3"/>
    <w:rsid w:val="007E5C07"/>
    <w:rsid w:val="007E7BB8"/>
    <w:rsid w:val="007F1BA4"/>
    <w:rsid w:val="007F35C3"/>
    <w:rsid w:val="007F5AF1"/>
    <w:rsid w:val="007F6A45"/>
    <w:rsid w:val="0080017D"/>
    <w:rsid w:val="008016DF"/>
    <w:rsid w:val="00801B2E"/>
    <w:rsid w:val="0080470E"/>
    <w:rsid w:val="00804D23"/>
    <w:rsid w:val="008050E8"/>
    <w:rsid w:val="0081138E"/>
    <w:rsid w:val="00813375"/>
    <w:rsid w:val="00813653"/>
    <w:rsid w:val="008138AE"/>
    <w:rsid w:val="00817231"/>
    <w:rsid w:val="00821841"/>
    <w:rsid w:val="00823281"/>
    <w:rsid w:val="00823282"/>
    <w:rsid w:val="0082438E"/>
    <w:rsid w:val="00825AC3"/>
    <w:rsid w:val="00830532"/>
    <w:rsid w:val="008336BB"/>
    <w:rsid w:val="008342E3"/>
    <w:rsid w:val="00841580"/>
    <w:rsid w:val="00843EE5"/>
    <w:rsid w:val="00843FAB"/>
    <w:rsid w:val="0085016E"/>
    <w:rsid w:val="0085033B"/>
    <w:rsid w:val="008552C9"/>
    <w:rsid w:val="008600A8"/>
    <w:rsid w:val="00862A76"/>
    <w:rsid w:val="00863A98"/>
    <w:rsid w:val="00863D1D"/>
    <w:rsid w:val="008647E9"/>
    <w:rsid w:val="008649BC"/>
    <w:rsid w:val="00864E7B"/>
    <w:rsid w:val="008656C9"/>
    <w:rsid w:val="00866D3B"/>
    <w:rsid w:val="00867663"/>
    <w:rsid w:val="00874D88"/>
    <w:rsid w:val="008755E6"/>
    <w:rsid w:val="00876C9C"/>
    <w:rsid w:val="00876DBA"/>
    <w:rsid w:val="00880DEF"/>
    <w:rsid w:val="00880F8B"/>
    <w:rsid w:val="00882681"/>
    <w:rsid w:val="008830E4"/>
    <w:rsid w:val="00883B73"/>
    <w:rsid w:val="00884DC0"/>
    <w:rsid w:val="008856EE"/>
    <w:rsid w:val="00887A06"/>
    <w:rsid w:val="00887E2B"/>
    <w:rsid w:val="0089121C"/>
    <w:rsid w:val="00895D3A"/>
    <w:rsid w:val="00896DF3"/>
    <w:rsid w:val="00897049"/>
    <w:rsid w:val="00897A6F"/>
    <w:rsid w:val="008A26BB"/>
    <w:rsid w:val="008A31FD"/>
    <w:rsid w:val="008A4674"/>
    <w:rsid w:val="008A7BB9"/>
    <w:rsid w:val="008B1E0D"/>
    <w:rsid w:val="008B2714"/>
    <w:rsid w:val="008B36B8"/>
    <w:rsid w:val="008B70F7"/>
    <w:rsid w:val="008B7C44"/>
    <w:rsid w:val="008C3695"/>
    <w:rsid w:val="008C58A6"/>
    <w:rsid w:val="008C6212"/>
    <w:rsid w:val="008D0117"/>
    <w:rsid w:val="008D5D7C"/>
    <w:rsid w:val="008E02B3"/>
    <w:rsid w:val="008E532C"/>
    <w:rsid w:val="008E631F"/>
    <w:rsid w:val="008F4580"/>
    <w:rsid w:val="008F53C0"/>
    <w:rsid w:val="008F6772"/>
    <w:rsid w:val="008F6A6C"/>
    <w:rsid w:val="009011CC"/>
    <w:rsid w:val="009035CB"/>
    <w:rsid w:val="00905844"/>
    <w:rsid w:val="009066BD"/>
    <w:rsid w:val="009067DE"/>
    <w:rsid w:val="00912FAC"/>
    <w:rsid w:val="009151FF"/>
    <w:rsid w:val="00915C42"/>
    <w:rsid w:val="00922FF7"/>
    <w:rsid w:val="00924924"/>
    <w:rsid w:val="00925404"/>
    <w:rsid w:val="009303ED"/>
    <w:rsid w:val="009310CF"/>
    <w:rsid w:val="009330FE"/>
    <w:rsid w:val="0093663A"/>
    <w:rsid w:val="00940614"/>
    <w:rsid w:val="00941080"/>
    <w:rsid w:val="00945E72"/>
    <w:rsid w:val="009461EE"/>
    <w:rsid w:val="00947D20"/>
    <w:rsid w:val="00951603"/>
    <w:rsid w:val="00953764"/>
    <w:rsid w:val="00953EA2"/>
    <w:rsid w:val="0095425C"/>
    <w:rsid w:val="00955652"/>
    <w:rsid w:val="00957BD6"/>
    <w:rsid w:val="00960D6B"/>
    <w:rsid w:val="0096207A"/>
    <w:rsid w:val="0096352D"/>
    <w:rsid w:val="009649B5"/>
    <w:rsid w:val="00966E6E"/>
    <w:rsid w:val="00967EDD"/>
    <w:rsid w:val="00971592"/>
    <w:rsid w:val="00972F91"/>
    <w:rsid w:val="0097591D"/>
    <w:rsid w:val="0097747E"/>
    <w:rsid w:val="009824BB"/>
    <w:rsid w:val="00982788"/>
    <w:rsid w:val="00985D69"/>
    <w:rsid w:val="00986895"/>
    <w:rsid w:val="009913A2"/>
    <w:rsid w:val="00992695"/>
    <w:rsid w:val="00994BE3"/>
    <w:rsid w:val="009A0114"/>
    <w:rsid w:val="009A0251"/>
    <w:rsid w:val="009A1CF0"/>
    <w:rsid w:val="009A4746"/>
    <w:rsid w:val="009A48C6"/>
    <w:rsid w:val="009A5884"/>
    <w:rsid w:val="009B0617"/>
    <w:rsid w:val="009B06E4"/>
    <w:rsid w:val="009B16DF"/>
    <w:rsid w:val="009B1907"/>
    <w:rsid w:val="009B2ABC"/>
    <w:rsid w:val="009B458B"/>
    <w:rsid w:val="009B4BAB"/>
    <w:rsid w:val="009B4F12"/>
    <w:rsid w:val="009B64AE"/>
    <w:rsid w:val="009C4FB7"/>
    <w:rsid w:val="009C6A00"/>
    <w:rsid w:val="009C75D8"/>
    <w:rsid w:val="009D4542"/>
    <w:rsid w:val="009D5F27"/>
    <w:rsid w:val="009D714C"/>
    <w:rsid w:val="009E05F8"/>
    <w:rsid w:val="009E12C8"/>
    <w:rsid w:val="009E37BD"/>
    <w:rsid w:val="009E4F5A"/>
    <w:rsid w:val="009E6005"/>
    <w:rsid w:val="009E67AE"/>
    <w:rsid w:val="009E6A6E"/>
    <w:rsid w:val="009E6B88"/>
    <w:rsid w:val="009F061C"/>
    <w:rsid w:val="009F189C"/>
    <w:rsid w:val="009F2F30"/>
    <w:rsid w:val="009F5565"/>
    <w:rsid w:val="009F609C"/>
    <w:rsid w:val="009F7FC3"/>
    <w:rsid w:val="00A0012A"/>
    <w:rsid w:val="00A0467E"/>
    <w:rsid w:val="00A04FD1"/>
    <w:rsid w:val="00A1041B"/>
    <w:rsid w:val="00A12686"/>
    <w:rsid w:val="00A12A68"/>
    <w:rsid w:val="00A130DE"/>
    <w:rsid w:val="00A158BB"/>
    <w:rsid w:val="00A16519"/>
    <w:rsid w:val="00A16C77"/>
    <w:rsid w:val="00A21C23"/>
    <w:rsid w:val="00A21CFD"/>
    <w:rsid w:val="00A25D8D"/>
    <w:rsid w:val="00A31CB2"/>
    <w:rsid w:val="00A34EB4"/>
    <w:rsid w:val="00A34EB6"/>
    <w:rsid w:val="00A35EF8"/>
    <w:rsid w:val="00A4179F"/>
    <w:rsid w:val="00A42269"/>
    <w:rsid w:val="00A4294E"/>
    <w:rsid w:val="00A42C16"/>
    <w:rsid w:val="00A44983"/>
    <w:rsid w:val="00A507D3"/>
    <w:rsid w:val="00A528B8"/>
    <w:rsid w:val="00A5419C"/>
    <w:rsid w:val="00A5556A"/>
    <w:rsid w:val="00A65848"/>
    <w:rsid w:val="00A6778F"/>
    <w:rsid w:val="00A7019D"/>
    <w:rsid w:val="00A70F01"/>
    <w:rsid w:val="00A73F54"/>
    <w:rsid w:val="00A774AF"/>
    <w:rsid w:val="00A77918"/>
    <w:rsid w:val="00A849B6"/>
    <w:rsid w:val="00A86B31"/>
    <w:rsid w:val="00A86D79"/>
    <w:rsid w:val="00A87B1C"/>
    <w:rsid w:val="00A945C5"/>
    <w:rsid w:val="00A950CF"/>
    <w:rsid w:val="00A9589B"/>
    <w:rsid w:val="00A965FD"/>
    <w:rsid w:val="00AA4EEB"/>
    <w:rsid w:val="00AA5898"/>
    <w:rsid w:val="00AA62FF"/>
    <w:rsid w:val="00AB3E03"/>
    <w:rsid w:val="00AB5B66"/>
    <w:rsid w:val="00AC36CF"/>
    <w:rsid w:val="00AC5422"/>
    <w:rsid w:val="00AC70D1"/>
    <w:rsid w:val="00AC747E"/>
    <w:rsid w:val="00AD0723"/>
    <w:rsid w:val="00AD0980"/>
    <w:rsid w:val="00AD1EE7"/>
    <w:rsid w:val="00AD2247"/>
    <w:rsid w:val="00AD24BA"/>
    <w:rsid w:val="00AD669D"/>
    <w:rsid w:val="00AE4030"/>
    <w:rsid w:val="00AE4398"/>
    <w:rsid w:val="00AE4450"/>
    <w:rsid w:val="00AE4C06"/>
    <w:rsid w:val="00AE73E4"/>
    <w:rsid w:val="00AF1907"/>
    <w:rsid w:val="00AF6EA6"/>
    <w:rsid w:val="00AF707F"/>
    <w:rsid w:val="00AF77C5"/>
    <w:rsid w:val="00B00A55"/>
    <w:rsid w:val="00B01616"/>
    <w:rsid w:val="00B01C83"/>
    <w:rsid w:val="00B040AA"/>
    <w:rsid w:val="00B12343"/>
    <w:rsid w:val="00B12F28"/>
    <w:rsid w:val="00B1769A"/>
    <w:rsid w:val="00B26846"/>
    <w:rsid w:val="00B311A0"/>
    <w:rsid w:val="00B33F38"/>
    <w:rsid w:val="00B34A8D"/>
    <w:rsid w:val="00B35998"/>
    <w:rsid w:val="00B35F29"/>
    <w:rsid w:val="00B363B0"/>
    <w:rsid w:val="00B3657A"/>
    <w:rsid w:val="00B36B6B"/>
    <w:rsid w:val="00B372CF"/>
    <w:rsid w:val="00B42F81"/>
    <w:rsid w:val="00B44B9F"/>
    <w:rsid w:val="00B45397"/>
    <w:rsid w:val="00B458E8"/>
    <w:rsid w:val="00B4728F"/>
    <w:rsid w:val="00B50AA5"/>
    <w:rsid w:val="00B51670"/>
    <w:rsid w:val="00B53143"/>
    <w:rsid w:val="00B53E27"/>
    <w:rsid w:val="00B53EAB"/>
    <w:rsid w:val="00B552B2"/>
    <w:rsid w:val="00B552C9"/>
    <w:rsid w:val="00B64091"/>
    <w:rsid w:val="00B64D28"/>
    <w:rsid w:val="00B66430"/>
    <w:rsid w:val="00B666CD"/>
    <w:rsid w:val="00B667F4"/>
    <w:rsid w:val="00B706F9"/>
    <w:rsid w:val="00B71008"/>
    <w:rsid w:val="00B720F4"/>
    <w:rsid w:val="00B73067"/>
    <w:rsid w:val="00B743C2"/>
    <w:rsid w:val="00B75B56"/>
    <w:rsid w:val="00B75C91"/>
    <w:rsid w:val="00B75D12"/>
    <w:rsid w:val="00B774C9"/>
    <w:rsid w:val="00B7764B"/>
    <w:rsid w:val="00B804D4"/>
    <w:rsid w:val="00B811DD"/>
    <w:rsid w:val="00B81361"/>
    <w:rsid w:val="00B85FF1"/>
    <w:rsid w:val="00B9688D"/>
    <w:rsid w:val="00B96C5B"/>
    <w:rsid w:val="00B97C36"/>
    <w:rsid w:val="00BA1AAC"/>
    <w:rsid w:val="00BA2AD5"/>
    <w:rsid w:val="00BA44D4"/>
    <w:rsid w:val="00BA684B"/>
    <w:rsid w:val="00BB11D8"/>
    <w:rsid w:val="00BB1596"/>
    <w:rsid w:val="00BB36FA"/>
    <w:rsid w:val="00BB4BE7"/>
    <w:rsid w:val="00BC135E"/>
    <w:rsid w:val="00BC1D58"/>
    <w:rsid w:val="00BC4A52"/>
    <w:rsid w:val="00BC7E8B"/>
    <w:rsid w:val="00BD330C"/>
    <w:rsid w:val="00BD5024"/>
    <w:rsid w:val="00BD68D7"/>
    <w:rsid w:val="00BE553A"/>
    <w:rsid w:val="00BE707D"/>
    <w:rsid w:val="00BF1464"/>
    <w:rsid w:val="00BF218F"/>
    <w:rsid w:val="00C01618"/>
    <w:rsid w:val="00C02C76"/>
    <w:rsid w:val="00C05BDA"/>
    <w:rsid w:val="00C124E4"/>
    <w:rsid w:val="00C1329F"/>
    <w:rsid w:val="00C16B9B"/>
    <w:rsid w:val="00C17241"/>
    <w:rsid w:val="00C259E6"/>
    <w:rsid w:val="00C276AF"/>
    <w:rsid w:val="00C27993"/>
    <w:rsid w:val="00C279F1"/>
    <w:rsid w:val="00C27E1F"/>
    <w:rsid w:val="00C32F33"/>
    <w:rsid w:val="00C36299"/>
    <w:rsid w:val="00C40F3F"/>
    <w:rsid w:val="00C41E1B"/>
    <w:rsid w:val="00C44852"/>
    <w:rsid w:val="00C458C2"/>
    <w:rsid w:val="00C475F0"/>
    <w:rsid w:val="00C547A6"/>
    <w:rsid w:val="00C566D3"/>
    <w:rsid w:val="00C56CE1"/>
    <w:rsid w:val="00C60702"/>
    <w:rsid w:val="00C61B65"/>
    <w:rsid w:val="00C6204C"/>
    <w:rsid w:val="00C63901"/>
    <w:rsid w:val="00C6526B"/>
    <w:rsid w:val="00C66685"/>
    <w:rsid w:val="00C774BF"/>
    <w:rsid w:val="00C77DFA"/>
    <w:rsid w:val="00C83711"/>
    <w:rsid w:val="00C83D3B"/>
    <w:rsid w:val="00C84A6A"/>
    <w:rsid w:val="00C9086C"/>
    <w:rsid w:val="00C90C89"/>
    <w:rsid w:val="00C93975"/>
    <w:rsid w:val="00C93AEA"/>
    <w:rsid w:val="00C93E21"/>
    <w:rsid w:val="00C97A2B"/>
    <w:rsid w:val="00C97B70"/>
    <w:rsid w:val="00CA2A09"/>
    <w:rsid w:val="00CA436F"/>
    <w:rsid w:val="00CA55EF"/>
    <w:rsid w:val="00CA656E"/>
    <w:rsid w:val="00CA7AFC"/>
    <w:rsid w:val="00CB14AE"/>
    <w:rsid w:val="00CB22F7"/>
    <w:rsid w:val="00CB598D"/>
    <w:rsid w:val="00CC0DBA"/>
    <w:rsid w:val="00CC159D"/>
    <w:rsid w:val="00CC2B41"/>
    <w:rsid w:val="00CC4033"/>
    <w:rsid w:val="00CC6D1B"/>
    <w:rsid w:val="00CC7584"/>
    <w:rsid w:val="00CC75F1"/>
    <w:rsid w:val="00CD044F"/>
    <w:rsid w:val="00CD065D"/>
    <w:rsid w:val="00CD1734"/>
    <w:rsid w:val="00CD1A82"/>
    <w:rsid w:val="00CD24F5"/>
    <w:rsid w:val="00CD32F3"/>
    <w:rsid w:val="00CD63D2"/>
    <w:rsid w:val="00CE23E5"/>
    <w:rsid w:val="00CE5666"/>
    <w:rsid w:val="00CF23F9"/>
    <w:rsid w:val="00CF7E70"/>
    <w:rsid w:val="00D01A82"/>
    <w:rsid w:val="00D0309B"/>
    <w:rsid w:val="00D1125F"/>
    <w:rsid w:val="00D12C5C"/>
    <w:rsid w:val="00D165E1"/>
    <w:rsid w:val="00D204FD"/>
    <w:rsid w:val="00D23D0E"/>
    <w:rsid w:val="00D24E61"/>
    <w:rsid w:val="00D25DD3"/>
    <w:rsid w:val="00D267C6"/>
    <w:rsid w:val="00D2696B"/>
    <w:rsid w:val="00D26F2C"/>
    <w:rsid w:val="00D358D3"/>
    <w:rsid w:val="00D37C6D"/>
    <w:rsid w:val="00D37D56"/>
    <w:rsid w:val="00D424E4"/>
    <w:rsid w:val="00D43FC9"/>
    <w:rsid w:val="00D4405B"/>
    <w:rsid w:val="00D44465"/>
    <w:rsid w:val="00D50274"/>
    <w:rsid w:val="00D50707"/>
    <w:rsid w:val="00D5136B"/>
    <w:rsid w:val="00D5371C"/>
    <w:rsid w:val="00D54F3F"/>
    <w:rsid w:val="00D56008"/>
    <w:rsid w:val="00D5640B"/>
    <w:rsid w:val="00D5735C"/>
    <w:rsid w:val="00D61835"/>
    <w:rsid w:val="00D6289F"/>
    <w:rsid w:val="00D64532"/>
    <w:rsid w:val="00D6597B"/>
    <w:rsid w:val="00D677F3"/>
    <w:rsid w:val="00D74799"/>
    <w:rsid w:val="00D7563D"/>
    <w:rsid w:val="00D76503"/>
    <w:rsid w:val="00D8106A"/>
    <w:rsid w:val="00D82922"/>
    <w:rsid w:val="00D8482D"/>
    <w:rsid w:val="00D85CB7"/>
    <w:rsid w:val="00D906ED"/>
    <w:rsid w:val="00D92517"/>
    <w:rsid w:val="00D939B8"/>
    <w:rsid w:val="00D9416D"/>
    <w:rsid w:val="00D9767E"/>
    <w:rsid w:val="00DA0004"/>
    <w:rsid w:val="00DA1E19"/>
    <w:rsid w:val="00DA2652"/>
    <w:rsid w:val="00DA2720"/>
    <w:rsid w:val="00DA5091"/>
    <w:rsid w:val="00DA5493"/>
    <w:rsid w:val="00DA5732"/>
    <w:rsid w:val="00DA7A92"/>
    <w:rsid w:val="00DB09FD"/>
    <w:rsid w:val="00DB0C06"/>
    <w:rsid w:val="00DB395C"/>
    <w:rsid w:val="00DB6016"/>
    <w:rsid w:val="00DC2D6E"/>
    <w:rsid w:val="00DC35CE"/>
    <w:rsid w:val="00DC654B"/>
    <w:rsid w:val="00DC6A8B"/>
    <w:rsid w:val="00DC707C"/>
    <w:rsid w:val="00DC76E1"/>
    <w:rsid w:val="00DC7F18"/>
    <w:rsid w:val="00DD334F"/>
    <w:rsid w:val="00DD43C4"/>
    <w:rsid w:val="00DD5325"/>
    <w:rsid w:val="00DD7EFB"/>
    <w:rsid w:val="00DE013F"/>
    <w:rsid w:val="00DE0D43"/>
    <w:rsid w:val="00DE1555"/>
    <w:rsid w:val="00DE36E3"/>
    <w:rsid w:val="00DE3AF4"/>
    <w:rsid w:val="00DE5F30"/>
    <w:rsid w:val="00DE7B6E"/>
    <w:rsid w:val="00DF0A57"/>
    <w:rsid w:val="00DF163B"/>
    <w:rsid w:val="00DF19C5"/>
    <w:rsid w:val="00DF1A51"/>
    <w:rsid w:val="00DF5A78"/>
    <w:rsid w:val="00DF5EAC"/>
    <w:rsid w:val="00DF641E"/>
    <w:rsid w:val="00DF7C25"/>
    <w:rsid w:val="00E00885"/>
    <w:rsid w:val="00E01D50"/>
    <w:rsid w:val="00E0241A"/>
    <w:rsid w:val="00E14906"/>
    <w:rsid w:val="00E15799"/>
    <w:rsid w:val="00E16C4B"/>
    <w:rsid w:val="00E177D2"/>
    <w:rsid w:val="00E17FCA"/>
    <w:rsid w:val="00E23977"/>
    <w:rsid w:val="00E252D9"/>
    <w:rsid w:val="00E2624E"/>
    <w:rsid w:val="00E265B4"/>
    <w:rsid w:val="00E31EDF"/>
    <w:rsid w:val="00E34561"/>
    <w:rsid w:val="00E36D27"/>
    <w:rsid w:val="00E37128"/>
    <w:rsid w:val="00E404CF"/>
    <w:rsid w:val="00E40794"/>
    <w:rsid w:val="00E41CF2"/>
    <w:rsid w:val="00E42D9C"/>
    <w:rsid w:val="00E4411E"/>
    <w:rsid w:val="00E46417"/>
    <w:rsid w:val="00E46D9B"/>
    <w:rsid w:val="00E46E85"/>
    <w:rsid w:val="00E50B05"/>
    <w:rsid w:val="00E523D3"/>
    <w:rsid w:val="00E549D0"/>
    <w:rsid w:val="00E55397"/>
    <w:rsid w:val="00E55474"/>
    <w:rsid w:val="00E55C8E"/>
    <w:rsid w:val="00E63726"/>
    <w:rsid w:val="00E64B2C"/>
    <w:rsid w:val="00E65335"/>
    <w:rsid w:val="00E70071"/>
    <w:rsid w:val="00E75D5C"/>
    <w:rsid w:val="00E77932"/>
    <w:rsid w:val="00E77ACB"/>
    <w:rsid w:val="00E80D48"/>
    <w:rsid w:val="00E81165"/>
    <w:rsid w:val="00E81204"/>
    <w:rsid w:val="00E82D74"/>
    <w:rsid w:val="00E82F77"/>
    <w:rsid w:val="00E84FB4"/>
    <w:rsid w:val="00E86A00"/>
    <w:rsid w:val="00E92E4F"/>
    <w:rsid w:val="00E939CF"/>
    <w:rsid w:val="00E96BE3"/>
    <w:rsid w:val="00E970C7"/>
    <w:rsid w:val="00EA1695"/>
    <w:rsid w:val="00EA51ED"/>
    <w:rsid w:val="00EA778E"/>
    <w:rsid w:val="00EB0315"/>
    <w:rsid w:val="00EB23A7"/>
    <w:rsid w:val="00EB367B"/>
    <w:rsid w:val="00EB49C2"/>
    <w:rsid w:val="00EB5784"/>
    <w:rsid w:val="00EB5AA9"/>
    <w:rsid w:val="00EC158E"/>
    <w:rsid w:val="00EC24EB"/>
    <w:rsid w:val="00EC3EB2"/>
    <w:rsid w:val="00EC5126"/>
    <w:rsid w:val="00EC6161"/>
    <w:rsid w:val="00EC7C0B"/>
    <w:rsid w:val="00ED396F"/>
    <w:rsid w:val="00ED56CF"/>
    <w:rsid w:val="00EE0353"/>
    <w:rsid w:val="00EE0A6D"/>
    <w:rsid w:val="00EE4D09"/>
    <w:rsid w:val="00EE6170"/>
    <w:rsid w:val="00EE778B"/>
    <w:rsid w:val="00EE7839"/>
    <w:rsid w:val="00EF01A6"/>
    <w:rsid w:val="00EF02FD"/>
    <w:rsid w:val="00EF2590"/>
    <w:rsid w:val="00EF27C7"/>
    <w:rsid w:val="00EF2E45"/>
    <w:rsid w:val="00EF37C8"/>
    <w:rsid w:val="00EF3C39"/>
    <w:rsid w:val="00EF3F8B"/>
    <w:rsid w:val="00EF4591"/>
    <w:rsid w:val="00F0147D"/>
    <w:rsid w:val="00F03AD8"/>
    <w:rsid w:val="00F0506E"/>
    <w:rsid w:val="00F05339"/>
    <w:rsid w:val="00F05DA3"/>
    <w:rsid w:val="00F0650B"/>
    <w:rsid w:val="00F10B89"/>
    <w:rsid w:val="00F140CD"/>
    <w:rsid w:val="00F14F10"/>
    <w:rsid w:val="00F15362"/>
    <w:rsid w:val="00F17997"/>
    <w:rsid w:val="00F204FE"/>
    <w:rsid w:val="00F220CC"/>
    <w:rsid w:val="00F234FF"/>
    <w:rsid w:val="00F23D84"/>
    <w:rsid w:val="00F241E8"/>
    <w:rsid w:val="00F243BE"/>
    <w:rsid w:val="00F26D61"/>
    <w:rsid w:val="00F2731E"/>
    <w:rsid w:val="00F32A4B"/>
    <w:rsid w:val="00F33928"/>
    <w:rsid w:val="00F3447E"/>
    <w:rsid w:val="00F347BE"/>
    <w:rsid w:val="00F34ABE"/>
    <w:rsid w:val="00F371F1"/>
    <w:rsid w:val="00F4001D"/>
    <w:rsid w:val="00F41381"/>
    <w:rsid w:val="00F44886"/>
    <w:rsid w:val="00F5102E"/>
    <w:rsid w:val="00F51065"/>
    <w:rsid w:val="00F5195E"/>
    <w:rsid w:val="00F52D7D"/>
    <w:rsid w:val="00F54983"/>
    <w:rsid w:val="00F5773B"/>
    <w:rsid w:val="00F57C95"/>
    <w:rsid w:val="00F60734"/>
    <w:rsid w:val="00F60D70"/>
    <w:rsid w:val="00F628C9"/>
    <w:rsid w:val="00F64AE9"/>
    <w:rsid w:val="00F67E39"/>
    <w:rsid w:val="00F709D7"/>
    <w:rsid w:val="00F716D1"/>
    <w:rsid w:val="00F726CA"/>
    <w:rsid w:val="00F75C0D"/>
    <w:rsid w:val="00F76726"/>
    <w:rsid w:val="00F80F8C"/>
    <w:rsid w:val="00F81B62"/>
    <w:rsid w:val="00F82293"/>
    <w:rsid w:val="00F877D0"/>
    <w:rsid w:val="00F91B4C"/>
    <w:rsid w:val="00F926EF"/>
    <w:rsid w:val="00F927D6"/>
    <w:rsid w:val="00FA2128"/>
    <w:rsid w:val="00FA3334"/>
    <w:rsid w:val="00FA545F"/>
    <w:rsid w:val="00FA6EE6"/>
    <w:rsid w:val="00FB445D"/>
    <w:rsid w:val="00FB45D7"/>
    <w:rsid w:val="00FB5E1D"/>
    <w:rsid w:val="00FC1B43"/>
    <w:rsid w:val="00FC47BF"/>
    <w:rsid w:val="00FC54F6"/>
    <w:rsid w:val="00FC6320"/>
    <w:rsid w:val="00FC6CFC"/>
    <w:rsid w:val="00FD1ACB"/>
    <w:rsid w:val="00FD1B6F"/>
    <w:rsid w:val="00FD2391"/>
    <w:rsid w:val="00FD2468"/>
    <w:rsid w:val="00FD5EB8"/>
    <w:rsid w:val="00FE1DB7"/>
    <w:rsid w:val="00FE229B"/>
    <w:rsid w:val="00FE3951"/>
    <w:rsid w:val="00FE42BD"/>
    <w:rsid w:val="00FE568F"/>
    <w:rsid w:val="00FF173D"/>
    <w:rsid w:val="00FF1CFF"/>
    <w:rsid w:val="00FF238B"/>
    <w:rsid w:val="00FF5A3C"/>
    <w:rsid w:val="00FF6F0E"/>
    <w:rsid w:val="00FF7A61"/>
    <w:rsid w:val="01043AB8"/>
    <w:rsid w:val="0127533C"/>
    <w:rsid w:val="01C7267B"/>
    <w:rsid w:val="01F3041C"/>
    <w:rsid w:val="034F46D6"/>
    <w:rsid w:val="047B14FB"/>
    <w:rsid w:val="04891E6A"/>
    <w:rsid w:val="055A55B4"/>
    <w:rsid w:val="05601583"/>
    <w:rsid w:val="0580327C"/>
    <w:rsid w:val="071023CF"/>
    <w:rsid w:val="079A333E"/>
    <w:rsid w:val="07E239BD"/>
    <w:rsid w:val="080A1514"/>
    <w:rsid w:val="08444A26"/>
    <w:rsid w:val="0854278F"/>
    <w:rsid w:val="086724C2"/>
    <w:rsid w:val="087A0447"/>
    <w:rsid w:val="09B66A82"/>
    <w:rsid w:val="09D0734D"/>
    <w:rsid w:val="09E178AF"/>
    <w:rsid w:val="0BAD3AF8"/>
    <w:rsid w:val="0BB377CC"/>
    <w:rsid w:val="0BCB720C"/>
    <w:rsid w:val="0C0B585A"/>
    <w:rsid w:val="0C6236CC"/>
    <w:rsid w:val="0C851169"/>
    <w:rsid w:val="0C8E44C1"/>
    <w:rsid w:val="0DA25D4B"/>
    <w:rsid w:val="0DBE1C60"/>
    <w:rsid w:val="0DDF3269"/>
    <w:rsid w:val="0DEE0F90"/>
    <w:rsid w:val="0E49572E"/>
    <w:rsid w:val="0E597529"/>
    <w:rsid w:val="0F07055B"/>
    <w:rsid w:val="0F1305F5"/>
    <w:rsid w:val="0F1F19D5"/>
    <w:rsid w:val="0F4075C9"/>
    <w:rsid w:val="0F974221"/>
    <w:rsid w:val="0FB03EC1"/>
    <w:rsid w:val="10817376"/>
    <w:rsid w:val="10CF32FA"/>
    <w:rsid w:val="10D64689"/>
    <w:rsid w:val="10D8487D"/>
    <w:rsid w:val="114652DE"/>
    <w:rsid w:val="115B06EA"/>
    <w:rsid w:val="117F7050"/>
    <w:rsid w:val="11B21EC4"/>
    <w:rsid w:val="12046FD4"/>
    <w:rsid w:val="12374CB3"/>
    <w:rsid w:val="1264760D"/>
    <w:rsid w:val="12DC3AAD"/>
    <w:rsid w:val="136D75AD"/>
    <w:rsid w:val="138353CF"/>
    <w:rsid w:val="13AA2559"/>
    <w:rsid w:val="13C35639"/>
    <w:rsid w:val="141F7B53"/>
    <w:rsid w:val="144E2788"/>
    <w:rsid w:val="155127BD"/>
    <w:rsid w:val="155F1A38"/>
    <w:rsid w:val="157D3483"/>
    <w:rsid w:val="15806971"/>
    <w:rsid w:val="15D07D0B"/>
    <w:rsid w:val="165B5812"/>
    <w:rsid w:val="16846935"/>
    <w:rsid w:val="16CC15DD"/>
    <w:rsid w:val="17872239"/>
    <w:rsid w:val="17D9680D"/>
    <w:rsid w:val="18333359"/>
    <w:rsid w:val="184D6001"/>
    <w:rsid w:val="18891FE1"/>
    <w:rsid w:val="199B021E"/>
    <w:rsid w:val="19A40A22"/>
    <w:rsid w:val="1A0758B3"/>
    <w:rsid w:val="1A966B22"/>
    <w:rsid w:val="1AB316BA"/>
    <w:rsid w:val="1B1A7868"/>
    <w:rsid w:val="1B5763C6"/>
    <w:rsid w:val="1CAE20B1"/>
    <w:rsid w:val="1D9F518C"/>
    <w:rsid w:val="1DA25ECB"/>
    <w:rsid w:val="1F325180"/>
    <w:rsid w:val="1F5F1CED"/>
    <w:rsid w:val="1FAF8790"/>
    <w:rsid w:val="200C59D1"/>
    <w:rsid w:val="204A66E0"/>
    <w:rsid w:val="20AF5F3A"/>
    <w:rsid w:val="224C6559"/>
    <w:rsid w:val="22916662"/>
    <w:rsid w:val="22DF561F"/>
    <w:rsid w:val="234D356B"/>
    <w:rsid w:val="23A221A9"/>
    <w:rsid w:val="245C4A4D"/>
    <w:rsid w:val="247E4FED"/>
    <w:rsid w:val="24B623B0"/>
    <w:rsid w:val="25B14925"/>
    <w:rsid w:val="266F4F92"/>
    <w:rsid w:val="268F456F"/>
    <w:rsid w:val="26AC77D2"/>
    <w:rsid w:val="26D868B7"/>
    <w:rsid w:val="27160864"/>
    <w:rsid w:val="276A59DB"/>
    <w:rsid w:val="27856069"/>
    <w:rsid w:val="286E07B0"/>
    <w:rsid w:val="29257B04"/>
    <w:rsid w:val="29490140"/>
    <w:rsid w:val="29E4176D"/>
    <w:rsid w:val="29FF73BE"/>
    <w:rsid w:val="2B1B11BE"/>
    <w:rsid w:val="2BCA04EF"/>
    <w:rsid w:val="2C3F712F"/>
    <w:rsid w:val="2CAD5467"/>
    <w:rsid w:val="2CB90C8F"/>
    <w:rsid w:val="2D46629B"/>
    <w:rsid w:val="2D6B3436"/>
    <w:rsid w:val="2DA016BC"/>
    <w:rsid w:val="2E470F56"/>
    <w:rsid w:val="2E7B0EC8"/>
    <w:rsid w:val="2EBA0CEE"/>
    <w:rsid w:val="2F3565C7"/>
    <w:rsid w:val="2FFB511A"/>
    <w:rsid w:val="32D00AE0"/>
    <w:rsid w:val="32DA3B36"/>
    <w:rsid w:val="33B01B25"/>
    <w:rsid w:val="33F51F59"/>
    <w:rsid w:val="34B87A7E"/>
    <w:rsid w:val="34F605A6"/>
    <w:rsid w:val="354B027F"/>
    <w:rsid w:val="366854D4"/>
    <w:rsid w:val="36A2536A"/>
    <w:rsid w:val="36D861B6"/>
    <w:rsid w:val="371A4A20"/>
    <w:rsid w:val="37357164"/>
    <w:rsid w:val="379F4F25"/>
    <w:rsid w:val="37F906D2"/>
    <w:rsid w:val="39146E84"/>
    <w:rsid w:val="394713D0"/>
    <w:rsid w:val="398E5251"/>
    <w:rsid w:val="39F72DF7"/>
    <w:rsid w:val="3A4516B5"/>
    <w:rsid w:val="3A900B55"/>
    <w:rsid w:val="3B043A1D"/>
    <w:rsid w:val="3B1F2605"/>
    <w:rsid w:val="3B974891"/>
    <w:rsid w:val="3BF33A92"/>
    <w:rsid w:val="3C1934F8"/>
    <w:rsid w:val="3C7A1ABD"/>
    <w:rsid w:val="3C8C1F1C"/>
    <w:rsid w:val="3CE5162C"/>
    <w:rsid w:val="3D25091E"/>
    <w:rsid w:val="3D5C074C"/>
    <w:rsid w:val="3E0B50C2"/>
    <w:rsid w:val="3E3C216E"/>
    <w:rsid w:val="3E3D2DA2"/>
    <w:rsid w:val="3E57254B"/>
    <w:rsid w:val="3EAD617A"/>
    <w:rsid w:val="3EF13B0F"/>
    <w:rsid w:val="3EFD0CD4"/>
    <w:rsid w:val="3F077051"/>
    <w:rsid w:val="3F4A7E6C"/>
    <w:rsid w:val="40104C12"/>
    <w:rsid w:val="40152231"/>
    <w:rsid w:val="401A0745"/>
    <w:rsid w:val="40512B35"/>
    <w:rsid w:val="40714F85"/>
    <w:rsid w:val="4189498B"/>
    <w:rsid w:val="42164036"/>
    <w:rsid w:val="429C278D"/>
    <w:rsid w:val="43361F5E"/>
    <w:rsid w:val="433F0E43"/>
    <w:rsid w:val="435E0E0D"/>
    <w:rsid w:val="43F222D3"/>
    <w:rsid w:val="44A755DF"/>
    <w:rsid w:val="44AE0556"/>
    <w:rsid w:val="44C37BBF"/>
    <w:rsid w:val="454315E6"/>
    <w:rsid w:val="462A1905"/>
    <w:rsid w:val="463733C3"/>
    <w:rsid w:val="46712E10"/>
    <w:rsid w:val="468408E6"/>
    <w:rsid w:val="46BF60BA"/>
    <w:rsid w:val="46EF2F88"/>
    <w:rsid w:val="475A011F"/>
    <w:rsid w:val="47927C97"/>
    <w:rsid w:val="485D476D"/>
    <w:rsid w:val="490B18D4"/>
    <w:rsid w:val="4961203A"/>
    <w:rsid w:val="49C33046"/>
    <w:rsid w:val="4A253068"/>
    <w:rsid w:val="4A40069B"/>
    <w:rsid w:val="4A6D745B"/>
    <w:rsid w:val="4A7638C4"/>
    <w:rsid w:val="4A8F2BD7"/>
    <w:rsid w:val="4C312198"/>
    <w:rsid w:val="4C41285B"/>
    <w:rsid w:val="4C810E93"/>
    <w:rsid w:val="4C9E7102"/>
    <w:rsid w:val="4CD07E7E"/>
    <w:rsid w:val="4DA62712"/>
    <w:rsid w:val="4DA90454"/>
    <w:rsid w:val="4DFA2B49"/>
    <w:rsid w:val="4E4D2928"/>
    <w:rsid w:val="4ED07AB5"/>
    <w:rsid w:val="4F727661"/>
    <w:rsid w:val="4F7606C7"/>
    <w:rsid w:val="4FD80B7D"/>
    <w:rsid w:val="502C679A"/>
    <w:rsid w:val="503B2D01"/>
    <w:rsid w:val="503C160C"/>
    <w:rsid w:val="50DB26D2"/>
    <w:rsid w:val="520C2D5F"/>
    <w:rsid w:val="52940B79"/>
    <w:rsid w:val="52F61177"/>
    <w:rsid w:val="53163E96"/>
    <w:rsid w:val="532365B3"/>
    <w:rsid w:val="532C190B"/>
    <w:rsid w:val="53894668"/>
    <w:rsid w:val="53C5766A"/>
    <w:rsid w:val="540C39AE"/>
    <w:rsid w:val="54455B6E"/>
    <w:rsid w:val="544F687F"/>
    <w:rsid w:val="54F94081"/>
    <w:rsid w:val="55AC6D33"/>
    <w:rsid w:val="55E24503"/>
    <w:rsid w:val="56D4311A"/>
    <w:rsid w:val="57380701"/>
    <w:rsid w:val="57977FAB"/>
    <w:rsid w:val="57B54B9A"/>
    <w:rsid w:val="584C407E"/>
    <w:rsid w:val="58EE6250"/>
    <w:rsid w:val="593908DE"/>
    <w:rsid w:val="5A5654C0"/>
    <w:rsid w:val="5AA426FF"/>
    <w:rsid w:val="5AC22F3B"/>
    <w:rsid w:val="5AEF57B4"/>
    <w:rsid w:val="5B1E422F"/>
    <w:rsid w:val="5C8956D8"/>
    <w:rsid w:val="5CFA0384"/>
    <w:rsid w:val="5D425E6D"/>
    <w:rsid w:val="5E0E058B"/>
    <w:rsid w:val="5EC24ED2"/>
    <w:rsid w:val="5FF9728E"/>
    <w:rsid w:val="600B28A8"/>
    <w:rsid w:val="60CC028A"/>
    <w:rsid w:val="60EA0710"/>
    <w:rsid w:val="61972646"/>
    <w:rsid w:val="61B21DD0"/>
    <w:rsid w:val="61F77588"/>
    <w:rsid w:val="628966B6"/>
    <w:rsid w:val="629965B2"/>
    <w:rsid w:val="643C1282"/>
    <w:rsid w:val="646D1D84"/>
    <w:rsid w:val="64DC13D0"/>
    <w:rsid w:val="6518584B"/>
    <w:rsid w:val="651D6963"/>
    <w:rsid w:val="65A774D7"/>
    <w:rsid w:val="65AC69E5"/>
    <w:rsid w:val="65BA0ED1"/>
    <w:rsid w:val="65DA6FA5"/>
    <w:rsid w:val="65DF0A5F"/>
    <w:rsid w:val="66C73830"/>
    <w:rsid w:val="670342D9"/>
    <w:rsid w:val="67C1666E"/>
    <w:rsid w:val="67DA171E"/>
    <w:rsid w:val="6807321F"/>
    <w:rsid w:val="680E6919"/>
    <w:rsid w:val="681276B8"/>
    <w:rsid w:val="684921C0"/>
    <w:rsid w:val="68880F3A"/>
    <w:rsid w:val="688B65D3"/>
    <w:rsid w:val="690B3454"/>
    <w:rsid w:val="69440841"/>
    <w:rsid w:val="69877444"/>
    <w:rsid w:val="69913E1E"/>
    <w:rsid w:val="69992CD3"/>
    <w:rsid w:val="6A382F5A"/>
    <w:rsid w:val="6ACD70D8"/>
    <w:rsid w:val="6B0F76F1"/>
    <w:rsid w:val="6B880F07"/>
    <w:rsid w:val="6C016845"/>
    <w:rsid w:val="6C1520FC"/>
    <w:rsid w:val="6CAE433C"/>
    <w:rsid w:val="6CF15648"/>
    <w:rsid w:val="6E3012D7"/>
    <w:rsid w:val="6E337665"/>
    <w:rsid w:val="6EB732A8"/>
    <w:rsid w:val="6F96218E"/>
    <w:rsid w:val="6FC73D8F"/>
    <w:rsid w:val="71375833"/>
    <w:rsid w:val="7183488E"/>
    <w:rsid w:val="71E74F23"/>
    <w:rsid w:val="722649FF"/>
    <w:rsid w:val="724539F8"/>
    <w:rsid w:val="732E5C04"/>
    <w:rsid w:val="7369671C"/>
    <w:rsid w:val="746318AB"/>
    <w:rsid w:val="74714B0A"/>
    <w:rsid w:val="752210D4"/>
    <w:rsid w:val="753A5F73"/>
    <w:rsid w:val="753E6716"/>
    <w:rsid w:val="75660855"/>
    <w:rsid w:val="76366479"/>
    <w:rsid w:val="76937428"/>
    <w:rsid w:val="76A07D97"/>
    <w:rsid w:val="76AD7DBE"/>
    <w:rsid w:val="76B4114C"/>
    <w:rsid w:val="76BA76ED"/>
    <w:rsid w:val="76C577FD"/>
    <w:rsid w:val="76FA74A7"/>
    <w:rsid w:val="77881D70"/>
    <w:rsid w:val="786126FD"/>
    <w:rsid w:val="786835B4"/>
    <w:rsid w:val="78D51BC9"/>
    <w:rsid w:val="79513566"/>
    <w:rsid w:val="79703A50"/>
    <w:rsid w:val="7A59555E"/>
    <w:rsid w:val="7A832E43"/>
    <w:rsid w:val="7AE74BA9"/>
    <w:rsid w:val="7B4B6523"/>
    <w:rsid w:val="7B644CB0"/>
    <w:rsid w:val="7BB0282A"/>
    <w:rsid w:val="7C1B1867"/>
    <w:rsid w:val="7C454DCE"/>
    <w:rsid w:val="7C5B2A99"/>
    <w:rsid w:val="7C9C5993"/>
    <w:rsid w:val="7CE54755"/>
    <w:rsid w:val="7D50686A"/>
    <w:rsid w:val="7DA95783"/>
    <w:rsid w:val="7DDB01A1"/>
    <w:rsid w:val="7E161B3A"/>
    <w:rsid w:val="7E4D4360"/>
    <w:rsid w:val="7E4F47F2"/>
    <w:rsid w:val="7E7924D3"/>
    <w:rsid w:val="7F272E03"/>
    <w:rsid w:val="7F6A0F42"/>
    <w:rsid w:val="7F820A3E"/>
    <w:rsid w:val="7FA21EDC"/>
    <w:rsid w:val="7FB4652F"/>
    <w:rsid w:val="7FC56178"/>
    <w:rsid w:val="FDFFBDEA"/>
    <w:rsid w:val="FFBFAE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semiHidden="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ocked="1"/>
    <w:lsdException w:qFormat="1"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qFormat="1" w:unhideWhenUsed="0" w:uiPriority="0" w:semiHidden="0" w:name="Normal Indent"/>
    <w:lsdException w:qFormat="1" w:uiPriority="99" w:name="footnote text"/>
    <w:lsdException w:qFormat="1" w:uiPriority="99" w:semiHidden="0"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qFormat="1" w:uiPriority="99" w:name="footnote reference"/>
    <w:lsdException w:uiPriority="99" w:name="annotation reference"/>
    <w:lsdException w:uiPriority="99" w:name="line number"/>
    <w:lsdException w:qFormat="1" w:unhideWhenUsed="0" w:uiPriority="99" w:semiHidden="0"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nhideWhenUsed="0"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微软雅黑" w:cs="Times New Roman"/>
      <w:kern w:val="2"/>
      <w:sz w:val="21"/>
      <w:lang w:val="en-US" w:eastAsia="zh-CN" w:bidi="ar-SA"/>
    </w:rPr>
  </w:style>
  <w:style w:type="paragraph" w:styleId="2">
    <w:name w:val="heading 1"/>
    <w:basedOn w:val="1"/>
    <w:next w:val="1"/>
    <w:qFormat/>
    <w:locked/>
    <w:uiPriority w:val="0"/>
    <w:pPr>
      <w:keepNext/>
      <w:keepLines/>
      <w:spacing w:beforeLines="0" w:beforeAutospacing="0" w:afterLines="0" w:afterAutospacing="0" w:line="560" w:lineRule="exact"/>
      <w:ind w:firstLine="672" w:firstLineChars="200"/>
      <w:jc w:val="left"/>
      <w:outlineLvl w:val="0"/>
    </w:pPr>
    <w:rPr>
      <w:rFonts w:ascii="Times New Roman" w:hAnsi="Times New Roman" w:eastAsia="黑体"/>
      <w:kern w:val="44"/>
      <w:sz w:val="32"/>
    </w:rPr>
  </w:style>
  <w:style w:type="paragraph" w:styleId="3">
    <w:name w:val="heading 2"/>
    <w:basedOn w:val="1"/>
    <w:next w:val="1"/>
    <w:unhideWhenUsed/>
    <w:qFormat/>
    <w:locked/>
    <w:uiPriority w:val="0"/>
    <w:pPr>
      <w:keepNext/>
      <w:keepLines/>
      <w:spacing w:beforeLines="0" w:beforeAutospacing="0" w:afterLines="0" w:afterAutospacing="0" w:line="560" w:lineRule="exact"/>
      <w:ind w:firstLine="672" w:firstLineChars="200"/>
      <w:jc w:val="left"/>
      <w:outlineLvl w:val="1"/>
    </w:pPr>
    <w:rPr>
      <w:rFonts w:ascii="Times New Roman" w:hAnsi="Times New Roman" w:eastAsia="楷体_GB2312"/>
      <w:sz w:val="32"/>
    </w:rPr>
  </w:style>
  <w:style w:type="character" w:default="1" w:styleId="16">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4">
    <w:name w:val="Normal Indent"/>
    <w:basedOn w:val="1"/>
    <w:qFormat/>
    <w:uiPriority w:val="0"/>
    <w:pPr>
      <w:ind w:firstLine="420" w:firstLineChars="200"/>
    </w:pPr>
  </w:style>
  <w:style w:type="paragraph" w:styleId="5">
    <w:name w:val="annotation text"/>
    <w:basedOn w:val="1"/>
    <w:unhideWhenUsed/>
    <w:qFormat/>
    <w:uiPriority w:val="99"/>
    <w:pPr>
      <w:jc w:val="left"/>
    </w:pPr>
  </w:style>
  <w:style w:type="paragraph" w:styleId="6">
    <w:name w:val="Date"/>
    <w:basedOn w:val="1"/>
    <w:next w:val="1"/>
    <w:link w:val="21"/>
    <w:qFormat/>
    <w:uiPriority w:val="99"/>
    <w:pPr>
      <w:ind w:left="100" w:leftChars="2500"/>
    </w:pPr>
    <w:rPr>
      <w:kern w:val="0"/>
      <w:sz w:val="20"/>
      <w:lang w:val="zh-CN" w:eastAsia="zh-CN"/>
    </w:rPr>
  </w:style>
  <w:style w:type="paragraph" w:styleId="7">
    <w:name w:val="endnote text"/>
    <w:basedOn w:val="1"/>
    <w:semiHidden/>
    <w:unhideWhenUsed/>
    <w:qFormat/>
    <w:uiPriority w:val="99"/>
    <w:pPr>
      <w:snapToGrid w:val="0"/>
      <w:jc w:val="left"/>
    </w:pPr>
  </w:style>
  <w:style w:type="paragraph" w:styleId="8">
    <w:name w:val="Balloon Text"/>
    <w:basedOn w:val="1"/>
    <w:link w:val="25"/>
    <w:semiHidden/>
    <w:unhideWhenUsed/>
    <w:qFormat/>
    <w:uiPriority w:val="99"/>
    <w:rPr>
      <w:sz w:val="18"/>
      <w:szCs w:val="18"/>
      <w:lang w:val="zh-CN" w:eastAsia="zh-CN"/>
    </w:rPr>
  </w:style>
  <w:style w:type="paragraph" w:styleId="9">
    <w:name w:val="footer"/>
    <w:basedOn w:val="1"/>
    <w:link w:val="20"/>
    <w:qFormat/>
    <w:uiPriority w:val="99"/>
    <w:pPr>
      <w:tabs>
        <w:tab w:val="center" w:pos="4153"/>
        <w:tab w:val="right" w:pos="8306"/>
      </w:tabs>
      <w:snapToGrid w:val="0"/>
      <w:jc w:val="left"/>
    </w:pPr>
    <w:rPr>
      <w:kern w:val="0"/>
      <w:sz w:val="18"/>
      <w:szCs w:val="18"/>
      <w:lang w:val="zh-CN" w:eastAsia="zh-CN"/>
    </w:rPr>
  </w:style>
  <w:style w:type="paragraph" w:styleId="10">
    <w:name w:val="header"/>
    <w:basedOn w:val="1"/>
    <w:link w:val="22"/>
    <w:qFormat/>
    <w:uiPriority w:val="99"/>
    <w:pPr>
      <w:pBdr>
        <w:bottom w:val="single" w:color="auto" w:sz="6" w:space="1"/>
      </w:pBdr>
      <w:tabs>
        <w:tab w:val="center" w:pos="4153"/>
        <w:tab w:val="right" w:pos="8306"/>
      </w:tabs>
      <w:snapToGrid w:val="0"/>
      <w:jc w:val="center"/>
    </w:pPr>
    <w:rPr>
      <w:kern w:val="0"/>
      <w:sz w:val="18"/>
      <w:szCs w:val="18"/>
      <w:lang w:val="zh-CN" w:eastAsia="zh-CN"/>
    </w:rPr>
  </w:style>
  <w:style w:type="paragraph" w:styleId="11">
    <w:name w:val="toc 1"/>
    <w:basedOn w:val="2"/>
    <w:next w:val="3"/>
    <w:qFormat/>
    <w:locked/>
    <w:uiPriority w:val="0"/>
    <w:rPr>
      <w:rFonts w:ascii="Times New Roman" w:hAnsi="Times New Roman"/>
      <w:sz w:val="24"/>
    </w:rPr>
  </w:style>
  <w:style w:type="paragraph" w:styleId="12">
    <w:name w:val="footnote text"/>
    <w:basedOn w:val="1"/>
    <w:link w:val="26"/>
    <w:semiHidden/>
    <w:unhideWhenUsed/>
    <w:qFormat/>
    <w:uiPriority w:val="99"/>
    <w:pPr>
      <w:snapToGrid w:val="0"/>
      <w:jc w:val="left"/>
    </w:pPr>
    <w:rPr>
      <w:sz w:val="18"/>
      <w:szCs w:val="18"/>
    </w:rPr>
  </w:style>
  <w:style w:type="paragraph" w:styleId="13">
    <w:name w:val="toc 2"/>
    <w:basedOn w:val="3"/>
    <w:next w:val="1"/>
    <w:qFormat/>
    <w:locked/>
    <w:uiPriority w:val="0"/>
    <w:pPr>
      <w:ind w:left="420" w:leftChars="200"/>
    </w:pPr>
    <w:rPr>
      <w:rFonts w:ascii="Times New Roman" w:hAnsi="Times New Roman" w:eastAsia="宋体"/>
      <w:sz w:val="24"/>
    </w:rPr>
  </w:style>
  <w:style w:type="paragraph" w:styleId="14">
    <w:name w:val="Normal (Web)"/>
    <w:basedOn w:val="1"/>
    <w:qFormat/>
    <w:uiPriority w:val="99"/>
    <w:pPr>
      <w:spacing w:beforeAutospacing="1" w:afterAutospacing="1"/>
      <w:jc w:val="left"/>
    </w:pPr>
    <w:rPr>
      <w:kern w:val="0"/>
      <w:sz w:val="24"/>
      <w:szCs w:val="24"/>
    </w:rPr>
  </w:style>
  <w:style w:type="character" w:styleId="17">
    <w:name w:val="endnote reference"/>
    <w:basedOn w:val="16"/>
    <w:semiHidden/>
    <w:unhideWhenUsed/>
    <w:qFormat/>
    <w:uiPriority w:val="99"/>
    <w:rPr>
      <w:vertAlign w:val="superscript"/>
    </w:rPr>
  </w:style>
  <w:style w:type="character" w:styleId="18">
    <w:name w:val="page number"/>
    <w:qFormat/>
    <w:uiPriority w:val="99"/>
    <w:rPr>
      <w:rFonts w:cs="Times New Roman"/>
    </w:rPr>
  </w:style>
  <w:style w:type="character" w:styleId="19">
    <w:name w:val="footnote reference"/>
    <w:basedOn w:val="16"/>
    <w:semiHidden/>
    <w:unhideWhenUsed/>
    <w:qFormat/>
    <w:uiPriority w:val="99"/>
    <w:rPr>
      <w:vertAlign w:val="superscript"/>
    </w:rPr>
  </w:style>
  <w:style w:type="character" w:customStyle="1" w:styleId="20">
    <w:name w:val="页脚 字符"/>
    <w:link w:val="9"/>
    <w:semiHidden/>
    <w:qFormat/>
    <w:locked/>
    <w:uiPriority w:val="99"/>
    <w:rPr>
      <w:rFonts w:cs="Times New Roman"/>
      <w:sz w:val="18"/>
      <w:szCs w:val="18"/>
    </w:rPr>
  </w:style>
  <w:style w:type="character" w:customStyle="1" w:styleId="21">
    <w:name w:val="日期 字符"/>
    <w:link w:val="6"/>
    <w:semiHidden/>
    <w:qFormat/>
    <w:locked/>
    <w:uiPriority w:val="99"/>
    <w:rPr>
      <w:rFonts w:cs="Times New Roman"/>
      <w:sz w:val="20"/>
      <w:szCs w:val="20"/>
    </w:rPr>
  </w:style>
  <w:style w:type="character" w:customStyle="1" w:styleId="22">
    <w:name w:val="页眉 字符"/>
    <w:link w:val="10"/>
    <w:semiHidden/>
    <w:qFormat/>
    <w:locked/>
    <w:uiPriority w:val="99"/>
    <w:rPr>
      <w:rFonts w:cs="Times New Roman"/>
      <w:sz w:val="18"/>
      <w:szCs w:val="18"/>
    </w:rPr>
  </w:style>
  <w:style w:type="paragraph" w:customStyle="1" w:styleId="23">
    <w:name w:val="p16"/>
    <w:basedOn w:val="1"/>
    <w:qFormat/>
    <w:uiPriority w:val="99"/>
    <w:pPr>
      <w:widowControl/>
    </w:pPr>
    <w:rPr>
      <w:kern w:val="0"/>
      <w:szCs w:val="21"/>
    </w:rPr>
  </w:style>
  <w:style w:type="paragraph" w:customStyle="1" w:styleId="24">
    <w:name w:val="msonormalcxspmiddle"/>
    <w:basedOn w:val="1"/>
    <w:qFormat/>
    <w:uiPriority w:val="0"/>
    <w:pPr>
      <w:widowControl/>
      <w:spacing w:before="100" w:beforeAutospacing="1" w:after="100" w:afterAutospacing="1"/>
      <w:jc w:val="left"/>
    </w:pPr>
    <w:rPr>
      <w:rFonts w:ascii="宋体" w:hAnsi="宋体" w:cs="宋体"/>
      <w:kern w:val="0"/>
      <w:sz w:val="24"/>
      <w:szCs w:val="24"/>
    </w:rPr>
  </w:style>
  <w:style w:type="character" w:customStyle="1" w:styleId="25">
    <w:name w:val="批注框文本 字符"/>
    <w:link w:val="8"/>
    <w:semiHidden/>
    <w:qFormat/>
    <w:uiPriority w:val="99"/>
    <w:rPr>
      <w:kern w:val="2"/>
      <w:sz w:val="18"/>
      <w:szCs w:val="18"/>
    </w:rPr>
  </w:style>
  <w:style w:type="character" w:customStyle="1" w:styleId="26">
    <w:name w:val="脚注文本 字符"/>
    <w:link w:val="12"/>
    <w:semiHidden/>
    <w:qFormat/>
    <w:uiPriority w:val="99"/>
    <w:rPr>
      <w:kern w:val="2"/>
      <w:sz w:val="18"/>
      <w:szCs w:val="18"/>
    </w:rPr>
  </w:style>
  <w:style w:type="paragraph" w:customStyle="1" w:styleId="27">
    <w:name w:val="WPSOffice手动目录 1"/>
    <w:qFormat/>
    <w:uiPriority w:val="0"/>
    <w:pPr>
      <w:ind w:leftChars="0"/>
    </w:pPr>
    <w:rPr>
      <w:rFonts w:ascii="Times New Roman" w:hAnsi="Times New Roman" w:eastAsia="宋体" w:cs="Times New Roman"/>
      <w:sz w:val="20"/>
      <w:szCs w:val="20"/>
    </w:rPr>
  </w:style>
  <w:style w:type="paragraph" w:customStyle="1" w:styleId="28">
    <w:name w:val="WPSOffice手动目录 2"/>
    <w:qFormat/>
    <w:uiPriority w:val="0"/>
    <w:pPr>
      <w:ind w:leftChars="2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image" Target="media/image5.png"/><Relationship Id="rId13" Type="http://schemas.openxmlformats.org/officeDocument/2006/relationships/image" Target="media/image4.jpe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WWW.YlmF.CoM</Company>
  <Pages>14</Pages>
  <Words>4979</Words>
  <Characters>5167</Characters>
  <Lines>47</Lines>
  <Paragraphs>13</Paragraphs>
  <TotalTime>5</TotalTime>
  <ScaleCrop>false</ScaleCrop>
  <LinksUpToDate>false</LinksUpToDate>
  <CharactersWithSpaces>5247</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2022-09-20T22:50:00Z</dcterms:created>
  <dc:creator>雨林木风</dc:creator>
  <cp:lastModifiedBy>夏鑫</cp:lastModifiedBy>
  <cp:lastPrinted>2023-09-23T16:55:00Z</cp:lastPrinted>
  <dcterms:modified xsi:type="dcterms:W3CDTF">2025-07-18T06:56:13Z</dcterms:modified>
  <dc:title>关于印发静海县创建全国农村中医药工作先进单位活动实施方案的通知</dc:title>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11296695FC2B452593DE7B70F7863D30_13</vt:lpwstr>
  </property>
  <property fmtid="{D5CDD505-2E9C-101B-9397-08002B2CF9AE}" pid="4" name="KSOTemplateDocerSaveRecord">
    <vt:lpwstr>eyJoZGlkIjoiNDA5MTE4NTRmMGJjMzAxM2ExMzM0YjVmNWZjY2RmZmQiLCJ1c2VySWQiOiI1NDQ2NDQ5ODcifQ==</vt:lpwstr>
  </property>
</Properties>
</file>