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rPr>
          <w:rFonts w:ascii="黑体" w:hAnsi="黑体" w:eastAsia="黑体"/>
          <w:kern w:val="2"/>
          <w:szCs w:val="24"/>
        </w:rPr>
      </w:pPr>
    </w:p>
    <w:p>
      <w:pPr>
        <w:spacing w:line="560" w:lineRule="exact"/>
        <w:jc w:val="center"/>
        <w:rPr>
          <w:rFonts w:hint="eastAsia" w:ascii="方正小标宋简体" w:hAnsi="黑体" w:eastAsia="方正小标宋简体" w:cs="Times New Roman"/>
          <w:bCs/>
          <w:sz w:val="44"/>
          <w:szCs w:val="44"/>
        </w:rPr>
      </w:pPr>
      <w:r>
        <w:rPr>
          <w:rFonts w:hint="eastAsia" w:ascii="方正小标宋简体" w:hAnsi="黑体" w:eastAsia="方正小标宋简体" w:cs="Times New Roman"/>
          <w:bCs/>
          <w:sz w:val="44"/>
          <w:szCs w:val="44"/>
          <w:lang w:eastAsia="zh-CN"/>
        </w:rPr>
        <w:t>天津市朝阳林工贸有限公司</w:t>
      </w:r>
      <w:r>
        <w:rPr>
          <w:rFonts w:hint="eastAsia" w:ascii="方正小标宋简体" w:hAnsi="黑体" w:eastAsia="方正小标宋简体" w:cs="Times New Roman"/>
          <w:bCs/>
          <w:sz w:val="44"/>
          <w:szCs w:val="44"/>
        </w:rPr>
        <w:t>“</w:t>
      </w:r>
      <w:r>
        <w:rPr>
          <w:rFonts w:hint="eastAsia" w:ascii="方正小标宋简体" w:hAnsi="黑体" w:eastAsia="方正小标宋简体" w:cs="Times New Roman"/>
          <w:bCs/>
          <w:sz w:val="44"/>
          <w:szCs w:val="44"/>
          <w:lang w:val="en-US" w:eastAsia="zh-CN"/>
        </w:rPr>
        <w:t>2</w:t>
      </w:r>
      <w:r>
        <w:rPr>
          <w:rFonts w:hint="eastAsia" w:ascii="方正小标宋简体" w:hAnsi="黑体" w:eastAsia="方正小标宋简体" w:cs="Times New Roman"/>
          <w:bCs/>
          <w:sz w:val="44"/>
          <w:szCs w:val="44"/>
        </w:rPr>
        <w:t>·1</w:t>
      </w:r>
      <w:r>
        <w:rPr>
          <w:rFonts w:hint="eastAsia" w:ascii="方正小标宋简体" w:hAnsi="黑体" w:eastAsia="方正小标宋简体" w:cs="Times New Roman"/>
          <w:bCs/>
          <w:sz w:val="44"/>
          <w:szCs w:val="44"/>
          <w:lang w:val="en-US" w:eastAsia="zh-CN"/>
        </w:rPr>
        <w:t>7</w:t>
      </w:r>
      <w:r>
        <w:rPr>
          <w:rFonts w:hint="eastAsia" w:ascii="方正小标宋简体" w:hAnsi="黑体" w:eastAsia="方正小标宋简体" w:cs="Times New Roman"/>
          <w:bCs/>
          <w:sz w:val="44"/>
          <w:szCs w:val="44"/>
        </w:rPr>
        <w:t>”</w:t>
      </w:r>
    </w:p>
    <w:p>
      <w:pPr>
        <w:spacing w:line="560" w:lineRule="exact"/>
        <w:jc w:val="center"/>
        <w:rPr>
          <w:rFonts w:hint="eastAsia" w:ascii="方正小标宋简体" w:eastAsia="方正小标宋简体"/>
          <w:sz w:val="44"/>
          <w:szCs w:val="44"/>
        </w:rPr>
      </w:pPr>
      <w:r>
        <w:rPr>
          <w:rFonts w:hint="eastAsia" w:ascii="方正小标宋简体" w:hAnsi="黑体" w:eastAsia="方正小标宋简体" w:cs="Times New Roman"/>
          <w:bCs/>
          <w:sz w:val="44"/>
          <w:szCs w:val="44"/>
        </w:rPr>
        <w:t>一般</w:t>
      </w:r>
      <w:r>
        <w:rPr>
          <w:rFonts w:hint="eastAsia" w:ascii="方正小标宋简体" w:hAnsi="黑体" w:eastAsia="方正小标宋简体" w:cs="Times New Roman"/>
          <w:bCs/>
          <w:sz w:val="44"/>
          <w:szCs w:val="44"/>
          <w:lang w:eastAsia="zh-CN"/>
        </w:rPr>
        <w:t>坍塌</w:t>
      </w:r>
      <w:r>
        <w:rPr>
          <w:rFonts w:hint="eastAsia" w:ascii="方正小标宋简体" w:hAnsi="黑体" w:eastAsia="方正小标宋简体" w:cs="Times New Roman"/>
          <w:bCs/>
          <w:sz w:val="44"/>
          <w:szCs w:val="44"/>
        </w:rPr>
        <w:t>事故</w:t>
      </w:r>
      <w:r>
        <w:rPr>
          <w:rFonts w:hint="eastAsia" w:ascii="方正小标宋简体" w:hAnsi="宋体" w:eastAsia="方正小标宋简体"/>
          <w:sz w:val="44"/>
          <w:szCs w:val="44"/>
        </w:rPr>
        <w:t>评估</w:t>
      </w:r>
      <w:r>
        <w:rPr>
          <w:rFonts w:hint="eastAsia" w:ascii="方正小标宋简体" w:eastAsia="方正小标宋简体"/>
          <w:sz w:val="44"/>
          <w:szCs w:val="44"/>
        </w:rPr>
        <w:t>报告</w:t>
      </w:r>
    </w:p>
    <w:p>
      <w:pPr>
        <w:spacing w:before="156" w:beforeLines="50" w:line="560" w:lineRule="exact"/>
        <w:ind w:firstLine="640" w:firstLineChars="200"/>
        <w:jc w:val="both"/>
        <w:rPr>
          <w:bCs/>
        </w:rPr>
      </w:pPr>
    </w:p>
    <w:p>
      <w:pPr>
        <w:spacing w:line="560" w:lineRule="exact"/>
        <w:ind w:firstLine="640" w:firstLineChars="200"/>
        <w:jc w:val="both"/>
      </w:pPr>
      <w:r>
        <w:rPr>
          <w:rFonts w:hint="eastAsia"/>
          <w:bCs/>
          <w:lang w:eastAsia="zh-CN"/>
        </w:rPr>
        <w:t>依据</w:t>
      </w:r>
      <w:r>
        <w:rPr>
          <w:rFonts w:hint="eastAsia"/>
        </w:rPr>
        <w:t>《生产安全事故防范和整改措施落实情况评估办法》</w:t>
      </w:r>
      <w:r>
        <w:rPr>
          <w:rFonts w:hint="eastAsia"/>
          <w:lang w:val="en-US" w:eastAsia="zh-CN"/>
        </w:rPr>
        <w:t xml:space="preserve"> </w:t>
      </w:r>
      <w:r>
        <w:rPr>
          <w:rFonts w:hint="eastAsia"/>
        </w:rPr>
        <w:t>《天津市</w:t>
      </w:r>
      <w:r>
        <w:t>生产安全事故</w:t>
      </w:r>
      <w:r>
        <w:rPr>
          <w:rFonts w:hint="eastAsia"/>
        </w:rPr>
        <w:t>防范和整改措施落实情况评估办法》</w:t>
      </w:r>
      <w:r>
        <w:t>规定</w:t>
      </w:r>
      <w:r>
        <w:rPr>
          <w:rFonts w:hint="eastAsia"/>
        </w:rPr>
        <w:t>，202</w:t>
      </w:r>
      <w:r>
        <w:rPr>
          <w:rFonts w:hint="eastAsia"/>
          <w:lang w:val="en-US" w:eastAsia="zh-CN"/>
        </w:rPr>
        <w:t>4</w:t>
      </w:r>
      <w:r>
        <w:rPr>
          <w:rFonts w:hint="eastAsia"/>
        </w:rPr>
        <w:t>年</w:t>
      </w:r>
      <w:r>
        <w:rPr>
          <w:rFonts w:hint="eastAsia"/>
          <w:lang w:val="en-US" w:eastAsia="zh-CN"/>
        </w:rPr>
        <w:t>3</w:t>
      </w:r>
      <w:r>
        <w:rPr>
          <w:rFonts w:hint="eastAsia"/>
        </w:rPr>
        <w:t>月</w:t>
      </w:r>
      <w:r>
        <w:rPr>
          <w:rFonts w:hint="eastAsia"/>
          <w:lang w:val="en-US" w:eastAsia="zh-CN"/>
        </w:rPr>
        <w:t>27</w:t>
      </w:r>
      <w:r>
        <w:rPr>
          <w:rFonts w:hint="eastAsia"/>
        </w:rPr>
        <w:t>日</w:t>
      </w:r>
      <w:r>
        <w:t>，</w:t>
      </w:r>
      <w:r>
        <w:rPr>
          <w:rFonts w:hint="eastAsia" w:hAnsi="仿宋_GB2312" w:cs="仿宋_GB2312"/>
          <w:kern w:val="0"/>
          <w:sz w:val="32"/>
          <w:szCs w:val="32"/>
          <w:lang w:val="en" w:eastAsia="zh-CN"/>
        </w:rPr>
        <w:t>我区</w:t>
      </w:r>
      <w:r>
        <w:rPr>
          <w:rFonts w:hint="eastAsia"/>
        </w:rPr>
        <w:t>成立了</w:t>
      </w:r>
      <w:r>
        <w:rPr>
          <w:rFonts w:hint="eastAsia"/>
          <w:lang w:eastAsia="zh-CN"/>
        </w:rPr>
        <w:t>天津市朝阳林工贸有限公司</w:t>
      </w:r>
      <w:r>
        <w:rPr>
          <w:rFonts w:hint="eastAsia"/>
        </w:rPr>
        <w:t>“</w:t>
      </w:r>
      <w:r>
        <w:rPr>
          <w:rFonts w:hint="eastAsia"/>
          <w:lang w:val="en-US" w:eastAsia="zh-CN"/>
        </w:rPr>
        <w:t>2</w:t>
      </w:r>
      <w:r>
        <w:rPr>
          <w:rFonts w:hint="eastAsia"/>
        </w:rPr>
        <w:t>·1</w:t>
      </w:r>
      <w:r>
        <w:rPr>
          <w:rFonts w:hint="eastAsia"/>
          <w:lang w:val="en-US" w:eastAsia="zh-CN"/>
        </w:rPr>
        <w:t>7</w:t>
      </w:r>
      <w:r>
        <w:rPr>
          <w:rFonts w:hint="eastAsia"/>
        </w:rPr>
        <w:t>”一般</w:t>
      </w:r>
      <w:r>
        <w:rPr>
          <w:rFonts w:hint="eastAsia"/>
          <w:lang w:eastAsia="zh-CN"/>
        </w:rPr>
        <w:t>坍塌</w:t>
      </w:r>
      <w:r>
        <w:rPr>
          <w:rFonts w:hint="eastAsia"/>
        </w:rPr>
        <w:t>事故评估</w:t>
      </w:r>
      <w:r>
        <w:t>组</w:t>
      </w:r>
      <w:r>
        <w:rPr>
          <w:rFonts w:hint="eastAsia"/>
          <w:lang w:eastAsia="zh-CN"/>
        </w:rPr>
        <w:t>，</w:t>
      </w:r>
      <w:r>
        <w:t>开展</w:t>
      </w:r>
      <w:r>
        <w:rPr>
          <w:rFonts w:hint="eastAsia"/>
          <w:lang w:eastAsia="zh-CN"/>
        </w:rPr>
        <w:t>该起事故</w:t>
      </w:r>
      <w:r>
        <w:t>评估</w:t>
      </w:r>
      <w:r>
        <w:rPr>
          <w:rFonts w:hint="eastAsia"/>
          <w:lang w:eastAsia="zh-CN"/>
        </w:rPr>
        <w:t>相关</w:t>
      </w:r>
      <w:r>
        <w:rPr>
          <w:rFonts w:hint="eastAsia"/>
        </w:rPr>
        <w:t>工作</w:t>
      </w:r>
      <w:r>
        <w:rPr>
          <w:rFonts w:hint="eastAsia"/>
          <w:lang w:eastAsia="zh-CN"/>
        </w:rPr>
        <w:t>。</w:t>
      </w:r>
      <w:r>
        <w:t>202</w:t>
      </w:r>
      <w:r>
        <w:rPr>
          <w:rFonts w:hint="eastAsia"/>
          <w:lang w:val="en-US" w:eastAsia="zh-CN"/>
        </w:rPr>
        <w:t>4</w:t>
      </w:r>
      <w:r>
        <w:rPr>
          <w:rFonts w:hint="eastAsia"/>
        </w:rPr>
        <w:t>年</w:t>
      </w:r>
      <w:r>
        <w:rPr>
          <w:rFonts w:hint="eastAsia"/>
          <w:lang w:val="en-US" w:eastAsia="zh-CN"/>
        </w:rPr>
        <w:t>5</w:t>
      </w:r>
      <w:r>
        <w:rPr>
          <w:rFonts w:hint="eastAsia"/>
        </w:rPr>
        <w:t>月</w:t>
      </w:r>
      <w:r>
        <w:rPr>
          <w:rFonts w:hint="eastAsia"/>
          <w:lang w:val="en-US" w:eastAsia="zh-CN"/>
        </w:rPr>
        <w:t>23</w:t>
      </w:r>
      <w:bookmarkStart w:id="0" w:name="_GoBack"/>
      <w:bookmarkEnd w:id="0"/>
      <w:r>
        <w:rPr>
          <w:rFonts w:hint="eastAsia"/>
        </w:rPr>
        <w:t>日，事故评估</w:t>
      </w:r>
      <w:r>
        <w:t>组</w:t>
      </w:r>
      <w:r>
        <w:rPr>
          <w:rFonts w:hint="eastAsia"/>
        </w:rPr>
        <w:t>完</w:t>
      </w:r>
      <w:r>
        <w:t>成事故评估工作</w:t>
      </w:r>
      <w:r>
        <w:rPr>
          <w:rFonts w:hint="eastAsia"/>
        </w:rPr>
        <w:t>，形成本报告。</w:t>
      </w:r>
    </w:p>
    <w:p>
      <w:pPr>
        <w:spacing w:line="560" w:lineRule="exact"/>
        <w:ind w:firstLine="640" w:firstLineChars="200"/>
        <w:jc w:val="both"/>
        <w:outlineLvl w:val="0"/>
        <w:rPr>
          <w:rFonts w:ascii="黑体" w:hAnsi="黑体" w:eastAsia="黑体"/>
        </w:rPr>
      </w:pPr>
      <w:r>
        <w:t xml:space="preserve"> </w:t>
      </w:r>
      <w:r>
        <w:rPr>
          <w:rFonts w:hint="eastAsia" w:ascii="黑体" w:hAnsi="黑体" w:eastAsia="黑体"/>
        </w:rPr>
        <w:t>一</w:t>
      </w:r>
      <w:r>
        <w:rPr>
          <w:rFonts w:ascii="黑体" w:hAnsi="黑体" w:eastAsia="黑体"/>
        </w:rPr>
        <w:t>、评估目的</w:t>
      </w:r>
    </w:p>
    <w:p>
      <w:pPr>
        <w:spacing w:line="560" w:lineRule="exact"/>
        <w:ind w:firstLine="640" w:firstLineChars="200"/>
        <w:jc w:val="both"/>
        <w:rPr>
          <w:rFonts w:hint="eastAsia" w:ascii="黑体" w:hAnsi="黑体" w:eastAsia="黑体"/>
        </w:rPr>
      </w:pPr>
      <w:r>
        <w:t>为深入贯彻落实习近平总书记关于安全生产的重要指示批 示精神，认真落实</w:t>
      </w:r>
      <w:r>
        <w:rPr>
          <w:rFonts w:hint="eastAsia"/>
          <w:lang w:eastAsia="zh-CN"/>
        </w:rPr>
        <w:t>市委市政府、区委区政府</w:t>
      </w:r>
      <w:r>
        <w:t>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w:t>
      </w:r>
      <w:r>
        <w:rPr>
          <w:rFonts w:hint="eastAsia"/>
          <w:lang w:eastAsia="zh-CN"/>
        </w:rPr>
        <w:t>财产</w:t>
      </w:r>
      <w:r>
        <w:t>安全，按照《中共中央</w:t>
      </w:r>
      <w:r>
        <w:rPr>
          <w:rFonts w:hint="eastAsia"/>
          <w:lang w:val="en-US" w:eastAsia="zh-CN"/>
        </w:rPr>
        <w:t xml:space="preserve"> </w:t>
      </w:r>
      <w:r>
        <w:t>国务院关于推进安全生产领域改革发展的意见》《中共天津市委</w:t>
      </w:r>
      <w:r>
        <w:rPr>
          <w:rFonts w:hint="eastAsia"/>
          <w:lang w:val="en-US" w:eastAsia="zh-CN"/>
        </w:rPr>
        <w:t xml:space="preserve"> </w:t>
      </w:r>
      <w:r>
        <w:t>天津市人民政府关于推进安全生产领域改革发展的实施意见》和《生产安全事故防范和整改措施落实情况评估办法》</w:t>
      </w:r>
      <w:r>
        <w:rPr>
          <w:rFonts w:hint="eastAsia"/>
          <w:lang w:eastAsia="zh-CN"/>
        </w:rPr>
        <w:t>等</w:t>
      </w:r>
      <w:r>
        <w:t>规定</w:t>
      </w:r>
      <w:r>
        <w:rPr>
          <w:rFonts w:hint="eastAsia"/>
          <w:bCs/>
        </w:rPr>
        <w:t>，</w:t>
      </w:r>
      <w:r>
        <w:rPr>
          <w:rFonts w:hint="eastAsia"/>
          <w:bCs/>
          <w:lang w:eastAsia="zh-CN"/>
        </w:rPr>
        <w:t>推动生产安全事故责任追究和整改措施的落实，</w:t>
      </w:r>
      <w:r>
        <w:rPr>
          <w:rFonts w:hint="eastAsia"/>
          <w:bCs/>
        </w:rPr>
        <w:t>特开展此次事故评估工作。</w:t>
      </w:r>
    </w:p>
    <w:p>
      <w:pPr>
        <w:spacing w:line="560" w:lineRule="exact"/>
        <w:ind w:firstLine="640" w:firstLineChars="200"/>
        <w:jc w:val="both"/>
        <w:outlineLvl w:val="0"/>
        <w:rPr>
          <w:rFonts w:ascii="黑体" w:hAnsi="黑体" w:eastAsia="黑体"/>
          <w:bCs/>
        </w:rPr>
      </w:pPr>
      <w:r>
        <w:rPr>
          <w:rFonts w:hint="eastAsia" w:ascii="黑体" w:hAnsi="黑体" w:eastAsia="黑体"/>
        </w:rPr>
        <w:t>二</w:t>
      </w:r>
      <w:r>
        <w:rPr>
          <w:rFonts w:ascii="黑体" w:hAnsi="黑体" w:eastAsia="黑体"/>
        </w:rPr>
        <w:t>、</w:t>
      </w:r>
      <w:r>
        <w:rPr>
          <w:rFonts w:ascii="黑体" w:hAnsi="黑体" w:eastAsia="黑体"/>
          <w:bCs/>
        </w:rPr>
        <w:t>评估依据及</w:t>
      </w:r>
      <w:r>
        <w:rPr>
          <w:rFonts w:hint="eastAsia" w:ascii="黑体" w:hAnsi="黑体" w:eastAsia="黑体"/>
          <w:bCs/>
        </w:rPr>
        <w:t>职责分工</w:t>
      </w:r>
    </w:p>
    <w:p>
      <w:pPr>
        <w:spacing w:line="560" w:lineRule="exact"/>
        <w:ind w:firstLine="640" w:firstLineChars="200"/>
        <w:jc w:val="both"/>
        <w:rPr>
          <w:bCs/>
        </w:rPr>
      </w:pPr>
      <w:r>
        <w:rPr>
          <w:rFonts w:hint="eastAsia"/>
          <w:bCs/>
        </w:rPr>
        <w:t>202</w:t>
      </w:r>
      <w:r>
        <w:rPr>
          <w:rFonts w:hint="eastAsia"/>
          <w:bCs/>
          <w:lang w:val="en-US" w:eastAsia="zh-CN"/>
        </w:rPr>
        <w:t>4</w:t>
      </w:r>
      <w:r>
        <w:rPr>
          <w:rFonts w:hint="eastAsia"/>
          <w:bCs/>
        </w:rPr>
        <w:t>年</w:t>
      </w:r>
      <w:r>
        <w:rPr>
          <w:rFonts w:hint="eastAsia"/>
          <w:bCs/>
          <w:lang w:val="en-US" w:eastAsia="zh-CN"/>
        </w:rPr>
        <w:t>3</w:t>
      </w:r>
      <w:r>
        <w:rPr>
          <w:rFonts w:hint="eastAsia"/>
          <w:bCs/>
        </w:rPr>
        <w:t>月</w:t>
      </w:r>
      <w:r>
        <w:rPr>
          <w:rFonts w:hint="eastAsia"/>
          <w:bCs/>
          <w:lang w:val="en-US" w:eastAsia="zh-CN"/>
        </w:rPr>
        <w:t>27</w:t>
      </w:r>
      <w:r>
        <w:rPr>
          <w:rFonts w:hint="eastAsia"/>
          <w:bCs/>
        </w:rPr>
        <w:t>日</w:t>
      </w:r>
      <w:r>
        <w:rPr>
          <w:rFonts w:hint="eastAsia"/>
          <w:bCs/>
          <w:lang w:eastAsia="zh-CN"/>
        </w:rPr>
        <w:t>，我区</w:t>
      </w:r>
      <w:r>
        <w:rPr>
          <w:rFonts w:hint="eastAsia"/>
          <w:bCs/>
        </w:rPr>
        <w:t>成立了</w:t>
      </w:r>
      <w:r>
        <w:rPr>
          <w:rFonts w:hint="eastAsia"/>
          <w:lang w:eastAsia="zh-CN"/>
        </w:rPr>
        <w:t>天津市朝阳林工贸有限公司“2·17”一般坍塌事故</w:t>
      </w:r>
      <w:r>
        <w:rPr>
          <w:rFonts w:hint="eastAsia"/>
        </w:rPr>
        <w:t>评估</w:t>
      </w:r>
      <w:r>
        <w:t>组</w:t>
      </w:r>
      <w:r>
        <w:rPr>
          <w:rFonts w:hint="eastAsia"/>
          <w:bCs/>
          <w:lang w:eastAsia="zh-CN"/>
        </w:rPr>
        <w:t>，区应急管理局、</w:t>
      </w:r>
      <w:r>
        <w:rPr>
          <w:rFonts w:hint="eastAsia" w:hAnsi="仿宋_GB2312" w:cs="仿宋_GB2312"/>
        </w:rPr>
        <w:t>公安静海分局、区</w:t>
      </w:r>
      <w:r>
        <w:rPr>
          <w:rFonts w:hint="eastAsia" w:hAnsi="仿宋_GB2312" w:cs="仿宋_GB2312"/>
          <w:lang w:val="en-US" w:eastAsia="zh-CN"/>
        </w:rPr>
        <w:t>工信</w:t>
      </w:r>
      <w:r>
        <w:rPr>
          <w:rFonts w:hint="eastAsia" w:hAnsi="仿宋_GB2312" w:cs="仿宋_GB2312"/>
        </w:rPr>
        <w:t>局、区总工会、</w:t>
      </w:r>
      <w:r>
        <w:rPr>
          <w:rFonts w:hint="eastAsia" w:hAnsi="仿宋_GB2312" w:cs="仿宋_GB2312"/>
          <w:sz w:val="32"/>
          <w:szCs w:val="32"/>
          <w:lang w:eastAsia="zh-CN"/>
        </w:rPr>
        <w:t>大邱庄镇政府</w:t>
      </w:r>
      <w:r>
        <w:rPr>
          <w:rFonts w:hint="eastAsia"/>
          <w:bCs/>
        </w:rPr>
        <w:t>为成员单位</w:t>
      </w:r>
      <w:r>
        <w:rPr>
          <w:rFonts w:hint="eastAsia"/>
          <w:bCs/>
          <w:lang w:val="en-US" w:eastAsia="zh-CN"/>
        </w:rPr>
        <w:t>开展评估工作。</w:t>
      </w:r>
    </w:p>
    <w:p>
      <w:pPr>
        <w:spacing w:line="560" w:lineRule="exact"/>
        <w:ind w:firstLine="640" w:firstLineChars="200"/>
        <w:jc w:val="both"/>
        <w:rPr>
          <w:rFonts w:hint="eastAsia" w:eastAsia="仿宋_GB2312"/>
          <w:bCs/>
          <w:lang w:val="en-US" w:eastAsia="zh-CN"/>
        </w:rPr>
      </w:pPr>
      <w:r>
        <w:rPr>
          <w:rFonts w:hint="eastAsia"/>
          <w:bCs/>
          <w:lang w:eastAsia="zh-CN"/>
        </w:rPr>
        <w:t>按照分工，</w:t>
      </w:r>
      <w:r>
        <w:rPr>
          <w:rFonts w:hint="eastAsia"/>
          <w:bCs/>
        </w:rPr>
        <w:t>区应急管理局</w:t>
      </w:r>
      <w:r>
        <w:rPr>
          <w:rFonts w:hint="eastAsia"/>
          <w:bCs/>
          <w:lang w:eastAsia="zh-CN"/>
        </w:rPr>
        <w:t>负责</w:t>
      </w:r>
      <w:r>
        <w:rPr>
          <w:rFonts w:hint="eastAsia"/>
          <w:bCs/>
        </w:rPr>
        <w:t>组织、协调事故评估组成员单位做好评估工作；</w:t>
      </w:r>
      <w:r>
        <w:rPr>
          <w:rFonts w:hint="eastAsia"/>
          <w:bCs/>
          <w:lang w:eastAsia="zh-CN"/>
        </w:rPr>
        <w:t>根据</w:t>
      </w:r>
      <w:r>
        <w:rPr>
          <w:rFonts w:hint="eastAsia"/>
          <w:bCs/>
        </w:rPr>
        <w:t>事故调查报告中建议给予行政处罚的单位和个人</w:t>
      </w:r>
      <w:r>
        <w:rPr>
          <w:rFonts w:hint="eastAsia"/>
          <w:bCs/>
          <w:lang w:eastAsia="zh-CN"/>
        </w:rPr>
        <w:t>的处理意见，</w:t>
      </w:r>
      <w:r>
        <w:rPr>
          <w:rFonts w:hint="eastAsia"/>
          <w:bCs/>
        </w:rPr>
        <w:t>对事故责任单位、人员</w:t>
      </w:r>
      <w:r>
        <w:rPr>
          <w:rFonts w:hint="eastAsia"/>
          <w:bCs/>
          <w:lang w:eastAsia="zh-CN"/>
        </w:rPr>
        <w:t>行政处罚方面</w:t>
      </w:r>
      <w:r>
        <w:rPr>
          <w:rFonts w:hint="eastAsia"/>
          <w:bCs/>
        </w:rPr>
        <w:t>落实情况进行评估</w:t>
      </w:r>
      <w:r>
        <w:rPr>
          <w:rFonts w:hint="eastAsia"/>
          <w:bCs/>
          <w:lang w:eastAsia="zh-CN"/>
        </w:rPr>
        <w:t>；根据</w:t>
      </w:r>
      <w:r>
        <w:rPr>
          <w:rFonts w:hint="eastAsia"/>
          <w:bCs/>
        </w:rPr>
        <w:t>事故调查报告中</w:t>
      </w:r>
      <w:r>
        <w:rPr>
          <w:rFonts w:hint="default"/>
          <w:bCs/>
        </w:rPr>
        <w:t>事故防范和</w:t>
      </w:r>
      <w:r>
        <w:rPr>
          <w:rFonts w:hint="eastAsia"/>
          <w:bCs/>
        </w:rPr>
        <w:t>整改措施意见，对事故发生单位的事故</w:t>
      </w:r>
      <w:r>
        <w:rPr>
          <w:rFonts w:hint="default"/>
          <w:bCs/>
        </w:rPr>
        <w:t>防范和</w:t>
      </w:r>
      <w:r>
        <w:rPr>
          <w:rFonts w:hint="eastAsia"/>
          <w:bCs/>
        </w:rPr>
        <w:t>整改措施落实情况进行评估</w:t>
      </w:r>
      <w:r>
        <w:rPr>
          <w:rFonts w:hint="eastAsia"/>
          <w:bCs/>
          <w:lang w:eastAsia="zh-CN"/>
        </w:rPr>
        <w:t>，</w:t>
      </w:r>
      <w:r>
        <w:rPr>
          <w:rFonts w:hint="eastAsia"/>
          <w:bCs/>
        </w:rPr>
        <w:t>形成总体评估报告</w:t>
      </w:r>
      <w:r>
        <w:rPr>
          <w:rFonts w:hint="eastAsia"/>
          <w:bCs/>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bCs/>
        </w:rPr>
      </w:pPr>
      <w:r>
        <w:rPr>
          <w:rFonts w:hint="eastAsia" w:hAnsi="仿宋_GB2312" w:cs="仿宋_GB2312"/>
        </w:rPr>
        <w:t>公安静海分局、区</w:t>
      </w:r>
      <w:r>
        <w:rPr>
          <w:rFonts w:hint="eastAsia" w:hAnsi="仿宋_GB2312" w:cs="仿宋_GB2312"/>
          <w:lang w:val="en-US" w:eastAsia="zh-CN"/>
        </w:rPr>
        <w:t>工信</w:t>
      </w:r>
      <w:r>
        <w:rPr>
          <w:rFonts w:hint="eastAsia" w:hAnsi="仿宋_GB2312" w:cs="仿宋_GB2312"/>
        </w:rPr>
        <w:t>局、区总工会</w:t>
      </w:r>
      <w:r>
        <w:rPr>
          <w:rFonts w:hint="eastAsia"/>
          <w:bCs/>
          <w:lang w:eastAsia="zh-CN"/>
        </w:rPr>
        <w:t>负责</w:t>
      </w:r>
      <w:r>
        <w:rPr>
          <w:rFonts w:hint="eastAsia"/>
          <w:bCs/>
          <w:lang w:val="en-US" w:eastAsia="zh-CN"/>
        </w:rPr>
        <w:t>参与对追责问责、事故防范和整改措施落实情况的评估。</w:t>
      </w:r>
    </w:p>
    <w:p>
      <w:pPr>
        <w:spacing w:line="560" w:lineRule="exact"/>
        <w:ind w:firstLine="640" w:firstLineChars="200"/>
        <w:jc w:val="both"/>
        <w:rPr>
          <w:bCs/>
        </w:rPr>
      </w:pPr>
      <w:r>
        <w:rPr>
          <w:rFonts w:hint="eastAsia" w:hAnsi="仿宋_GB2312" w:cs="仿宋_GB2312"/>
          <w:sz w:val="32"/>
          <w:szCs w:val="32"/>
          <w:lang w:eastAsia="zh-CN"/>
        </w:rPr>
        <w:t>大邱庄镇政府</w:t>
      </w:r>
      <w:r>
        <w:rPr>
          <w:rFonts w:hint="eastAsia"/>
          <w:bCs/>
          <w:lang w:eastAsia="zh-CN"/>
        </w:rPr>
        <w:t>负责</w:t>
      </w:r>
      <w:r>
        <w:rPr>
          <w:rFonts w:hint="eastAsia"/>
          <w:bCs/>
        </w:rPr>
        <w:t>落实属地责任，配合评估组其他成员单位做好此次事故评估工作</w:t>
      </w:r>
      <w:r>
        <w:rPr>
          <w:bCs/>
        </w:rPr>
        <w:t>。</w:t>
      </w:r>
    </w:p>
    <w:p>
      <w:pPr>
        <w:spacing w:line="560" w:lineRule="exact"/>
        <w:ind w:firstLine="640" w:firstLineChars="200"/>
        <w:jc w:val="both"/>
        <w:outlineLvl w:val="0"/>
        <w:rPr>
          <w:rFonts w:ascii="黑体" w:hAnsi="黑体" w:eastAsia="黑体"/>
        </w:rPr>
      </w:pPr>
      <w:r>
        <w:rPr>
          <w:rFonts w:hint="eastAsia" w:ascii="黑体" w:hAnsi="黑体" w:eastAsia="黑体"/>
        </w:rPr>
        <w:t>三、事故调查处理情况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rPr>
      </w:pPr>
      <w:r>
        <w:rPr>
          <w:rFonts w:hint="eastAsia" w:ascii="仿宋_GB2312" w:hAnsi="仿宋_GB2312" w:eastAsia="仿宋_GB2312" w:cs="仿宋_GB2312"/>
          <w:sz w:val="32"/>
          <w:szCs w:val="32"/>
          <w:lang w:val="en-US" w:eastAsia="zh-CN"/>
        </w:rPr>
        <w:t>202</w:t>
      </w:r>
      <w:r>
        <w:rPr>
          <w:rFonts w:hint="eastAsia" w:hAnsi="仿宋_GB2312" w:cs="仿宋_GB2312"/>
          <w:sz w:val="32"/>
          <w:szCs w:val="32"/>
          <w:lang w:val="en-US" w:eastAsia="zh-CN"/>
        </w:rPr>
        <w:t>3</w:t>
      </w:r>
      <w:r>
        <w:rPr>
          <w:rFonts w:hint="eastAsia" w:ascii="仿宋_GB2312" w:hAnsi="仿宋_GB2312" w:eastAsia="仿宋_GB2312" w:cs="仿宋_GB2312"/>
          <w:sz w:val="32"/>
          <w:szCs w:val="32"/>
          <w:lang w:val="en-US" w:eastAsia="zh-CN"/>
        </w:rPr>
        <w:t>年</w:t>
      </w:r>
      <w:r>
        <w:rPr>
          <w:rFonts w:hint="eastAsia" w:hAnsi="仿宋_GB2312" w:cs="仿宋_GB2312"/>
          <w:sz w:val="32"/>
          <w:szCs w:val="32"/>
          <w:lang w:val="en-US" w:eastAsia="zh-CN"/>
        </w:rPr>
        <w:t>2</w:t>
      </w:r>
      <w:r>
        <w:rPr>
          <w:rFonts w:hint="eastAsia" w:ascii="仿宋_GB2312" w:hAnsi="仿宋_GB2312" w:eastAsia="仿宋_GB2312" w:cs="仿宋_GB2312"/>
          <w:sz w:val="32"/>
          <w:szCs w:val="32"/>
          <w:lang w:val="en-US" w:eastAsia="zh-CN"/>
        </w:rPr>
        <w:t>月</w:t>
      </w:r>
      <w:r>
        <w:rPr>
          <w:rFonts w:hint="eastAsia" w:hAnsi="仿宋_GB2312" w:cs="仿宋_GB2312"/>
          <w:sz w:val="32"/>
          <w:szCs w:val="32"/>
          <w:lang w:val="en-US" w:eastAsia="zh-CN"/>
        </w:rPr>
        <w:t>17</w:t>
      </w:r>
      <w:r>
        <w:rPr>
          <w:rFonts w:hint="eastAsia" w:ascii="仿宋_GB2312" w:hAnsi="仿宋_GB2312" w:eastAsia="仿宋_GB2312" w:cs="仿宋_GB2312"/>
          <w:sz w:val="32"/>
          <w:szCs w:val="32"/>
          <w:lang w:val="en-US" w:eastAsia="zh-CN"/>
        </w:rPr>
        <w:t>日</w:t>
      </w:r>
      <w:r>
        <w:rPr>
          <w:rFonts w:hint="eastAsia" w:ascii="仿宋_GB2312" w:hAnsi="仿宋_GB2312" w:eastAsia="仿宋_GB2312" w:cs="仿宋_GB2312"/>
          <w:sz w:val="32"/>
          <w:szCs w:val="32"/>
        </w:rPr>
        <w:t>，位于静海区</w:t>
      </w:r>
      <w:r>
        <w:rPr>
          <w:rFonts w:hint="eastAsia" w:hAnsi="仿宋_GB2312" w:cs="仿宋_GB2312"/>
          <w:sz w:val="32"/>
          <w:szCs w:val="32"/>
          <w:lang w:eastAsia="zh-CN"/>
        </w:rPr>
        <w:t>大邱庄镇</w:t>
      </w:r>
      <w:r>
        <w:rPr>
          <w:rFonts w:hint="eastAsia" w:ascii="仿宋_GB2312" w:hAnsi="仿宋_GB2312" w:eastAsia="仿宋_GB2312" w:cs="仿宋_GB2312"/>
          <w:sz w:val="32"/>
          <w:szCs w:val="32"/>
        </w:rPr>
        <w:t>的</w:t>
      </w:r>
      <w:r>
        <w:rPr>
          <w:rFonts w:hint="eastAsia" w:hAnsi="仿宋_GB2312" w:cs="仿宋_GB2312"/>
          <w:sz w:val="32"/>
          <w:szCs w:val="32"/>
          <w:lang w:eastAsia="zh-CN"/>
        </w:rPr>
        <w:t>天津市朝阳林工贸有限公司（以下简称：朝阳林公司）</w:t>
      </w:r>
      <w:r>
        <w:rPr>
          <w:rFonts w:hint="eastAsia" w:ascii="仿宋_GB2312" w:hAnsi="仿宋_GB2312" w:eastAsia="仿宋_GB2312" w:cs="仿宋_GB2312"/>
          <w:sz w:val="32"/>
          <w:szCs w:val="32"/>
          <w:lang w:val="en-US" w:eastAsia="zh-CN"/>
        </w:rPr>
        <w:t>料场内发生一起坍塌事故，造成1人死亡，直接经济损失约162万元</w:t>
      </w:r>
      <w:r>
        <w:rPr>
          <w:rFonts w:hint="eastAsia" w:ascii="仿宋_GB2312" w:hAnsi="仿宋" w:eastAsia="仿宋_GB2312"/>
          <w:sz w:val="32"/>
          <w:szCs w:val="32"/>
        </w:rPr>
        <w:t>。</w:t>
      </w:r>
    </w:p>
    <w:p>
      <w:pPr>
        <w:pStyle w:val="4"/>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rPr>
      </w:pPr>
      <w:r>
        <w:rPr>
          <w:rFonts w:hint="eastAsia"/>
          <w:lang w:eastAsia="zh-CN"/>
        </w:rPr>
        <w:t>事故发生后</w:t>
      </w:r>
      <w:r>
        <w:rPr>
          <w:rFonts w:hint="eastAsia"/>
        </w:rPr>
        <w:t>，</w:t>
      </w:r>
      <w:r>
        <w:rPr>
          <w:rFonts w:hint="eastAsia"/>
          <w:lang w:eastAsia="zh-CN"/>
        </w:rPr>
        <w:t>依据</w:t>
      </w:r>
      <w:r>
        <w:rPr>
          <w:rFonts w:hint="eastAsia"/>
        </w:rPr>
        <w:t>《生产安全事故报告和调查处理条例》《天津市安全生产条例》</w:t>
      </w:r>
      <w:r>
        <w:rPr>
          <w:rFonts w:hint="eastAsia"/>
          <w:lang w:eastAsia="zh-CN"/>
        </w:rPr>
        <w:t>的规定</w:t>
      </w:r>
      <w:r>
        <w:rPr>
          <w:rFonts w:hint="eastAsia"/>
        </w:rPr>
        <w:t>，经区政府研究决定成立</w:t>
      </w:r>
      <w:r>
        <w:rPr>
          <w:rFonts w:hint="eastAsia" w:hAnsi="仿宋_GB2312" w:cs="仿宋_GB2312"/>
          <w:sz w:val="32"/>
          <w:szCs w:val="32"/>
          <w:lang w:eastAsia="zh-CN"/>
        </w:rPr>
        <w:t>天津市朝阳林工贸有限公司</w:t>
      </w:r>
      <w:r>
        <w:rPr>
          <w:rFonts w:hint="eastAsia"/>
          <w:sz w:val="32"/>
          <w:szCs w:val="32"/>
          <w:lang w:eastAsia="zh-CN"/>
        </w:rPr>
        <w:t>“2·17”一般坍塌事故</w:t>
      </w:r>
      <w:r>
        <w:rPr>
          <w:rFonts w:ascii="Times New Roman" w:hAnsi="Times New Roman" w:eastAsia="仿宋_GB2312" w:cs="Times New Roman"/>
          <w:sz w:val="32"/>
          <w:szCs w:val="32"/>
        </w:rPr>
        <w:t>调查组</w:t>
      </w:r>
      <w:r>
        <w:rPr>
          <w:rFonts w:hint="eastAsia" w:ascii="Times New Roman" w:cs="Times New Roman"/>
          <w:sz w:val="32"/>
          <w:szCs w:val="32"/>
          <w:lang w:val="en-US" w:eastAsia="zh-CN"/>
        </w:rPr>
        <w:t>开展事故调查工作</w:t>
      </w:r>
      <w:r>
        <w:rPr>
          <w:rFonts w:hint="eastAsia"/>
        </w:rPr>
        <w:t>。</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eastAsia="仿宋_GB2312"/>
          <w:sz w:val="32"/>
          <w:szCs w:val="32"/>
        </w:rPr>
      </w:pPr>
      <w:r>
        <w:rPr>
          <w:rFonts w:hint="eastAsia"/>
          <w:lang w:val="en-US" w:eastAsia="zh-CN"/>
        </w:rPr>
        <w:t>经事故调查组现场勘查和调查取证认定该起事故的直接原因为：外来人员</w:t>
      </w:r>
      <w:r>
        <w:rPr>
          <w:rFonts w:hint="eastAsia" w:eastAsia="仿宋_GB2312"/>
          <w:sz w:val="32"/>
          <w:szCs w:val="32"/>
          <w:lang w:eastAsia="zh-CN"/>
        </w:rPr>
        <w:t>吴文龙在</w:t>
      </w:r>
      <w:r>
        <w:rPr>
          <w:rFonts w:hint="eastAsia"/>
          <w:sz w:val="32"/>
          <w:szCs w:val="32"/>
          <w:lang w:eastAsia="zh-CN"/>
        </w:rPr>
        <w:t>朝阳林公司料场的</w:t>
      </w:r>
      <w:r>
        <w:rPr>
          <w:rFonts w:hint="eastAsia" w:eastAsia="仿宋_GB2312"/>
          <w:sz w:val="32"/>
          <w:szCs w:val="32"/>
          <w:lang w:eastAsia="zh-CN"/>
        </w:rPr>
        <w:t>钢管放置区测量钢管时，</w:t>
      </w:r>
      <w:r>
        <w:rPr>
          <w:rFonts w:hint="eastAsia" w:eastAsia="仿宋_GB2312"/>
          <w:sz w:val="32"/>
          <w:szCs w:val="32"/>
        </w:rPr>
        <w:t>钢</w:t>
      </w:r>
      <w:r>
        <w:rPr>
          <w:rFonts w:hint="eastAsia" w:eastAsia="仿宋_GB2312"/>
          <w:sz w:val="32"/>
          <w:szCs w:val="32"/>
          <w:lang w:eastAsia="zh-CN"/>
        </w:rPr>
        <w:t>管</w:t>
      </w:r>
      <w:r>
        <w:rPr>
          <w:rFonts w:hint="eastAsia" w:eastAsia="仿宋_GB2312"/>
          <w:sz w:val="32"/>
          <w:szCs w:val="32"/>
        </w:rPr>
        <w:t>堆垛处于码放不稳定临界状态</w:t>
      </w:r>
      <w:r>
        <w:rPr>
          <w:rFonts w:hint="eastAsia" w:eastAsia="仿宋_GB2312"/>
          <w:sz w:val="32"/>
          <w:szCs w:val="32"/>
          <w:lang w:eastAsia="zh-CN"/>
        </w:rPr>
        <w:t>发生滑垛，</w:t>
      </w:r>
      <w:r>
        <w:rPr>
          <w:rFonts w:hint="eastAsia" w:eastAsia="仿宋_GB2312"/>
          <w:sz w:val="32"/>
          <w:szCs w:val="32"/>
          <w:lang w:val="en-US" w:eastAsia="zh-CN"/>
        </w:rPr>
        <w:t>吴文龙被滑落的</w:t>
      </w:r>
      <w:r>
        <w:rPr>
          <w:rFonts w:hint="eastAsia" w:ascii="仿宋_GB2312" w:hAnsi="仿宋_GB2312" w:eastAsia="仿宋_GB2312" w:cs="仿宋_GB2312"/>
          <w:sz w:val="32"/>
          <w:szCs w:val="32"/>
          <w:lang w:val="en-US" w:eastAsia="zh-CN"/>
        </w:rPr>
        <w:t>3</w:t>
      </w:r>
      <w:r>
        <w:rPr>
          <w:rFonts w:hint="eastAsia" w:eastAsia="仿宋_GB2312" w:cs="Times New Roman"/>
          <w:sz w:val="32"/>
          <w:szCs w:val="32"/>
          <w:lang w:val="en-US" w:eastAsia="zh-CN"/>
        </w:rPr>
        <w:t>捆</w:t>
      </w:r>
      <w:r>
        <w:rPr>
          <w:rFonts w:hint="eastAsia" w:eastAsia="仿宋_GB2312"/>
          <w:sz w:val="32"/>
          <w:szCs w:val="32"/>
          <w:lang w:val="en-US" w:eastAsia="zh-CN"/>
        </w:rPr>
        <w:t>钢管砸中致伤死亡</w:t>
      </w:r>
      <w:r>
        <w:rPr>
          <w:rFonts w:hint="eastAsia" w:ascii="仿宋_GB2312" w:eastAsia="仿宋_GB2312"/>
          <w:sz w:val="32"/>
          <w:szCs w:val="32"/>
        </w:rPr>
        <w:t>。</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sz w:val="32"/>
          <w:szCs w:val="32"/>
          <w:lang w:val="en-US" w:eastAsia="zh-CN"/>
        </w:rPr>
      </w:pPr>
      <w:r>
        <w:rPr>
          <w:rFonts w:hint="eastAsia"/>
          <w:lang w:val="en-US" w:eastAsia="zh-CN"/>
        </w:rPr>
        <w:t>该起事故的间接原因为：</w:t>
      </w:r>
      <w:r>
        <w:rPr>
          <w:rFonts w:hint="eastAsia" w:ascii="仿宋_GB2312" w:eastAsia="仿宋_GB2312" w:cs="仿宋_GB2312"/>
          <w:sz w:val="32"/>
          <w:szCs w:val="32"/>
          <w:lang w:val="en-US" w:eastAsia="zh-CN"/>
        </w:rPr>
        <w:t>1.</w:t>
      </w:r>
      <w:r>
        <w:rPr>
          <w:rFonts w:hint="eastAsia" w:ascii="Times New Roman" w:hAnsi="Times New Roman" w:eastAsia="仿宋_GB2312" w:cs="Times New Roman"/>
          <w:sz w:val="32"/>
          <w:szCs w:val="32"/>
          <w:lang w:val="en-US" w:eastAsia="zh-CN"/>
        </w:rPr>
        <w:t>朝阳林工贸公司违反了《中华人民共和国安全生产法》第四</w:t>
      </w:r>
      <w:r>
        <w:rPr>
          <w:rFonts w:hint="eastAsia" w:ascii="仿宋_GB2312" w:hAnsi="仿宋_GB2312" w:eastAsia="仿宋_GB2312" w:cs="仿宋_GB2312"/>
          <w:sz w:val="32"/>
          <w:szCs w:val="32"/>
          <w:lang w:val="en-US" w:eastAsia="zh-CN"/>
        </w:rPr>
        <w:t>十一条的</w:t>
      </w:r>
      <w:r>
        <w:rPr>
          <w:rFonts w:hint="eastAsia" w:ascii="Times New Roman" w:hAnsi="Times New Roman" w:eastAsia="仿宋_GB2312" w:cs="Times New Roman"/>
          <w:sz w:val="32"/>
          <w:szCs w:val="32"/>
          <w:lang w:val="en-US" w:eastAsia="zh-CN"/>
        </w:rPr>
        <w:t>规定</w:t>
      </w:r>
      <w:r>
        <w:rPr>
          <w:rFonts w:hint="eastAsia" w:ascii="仿宋_GB2312" w:eastAsia="仿宋_GB2312" w:cs="仿宋_GB2312"/>
          <w:sz w:val="32"/>
          <w:szCs w:val="32"/>
          <w:lang w:val="en-US" w:eastAsia="zh-CN"/>
        </w:rPr>
        <w:t>，落实事故隐患排查治理工作不到位。该公司于2020 年6月编制了《天津市朝阳林工贸有限公司风险源辨识与风险管控</w:t>
      </w:r>
      <w:r>
        <w:rPr>
          <w:rFonts w:hint="eastAsia" w:ascii="仿宋_GB2312" w:hAnsi="仿宋_GB2312" w:eastAsia="仿宋_GB2312" w:cs="仿宋_GB2312"/>
          <w:sz w:val="32"/>
          <w:szCs w:val="32"/>
          <w:lang w:val="en-US" w:eastAsia="zh-CN"/>
        </w:rPr>
        <w:t>评估报告》发现</w:t>
      </w:r>
      <w:r>
        <w:rPr>
          <w:rFonts w:hint="eastAsia" w:ascii="仿宋_GB2312" w:eastAsia="仿宋_GB2312" w:cs="仿宋_GB2312"/>
          <w:sz w:val="32"/>
          <w:szCs w:val="32"/>
          <w:lang w:val="en-US" w:eastAsia="zh-CN"/>
        </w:rPr>
        <w:t>了该公司料场码垛存在坍塌及高处物料掉落的风险，直至事故发</w:t>
      </w:r>
      <w:r>
        <w:rPr>
          <w:rFonts w:hint="eastAsia" w:ascii="Times New Roman" w:hAnsi="Times New Roman" w:eastAsia="仿宋_GB2312" w:cs="Times New Roman"/>
          <w:sz w:val="32"/>
          <w:szCs w:val="32"/>
          <w:lang w:val="en-US" w:eastAsia="zh-CN"/>
        </w:rPr>
        <w:t>生，未采取有效</w:t>
      </w:r>
      <w:r>
        <w:rPr>
          <w:rFonts w:hint="eastAsia" w:eastAsia="仿宋_GB2312" w:cs="Times New Roman"/>
          <w:sz w:val="32"/>
          <w:szCs w:val="32"/>
          <w:lang w:val="en-US" w:eastAsia="zh-CN"/>
        </w:rPr>
        <w:t>措施</w:t>
      </w:r>
      <w:r>
        <w:rPr>
          <w:rFonts w:hint="eastAsia" w:ascii="Times New Roman" w:hAnsi="Times New Roman" w:eastAsia="仿宋_GB2312" w:cs="Times New Roman"/>
          <w:sz w:val="32"/>
          <w:szCs w:val="32"/>
          <w:lang w:val="en-US" w:eastAsia="zh-CN"/>
        </w:rPr>
        <w:t>防止物料坍塌及掉落。</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eastAsia="仿宋_GB2312" w:cs="仿宋_GB2312"/>
          <w:sz w:val="32"/>
          <w:szCs w:val="32"/>
          <w:lang w:val="en-US" w:eastAsia="zh-CN"/>
        </w:rPr>
        <w:t>2.</w:t>
      </w:r>
      <w:r>
        <w:rPr>
          <w:rFonts w:hint="eastAsia" w:ascii="Times New Roman" w:hAnsi="Times New Roman" w:eastAsia="仿宋_GB2312" w:cs="Times New Roman"/>
          <w:sz w:val="32"/>
          <w:szCs w:val="32"/>
          <w:lang w:val="en-US" w:eastAsia="zh-CN"/>
        </w:rPr>
        <w:t>朝阳林工贸公司违反了《天津市生产经营单位安全生产主体责任规定》第十三条</w:t>
      </w:r>
      <w:r>
        <w:rPr>
          <w:rFonts w:hint="eastAsia" w:ascii="仿宋_GB2312" w:hAnsi="仿宋_GB2312" w:eastAsia="仿宋_GB2312" w:cs="仿宋_GB2312"/>
          <w:sz w:val="32"/>
          <w:szCs w:val="32"/>
          <w:lang w:val="en-US" w:eastAsia="zh-CN"/>
        </w:rPr>
        <w:t>第二款的</w:t>
      </w:r>
      <w:r>
        <w:rPr>
          <w:rFonts w:hint="eastAsia" w:ascii="Times New Roman" w:hAnsi="Times New Roman" w:eastAsia="仿宋_GB2312" w:cs="Times New Roman"/>
          <w:sz w:val="32"/>
          <w:szCs w:val="32"/>
          <w:lang w:val="en-US" w:eastAsia="zh-CN"/>
        </w:rPr>
        <w:t>规定，制定</w:t>
      </w:r>
      <w:r>
        <w:rPr>
          <w:rFonts w:hint="eastAsia" w:ascii="仿宋_GB2312" w:hAnsi="仿宋_GB2312" w:eastAsia="仿宋_GB2312" w:cs="仿宋_GB2312"/>
          <w:sz w:val="32"/>
          <w:szCs w:val="32"/>
          <w:lang w:val="en-US" w:eastAsia="zh-CN"/>
        </w:rPr>
        <w:t>的安全生产操作规程不健全，未制定有关码垛作业的安全操作规程。</w:t>
      </w:r>
    </w:p>
    <w:p>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Times New Roman" w:hAnsi="Times New Roman" w:eastAsia="仿宋_GB2312" w:cs="Times New Roman"/>
          <w:sz w:val="32"/>
          <w:szCs w:val="32"/>
          <w:lang w:val="en-US" w:eastAsia="zh-CN"/>
        </w:rPr>
        <w:t>朝阳林工贸公司违反了公司制定的《相关方管理</w:t>
      </w:r>
      <w:r>
        <w:rPr>
          <w:rFonts w:hint="eastAsia" w:ascii="仿宋_GB2312" w:hAnsi="仿宋_GB2312" w:eastAsia="仿宋_GB2312" w:cs="仿宋_GB2312"/>
          <w:sz w:val="32"/>
          <w:szCs w:val="32"/>
          <w:lang w:val="en-US" w:eastAsia="zh-CN"/>
        </w:rPr>
        <w:t>制度》</w:t>
      </w:r>
      <w:r>
        <w:rPr>
          <w:rFonts w:hint="eastAsia" w:ascii="Times New Roman" w:hAnsi="Times New Roman" w:eastAsia="仿宋_GB2312" w:cs="Times New Roman"/>
          <w:sz w:val="32"/>
          <w:szCs w:val="32"/>
          <w:lang w:val="en-US" w:eastAsia="zh-CN"/>
        </w:rPr>
        <w:t>，对外来人员管理不到位，</w:t>
      </w:r>
      <w:r>
        <w:rPr>
          <w:rFonts w:hint="eastAsia" w:ascii="仿宋_GB2312" w:hAnsi="仿宋_GB2312" w:eastAsia="仿宋_GB2312" w:cs="仿宋_GB2312"/>
          <w:sz w:val="32"/>
          <w:szCs w:val="32"/>
          <w:lang w:val="en-US" w:eastAsia="zh-CN"/>
        </w:rPr>
        <w:t>未对吴文龙告知相关安全管理规定，也未对其进行相应的安全教育。</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202</w:t>
      </w:r>
      <w:r>
        <w:rPr>
          <w:rFonts w:hint="eastAsia" w:cs="仿宋_GB2312"/>
          <w:sz w:val="32"/>
          <w:szCs w:val="32"/>
          <w:lang w:val="en-US" w:eastAsia="zh-CN"/>
        </w:rPr>
        <w:t>3</w:t>
      </w:r>
      <w:r>
        <w:rPr>
          <w:rFonts w:hint="eastAsia" w:ascii="仿宋_GB2312" w:eastAsia="仿宋_GB2312" w:cs="仿宋_GB2312"/>
          <w:sz w:val="32"/>
          <w:szCs w:val="32"/>
          <w:lang w:val="en-US" w:eastAsia="zh-CN"/>
        </w:rPr>
        <w:t>年</w:t>
      </w:r>
      <w:r>
        <w:rPr>
          <w:rFonts w:hint="eastAsia" w:cs="仿宋_GB2312"/>
          <w:sz w:val="32"/>
          <w:szCs w:val="32"/>
          <w:lang w:val="en-US" w:eastAsia="zh-CN"/>
        </w:rPr>
        <w:t>4</w:t>
      </w:r>
      <w:r>
        <w:rPr>
          <w:rFonts w:hint="eastAsia" w:ascii="仿宋_GB2312" w:eastAsia="仿宋_GB2312" w:cs="仿宋_GB2312"/>
          <w:sz w:val="32"/>
          <w:szCs w:val="32"/>
          <w:lang w:val="en-US" w:eastAsia="zh-CN"/>
        </w:rPr>
        <w:t>月</w:t>
      </w:r>
      <w:r>
        <w:rPr>
          <w:rFonts w:hint="eastAsia" w:cs="仿宋_GB2312"/>
          <w:sz w:val="32"/>
          <w:szCs w:val="32"/>
          <w:lang w:val="en-US" w:eastAsia="zh-CN"/>
        </w:rPr>
        <w:t>6</w:t>
      </w:r>
      <w:r>
        <w:rPr>
          <w:rFonts w:hint="eastAsia" w:ascii="仿宋_GB2312" w:eastAsia="仿宋_GB2312" w:cs="仿宋_GB2312"/>
          <w:sz w:val="32"/>
          <w:szCs w:val="32"/>
          <w:lang w:val="en-US" w:eastAsia="zh-CN"/>
        </w:rPr>
        <w:t>日，事故调查组向区政府提交《</w:t>
      </w:r>
      <w:r>
        <w:rPr>
          <w:rFonts w:hint="eastAsia" w:cs="仿宋_GB2312"/>
          <w:sz w:val="32"/>
          <w:szCs w:val="32"/>
          <w:lang w:val="en-US" w:eastAsia="zh-CN"/>
        </w:rPr>
        <w:t>天津市朝阳林工贸有限公司“2·17”一般坍塌事故</w:t>
      </w:r>
      <w:r>
        <w:rPr>
          <w:rFonts w:hint="eastAsia" w:ascii="仿宋_GB2312" w:eastAsia="仿宋_GB2312" w:cs="仿宋_GB2312"/>
          <w:sz w:val="32"/>
          <w:szCs w:val="32"/>
          <w:lang w:val="en-US" w:eastAsia="zh-CN"/>
        </w:rPr>
        <w:t>调查报告》。202</w:t>
      </w:r>
      <w:r>
        <w:rPr>
          <w:rFonts w:hint="eastAsia" w:cs="仿宋_GB2312"/>
          <w:sz w:val="32"/>
          <w:szCs w:val="32"/>
          <w:lang w:val="en-US" w:eastAsia="zh-CN"/>
        </w:rPr>
        <w:t>3</w:t>
      </w:r>
      <w:r>
        <w:rPr>
          <w:rFonts w:hint="eastAsia" w:ascii="仿宋_GB2312" w:eastAsia="仿宋_GB2312" w:cs="仿宋_GB2312"/>
          <w:sz w:val="32"/>
          <w:szCs w:val="32"/>
          <w:lang w:val="en-US" w:eastAsia="zh-CN"/>
        </w:rPr>
        <w:t>年</w:t>
      </w:r>
      <w:r>
        <w:rPr>
          <w:rFonts w:hint="eastAsia" w:cs="仿宋_GB2312"/>
          <w:sz w:val="32"/>
          <w:szCs w:val="32"/>
          <w:lang w:val="en-US" w:eastAsia="zh-CN"/>
        </w:rPr>
        <w:t>4</w:t>
      </w:r>
      <w:r>
        <w:rPr>
          <w:rFonts w:hint="eastAsia" w:ascii="仿宋_GB2312" w:eastAsia="仿宋_GB2312" w:cs="仿宋_GB2312"/>
          <w:sz w:val="32"/>
          <w:szCs w:val="32"/>
          <w:lang w:val="en-US" w:eastAsia="zh-CN"/>
        </w:rPr>
        <w:t>月</w:t>
      </w:r>
      <w:r>
        <w:rPr>
          <w:rFonts w:hint="eastAsia" w:cs="仿宋_GB2312"/>
          <w:sz w:val="32"/>
          <w:szCs w:val="32"/>
          <w:lang w:val="en-US" w:eastAsia="zh-CN"/>
        </w:rPr>
        <w:t>14</w:t>
      </w:r>
      <w:r>
        <w:rPr>
          <w:rFonts w:hint="eastAsia" w:ascii="仿宋_GB2312" w:eastAsia="仿宋_GB2312" w:cs="仿宋_GB2312"/>
          <w:sz w:val="32"/>
          <w:szCs w:val="32"/>
          <w:lang w:val="en-US" w:eastAsia="zh-CN"/>
        </w:rPr>
        <w:t>日，区政府批复同意事故调查报告，事故调查结案。</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四、评估工作部署开展情况</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2024年3月28日，事故评估组召开了天津市朝阳林工贸有限公司“2·17”一般坍塌事故评估组会议，对事故评估的相关工作进行部署，明确了各成员单位的职责分工。</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2024年4月26日、5月14日，事故评估组对事故调查报告中提出的朝阳林公司事故防范和整改措施落实情况进行了实地评估。</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default" w:ascii="仿宋_GB2312" w:eastAsia="仿宋_GB2312" w:cs="仿宋_GB2312"/>
          <w:sz w:val="32"/>
          <w:szCs w:val="32"/>
          <w:lang w:val="en-US" w:eastAsia="zh-CN"/>
        </w:rPr>
      </w:pPr>
      <w:r>
        <w:rPr>
          <w:rFonts w:hint="eastAsia" w:ascii="仿宋_GB2312" w:eastAsia="仿宋_GB2312" w:cs="仿宋_GB2312"/>
          <w:sz w:val="32"/>
          <w:szCs w:val="32"/>
          <w:lang w:val="en-US" w:eastAsia="zh-CN"/>
        </w:rPr>
        <w:t>2024年4月-5月，区应急管理局将收集的相关资料信息进行归集整理，撰写评估报告并征求相关部门意见。</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仿宋_GB2312" w:eastAsia="仿宋_GB2312" w:cs="仿宋_GB2312"/>
          <w:sz w:val="32"/>
          <w:szCs w:val="32"/>
          <w:lang w:val="en-US" w:eastAsia="zh-CN"/>
        </w:rPr>
      </w:pPr>
      <w:r>
        <w:rPr>
          <w:rFonts w:hint="eastAsia" w:ascii="黑体" w:hAnsi="黑体" w:eastAsia="黑体" w:cs="黑体"/>
          <w:sz w:val="32"/>
          <w:szCs w:val="32"/>
          <w:lang w:val="en-US" w:eastAsia="zh-CN"/>
        </w:rPr>
        <w:t>五、评估事项及结论</w:t>
      </w:r>
      <w:r>
        <w:rPr>
          <w:rFonts w:hint="eastAsia" w:ascii="仿宋_GB2312" w:eastAsia="仿宋_GB2312" w:cs="仿宋_GB2312"/>
          <w:sz w:val="32"/>
          <w:szCs w:val="32"/>
          <w:lang w:val="en-US" w:eastAsia="zh-CN"/>
        </w:rPr>
        <w:tab/>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（一）事故单位及有关人员行政处罚落实情况</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朝阳林公司违反了《中华人民共和国安全生产法》第四条的规定，未能确保安全生产，对事故的发生负有责任。依据《中华人民共和国安全生产法》第一百一十四条（一）的规定，区应急管理局于2023年5月6日下达了《行政处罚决定书》（津静）应急罚[2023]支队-S002号对其给予人民币49万元罚款的行政处罚。</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高俊会作为朝阳林公司主要负责人，未及时消除生产安全事故隐患，违反了《中华人民共和国安全生产法》第二十一条（五）、（七）的规定，对事故发生负有责任。依据《中华人民共和国安全生产法》第九十五条（一）、第一百一十条第二款的规定，区应急管理局于2023年5月6日下达了《行政处罚决定书》（津静）应急罚[2023]支队-S003号对其处上一年年收入100%的罚款，计人民币5.76万元的行政处罚。</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2023年5月6日，朝阳林公司及其公司主要负责人高俊会已足额缴纳罚款。</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（二）事故防范和整改措施落实情况</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朝阳林公司针对“2·17”一般坍塌事故暴露出的安全管理问题和事故隐患，采取完善和落实安全管理规章制度、加强安全教育培训和隐患排查治理等措施，全方位、多角度落实企业安全生产主体责任，提升安全生产和应急管理水平。具体整改事项如下：</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在事故发生后，朝阳林公司组织干部职工开展了关于《中华人民共和国安全生产法》《生产安全事故报告和调查处理条例》等法律法规的学习，通报了事故情况，开展了公司内部追责问责，对事故发生负有直接责任、间接责任以及管理责任的员工依据奖惩规定进行了处理。</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2.聘请第三方服务公司，于2023年6月重新制定了《风险源点辨识与分级管控评估报告》，进一步修订完善了《风险管控制度》，根据该公司的组织机构设置情况，确定了公司级、车间级、班组和岗位级四个管控层级，并按照指导手册提出的控制措施开展安全管理工作。</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default" w:ascii="仿宋_GB2312" w:eastAsia="仿宋_GB2312" w:cs="仿宋_GB2312"/>
          <w:sz w:val="32"/>
          <w:szCs w:val="32"/>
          <w:lang w:val="en-US" w:eastAsia="zh-CN"/>
        </w:rPr>
      </w:pPr>
      <w:r>
        <w:rPr>
          <w:rFonts w:hint="eastAsia" w:ascii="仿宋_GB2312" w:eastAsia="仿宋_GB2312" w:cs="仿宋_GB2312"/>
          <w:sz w:val="32"/>
          <w:szCs w:val="32"/>
          <w:lang w:val="en-US" w:eastAsia="zh-CN"/>
        </w:rPr>
        <w:t>3.建立了《堆垛及吊装作业操作总规程》，规定了岗位职责，明确了码垛吊装的安全注意事项、钢管堆垛的码放高度、禁止作业情形等具体内容，并于2023年4月、2024年5月对料场员工开展码垛安全专项教育培训。</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4.加强了料场管理的安全设施投入，在料场加设了安全防护栏和风险告知卡，提示安全风险、普及风险防控措施；设置警示告知牌，明确非料场人员禁止靠近料场堆垛；同时，在物料码放区设置了插杠、地桩，在堆垛的钢管放置了卡板等防钢管坍塌、滑垛工具设施。</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default" w:ascii="仿宋_GB2312" w:eastAsia="仿宋_GB2312" w:cs="仿宋_GB2312"/>
          <w:sz w:val="32"/>
          <w:szCs w:val="32"/>
          <w:lang w:val="en-US" w:eastAsia="zh-CN"/>
        </w:rPr>
      </w:pPr>
      <w:r>
        <w:rPr>
          <w:rFonts w:hint="eastAsia" w:ascii="仿宋_GB2312" w:eastAsia="仿宋_GB2312" w:cs="仿宋_GB2312"/>
          <w:sz w:val="32"/>
          <w:szCs w:val="32"/>
          <w:lang w:val="en-US" w:eastAsia="zh-CN"/>
        </w:rPr>
        <w:t>5.重新梳理了《相关方管理制度》，并于2023年4月对门卫、销售等涉外部门人员开展了关于外来人员安全管理方面的培训，明确了外来人员进场前必须在门卫登记并签订《外来人员和车辆安全告知书》，经公司供销部同意并在本公司员工的陪同下方可进场；在未佩戴安全帽的情形下禁止进入生产车间，查看钢管质量时，禁止攀爬钢管堆垛区等内容。</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（三）总体评估结论</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针对天津市朝阳林工贸有限公司“2·17”一般坍塌事故的评估工作已完成，现总结如下：</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1.区应急管理局对朝阳林公司及其公司主要负责人高俊会的行政处罚均已落实。</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default" w:ascii="仿宋_GB2312" w:eastAsia="仿宋_GB2312" w:cs="仿宋_GB2312"/>
          <w:sz w:val="32"/>
          <w:szCs w:val="32"/>
          <w:lang w:val="en-US" w:eastAsia="zh-CN"/>
        </w:rPr>
      </w:pPr>
      <w:r>
        <w:rPr>
          <w:rFonts w:hint="eastAsia" w:ascii="仿宋_GB2312" w:eastAsia="仿宋_GB2312" w:cs="仿宋_GB2312"/>
          <w:sz w:val="32"/>
          <w:szCs w:val="32"/>
          <w:lang w:val="en-US" w:eastAsia="zh-CN"/>
        </w:rPr>
        <w:t>2.针对事故调查报告中提出的事故防范和整改措施，朝阳林公司已整改落实。</w:t>
      </w:r>
    </w:p>
    <w:sectPr>
      <w:headerReference r:id="rId7" w:type="first"/>
      <w:footerReference r:id="rId10" w:type="first"/>
      <w:headerReference r:id="rId5" w:type="default"/>
      <w:footerReference r:id="rId8" w:type="default"/>
      <w:headerReference r:id="rId6" w:type="even"/>
      <w:footerReference r:id="rId9" w:type="even"/>
      <w:pgSz w:w="11906" w:h="16838"/>
      <w:pgMar w:top="2041" w:right="1559" w:bottom="1701" w:left="1559"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66566921"/>
    </w:sdtPr>
    <w:sdtContent>
      <w:p>
        <w:pPr>
          <w:pStyle w:val="9"/>
          <w:jc w:val="center"/>
        </w:pPr>
        <w:r>
          <w:fldChar w:fldCharType="begin"/>
        </w:r>
        <w:r>
          <w:instrText xml:space="preserve">PAGE   \* MERGEFORMAT</w:instrText>
        </w:r>
        <w:r>
          <w:fldChar w:fldCharType="separate"/>
        </w:r>
        <w:r>
          <w:rPr>
            <w:lang w:val="zh-CN"/>
          </w:rPr>
          <w:t>2</w:t>
        </w:r>
        <w:r>
          <w:fldChar w:fldCharType="end"/>
        </w:r>
      </w:p>
    </w:sdtContent>
  </w:sdt>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BkOTdmYTE2ODNlZjQ4ZTJhYWMwNGVhNzA2MTAzNDAifQ=="/>
    <w:docVar w:name="KSO_WPS_MARK_KEY" w:val="4d6690ce-842e-42de-9784-4bb53753cf0b"/>
  </w:docVars>
  <w:rsids>
    <w:rsidRoot w:val="00FE44CA"/>
    <w:rsid w:val="00017AD2"/>
    <w:rsid w:val="00035858"/>
    <w:rsid w:val="000B61B5"/>
    <w:rsid w:val="000C65A7"/>
    <w:rsid w:val="000F2706"/>
    <w:rsid w:val="00120B17"/>
    <w:rsid w:val="00140A49"/>
    <w:rsid w:val="001458B5"/>
    <w:rsid w:val="00156C9C"/>
    <w:rsid w:val="00176CEA"/>
    <w:rsid w:val="001B4C6F"/>
    <w:rsid w:val="001B682C"/>
    <w:rsid w:val="001E63C2"/>
    <w:rsid w:val="001E70D5"/>
    <w:rsid w:val="001F2786"/>
    <w:rsid w:val="00212B55"/>
    <w:rsid w:val="00254965"/>
    <w:rsid w:val="00292703"/>
    <w:rsid w:val="002B10CB"/>
    <w:rsid w:val="002D39D1"/>
    <w:rsid w:val="002E648D"/>
    <w:rsid w:val="002F2725"/>
    <w:rsid w:val="002F2FAB"/>
    <w:rsid w:val="00311FFE"/>
    <w:rsid w:val="0031344D"/>
    <w:rsid w:val="00321F23"/>
    <w:rsid w:val="00336233"/>
    <w:rsid w:val="003543E7"/>
    <w:rsid w:val="0036517D"/>
    <w:rsid w:val="0037042D"/>
    <w:rsid w:val="003725C5"/>
    <w:rsid w:val="003A504B"/>
    <w:rsid w:val="003C7E46"/>
    <w:rsid w:val="003D1585"/>
    <w:rsid w:val="003E073B"/>
    <w:rsid w:val="003E7E75"/>
    <w:rsid w:val="003F33D9"/>
    <w:rsid w:val="003F65E6"/>
    <w:rsid w:val="004462BC"/>
    <w:rsid w:val="00480520"/>
    <w:rsid w:val="004B05F3"/>
    <w:rsid w:val="004D4FDA"/>
    <w:rsid w:val="004F2C99"/>
    <w:rsid w:val="004F419F"/>
    <w:rsid w:val="005005E3"/>
    <w:rsid w:val="00516F30"/>
    <w:rsid w:val="005876F1"/>
    <w:rsid w:val="005E2F77"/>
    <w:rsid w:val="00610F47"/>
    <w:rsid w:val="00677178"/>
    <w:rsid w:val="006D057E"/>
    <w:rsid w:val="006D6FCB"/>
    <w:rsid w:val="006E5FE0"/>
    <w:rsid w:val="006F6C98"/>
    <w:rsid w:val="00717ACA"/>
    <w:rsid w:val="00740F52"/>
    <w:rsid w:val="007867F9"/>
    <w:rsid w:val="0079034E"/>
    <w:rsid w:val="00797A5C"/>
    <w:rsid w:val="007A2D1E"/>
    <w:rsid w:val="007A607D"/>
    <w:rsid w:val="007B23C2"/>
    <w:rsid w:val="007D0E8C"/>
    <w:rsid w:val="007D5BA2"/>
    <w:rsid w:val="007E27D9"/>
    <w:rsid w:val="007E3E2C"/>
    <w:rsid w:val="00812165"/>
    <w:rsid w:val="008251CA"/>
    <w:rsid w:val="008259AC"/>
    <w:rsid w:val="00825BE7"/>
    <w:rsid w:val="008618F3"/>
    <w:rsid w:val="00871521"/>
    <w:rsid w:val="00882DE6"/>
    <w:rsid w:val="00892181"/>
    <w:rsid w:val="008C1914"/>
    <w:rsid w:val="008C73AF"/>
    <w:rsid w:val="008D617C"/>
    <w:rsid w:val="008E01C8"/>
    <w:rsid w:val="00915313"/>
    <w:rsid w:val="0098107E"/>
    <w:rsid w:val="009917A0"/>
    <w:rsid w:val="009F33FA"/>
    <w:rsid w:val="00A06BCC"/>
    <w:rsid w:val="00A22722"/>
    <w:rsid w:val="00A669BE"/>
    <w:rsid w:val="00A91B0D"/>
    <w:rsid w:val="00A94E8E"/>
    <w:rsid w:val="00AC5073"/>
    <w:rsid w:val="00AD0708"/>
    <w:rsid w:val="00AD477D"/>
    <w:rsid w:val="00B42C0A"/>
    <w:rsid w:val="00B45998"/>
    <w:rsid w:val="00B667CC"/>
    <w:rsid w:val="00BC2374"/>
    <w:rsid w:val="00BD57FB"/>
    <w:rsid w:val="00BF385F"/>
    <w:rsid w:val="00BF4584"/>
    <w:rsid w:val="00C2080F"/>
    <w:rsid w:val="00C3463E"/>
    <w:rsid w:val="00C53C8A"/>
    <w:rsid w:val="00C7418C"/>
    <w:rsid w:val="00C9050C"/>
    <w:rsid w:val="00C9543F"/>
    <w:rsid w:val="00CB2439"/>
    <w:rsid w:val="00CC7886"/>
    <w:rsid w:val="00CD1EF5"/>
    <w:rsid w:val="00CF36C4"/>
    <w:rsid w:val="00D51112"/>
    <w:rsid w:val="00D62FDE"/>
    <w:rsid w:val="00D6790E"/>
    <w:rsid w:val="00D70C0C"/>
    <w:rsid w:val="00DB1CDF"/>
    <w:rsid w:val="00DB20F7"/>
    <w:rsid w:val="00DB5F8B"/>
    <w:rsid w:val="00DD7C7D"/>
    <w:rsid w:val="00DF2451"/>
    <w:rsid w:val="00E00B19"/>
    <w:rsid w:val="00E62432"/>
    <w:rsid w:val="00E800EC"/>
    <w:rsid w:val="00E85898"/>
    <w:rsid w:val="00EA5251"/>
    <w:rsid w:val="00EB2DA8"/>
    <w:rsid w:val="00EB339C"/>
    <w:rsid w:val="00EC0B9E"/>
    <w:rsid w:val="00EF1626"/>
    <w:rsid w:val="00F02B87"/>
    <w:rsid w:val="00F11F48"/>
    <w:rsid w:val="00F16EB7"/>
    <w:rsid w:val="00F523F9"/>
    <w:rsid w:val="00F561B9"/>
    <w:rsid w:val="00F61FA8"/>
    <w:rsid w:val="00F72F43"/>
    <w:rsid w:val="00F90025"/>
    <w:rsid w:val="00FE44CA"/>
    <w:rsid w:val="01B82438"/>
    <w:rsid w:val="02044084"/>
    <w:rsid w:val="02493090"/>
    <w:rsid w:val="0287536B"/>
    <w:rsid w:val="02D7AC9B"/>
    <w:rsid w:val="03DB240E"/>
    <w:rsid w:val="04E84DE3"/>
    <w:rsid w:val="06B55198"/>
    <w:rsid w:val="072B4668"/>
    <w:rsid w:val="081303C8"/>
    <w:rsid w:val="08907C6B"/>
    <w:rsid w:val="0ACC485F"/>
    <w:rsid w:val="0AE01076"/>
    <w:rsid w:val="0B1701D0"/>
    <w:rsid w:val="0B7E1CB6"/>
    <w:rsid w:val="0BF978D5"/>
    <w:rsid w:val="0C36409E"/>
    <w:rsid w:val="0D004C93"/>
    <w:rsid w:val="0E372937"/>
    <w:rsid w:val="0E3F750F"/>
    <w:rsid w:val="0EF6634E"/>
    <w:rsid w:val="0F7DD50E"/>
    <w:rsid w:val="108F1E71"/>
    <w:rsid w:val="109B71AD"/>
    <w:rsid w:val="11A91E81"/>
    <w:rsid w:val="11B2452F"/>
    <w:rsid w:val="12780EEF"/>
    <w:rsid w:val="13CC5C48"/>
    <w:rsid w:val="15231522"/>
    <w:rsid w:val="15A84DC0"/>
    <w:rsid w:val="17F74FD0"/>
    <w:rsid w:val="18251A52"/>
    <w:rsid w:val="18C474BD"/>
    <w:rsid w:val="19B94B48"/>
    <w:rsid w:val="1A4A0F3F"/>
    <w:rsid w:val="1AA30A57"/>
    <w:rsid w:val="1BF170D3"/>
    <w:rsid w:val="1C9A47BD"/>
    <w:rsid w:val="1E1A3B08"/>
    <w:rsid w:val="1F3D58D3"/>
    <w:rsid w:val="2079277E"/>
    <w:rsid w:val="20B578F7"/>
    <w:rsid w:val="210E35BE"/>
    <w:rsid w:val="22C2681B"/>
    <w:rsid w:val="22CA7D42"/>
    <w:rsid w:val="234B4A63"/>
    <w:rsid w:val="237C10C0"/>
    <w:rsid w:val="254E1C27"/>
    <w:rsid w:val="258C292B"/>
    <w:rsid w:val="26F15921"/>
    <w:rsid w:val="277771ED"/>
    <w:rsid w:val="27B82B23"/>
    <w:rsid w:val="27CE7A10"/>
    <w:rsid w:val="283830DC"/>
    <w:rsid w:val="29641CFC"/>
    <w:rsid w:val="29746395"/>
    <w:rsid w:val="29B11398"/>
    <w:rsid w:val="2B4F3221"/>
    <w:rsid w:val="2B577D1D"/>
    <w:rsid w:val="2C7D1A05"/>
    <w:rsid w:val="2C970D19"/>
    <w:rsid w:val="2D4B2FDC"/>
    <w:rsid w:val="2D9214E0"/>
    <w:rsid w:val="2E945802"/>
    <w:rsid w:val="2EF20488"/>
    <w:rsid w:val="2FBC1655"/>
    <w:rsid w:val="301B57BD"/>
    <w:rsid w:val="30921342"/>
    <w:rsid w:val="32296CFF"/>
    <w:rsid w:val="32BC7069"/>
    <w:rsid w:val="32CB3733"/>
    <w:rsid w:val="33355F1C"/>
    <w:rsid w:val="33863895"/>
    <w:rsid w:val="33955886"/>
    <w:rsid w:val="33CF0D98"/>
    <w:rsid w:val="348953EB"/>
    <w:rsid w:val="348C4EDB"/>
    <w:rsid w:val="35457782"/>
    <w:rsid w:val="35472BB0"/>
    <w:rsid w:val="35492FCE"/>
    <w:rsid w:val="35AF114F"/>
    <w:rsid w:val="35BF9DF3"/>
    <w:rsid w:val="36DFA1E1"/>
    <w:rsid w:val="379245B6"/>
    <w:rsid w:val="37A72A7F"/>
    <w:rsid w:val="37CC517A"/>
    <w:rsid w:val="37D47B5E"/>
    <w:rsid w:val="38F640E2"/>
    <w:rsid w:val="39074B30"/>
    <w:rsid w:val="39783C80"/>
    <w:rsid w:val="39E9692C"/>
    <w:rsid w:val="3CE21E78"/>
    <w:rsid w:val="3D766728"/>
    <w:rsid w:val="3E047676"/>
    <w:rsid w:val="3E151A9D"/>
    <w:rsid w:val="3E3F2FBE"/>
    <w:rsid w:val="3E5F486D"/>
    <w:rsid w:val="3E995855"/>
    <w:rsid w:val="3EF23B8C"/>
    <w:rsid w:val="3F9BA76F"/>
    <w:rsid w:val="3FD339BE"/>
    <w:rsid w:val="3FF1B0B6"/>
    <w:rsid w:val="3FFC4D21"/>
    <w:rsid w:val="40A2448B"/>
    <w:rsid w:val="40C21036"/>
    <w:rsid w:val="41742F7F"/>
    <w:rsid w:val="419378A9"/>
    <w:rsid w:val="41A35612"/>
    <w:rsid w:val="42204EB5"/>
    <w:rsid w:val="42552B58"/>
    <w:rsid w:val="43364990"/>
    <w:rsid w:val="434D7A2D"/>
    <w:rsid w:val="43607C5E"/>
    <w:rsid w:val="44F6117F"/>
    <w:rsid w:val="45330427"/>
    <w:rsid w:val="46FE338C"/>
    <w:rsid w:val="473E09A3"/>
    <w:rsid w:val="47971775"/>
    <w:rsid w:val="4A282771"/>
    <w:rsid w:val="4B280462"/>
    <w:rsid w:val="4CCE5C39"/>
    <w:rsid w:val="4CE27E15"/>
    <w:rsid w:val="4DD51249"/>
    <w:rsid w:val="51A94280"/>
    <w:rsid w:val="51ACA49C"/>
    <w:rsid w:val="53401FAF"/>
    <w:rsid w:val="538F119C"/>
    <w:rsid w:val="53EA75C5"/>
    <w:rsid w:val="54925926"/>
    <w:rsid w:val="552B02EF"/>
    <w:rsid w:val="554910BB"/>
    <w:rsid w:val="55FD57F0"/>
    <w:rsid w:val="565F5B54"/>
    <w:rsid w:val="56CF0F2B"/>
    <w:rsid w:val="57835EB2"/>
    <w:rsid w:val="57DFCEFF"/>
    <w:rsid w:val="58B3387C"/>
    <w:rsid w:val="58CA3A18"/>
    <w:rsid w:val="59B30690"/>
    <w:rsid w:val="59C56616"/>
    <w:rsid w:val="59FE04A9"/>
    <w:rsid w:val="5A53777D"/>
    <w:rsid w:val="5AB1C548"/>
    <w:rsid w:val="5AB32912"/>
    <w:rsid w:val="5ACC12DE"/>
    <w:rsid w:val="5AE26D53"/>
    <w:rsid w:val="5B4517BC"/>
    <w:rsid w:val="5CA249EC"/>
    <w:rsid w:val="5CBA3AE4"/>
    <w:rsid w:val="5D42488D"/>
    <w:rsid w:val="5DFF6DE9"/>
    <w:rsid w:val="5DFF9917"/>
    <w:rsid w:val="5E1E40A4"/>
    <w:rsid w:val="5F1BC5F2"/>
    <w:rsid w:val="5F7C754B"/>
    <w:rsid w:val="5F7E19D6"/>
    <w:rsid w:val="60C2740B"/>
    <w:rsid w:val="60D95790"/>
    <w:rsid w:val="61277654"/>
    <w:rsid w:val="61926DDD"/>
    <w:rsid w:val="62EE44E7"/>
    <w:rsid w:val="62F164A7"/>
    <w:rsid w:val="637328AD"/>
    <w:rsid w:val="63DF02D4"/>
    <w:rsid w:val="643E324C"/>
    <w:rsid w:val="65EE377D"/>
    <w:rsid w:val="67660D4B"/>
    <w:rsid w:val="68833A8F"/>
    <w:rsid w:val="68A37B22"/>
    <w:rsid w:val="69E20B1E"/>
    <w:rsid w:val="6A072332"/>
    <w:rsid w:val="6A802C05"/>
    <w:rsid w:val="6AB9187F"/>
    <w:rsid w:val="6AC63F9C"/>
    <w:rsid w:val="6AF65C49"/>
    <w:rsid w:val="6B7C3C4C"/>
    <w:rsid w:val="6D394EF9"/>
    <w:rsid w:val="6DF66946"/>
    <w:rsid w:val="6E3F209B"/>
    <w:rsid w:val="6FFFB834"/>
    <w:rsid w:val="71571C91"/>
    <w:rsid w:val="71900B20"/>
    <w:rsid w:val="71BC1D0D"/>
    <w:rsid w:val="71E2790D"/>
    <w:rsid w:val="737F2EE4"/>
    <w:rsid w:val="73D56D61"/>
    <w:rsid w:val="73F3BC63"/>
    <w:rsid w:val="73FC7708"/>
    <w:rsid w:val="74390912"/>
    <w:rsid w:val="74FA31C0"/>
    <w:rsid w:val="77980A6E"/>
    <w:rsid w:val="78063C29"/>
    <w:rsid w:val="78E73A5B"/>
    <w:rsid w:val="795EE47A"/>
    <w:rsid w:val="797057FE"/>
    <w:rsid w:val="79D95838"/>
    <w:rsid w:val="7A416D33"/>
    <w:rsid w:val="7AFBD1F5"/>
    <w:rsid w:val="7C213E9C"/>
    <w:rsid w:val="7C4ED2CF"/>
    <w:rsid w:val="7C861236"/>
    <w:rsid w:val="7CB59A12"/>
    <w:rsid w:val="7CC52305"/>
    <w:rsid w:val="7E176B90"/>
    <w:rsid w:val="7E2000B4"/>
    <w:rsid w:val="7E381600"/>
    <w:rsid w:val="7EAD18E2"/>
    <w:rsid w:val="7ED29686"/>
    <w:rsid w:val="7F2E2003"/>
    <w:rsid w:val="7F517E80"/>
    <w:rsid w:val="7FBD2FCD"/>
    <w:rsid w:val="7FD650CB"/>
    <w:rsid w:val="7FE30DC9"/>
    <w:rsid w:val="7FE7AA2B"/>
    <w:rsid w:val="7FF72ECD"/>
    <w:rsid w:val="8DFFBC3D"/>
    <w:rsid w:val="925D24EC"/>
    <w:rsid w:val="956BF4B5"/>
    <w:rsid w:val="9D6DBEB0"/>
    <w:rsid w:val="ABD74F92"/>
    <w:rsid w:val="B79E19E3"/>
    <w:rsid w:val="BCFC34E2"/>
    <w:rsid w:val="BEFF8D3F"/>
    <w:rsid w:val="BFDE7FDC"/>
    <w:rsid w:val="DDFF1AB2"/>
    <w:rsid w:val="DFBFC31E"/>
    <w:rsid w:val="DFF777B1"/>
    <w:rsid w:val="ED2FC227"/>
    <w:rsid w:val="ED7ECA61"/>
    <w:rsid w:val="F2EFC7BA"/>
    <w:rsid w:val="F3F763E2"/>
    <w:rsid w:val="F42B52B6"/>
    <w:rsid w:val="F7F9BBE1"/>
    <w:rsid w:val="F9FD202B"/>
    <w:rsid w:val="FACF466D"/>
    <w:rsid w:val="FCFFB603"/>
    <w:rsid w:val="FD774BC1"/>
    <w:rsid w:val="FDBD2A8B"/>
    <w:rsid w:val="FDD77B6A"/>
    <w:rsid w:val="FE317A1A"/>
    <w:rsid w:val="FEFDDA56"/>
    <w:rsid w:val="FF3103A6"/>
    <w:rsid w:val="FFE13370"/>
    <w:rsid w:val="FFF9B2EB"/>
    <w:rsid w:val="FFFF38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仿宋_GB2312" w:hAnsi="Times New Roman" w:eastAsia="仿宋_GB2312" w:cs="Times New Roman"/>
      <w:sz w:val="32"/>
      <w:szCs w:val="32"/>
      <w:lang w:val="en-US" w:eastAsia="zh-CN" w:bidi="ar-SA"/>
    </w:rPr>
  </w:style>
  <w:style w:type="paragraph" w:styleId="2">
    <w:name w:val="heading 1"/>
    <w:basedOn w:val="1"/>
    <w:next w:val="1"/>
    <w:autoRedefine/>
    <w:qFormat/>
    <w:uiPriority w:val="0"/>
    <w:pPr>
      <w:keepNext/>
      <w:keepLines/>
      <w:spacing w:before="40" w:after="40" w:line="360" w:lineRule="auto"/>
      <w:outlineLvl w:val="0"/>
    </w:pPr>
    <w:rPr>
      <w:rFonts w:ascii="Times New Roman" w:hAnsi="Times New Roman"/>
      <w:b/>
      <w:bCs/>
      <w:kern w:val="44"/>
      <w:sz w:val="30"/>
      <w:szCs w:val="44"/>
    </w:rPr>
  </w:style>
  <w:style w:type="paragraph" w:styleId="3">
    <w:name w:val="heading 4"/>
    <w:basedOn w:val="1"/>
    <w:next w:val="1"/>
    <w:unhideWhenUsed/>
    <w:qFormat/>
    <w:uiPriority w:val="0"/>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1"/>
    <w:autoRedefine/>
    <w:semiHidden/>
    <w:qFormat/>
    <w:uiPriority w:val="0"/>
    <w:rPr>
      <w:rFonts w:ascii="仿宋" w:hAnsi="仿宋" w:eastAsia="仿宋" w:cs="仿宋"/>
      <w:sz w:val="31"/>
      <w:szCs w:val="31"/>
      <w:lang w:val="en-US" w:eastAsia="en-US" w:bidi="ar-SA"/>
    </w:rPr>
  </w:style>
  <w:style w:type="paragraph" w:styleId="6">
    <w:name w:val="Body Text Indent"/>
    <w:basedOn w:val="1"/>
    <w:autoRedefine/>
    <w:semiHidden/>
    <w:unhideWhenUsed/>
    <w:qFormat/>
    <w:uiPriority w:val="99"/>
    <w:pPr>
      <w:spacing w:after="120"/>
      <w:ind w:left="420" w:leftChars="200"/>
    </w:pPr>
  </w:style>
  <w:style w:type="paragraph" w:styleId="7">
    <w:name w:val="Date"/>
    <w:basedOn w:val="1"/>
    <w:next w:val="1"/>
    <w:link w:val="19"/>
    <w:autoRedefine/>
    <w:semiHidden/>
    <w:unhideWhenUsed/>
    <w:qFormat/>
    <w:uiPriority w:val="99"/>
    <w:pPr>
      <w:ind w:left="100" w:leftChars="2500"/>
    </w:pPr>
  </w:style>
  <w:style w:type="paragraph" w:styleId="8">
    <w:name w:val="Balloon Text"/>
    <w:basedOn w:val="1"/>
    <w:link w:val="18"/>
    <w:autoRedefine/>
    <w:semiHidden/>
    <w:unhideWhenUsed/>
    <w:qFormat/>
    <w:uiPriority w:val="99"/>
    <w:rPr>
      <w:sz w:val="18"/>
      <w:szCs w:val="18"/>
    </w:rPr>
  </w:style>
  <w:style w:type="paragraph" w:styleId="9">
    <w:name w:val="footer"/>
    <w:basedOn w:val="1"/>
    <w:link w:val="17"/>
    <w:unhideWhenUsed/>
    <w:qFormat/>
    <w:uiPriority w:val="99"/>
    <w:pPr>
      <w:tabs>
        <w:tab w:val="center" w:pos="4153"/>
        <w:tab w:val="right" w:pos="8306"/>
      </w:tabs>
      <w:snapToGrid w:val="0"/>
    </w:pPr>
    <w:rPr>
      <w:sz w:val="18"/>
      <w:szCs w:val="18"/>
    </w:rPr>
  </w:style>
  <w:style w:type="paragraph" w:styleId="10">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autoRedefine/>
    <w:semiHidden/>
    <w:unhideWhenUsed/>
    <w:qFormat/>
    <w:uiPriority w:val="99"/>
    <w:pPr>
      <w:snapToGrid w:val="0"/>
      <w:jc w:val="left"/>
    </w:pPr>
    <w:rPr>
      <w:sz w:val="18"/>
      <w:szCs w:val="18"/>
    </w:rPr>
  </w:style>
  <w:style w:type="paragraph" w:styleId="12">
    <w:name w:val="Body Text First Indent 2"/>
    <w:basedOn w:val="6"/>
    <w:autoRedefine/>
    <w:unhideWhenUsed/>
    <w:qFormat/>
    <w:uiPriority w:val="0"/>
    <w:pPr>
      <w:widowControl w:val="0"/>
      <w:ind w:firstLine="420" w:firstLineChars="200"/>
      <w:jc w:val="both"/>
    </w:pPr>
    <w:rPr>
      <w:rFonts w:ascii="Calibri" w:hAnsi="Calibri" w:eastAsia="宋体" w:cs="Calibri"/>
      <w:szCs w:val="24"/>
    </w:rPr>
  </w:style>
  <w:style w:type="character" w:styleId="15">
    <w:name w:val="footnote reference"/>
    <w:basedOn w:val="14"/>
    <w:autoRedefine/>
    <w:unhideWhenUsed/>
    <w:qFormat/>
    <w:uiPriority w:val="99"/>
    <w:rPr>
      <w:vertAlign w:val="superscript"/>
    </w:rPr>
  </w:style>
  <w:style w:type="character" w:customStyle="1" w:styleId="16">
    <w:name w:val="页眉 字符"/>
    <w:basedOn w:val="14"/>
    <w:link w:val="10"/>
    <w:qFormat/>
    <w:uiPriority w:val="99"/>
    <w:rPr>
      <w:sz w:val="18"/>
      <w:szCs w:val="18"/>
    </w:rPr>
  </w:style>
  <w:style w:type="character" w:customStyle="1" w:styleId="17">
    <w:name w:val="页脚 字符"/>
    <w:basedOn w:val="14"/>
    <w:link w:val="9"/>
    <w:autoRedefine/>
    <w:qFormat/>
    <w:uiPriority w:val="99"/>
    <w:rPr>
      <w:sz w:val="18"/>
      <w:szCs w:val="18"/>
    </w:rPr>
  </w:style>
  <w:style w:type="character" w:customStyle="1" w:styleId="18">
    <w:name w:val="批注框文本 字符"/>
    <w:basedOn w:val="14"/>
    <w:link w:val="8"/>
    <w:semiHidden/>
    <w:qFormat/>
    <w:uiPriority w:val="99"/>
    <w:rPr>
      <w:sz w:val="18"/>
      <w:szCs w:val="18"/>
    </w:rPr>
  </w:style>
  <w:style w:type="character" w:customStyle="1" w:styleId="19">
    <w:name w:val="日期 字符"/>
    <w:basedOn w:val="14"/>
    <w:link w:val="7"/>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4672</Words>
  <Characters>4820</Characters>
  <Lines>19</Lines>
  <Paragraphs>5</Paragraphs>
  <TotalTime>161</TotalTime>
  <ScaleCrop>false</ScaleCrop>
  <LinksUpToDate>false</LinksUpToDate>
  <CharactersWithSpaces>4824</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2022-03-19T14:29:00Z</dcterms:created>
  <dc:creator>Windows</dc:creator>
  <cp:lastModifiedBy>嘉树</cp:lastModifiedBy>
  <cp:lastPrinted>2024-05-22T00:27:00Z</cp:lastPrinted>
  <dcterms:modified xsi:type="dcterms:W3CDTF">2024-05-22T08:34:13Z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8A6E18B34A73428AA4C050EF6B271428_13</vt:lpwstr>
  </property>
</Properties>
</file>