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Times New Roman" w:eastAsia="方正小标宋简体" w:cs="Times New Roman"/>
          <w:b w:val="0"/>
          <w:bCs/>
          <w:sz w:val="44"/>
          <w:szCs w:val="44"/>
          <w:lang w:val="en-US" w:eastAsia="zh-CN"/>
        </w:rPr>
      </w:pPr>
      <w:bookmarkStart w:id="0" w:name="_Toc15250"/>
      <w:bookmarkStart w:id="1" w:name="_Toc23538"/>
      <w:bookmarkStart w:id="2" w:name="_Toc27625"/>
      <w:bookmarkStart w:id="3" w:name="_Toc12150"/>
      <w:r>
        <w:rPr>
          <w:rFonts w:hint="eastAsia" w:ascii="方正小标宋简体" w:hAnsi="方正小标宋_GBK" w:eastAsia="方正小标宋简体" w:cs="方正小标宋_GBK"/>
          <w:w w:val="90"/>
          <w:sz w:val="44"/>
          <w:szCs w:val="44"/>
          <w:lang w:val="en-US" w:eastAsia="zh-CN"/>
        </w:rPr>
        <w:t>静海区双塘镇静双海翔公司“</w:t>
      </w:r>
      <w:r>
        <w:rPr>
          <w:rFonts w:hint="default" w:ascii="方正小标宋简体" w:hAnsi="方正小标宋_GBK" w:eastAsia="方正小标宋简体" w:cs="方正小标宋_GBK"/>
          <w:w w:val="90"/>
          <w:sz w:val="44"/>
          <w:szCs w:val="44"/>
          <w:lang w:val="en-US" w:eastAsia="zh-CN"/>
        </w:rPr>
        <w:t>4</w:t>
      </w:r>
      <w:r>
        <w:rPr>
          <w:rFonts w:hint="eastAsia" w:ascii="方正小标宋简体" w:hAnsi="方正小标宋_GBK" w:eastAsia="方正小标宋简体" w:cs="方正小标宋_GBK"/>
          <w:w w:val="90"/>
          <w:sz w:val="44"/>
          <w:szCs w:val="44"/>
          <w:lang w:val="en-US" w:eastAsia="zh-CN"/>
        </w:rPr>
        <w:t>·28”一般机械伤害事故</w:t>
      </w:r>
      <w:r>
        <w:rPr>
          <w:rFonts w:hint="eastAsia" w:ascii="方正小标宋简体" w:hAnsi="Times New Roman" w:eastAsia="方正小标宋简体" w:cs="Times New Roman"/>
          <w:b w:val="0"/>
          <w:bCs/>
          <w:sz w:val="44"/>
          <w:szCs w:val="44"/>
          <w:lang w:val="en-US" w:eastAsia="zh-CN"/>
        </w:rPr>
        <w:t>调查报告</w:t>
      </w:r>
      <w:bookmarkEnd w:id="0"/>
      <w:bookmarkEnd w:id="1"/>
      <w:bookmarkEnd w:id="2"/>
      <w:bookmarkEnd w:id="3"/>
    </w:p>
    <w:p>
      <w:pPr>
        <w:spacing w:line="600" w:lineRule="exact"/>
        <w:ind w:firstLine="0" w:firstLineChars="0"/>
        <w:jc w:val="center"/>
        <w:rPr>
          <w:rFonts w:hint="eastAsia" w:ascii="方正小标宋简体" w:hAnsi="Times New Roman" w:eastAsia="方正小标宋简体" w:cs="Times New Roman"/>
          <w:b w:val="0"/>
          <w:bCs/>
          <w:sz w:val="44"/>
          <w:szCs w:val="44"/>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pStyle w:val="2"/>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pPr>
        <w:rPr>
          <w:rFonts w:hint="eastAsia" w:ascii="方正小标宋简体" w:hAnsi="Times New Roman" w:eastAsia="方正小标宋简体" w:cs="Times New Roman"/>
          <w:b/>
          <w:bCs w:val="0"/>
          <w:sz w:val="48"/>
          <w:szCs w:val="48"/>
          <w:lang w:eastAsia="zh-CN"/>
        </w:rPr>
      </w:pPr>
    </w:p>
    <w:p>
      <w:pPr>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val="0"/>
          <w:sz w:val="32"/>
          <w:szCs w:val="32"/>
          <w:lang w:val="en-US" w:eastAsia="zh-CN"/>
        </w:rPr>
      </w:pPr>
      <w:bookmarkStart w:id="4" w:name="_Toc12973"/>
      <w:bookmarkStart w:id="5" w:name="_Toc16065"/>
      <w:bookmarkStart w:id="6" w:name="_Toc10666"/>
      <w:bookmarkStart w:id="7" w:name="_Toc1856"/>
      <w:r>
        <w:rPr>
          <w:rFonts w:hint="eastAsia" w:ascii="仿宋_GB2312" w:hAnsi="仿宋_GB2312" w:eastAsia="仿宋_GB2312" w:cs="仿宋_GB2312"/>
          <w:b/>
          <w:bCs w:val="0"/>
          <w:sz w:val="32"/>
          <w:szCs w:val="32"/>
          <w:lang w:val="en-US" w:eastAsia="zh-CN"/>
        </w:rPr>
        <w:t>静海区政府事故调查组</w:t>
      </w:r>
      <w:bookmarkEnd w:id="4"/>
      <w:bookmarkEnd w:id="5"/>
      <w:bookmarkEnd w:id="6"/>
      <w:bookmarkEnd w:id="7"/>
    </w:p>
    <w:p>
      <w:pPr>
        <w:jc w:val="center"/>
        <w:rPr>
          <w:rFonts w:hint="default"/>
          <w:lang w:val="en-US" w:eastAsia="zh-CN"/>
        </w:rPr>
        <w:sectPr>
          <w:headerReference r:id="rId4" w:type="default"/>
          <w:footerReference r:id="rId5" w:type="default"/>
          <w:footerReference r:id="rId6" w:type="even"/>
          <w:pgSz w:w="11906" w:h="16838"/>
          <w:pgMar w:top="2041" w:right="1559" w:bottom="1701" w:left="1559" w:header="851" w:footer="1701" w:gutter="0"/>
          <w:pgNumType w:fmt="numberInDash"/>
          <w:cols w:space="720" w:num="1"/>
          <w:docGrid w:type="lines" w:linePitch="312" w:charSpace="0"/>
        </w:sectPr>
      </w:pPr>
      <w:r>
        <w:rPr>
          <w:rFonts w:hint="eastAsia" w:ascii="仿宋_GB2312" w:hAnsi="仿宋_GB2312" w:eastAsia="仿宋_GB2312" w:cs="仿宋_GB2312"/>
          <w:b/>
          <w:bCs w:val="0"/>
          <w:sz w:val="32"/>
          <w:szCs w:val="32"/>
          <w:lang w:val="en-US" w:eastAsia="zh-CN"/>
        </w:rPr>
        <w:t>2024年6月</w:t>
      </w: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pPr>
    </w:p>
    <w:p>
      <w:pPr>
        <w:pStyle w:val="4"/>
        <w:ind w:left="0" w:leftChars="0" w:firstLine="0" w:firstLineChars="0"/>
        <w:rPr>
          <w:rFonts w:hint="eastAsia"/>
          <w:lang w:eastAsia="zh-CN"/>
        </w:rPr>
        <w:sectPr>
          <w:headerReference r:id="rId7" w:type="default"/>
          <w:footerReference r:id="rId8" w:type="default"/>
          <w:pgSz w:w="11906" w:h="16838"/>
          <w:pgMar w:top="2041" w:right="1559" w:bottom="1701" w:left="1559" w:header="851" w:footer="1701" w:gutter="0"/>
          <w:pgNumType w:fmt="numberInDash" w:start="1"/>
          <w:cols w:space="720" w:num="1"/>
          <w:docGrid w:type="lines" w:linePitch="312" w:charSpace="0"/>
        </w:sectPr>
      </w:pPr>
    </w:p>
    <w:sdt>
      <w:sdtPr>
        <w:rPr>
          <w:rFonts w:ascii="宋体" w:hAnsi="宋体" w:eastAsia="宋体" w:cs="Times New Roman"/>
          <w:b/>
          <w:bCs/>
          <w:kern w:val="2"/>
          <w:sz w:val="32"/>
          <w:szCs w:val="32"/>
          <w:lang w:val="en-US" w:eastAsia="zh-CN" w:bidi="ar-SA"/>
        </w:rPr>
        <w:id w:val="147467573"/>
        <w15:color w:val="DBDBDB"/>
        <w:docPartObj>
          <w:docPartGallery w:val="Table of Contents"/>
          <w:docPartUnique/>
        </w:docPartObj>
      </w:sdtPr>
      <w:sdtEndPr>
        <w:rPr>
          <w:rFonts w:hint="eastAsia" w:ascii="Calibri" w:hAnsi="Calibri" w:eastAsia="微软雅黑" w:cs="Times New Roman"/>
          <w:b/>
          <w:bCs/>
          <w:kern w:val="2"/>
          <w:sz w:val="21"/>
          <w:szCs w:val="32"/>
          <w:lang w:val="en-US" w:eastAsia="zh-CN" w:bidi="ar-SA"/>
        </w:rPr>
      </w:sdtEndPr>
      <w:sdtContent>
        <w:p>
          <w:pPr>
            <w:spacing w:before="0" w:beforeLines="0" w:after="0" w:afterLines="0" w:line="240" w:lineRule="auto"/>
            <w:ind w:left="0" w:leftChars="0" w:right="0" w:rightChars="0" w:firstLine="0" w:firstLineChars="0"/>
            <w:jc w:val="center"/>
            <w:rPr>
              <w:rFonts w:hint="eastAsia" w:ascii="Calibri" w:hAnsi="Calibri" w:eastAsia="微软雅黑" w:cs="Times New Roman"/>
              <w:kern w:val="2"/>
              <w:sz w:val="21"/>
              <w:lang w:val="en-US" w:eastAsia="zh-CN" w:bidi="ar-SA"/>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r>
            <w:rPr>
              <w:rFonts w:hint="eastAsia"/>
              <w:lang w:eastAsia="zh-CN"/>
            </w:rPr>
            <w:fldChar w:fldCharType="begin"/>
          </w:r>
          <w:r>
            <w:rPr>
              <w:rFonts w:hint="eastAsia"/>
              <w:lang w:eastAsia="zh-CN"/>
            </w:rPr>
            <w:instrText xml:space="preserve">TOC \o "1-3" \h \u </w:instrText>
          </w:r>
          <w:r>
            <w:rPr>
              <w:rFonts w:hint="eastAsia"/>
              <w:lang w:eastAsia="zh-CN"/>
            </w:rPr>
            <w:fldChar w:fldCharType="separate"/>
          </w:r>
        </w:p>
        <w:p>
          <w:pPr>
            <w:pStyle w:val="9"/>
            <w:tabs>
              <w:tab w:val="right" w:leader="dot" w:pos="8788"/>
            </w:tabs>
          </w:pPr>
          <w:r>
            <w:rPr>
              <w:rFonts w:hint="eastAsia"/>
              <w:lang w:eastAsia="zh-CN"/>
            </w:rPr>
            <w:fldChar w:fldCharType="begin"/>
          </w:r>
          <w:r>
            <w:rPr>
              <w:rFonts w:hint="eastAsia"/>
              <w:lang w:eastAsia="zh-CN"/>
            </w:rPr>
            <w:instrText xml:space="preserve"> HYPERLINK \l _Toc18277 </w:instrText>
          </w:r>
          <w:r>
            <w:rPr>
              <w:rFonts w:hint="eastAsia"/>
              <w:lang w:eastAsia="zh-CN"/>
            </w:rPr>
            <w:fldChar w:fldCharType="separate"/>
          </w:r>
          <w:r>
            <w:rPr>
              <w:rFonts w:hint="eastAsia"/>
            </w:rPr>
            <w:t>一、事故基本情况</w:t>
          </w:r>
          <w:r>
            <w:tab/>
          </w:r>
          <w:r>
            <w:fldChar w:fldCharType="begin"/>
          </w:r>
          <w:r>
            <w:instrText xml:space="preserve"> PAGEREF _Toc18277 \h </w:instrText>
          </w:r>
          <w:r>
            <w:fldChar w:fldCharType="separate"/>
          </w:r>
          <w:r>
            <w:t>- 1 -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_Toc1549 </w:instrText>
          </w:r>
          <w:r>
            <w:rPr>
              <w:rFonts w:hint="eastAsia"/>
              <w:lang w:eastAsia="zh-CN"/>
            </w:rPr>
            <w:fldChar w:fldCharType="separate"/>
          </w:r>
          <w:r>
            <w:rPr>
              <w:rFonts w:hint="eastAsia"/>
              <w:lang w:eastAsia="zh-CN"/>
            </w:rPr>
            <w:t>（</w:t>
          </w:r>
          <w:r>
            <w:rPr>
              <w:rFonts w:hint="eastAsia"/>
            </w:rPr>
            <w:t>一</w:t>
          </w:r>
          <w:r>
            <w:rPr>
              <w:rFonts w:hint="eastAsia"/>
              <w:lang w:eastAsia="zh-CN"/>
            </w:rPr>
            <w:t>）</w:t>
          </w:r>
          <w:r>
            <w:rPr>
              <w:rFonts w:hint="eastAsia"/>
            </w:rPr>
            <w:t>事故单位情况</w:t>
          </w:r>
          <w:r>
            <w:tab/>
          </w:r>
          <w:r>
            <w:fldChar w:fldCharType="begin"/>
          </w:r>
          <w:r>
            <w:instrText xml:space="preserve"> PAGEREF _Toc1549 \h </w:instrText>
          </w:r>
          <w:r>
            <w:fldChar w:fldCharType="separate"/>
          </w:r>
          <w:r>
            <w:t>- 1 -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_Toc25257 </w:instrText>
          </w:r>
          <w:r>
            <w:rPr>
              <w:rFonts w:hint="eastAsia"/>
              <w:lang w:eastAsia="zh-CN"/>
            </w:rPr>
            <w:fldChar w:fldCharType="separate"/>
          </w:r>
          <w:r>
            <w:rPr>
              <w:rFonts w:hint="eastAsia"/>
              <w:lang w:val="en-US" w:eastAsia="zh-CN"/>
            </w:rPr>
            <w:t>（二）北车间相关情况</w:t>
          </w:r>
          <w:r>
            <w:tab/>
          </w:r>
          <w:r>
            <w:fldChar w:fldCharType="begin"/>
          </w:r>
          <w:r>
            <w:instrText xml:space="preserve"> PAGEREF _Toc25257 \h </w:instrText>
          </w:r>
          <w:r>
            <w:fldChar w:fldCharType="separate"/>
          </w:r>
          <w:r>
            <w:t>- 2 -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_Toc17231 </w:instrText>
          </w:r>
          <w:r>
            <w:rPr>
              <w:rFonts w:hint="eastAsia"/>
              <w:lang w:eastAsia="zh-CN"/>
            </w:rPr>
            <w:fldChar w:fldCharType="separate"/>
          </w:r>
          <w:r>
            <w:rPr>
              <w:rFonts w:hint="eastAsia"/>
              <w:lang w:val="en-US" w:eastAsia="zh-CN"/>
            </w:rPr>
            <w:t>（三）合绳机情况</w:t>
          </w:r>
          <w:r>
            <w:tab/>
          </w:r>
          <w:r>
            <w:fldChar w:fldCharType="begin"/>
          </w:r>
          <w:r>
            <w:instrText xml:space="preserve"> PAGEREF _Toc17231 \h </w:instrText>
          </w:r>
          <w:r>
            <w:fldChar w:fldCharType="separate"/>
          </w:r>
          <w:r>
            <w:t>- 2 -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_Toc15713 </w:instrText>
          </w:r>
          <w:r>
            <w:rPr>
              <w:rFonts w:hint="eastAsia"/>
              <w:lang w:eastAsia="zh-CN"/>
            </w:rPr>
            <w:fldChar w:fldCharType="separate"/>
          </w:r>
          <w:r>
            <w:rPr>
              <w:rFonts w:hint="eastAsia"/>
              <w:lang w:val="en-US" w:eastAsia="zh-CN"/>
            </w:rPr>
            <w:t>（四）1#双牵引装置情况</w:t>
          </w:r>
          <w:r>
            <w:tab/>
          </w:r>
          <w:r>
            <w:fldChar w:fldCharType="begin"/>
          </w:r>
          <w:r>
            <w:instrText xml:space="preserve"> PAGEREF _Toc15713 \h </w:instrText>
          </w:r>
          <w:r>
            <w:fldChar w:fldCharType="separate"/>
          </w:r>
          <w:r>
            <w:t>- 3 -</w:t>
          </w:r>
          <w:r>
            <w:fldChar w:fldCharType="end"/>
          </w:r>
          <w:r>
            <w:rPr>
              <w:rFonts w:hint="eastAsia"/>
              <w:lang w:eastAsia="zh-CN"/>
            </w:rPr>
            <w:fldChar w:fldCharType="end"/>
          </w:r>
        </w:p>
        <w:p>
          <w:pPr>
            <w:pStyle w:val="9"/>
            <w:tabs>
              <w:tab w:val="right" w:leader="dot" w:pos="8788"/>
            </w:tabs>
          </w:pPr>
          <w:r>
            <w:rPr>
              <w:rFonts w:hint="eastAsia"/>
              <w:lang w:eastAsia="zh-CN"/>
            </w:rPr>
            <w:fldChar w:fldCharType="begin"/>
          </w:r>
          <w:r>
            <w:rPr>
              <w:rFonts w:hint="eastAsia"/>
              <w:lang w:eastAsia="zh-CN"/>
            </w:rPr>
            <w:instrText xml:space="preserve"> HYPERLINK \l _Toc15563 </w:instrText>
          </w:r>
          <w:r>
            <w:rPr>
              <w:rFonts w:hint="eastAsia"/>
              <w:lang w:eastAsia="zh-CN"/>
            </w:rPr>
            <w:fldChar w:fldCharType="separate"/>
          </w:r>
          <w:r>
            <w:rPr>
              <w:rFonts w:hint="eastAsia"/>
            </w:rPr>
            <w:t>二、事故发生的经过及应急处置情况</w:t>
          </w:r>
          <w:r>
            <w:tab/>
          </w:r>
          <w:r>
            <w:fldChar w:fldCharType="begin"/>
          </w:r>
          <w:r>
            <w:instrText xml:space="preserve"> PAGEREF _Toc15563 \h </w:instrText>
          </w:r>
          <w:r>
            <w:fldChar w:fldCharType="separate"/>
          </w:r>
          <w:r>
            <w:t>- 4 -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_Toc28823 </w:instrText>
          </w:r>
          <w:r>
            <w:rPr>
              <w:rFonts w:hint="eastAsia"/>
              <w:lang w:eastAsia="zh-CN"/>
            </w:rPr>
            <w:fldChar w:fldCharType="separate"/>
          </w:r>
          <w:r>
            <w:rPr>
              <w:rFonts w:hint="eastAsia"/>
            </w:rPr>
            <w:t>（一）事故经过</w:t>
          </w:r>
          <w:r>
            <w:tab/>
          </w:r>
          <w:r>
            <w:fldChar w:fldCharType="begin"/>
          </w:r>
          <w:r>
            <w:instrText xml:space="preserve"> PAGEREF _Toc28823 \h </w:instrText>
          </w:r>
          <w:r>
            <w:fldChar w:fldCharType="separate"/>
          </w:r>
          <w:r>
            <w:t>- 4 -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_Toc3653 </w:instrText>
          </w:r>
          <w:r>
            <w:rPr>
              <w:rFonts w:hint="eastAsia"/>
              <w:lang w:eastAsia="zh-CN"/>
            </w:rPr>
            <w:fldChar w:fldCharType="separate"/>
          </w:r>
          <w:r>
            <w:rPr>
              <w:rFonts w:hint="eastAsia"/>
            </w:rPr>
            <w:t>（</w:t>
          </w:r>
          <w:r>
            <w:rPr>
              <w:rFonts w:hint="eastAsia"/>
              <w:lang w:eastAsia="zh-CN"/>
            </w:rPr>
            <w:t>二</w:t>
          </w:r>
          <w:r>
            <w:rPr>
              <w:rFonts w:hint="eastAsia"/>
            </w:rPr>
            <w:t>）事故</w:t>
          </w:r>
          <w:r>
            <w:rPr>
              <w:rFonts w:hint="eastAsia" w:ascii="Times New Roman" w:hAnsi="Times New Roman" w:cs="Times New Roman"/>
            </w:rPr>
            <w:t>应急</w:t>
          </w:r>
          <w:r>
            <w:t>处置情况</w:t>
          </w:r>
          <w:r>
            <w:tab/>
          </w:r>
          <w:r>
            <w:fldChar w:fldCharType="begin"/>
          </w:r>
          <w:r>
            <w:instrText xml:space="preserve"> PAGEREF _Toc3653 \h </w:instrText>
          </w:r>
          <w:r>
            <w:fldChar w:fldCharType="separate"/>
          </w:r>
          <w:r>
            <w:t>- 5 -</w:t>
          </w:r>
          <w:r>
            <w:fldChar w:fldCharType="end"/>
          </w:r>
          <w:r>
            <w:rPr>
              <w:rFonts w:hint="eastAsia"/>
              <w:lang w:eastAsia="zh-CN"/>
            </w:rPr>
            <w:fldChar w:fldCharType="end"/>
          </w:r>
        </w:p>
        <w:p>
          <w:pPr>
            <w:pStyle w:val="9"/>
            <w:tabs>
              <w:tab w:val="right" w:leader="dot" w:pos="8788"/>
            </w:tabs>
          </w:pPr>
          <w:r>
            <w:rPr>
              <w:rFonts w:hint="eastAsia"/>
              <w:lang w:eastAsia="zh-CN"/>
            </w:rPr>
            <w:fldChar w:fldCharType="begin"/>
          </w:r>
          <w:r>
            <w:rPr>
              <w:rFonts w:hint="eastAsia"/>
              <w:lang w:eastAsia="zh-CN"/>
            </w:rPr>
            <w:instrText xml:space="preserve"> HYPERLINK \l _Toc23670 </w:instrText>
          </w:r>
          <w:r>
            <w:rPr>
              <w:rFonts w:hint="eastAsia"/>
              <w:lang w:eastAsia="zh-CN"/>
            </w:rPr>
            <w:fldChar w:fldCharType="separate"/>
          </w:r>
          <w:r>
            <w:rPr>
              <w:rFonts w:hint="eastAsia"/>
            </w:rPr>
            <w:t>三、事故伤亡情况及直接经济损失</w:t>
          </w:r>
          <w:r>
            <w:tab/>
          </w:r>
          <w:r>
            <w:fldChar w:fldCharType="begin"/>
          </w:r>
          <w:r>
            <w:instrText xml:space="preserve"> PAGEREF _Toc23670 \h </w:instrText>
          </w:r>
          <w:r>
            <w:fldChar w:fldCharType="separate"/>
          </w:r>
          <w:r>
            <w:t>- 6 -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_Toc17636 </w:instrText>
          </w:r>
          <w:r>
            <w:rPr>
              <w:rFonts w:hint="eastAsia"/>
              <w:lang w:eastAsia="zh-CN"/>
            </w:rPr>
            <w:fldChar w:fldCharType="separate"/>
          </w:r>
          <w:r>
            <w:rPr>
              <w:rFonts w:hint="eastAsia"/>
            </w:rPr>
            <w:t>（一）死亡人员情况</w:t>
          </w:r>
          <w:r>
            <w:tab/>
          </w:r>
          <w:r>
            <w:fldChar w:fldCharType="begin"/>
          </w:r>
          <w:r>
            <w:instrText xml:space="preserve"> PAGEREF _Toc17636 \h </w:instrText>
          </w:r>
          <w:r>
            <w:fldChar w:fldCharType="separate"/>
          </w:r>
          <w:r>
            <w:t>- 6 -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_Toc30856 </w:instrText>
          </w:r>
          <w:r>
            <w:rPr>
              <w:rFonts w:hint="eastAsia"/>
              <w:lang w:eastAsia="zh-CN"/>
            </w:rPr>
            <w:fldChar w:fldCharType="separate"/>
          </w:r>
          <w:r>
            <w:rPr>
              <w:rFonts w:hint="eastAsia"/>
            </w:rPr>
            <w:t>（二）事故直接经济损失</w:t>
          </w:r>
          <w:r>
            <w:tab/>
          </w:r>
          <w:r>
            <w:fldChar w:fldCharType="begin"/>
          </w:r>
          <w:r>
            <w:instrText xml:space="preserve"> PAGEREF _Toc30856 \h </w:instrText>
          </w:r>
          <w:r>
            <w:fldChar w:fldCharType="separate"/>
          </w:r>
          <w:r>
            <w:t>- 6 -</w:t>
          </w:r>
          <w:r>
            <w:fldChar w:fldCharType="end"/>
          </w:r>
          <w:r>
            <w:rPr>
              <w:rFonts w:hint="eastAsia"/>
              <w:lang w:eastAsia="zh-CN"/>
            </w:rPr>
            <w:fldChar w:fldCharType="end"/>
          </w:r>
        </w:p>
        <w:p>
          <w:pPr>
            <w:pStyle w:val="9"/>
            <w:tabs>
              <w:tab w:val="right" w:leader="dot" w:pos="8788"/>
            </w:tabs>
          </w:pPr>
          <w:r>
            <w:rPr>
              <w:rFonts w:hint="eastAsia"/>
              <w:lang w:eastAsia="zh-CN"/>
            </w:rPr>
            <w:fldChar w:fldCharType="begin"/>
          </w:r>
          <w:r>
            <w:rPr>
              <w:rFonts w:hint="eastAsia"/>
              <w:lang w:eastAsia="zh-CN"/>
            </w:rPr>
            <w:instrText xml:space="preserve"> HYPERLINK \l _Toc9475 </w:instrText>
          </w:r>
          <w:r>
            <w:rPr>
              <w:rFonts w:hint="eastAsia"/>
              <w:lang w:eastAsia="zh-CN"/>
            </w:rPr>
            <w:fldChar w:fldCharType="separate"/>
          </w:r>
          <w:r>
            <w:rPr>
              <w:rFonts w:hint="eastAsia"/>
            </w:rPr>
            <w:t>四、事故原因和</w:t>
          </w:r>
          <w:r>
            <w:t>性质</w:t>
          </w:r>
          <w:r>
            <w:tab/>
          </w:r>
          <w:r>
            <w:fldChar w:fldCharType="begin"/>
          </w:r>
          <w:r>
            <w:instrText xml:space="preserve"> PAGEREF _Toc9475 \h </w:instrText>
          </w:r>
          <w:r>
            <w:fldChar w:fldCharType="separate"/>
          </w:r>
          <w:r>
            <w:t>- 6 -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_Toc24271 </w:instrText>
          </w:r>
          <w:r>
            <w:rPr>
              <w:rFonts w:hint="eastAsia"/>
              <w:lang w:eastAsia="zh-CN"/>
            </w:rPr>
            <w:fldChar w:fldCharType="separate"/>
          </w:r>
          <w:r>
            <w:rPr>
              <w:rFonts w:hint="eastAsia"/>
            </w:rPr>
            <w:t>（一）事故直接原因</w:t>
          </w:r>
          <w:r>
            <w:tab/>
          </w:r>
          <w:r>
            <w:fldChar w:fldCharType="begin"/>
          </w:r>
          <w:r>
            <w:instrText xml:space="preserve"> PAGEREF _Toc24271 \h </w:instrText>
          </w:r>
          <w:r>
            <w:fldChar w:fldCharType="separate"/>
          </w:r>
          <w:r>
            <w:t>- 6 -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_Toc29540 </w:instrText>
          </w:r>
          <w:r>
            <w:rPr>
              <w:rFonts w:hint="eastAsia"/>
              <w:lang w:eastAsia="zh-CN"/>
            </w:rPr>
            <w:fldChar w:fldCharType="separate"/>
          </w:r>
          <w:r>
            <w:rPr>
              <w:rFonts w:hint="eastAsia"/>
            </w:rPr>
            <w:t>（二）事故</w:t>
          </w:r>
          <w:r>
            <w:t>间接原因</w:t>
          </w:r>
          <w:r>
            <w:tab/>
          </w:r>
          <w:r>
            <w:fldChar w:fldCharType="begin"/>
          </w:r>
          <w:r>
            <w:instrText xml:space="preserve"> PAGEREF _Toc29540 \h </w:instrText>
          </w:r>
          <w:r>
            <w:fldChar w:fldCharType="separate"/>
          </w:r>
          <w:r>
            <w:t>- 7 -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_Toc12452 </w:instrText>
          </w:r>
          <w:r>
            <w:rPr>
              <w:rFonts w:hint="eastAsia"/>
              <w:lang w:eastAsia="zh-CN"/>
            </w:rPr>
            <w:fldChar w:fldCharType="separate"/>
          </w:r>
          <w:r>
            <w:rPr>
              <w:rFonts w:hint="eastAsia"/>
            </w:rPr>
            <w:t>（三）事故性质</w:t>
          </w:r>
          <w:r>
            <w:tab/>
          </w:r>
          <w:r>
            <w:fldChar w:fldCharType="begin"/>
          </w:r>
          <w:r>
            <w:instrText xml:space="preserve"> PAGEREF _Toc12452 \h </w:instrText>
          </w:r>
          <w:r>
            <w:fldChar w:fldCharType="separate"/>
          </w:r>
          <w:r>
            <w:t>- 8 -</w:t>
          </w:r>
          <w:r>
            <w:fldChar w:fldCharType="end"/>
          </w:r>
          <w:r>
            <w:rPr>
              <w:rFonts w:hint="eastAsia"/>
              <w:lang w:eastAsia="zh-CN"/>
            </w:rPr>
            <w:fldChar w:fldCharType="end"/>
          </w:r>
        </w:p>
        <w:p>
          <w:pPr>
            <w:pStyle w:val="9"/>
            <w:tabs>
              <w:tab w:val="right" w:leader="dot" w:pos="8788"/>
            </w:tabs>
          </w:pPr>
          <w:r>
            <w:rPr>
              <w:rFonts w:hint="eastAsia"/>
              <w:lang w:eastAsia="zh-CN"/>
            </w:rPr>
            <w:fldChar w:fldCharType="begin"/>
          </w:r>
          <w:r>
            <w:rPr>
              <w:rFonts w:hint="eastAsia"/>
              <w:lang w:eastAsia="zh-CN"/>
            </w:rPr>
            <w:instrText xml:space="preserve"> HYPERLINK \l _Toc1308 </w:instrText>
          </w:r>
          <w:r>
            <w:rPr>
              <w:rFonts w:hint="eastAsia"/>
              <w:lang w:eastAsia="zh-CN"/>
            </w:rPr>
            <w:fldChar w:fldCharType="separate"/>
          </w:r>
          <w:r>
            <w:rPr>
              <w:rFonts w:hint="eastAsia"/>
              <w:lang w:eastAsia="zh-CN"/>
            </w:rPr>
            <w:t xml:space="preserve">五、 </w:t>
          </w:r>
          <w:r>
            <w:rPr>
              <w:rFonts w:hint="eastAsia"/>
            </w:rPr>
            <w:t>对事故责任单位及人员的处理建议</w:t>
          </w:r>
          <w:r>
            <w:tab/>
          </w:r>
          <w:r>
            <w:fldChar w:fldCharType="begin"/>
          </w:r>
          <w:r>
            <w:instrText xml:space="preserve"> PAGEREF _Toc1308 \h </w:instrText>
          </w:r>
          <w:r>
            <w:fldChar w:fldCharType="separate"/>
          </w:r>
          <w:r>
            <w:t>- 8 -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_Toc11132 </w:instrText>
          </w:r>
          <w:r>
            <w:rPr>
              <w:rFonts w:hint="eastAsia"/>
              <w:lang w:eastAsia="zh-CN"/>
            </w:rPr>
            <w:fldChar w:fldCharType="separate"/>
          </w:r>
          <w:r>
            <w:rPr>
              <w:rFonts w:hint="eastAsia"/>
            </w:rPr>
            <w:t>（</w:t>
          </w:r>
          <w:r>
            <w:rPr>
              <w:rFonts w:hint="eastAsia"/>
              <w:lang w:val="en-US" w:eastAsia="zh-CN"/>
            </w:rPr>
            <w:t>一</w:t>
          </w:r>
          <w:r>
            <w:t>）</w:t>
          </w:r>
          <w:r>
            <w:rPr>
              <w:rFonts w:hint="eastAsia"/>
            </w:rPr>
            <w:t>建议给予行政处罚的单位</w:t>
          </w:r>
          <w:r>
            <w:tab/>
          </w:r>
          <w:r>
            <w:fldChar w:fldCharType="begin"/>
          </w:r>
          <w:r>
            <w:instrText xml:space="preserve"> PAGEREF _Toc11132 \h </w:instrText>
          </w:r>
          <w:r>
            <w:fldChar w:fldCharType="separate"/>
          </w:r>
          <w:r>
            <w:t>- 8 -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_Toc13231 </w:instrText>
          </w:r>
          <w:r>
            <w:rPr>
              <w:rFonts w:hint="eastAsia"/>
              <w:lang w:eastAsia="zh-CN"/>
            </w:rPr>
            <w:fldChar w:fldCharType="separate"/>
          </w:r>
          <w:r>
            <w:rPr>
              <w:rFonts w:hint="eastAsia"/>
            </w:rPr>
            <w:t>（</w:t>
          </w:r>
          <w:r>
            <w:rPr>
              <w:rFonts w:hint="eastAsia"/>
              <w:lang w:val="en-US" w:eastAsia="zh-CN"/>
            </w:rPr>
            <w:t>二</w:t>
          </w:r>
          <w:r>
            <w:t>）</w:t>
          </w:r>
          <w:r>
            <w:rPr>
              <w:rFonts w:hint="eastAsia"/>
            </w:rPr>
            <w:t>建议给予行政处罚的责任人</w:t>
          </w:r>
          <w:r>
            <w:tab/>
          </w:r>
          <w:r>
            <w:fldChar w:fldCharType="begin"/>
          </w:r>
          <w:r>
            <w:instrText xml:space="preserve"> PAGEREF _Toc13231 \h </w:instrText>
          </w:r>
          <w:r>
            <w:fldChar w:fldCharType="separate"/>
          </w:r>
          <w:r>
            <w:t>- 9 -</w:t>
          </w:r>
          <w:r>
            <w:fldChar w:fldCharType="end"/>
          </w:r>
          <w:r>
            <w:rPr>
              <w:rFonts w:hint="eastAsia"/>
              <w:lang w:eastAsia="zh-CN"/>
            </w:rPr>
            <w:fldChar w:fldCharType="end"/>
          </w:r>
        </w:p>
        <w:p>
          <w:pPr>
            <w:pStyle w:val="11"/>
            <w:tabs>
              <w:tab w:val="right" w:leader="dot" w:pos="8788"/>
            </w:tabs>
          </w:pPr>
          <w:r>
            <w:rPr>
              <w:rFonts w:hint="eastAsia"/>
              <w:lang w:eastAsia="zh-CN"/>
            </w:rPr>
            <w:fldChar w:fldCharType="begin"/>
          </w:r>
          <w:r>
            <w:rPr>
              <w:rFonts w:hint="eastAsia"/>
              <w:lang w:eastAsia="zh-CN"/>
            </w:rPr>
            <w:instrText xml:space="preserve"> HYPERLINK \l _Toc13584 </w:instrText>
          </w:r>
          <w:r>
            <w:rPr>
              <w:rFonts w:hint="eastAsia"/>
              <w:lang w:eastAsia="zh-CN"/>
            </w:rPr>
            <w:fldChar w:fldCharType="separate"/>
          </w:r>
          <w:r>
            <w:rPr>
              <w:rFonts w:hint="eastAsia"/>
              <w:lang w:val="en-US" w:eastAsia="zh-CN"/>
            </w:rPr>
            <w:t>（三）建议区安委会办公室对双塘镇人民政府进行约谈</w:t>
          </w:r>
          <w:r>
            <w:rPr>
              <w:rFonts w:hint="eastAsia" w:ascii="仿宋_GB2312" w:hAnsi="黑体" w:eastAsia="仿宋_GB2312" w:cs="黑体"/>
              <w:kern w:val="2"/>
              <w:szCs w:val="32"/>
              <w:lang w:val="en-US" w:eastAsia="zh-CN" w:bidi="ar-SA"/>
            </w:rPr>
            <w:t xml:space="preserve"> </w:t>
          </w:r>
          <w:r>
            <w:tab/>
          </w:r>
          <w:r>
            <w:fldChar w:fldCharType="begin"/>
          </w:r>
          <w:r>
            <w:instrText xml:space="preserve"> PAGEREF _Toc13584 \h </w:instrText>
          </w:r>
          <w:r>
            <w:fldChar w:fldCharType="separate"/>
          </w:r>
          <w:r>
            <w:t>- 9 -</w:t>
          </w:r>
          <w:r>
            <w:fldChar w:fldCharType="end"/>
          </w:r>
          <w:r>
            <w:rPr>
              <w:rFonts w:hint="eastAsia"/>
              <w:lang w:eastAsia="zh-CN"/>
            </w:rPr>
            <w:fldChar w:fldCharType="end"/>
          </w:r>
        </w:p>
        <w:p>
          <w:pPr>
            <w:pStyle w:val="9"/>
            <w:tabs>
              <w:tab w:val="right" w:leader="dot" w:pos="8788"/>
            </w:tabs>
          </w:pPr>
          <w:r>
            <w:rPr>
              <w:rFonts w:hint="eastAsia"/>
              <w:lang w:eastAsia="zh-CN"/>
            </w:rPr>
            <w:fldChar w:fldCharType="begin"/>
          </w:r>
          <w:r>
            <w:rPr>
              <w:rFonts w:hint="eastAsia"/>
              <w:lang w:eastAsia="zh-CN"/>
            </w:rPr>
            <w:instrText xml:space="preserve"> HYPERLINK \l _Toc32561 </w:instrText>
          </w:r>
          <w:r>
            <w:rPr>
              <w:rFonts w:hint="eastAsia"/>
              <w:lang w:eastAsia="zh-CN"/>
            </w:rPr>
            <w:fldChar w:fldCharType="separate"/>
          </w:r>
          <w:r>
            <w:rPr>
              <w:rFonts w:hint="eastAsia"/>
              <w:lang w:eastAsia="zh-CN"/>
            </w:rPr>
            <w:t>六、</w:t>
          </w:r>
          <w:r>
            <w:t>事故防范和整改措施</w:t>
          </w:r>
          <w:r>
            <w:rPr>
              <w:rFonts w:hint="eastAsia"/>
            </w:rPr>
            <w:t>建议</w:t>
          </w:r>
          <w:r>
            <w:tab/>
          </w:r>
          <w:r>
            <w:fldChar w:fldCharType="begin"/>
          </w:r>
          <w:r>
            <w:instrText xml:space="preserve"> PAGEREF _Toc32561 \h </w:instrText>
          </w:r>
          <w:r>
            <w:fldChar w:fldCharType="separate"/>
          </w:r>
          <w:r>
            <w:t>- 9 -</w:t>
          </w:r>
          <w:r>
            <w:fldChar w:fldCharType="end"/>
          </w:r>
          <w:r>
            <w:rPr>
              <w:rFonts w:hint="eastAsia"/>
              <w:lang w:eastAsia="zh-CN"/>
            </w:rPr>
            <w:fldChar w:fldCharType="end"/>
          </w:r>
        </w:p>
        <w:p>
          <w:pPr>
            <w:pStyle w:val="4"/>
            <w:spacing w:before="0" w:beforeLines="0" w:after="0" w:afterLines="0" w:line="240" w:lineRule="auto"/>
            <w:ind w:left="0" w:leftChars="0" w:right="0" w:rightChars="0" w:firstLine="0" w:firstLineChars="0"/>
            <w:jc w:val="center"/>
            <w:rPr>
              <w:rFonts w:hint="eastAsia" w:ascii="Calibri" w:hAnsi="Calibri" w:eastAsia="微软雅黑" w:cs="Times New Roman"/>
              <w:kern w:val="2"/>
              <w:sz w:val="21"/>
              <w:lang w:val="en-US" w:eastAsia="zh-CN" w:bidi="ar-SA"/>
            </w:rPr>
          </w:pPr>
          <w:r>
            <w:rPr>
              <w:rFonts w:hint="eastAsia"/>
              <w:lang w:eastAsia="zh-CN"/>
            </w:rPr>
            <w:fldChar w:fldCharType="end"/>
          </w:r>
        </w:p>
      </w:sdtContent>
    </w:sdt>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sectPr>
          <w:footerReference r:id="rId9" w:type="default"/>
          <w:pgSz w:w="11906" w:h="16838"/>
          <w:pgMar w:top="2041" w:right="1559" w:bottom="1701" w:left="1559" w:header="851" w:footer="1701" w:gutter="0"/>
          <w:pgNumType w:fmt="numberInDash" w:start="1"/>
          <w:cols w:space="720" w:num="1"/>
          <w:docGrid w:type="lines" w:linePitch="312" w:charSpace="0"/>
        </w:sectPr>
      </w:pPr>
      <w:bookmarkStart w:id="8" w:name="_Toc389"/>
      <w:bookmarkStart w:id="9" w:name="_Toc12942"/>
      <w:bookmarkStart w:id="10" w:name="_Toc23575"/>
      <w:bookmarkStart w:id="11" w:name="_Toc5786"/>
      <w:bookmarkStart w:id="12" w:name="_Toc19461"/>
      <w:bookmarkStart w:id="13" w:name="_Toc680"/>
      <w:bookmarkStart w:id="14" w:name="_Toc17788"/>
      <w:bookmarkStart w:id="15" w:name="_Toc24127"/>
      <w:bookmarkStart w:id="16" w:name="_Toc14821"/>
      <w:bookmarkStart w:id="17" w:name="_Toc27966"/>
      <w:bookmarkStart w:id="18" w:name="_Toc12202"/>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eastAsia" w:ascii="方正小标宋简体" w:hAnsi="方正小标宋_GBK" w:eastAsia="方正小标宋简体" w:cs="方正小标宋_GBK"/>
          <w:w w:val="90"/>
          <w:sz w:val="44"/>
          <w:szCs w:val="44"/>
          <w:lang w:val="en-US" w:eastAsia="zh-CN"/>
        </w:rPr>
        <w:sectPr>
          <w:footerReference r:id="rId10" w:type="default"/>
          <w:pgSz w:w="11906" w:h="16838"/>
          <w:pgMar w:top="2041" w:right="1559" w:bottom="1701" w:left="1559" w:header="851" w:footer="1701" w:gutter="0"/>
          <w:pgNumType w:fmt="numberInDash"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r>
        <w:rPr>
          <w:rFonts w:hint="eastAsia" w:ascii="方正小标宋简体" w:hAnsi="方正小标宋_GBK" w:eastAsia="方正小标宋简体" w:cs="方正小标宋_GBK"/>
          <w:w w:val="90"/>
          <w:sz w:val="44"/>
          <w:szCs w:val="44"/>
          <w:lang w:val="en-US" w:eastAsia="zh-CN"/>
        </w:rPr>
        <w:t>静海区</w:t>
      </w:r>
      <w:bookmarkEnd w:id="8"/>
      <w:bookmarkEnd w:id="9"/>
      <w:bookmarkEnd w:id="10"/>
      <w:bookmarkEnd w:id="11"/>
      <w:bookmarkEnd w:id="12"/>
      <w:bookmarkEnd w:id="13"/>
      <w:bookmarkEnd w:id="14"/>
      <w:r>
        <w:rPr>
          <w:rFonts w:hint="eastAsia" w:ascii="方正小标宋简体" w:hAnsi="方正小标宋_GBK" w:eastAsia="方正小标宋简体" w:cs="方正小标宋_GBK"/>
          <w:w w:val="90"/>
          <w:sz w:val="44"/>
          <w:szCs w:val="44"/>
          <w:lang w:val="en-US" w:eastAsia="zh-CN"/>
        </w:rPr>
        <w:t>双塘镇静双海翔公司“4·28”一般</w:t>
      </w:r>
      <w:bookmarkStart w:id="19" w:name="_Toc4182"/>
      <w:bookmarkStart w:id="20" w:name="_Toc8040"/>
      <w:bookmarkStart w:id="21" w:name="_Toc8980"/>
      <w:bookmarkStart w:id="22" w:name="_Toc16324"/>
      <w:bookmarkStart w:id="23" w:name="_Toc12292"/>
      <w:bookmarkStart w:id="24" w:name="_Toc12530"/>
      <w:bookmarkStart w:id="25" w:name="_Toc1279"/>
      <w:bookmarkStart w:id="26" w:name="_Toc16402"/>
      <w:r>
        <w:rPr>
          <w:rFonts w:hint="eastAsia" w:ascii="方正小标宋简体" w:hAnsi="方正小标宋_GBK" w:eastAsia="方正小标宋简体" w:cs="方正小标宋_GBK"/>
          <w:w w:val="90"/>
          <w:sz w:val="44"/>
          <w:szCs w:val="44"/>
          <w:lang w:val="en-US" w:eastAsia="zh-CN"/>
        </w:rPr>
        <w:t>机械伤害事故调查报告</w:t>
      </w:r>
      <w:bookmarkEnd w:id="15"/>
      <w:bookmarkEnd w:id="16"/>
      <w:bookmarkEnd w:id="17"/>
      <w:bookmarkEnd w:id="18"/>
      <w:bookmarkEnd w:id="19"/>
      <w:bookmarkEnd w:id="20"/>
      <w:bookmarkEnd w:id="21"/>
      <w:bookmarkEnd w:id="22"/>
      <w:bookmarkEnd w:id="23"/>
      <w:bookmarkEnd w:id="24"/>
      <w:bookmarkEnd w:id="25"/>
      <w:bookmarkEnd w:id="2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sz w:val="32"/>
          <w:szCs w:val="32"/>
        </w:rPr>
      </w:pP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ascii="仿宋_GB2312" w:hAnsi="仿宋_GB2312" w:eastAsia="仿宋_GB2312" w:cs="仿宋_GB2312"/>
          <w:sz w:val="32"/>
          <w:szCs w:val="32"/>
          <w:lang w:val="en-US" w:eastAsia="zh-CN"/>
        </w:rPr>
        <w:t>2024年4月28日9时13分，位于静海区双塘镇的天津静双海翔电梯部件有限公司北车间内发生一起机械伤害事故，造成1人死亡，直接经济损失约</w:t>
      </w:r>
      <w:r>
        <w:rPr>
          <w:rFonts w:hint="default" w:ascii="仿宋_GB2312" w:hAnsi="仿宋_GB2312" w:eastAsia="仿宋_GB2312" w:cs="仿宋_GB2312"/>
          <w:sz w:val="32"/>
          <w:szCs w:val="32"/>
          <w:lang w:val="en-US" w:eastAsia="zh-CN"/>
        </w:rPr>
        <w:t>110</w:t>
      </w:r>
      <w:r>
        <w:rPr>
          <w:rFonts w:hint="eastAsia" w:ascii="仿宋_GB2312" w:hAnsi="仿宋_GB2312" w:eastAsia="仿宋_GB2312" w:cs="仿宋_GB2312"/>
          <w:sz w:val="32"/>
          <w:szCs w:val="32"/>
          <w:lang w:val="en-US" w:eastAsia="zh-CN"/>
        </w:rPr>
        <w:t>万元</w:t>
      </w:r>
      <w:r>
        <w:rPr>
          <w:rFonts w:hint="eastAsia" w:ascii="仿宋_GB2312" w:eastAsia="仿宋_GB2312" w:cs="Times New Roman"/>
          <w:sz w:val="32"/>
          <w:szCs w:val="32"/>
          <w:lang w:val="en-US" w:eastAsia="zh-CN"/>
        </w:rPr>
        <w:t>（不含事故罚款）</w:t>
      </w:r>
      <w:r>
        <w:rPr>
          <w:rFonts w:hint="eastAsia" w:eastAsia="仿宋_GB2312"/>
          <w:sz w:val="32"/>
          <w:szCs w:val="32"/>
          <w:lang w:val="en-US" w:eastAsia="zh-CN"/>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依</w:t>
      </w:r>
      <w:r>
        <w:rPr>
          <w:rFonts w:hint="eastAsia" w:ascii="Times New Roman" w:hAnsi="Times New Roman" w:eastAsia="仿宋_GB2312" w:cs="Times New Roman"/>
          <w:sz w:val="32"/>
          <w:szCs w:val="32"/>
        </w:rPr>
        <w:t>据《中华人民共和国安全生产法》《</w:t>
      </w:r>
      <w:r>
        <w:rPr>
          <w:rFonts w:hint="eastAsia" w:ascii="Times New Roman" w:hAnsi="Times New Roman" w:eastAsia="仿宋_GB2312" w:cs="Times New Roman"/>
          <w:sz w:val="32"/>
          <w:szCs w:val="32"/>
          <w:lang w:eastAsia="zh-CN"/>
        </w:rPr>
        <w:t>生产安全事故报告和调查处理条例</w:t>
      </w:r>
      <w:r>
        <w:rPr>
          <w:rFonts w:hint="eastAsia" w:ascii="Times New Roman" w:hAnsi="Times New Roman" w:eastAsia="仿宋_GB2312" w:cs="Times New Roman"/>
          <w:sz w:val="32"/>
          <w:szCs w:val="32"/>
        </w:rPr>
        <w:t>》等有关法律法规规定，我区成立了</w:t>
      </w:r>
      <w:r>
        <w:rPr>
          <w:rFonts w:hint="eastAsia" w:ascii="Times New Roman" w:hAnsi="Times New Roman" w:eastAsia="仿宋_GB2312" w:cs="Times New Roman"/>
          <w:sz w:val="32"/>
          <w:szCs w:val="32"/>
          <w:lang w:val="en-US" w:eastAsia="zh-CN"/>
        </w:rPr>
        <w:t>静海区</w:t>
      </w:r>
      <w:r>
        <w:rPr>
          <w:rFonts w:hint="eastAsia" w:ascii="仿宋_GB2312" w:hAnsi="仿宋_GB2312" w:eastAsia="仿宋_GB2312" w:cs="仿宋_GB2312"/>
          <w:sz w:val="32"/>
          <w:szCs w:val="32"/>
          <w:lang w:val="en-US" w:eastAsia="zh-CN"/>
        </w:rPr>
        <w:t>双塘镇静双海翔公司</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US" w:eastAsia="zh-CN"/>
        </w:rPr>
        <w:t>28</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 w:eastAsia="zh-CN"/>
        </w:rPr>
        <w:t>一般</w:t>
      </w:r>
      <w:r>
        <w:rPr>
          <w:rFonts w:hint="eastAsia" w:ascii="仿宋_GB2312" w:hAnsi="仿宋_GB2312" w:eastAsia="仿宋_GB2312" w:cs="仿宋_GB2312"/>
          <w:sz w:val="32"/>
          <w:szCs w:val="32"/>
          <w:lang w:val="en-US" w:eastAsia="zh-CN"/>
        </w:rPr>
        <w:t>机械伤害</w:t>
      </w:r>
      <w:r>
        <w:rPr>
          <w:rFonts w:hint="default" w:ascii="仿宋_GB2312" w:hAnsi="仿宋_GB2312" w:eastAsia="仿宋_GB2312" w:cs="仿宋_GB2312"/>
          <w:sz w:val="32"/>
          <w:szCs w:val="32"/>
          <w:lang w:val="en"/>
        </w:rPr>
        <w:t>事故调查组</w:t>
      </w:r>
      <w:r>
        <w:rPr>
          <w:rFonts w:ascii="Times New Roman" w:hAnsi="Times New Roman" w:eastAsia="仿宋_GB2312" w:cs="Times New Roman"/>
          <w:sz w:val="32"/>
          <w:szCs w:val="32"/>
        </w:rPr>
        <w:t>（以下简称：事故调查组）。事故调查组由区应急管理局、公安静海分局</w:t>
      </w:r>
      <w:r>
        <w:rPr>
          <w:rFonts w:hint="eastAsia" w:ascii="Times New Roman" w:hAnsi="Times New Roman" w:eastAsia="仿宋_GB2312" w:cs="Times New Roman"/>
          <w:sz w:val="32"/>
          <w:szCs w:val="32"/>
          <w:lang w:eastAsia="zh-CN"/>
        </w:rPr>
        <w:t>、区工信局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区市场监管局、</w:t>
      </w:r>
      <w:r>
        <w:rPr>
          <w:rFonts w:ascii="Times New Roman" w:hAnsi="Times New Roman" w:eastAsia="仿宋_GB2312" w:cs="Times New Roman"/>
          <w:sz w:val="32"/>
          <w:szCs w:val="32"/>
        </w:rPr>
        <w:t>区总工会和</w:t>
      </w:r>
      <w:r>
        <w:rPr>
          <w:rFonts w:hint="eastAsia" w:ascii="Times New Roman" w:hAnsi="Times New Roman" w:eastAsia="仿宋_GB2312" w:cs="Times New Roman"/>
          <w:sz w:val="32"/>
          <w:szCs w:val="32"/>
          <w:lang w:val="en-US" w:eastAsia="zh-CN"/>
        </w:rPr>
        <w:t>双塘</w:t>
      </w:r>
      <w:r>
        <w:rPr>
          <w:rFonts w:hint="eastAsia" w:ascii="Times New Roman" w:hAnsi="Times New Roman" w:eastAsia="仿宋_GB2312" w:cs="Times New Roman"/>
          <w:sz w:val="32"/>
          <w:szCs w:val="32"/>
          <w:lang w:eastAsia="zh-CN"/>
        </w:rPr>
        <w:t>镇</w:t>
      </w:r>
      <w:r>
        <w:rPr>
          <w:rFonts w:ascii="Times New Roman" w:hAnsi="Times New Roman" w:eastAsia="仿宋_GB2312" w:cs="Times New Roman"/>
          <w:sz w:val="32"/>
          <w:szCs w:val="32"/>
        </w:rPr>
        <w:t>人民政府等单位组成，邀请区纪委监委、区检察院参加，聘请有关专家参与调查。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lang w:eastAsia="zh-CN"/>
        </w:rPr>
        <w:t>事故</w:t>
      </w:r>
      <w:r>
        <w:rPr>
          <w:rFonts w:hint="eastAsia" w:ascii="仿宋_GB2312" w:hAnsi="仿宋" w:eastAsia="仿宋_GB2312"/>
          <w:sz w:val="32"/>
          <w:szCs w:val="32"/>
        </w:rPr>
        <w:t>调查组按照“四不放过”和“科学严谨、依法依规、实事求是、注重实效”的原则，</w:t>
      </w:r>
      <w:r>
        <w:rPr>
          <w:rFonts w:hint="eastAsia" w:ascii="仿宋_GB2312" w:hAnsi="Times New Roman" w:eastAsia="仿宋_GB2312" w:cs="Times New Roman"/>
          <w:sz w:val="32"/>
          <w:szCs w:val="32"/>
        </w:rPr>
        <w:t>通过现场勘查、调</w:t>
      </w:r>
      <w:r>
        <w:rPr>
          <w:rFonts w:eastAsia="仿宋_GB2312"/>
          <w:sz w:val="32"/>
          <w:szCs w:val="32"/>
        </w:rPr>
        <w:t>查取证、综合分析，</w:t>
      </w:r>
      <w:r>
        <w:rPr>
          <w:rFonts w:hint="eastAsia" w:ascii="仿宋_GB2312" w:hAnsi="仿宋" w:eastAsia="仿宋_GB2312"/>
          <w:sz w:val="32"/>
          <w:szCs w:val="32"/>
        </w:rPr>
        <w:t>查明了事故发生的</w:t>
      </w:r>
      <w:r>
        <w:rPr>
          <w:rFonts w:ascii="仿宋_GB2312" w:hAnsi="仿宋" w:eastAsia="仿宋_GB2312"/>
          <w:sz w:val="32"/>
          <w:szCs w:val="32"/>
        </w:rPr>
        <w:t>经过、原因</w:t>
      </w:r>
      <w:r>
        <w:rPr>
          <w:rFonts w:hint="eastAsia" w:ascii="仿宋_GB2312" w:hAnsi="仿宋" w:eastAsia="仿宋_GB2312"/>
          <w:sz w:val="32"/>
          <w:szCs w:val="32"/>
        </w:rPr>
        <w:t>和</w:t>
      </w:r>
      <w:r>
        <w:rPr>
          <w:rFonts w:ascii="仿宋_GB2312" w:hAnsi="仿宋" w:eastAsia="仿宋_GB2312"/>
          <w:sz w:val="32"/>
          <w:szCs w:val="32"/>
        </w:rPr>
        <w:t>直接经济损失情况</w:t>
      </w:r>
      <w:r>
        <w:rPr>
          <w:rFonts w:hint="eastAsia" w:ascii="仿宋_GB2312" w:hAnsi="仿宋" w:eastAsia="仿宋_GB2312"/>
          <w:sz w:val="32"/>
          <w:szCs w:val="32"/>
        </w:rPr>
        <w:t>，认定了事故性质和责任，提出了对</w:t>
      </w:r>
      <w:r>
        <w:rPr>
          <w:rFonts w:hint="eastAsia" w:ascii="仿宋_GB2312" w:hAnsi="仿宋" w:eastAsia="仿宋_GB2312"/>
          <w:sz w:val="32"/>
          <w:szCs w:val="32"/>
          <w:lang w:eastAsia="zh-CN"/>
        </w:rPr>
        <w:t>事故</w:t>
      </w:r>
      <w:r>
        <w:rPr>
          <w:rFonts w:hint="eastAsia" w:ascii="仿宋_GB2312" w:hAnsi="仿宋" w:eastAsia="仿宋_GB2312"/>
          <w:sz w:val="32"/>
          <w:szCs w:val="32"/>
        </w:rPr>
        <w:t>责任单位</w:t>
      </w:r>
      <w:r>
        <w:rPr>
          <w:rFonts w:hint="eastAsia" w:ascii="仿宋_GB2312" w:hAnsi="仿宋" w:eastAsia="仿宋_GB2312"/>
          <w:sz w:val="32"/>
          <w:szCs w:val="32"/>
          <w:lang w:eastAsia="zh-CN"/>
        </w:rPr>
        <w:t>、</w:t>
      </w:r>
      <w:r>
        <w:rPr>
          <w:rFonts w:hint="eastAsia" w:ascii="仿宋_GB2312" w:hAnsi="仿宋" w:eastAsia="仿宋_GB2312"/>
          <w:sz w:val="32"/>
          <w:szCs w:val="32"/>
        </w:rPr>
        <w:t>人</w:t>
      </w:r>
      <w:r>
        <w:rPr>
          <w:rFonts w:hint="eastAsia" w:ascii="仿宋_GB2312" w:hAnsi="仿宋" w:eastAsia="仿宋_GB2312"/>
          <w:sz w:val="32"/>
          <w:szCs w:val="32"/>
          <w:lang w:eastAsia="zh-CN"/>
        </w:rPr>
        <w:t>员</w:t>
      </w:r>
      <w:r>
        <w:rPr>
          <w:rFonts w:hint="eastAsia" w:ascii="仿宋_GB2312" w:hAnsi="仿宋" w:eastAsia="仿宋_GB2312"/>
          <w:sz w:val="32"/>
          <w:szCs w:val="32"/>
        </w:rPr>
        <w:t>的处理建议</w:t>
      </w:r>
      <w:r>
        <w:rPr>
          <w:rFonts w:hint="eastAsia" w:ascii="仿宋_GB2312" w:hAnsi="仿宋" w:eastAsia="仿宋_GB2312"/>
          <w:sz w:val="32"/>
          <w:szCs w:val="32"/>
          <w:lang w:eastAsia="zh-CN"/>
        </w:rPr>
        <w:t>以及事故防范和整改措施建议</w:t>
      </w:r>
      <w:r>
        <w:rPr>
          <w:rFonts w:hint="eastAsia" w:ascii="仿宋_GB2312" w:hAnsi="仿宋" w:eastAsia="仿宋_GB2312"/>
          <w:sz w:val="32"/>
          <w:szCs w:val="32"/>
        </w:rPr>
        <w:t>。现将有关情况报告如下：</w:t>
      </w:r>
    </w:p>
    <w:p>
      <w:pPr>
        <w:pStyle w:val="2"/>
        <w:bidi w:val="0"/>
      </w:pPr>
      <w:bookmarkStart w:id="27" w:name="_Toc6491"/>
      <w:bookmarkStart w:id="28" w:name="_Toc28600"/>
      <w:bookmarkStart w:id="29" w:name="_Toc29088"/>
      <w:bookmarkStart w:id="30" w:name="_Toc18277"/>
      <w:r>
        <w:rPr>
          <w:rFonts w:hint="eastAsia"/>
        </w:rPr>
        <w:t>一、事故基本情况</w:t>
      </w:r>
      <w:bookmarkEnd w:id="27"/>
      <w:bookmarkEnd w:id="28"/>
      <w:bookmarkEnd w:id="29"/>
      <w:bookmarkEnd w:id="30"/>
    </w:p>
    <w:p>
      <w:pPr>
        <w:pStyle w:val="3"/>
        <w:bidi w:val="0"/>
      </w:pPr>
      <w:bookmarkStart w:id="31" w:name="_Toc1549"/>
      <w:bookmarkStart w:id="32" w:name="_Toc15294"/>
      <w:bookmarkStart w:id="33" w:name="_Toc5647"/>
      <w:bookmarkStart w:id="34" w:name="_Toc32631"/>
      <w:r>
        <w:rPr>
          <w:rFonts w:hint="eastAsia"/>
          <w:lang w:eastAsia="zh-CN"/>
        </w:rPr>
        <w:t>（</w:t>
      </w:r>
      <w:r>
        <w:rPr>
          <w:rFonts w:hint="eastAsia"/>
        </w:rPr>
        <w:t>一</w:t>
      </w:r>
      <w:r>
        <w:rPr>
          <w:rFonts w:hint="eastAsia"/>
          <w:lang w:eastAsia="zh-CN"/>
        </w:rPr>
        <w:t>）</w:t>
      </w:r>
      <w:r>
        <w:rPr>
          <w:rFonts w:hint="eastAsia"/>
        </w:rPr>
        <w:t>事故单位情况</w:t>
      </w:r>
      <w:bookmarkEnd w:id="31"/>
      <w:bookmarkEnd w:id="32"/>
      <w:bookmarkEnd w:id="33"/>
      <w:bookmarkEnd w:id="3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highlight w:val="yellow"/>
          <w:lang w:val="en-US"/>
        </w:rPr>
      </w:pPr>
      <w:r>
        <w:rPr>
          <w:rFonts w:hint="eastAsia" w:ascii="仿宋_GB2312" w:hAnsi="仿宋_GB2312" w:eastAsia="仿宋_GB2312" w:cs="仿宋_GB2312"/>
          <w:sz w:val="32"/>
          <w:szCs w:val="32"/>
          <w:lang w:val="en-US" w:eastAsia="zh-CN"/>
        </w:rPr>
        <w:t>天津静双海翔电梯部件有限公司（以下简称：静双海翔公司），位于天津市静海区双塘镇东双塘村老104国道北500米，私营企业，成立于2019年9月27日，企业类型：有限责任公司，统一社会信用代码:91120223MA06TP7H2Q，主要负责人：王某某，经营范围：主要从事电梯牵引钢丝绳制作。</w:t>
      </w:r>
    </w:p>
    <w:p>
      <w:pPr>
        <w:pStyle w:val="3"/>
        <w:bidi w:val="0"/>
        <w:rPr>
          <w:rFonts w:hint="eastAsia"/>
          <w:lang w:val="en-US" w:eastAsia="zh-CN"/>
        </w:rPr>
      </w:pPr>
      <w:bookmarkStart w:id="35" w:name="_Toc25257"/>
      <w:bookmarkStart w:id="36" w:name="_Toc4694"/>
      <w:bookmarkStart w:id="37" w:name="_Toc7408"/>
      <w:bookmarkStart w:id="38" w:name="_Toc20996"/>
      <w:bookmarkStart w:id="39" w:name="_Toc23591"/>
      <w:r>
        <w:rPr>
          <w:rFonts w:hint="eastAsia"/>
          <w:lang w:val="en-US" w:eastAsia="zh-CN"/>
        </w:rPr>
        <w:t>（二）北车间相关情况</w:t>
      </w:r>
      <w:bookmarkEnd w:id="35"/>
      <w:bookmarkEnd w:id="36"/>
      <w:bookmarkEnd w:id="37"/>
      <w:bookmarkEnd w:id="38"/>
      <w:bookmarkEnd w:id="39"/>
    </w:p>
    <w:p>
      <w:pPr>
        <w:keepNext w:val="0"/>
        <w:keepLines w:val="0"/>
        <w:widowControl/>
        <w:suppressLineNumbers w:val="0"/>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该公司北车间为南北向长39.6米，东西向长59.7米的长方形车间。车间内共有11台合股机、1台合绳机，车间内布局从北至南依次为8台合股机、1台合绳机、3台合股机，如图1所示。</w:t>
      </w:r>
    </w:p>
    <w:p>
      <w:pPr>
        <w:keepNext w:val="0"/>
        <w:keepLines w:val="0"/>
        <w:widowControl/>
        <w:suppressLineNumbers w:val="0"/>
        <w:ind w:firstLine="480" w:firstLineChars="200"/>
        <w:jc w:val="center"/>
        <w:rPr>
          <w:rFonts w:hint="default" w:ascii="黑体" w:hAnsi="黑体" w:eastAsia="黑体" w:cs="黑体"/>
          <w:kern w:val="2"/>
          <w:sz w:val="24"/>
          <w:szCs w:val="24"/>
          <w:lang w:val="en-US" w:eastAsia="zh-CN" w:bidi="ar-SA"/>
        </w:rPr>
      </w:pPr>
      <w:r>
        <w:rPr>
          <w:rFonts w:hint="default" w:ascii="黑体" w:hAnsi="黑体" w:eastAsia="黑体" w:cs="黑体"/>
          <w:kern w:val="2"/>
          <w:sz w:val="24"/>
          <w:szCs w:val="24"/>
          <w:lang w:val="en-US" w:eastAsia="zh-CN" w:bidi="ar-SA"/>
        </w:rPr>
        <w:drawing>
          <wp:anchor distT="0" distB="0" distL="114300" distR="114300" simplePos="0" relativeHeight="251660288" behindDoc="0" locked="0" layoutInCell="1" allowOverlap="1">
            <wp:simplePos x="0" y="0"/>
            <wp:positionH relativeFrom="column">
              <wp:posOffset>25400</wp:posOffset>
            </wp:positionH>
            <wp:positionV relativeFrom="paragraph">
              <wp:posOffset>50165</wp:posOffset>
            </wp:positionV>
            <wp:extent cx="5579745" cy="2981325"/>
            <wp:effectExtent l="0" t="0" r="1905" b="9525"/>
            <wp:wrapTopAndBottom/>
            <wp:docPr id="2" name="图片 2" descr="微信图片_20240531104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531104449"/>
                    <pic:cNvPicPr>
                      <a:picLocks noChangeAspect="1"/>
                    </pic:cNvPicPr>
                  </pic:nvPicPr>
                  <pic:blipFill>
                    <a:blip r:embed="rId13"/>
                    <a:srcRect t="11745" b="42072"/>
                    <a:stretch>
                      <a:fillRect/>
                    </a:stretch>
                  </pic:blipFill>
                  <pic:spPr>
                    <a:xfrm>
                      <a:off x="0" y="0"/>
                      <a:ext cx="5579745" cy="2981325"/>
                    </a:xfrm>
                    <a:prstGeom prst="rect">
                      <a:avLst/>
                    </a:prstGeom>
                  </pic:spPr>
                </pic:pic>
              </a:graphicData>
            </a:graphic>
          </wp:anchor>
        </w:drawing>
      </w:r>
      <w:r>
        <w:rPr>
          <w:rFonts w:hint="eastAsia" w:ascii="黑体" w:hAnsi="黑体" w:eastAsia="黑体" w:cs="黑体"/>
          <w:kern w:val="2"/>
          <w:sz w:val="24"/>
          <w:szCs w:val="24"/>
          <w:lang w:val="en-US" w:eastAsia="zh-CN" w:bidi="ar-SA"/>
        </w:rPr>
        <w:t>图1 北车间平面图</w:t>
      </w:r>
    </w:p>
    <w:p>
      <w:pPr>
        <w:pStyle w:val="3"/>
        <w:bidi w:val="0"/>
        <w:ind w:left="0" w:leftChars="0" w:firstLine="640" w:firstLineChars="200"/>
        <w:rPr>
          <w:rFonts w:hint="eastAsia" w:ascii="仿宋_GB2312" w:eastAsia="仿宋_GB2312"/>
          <w:sz w:val="32"/>
          <w:szCs w:val="32"/>
          <w:lang w:val="en-US" w:eastAsia="zh-CN"/>
        </w:rPr>
      </w:pPr>
      <w:bookmarkStart w:id="40" w:name="_Toc17231"/>
      <w:bookmarkStart w:id="41" w:name="_Toc18260"/>
      <w:r>
        <w:rPr>
          <w:rFonts w:hint="eastAsia"/>
          <w:lang w:val="en-US" w:eastAsia="zh-CN"/>
        </w:rPr>
        <w:t>（三）合绳机情况</w:t>
      </w:r>
      <w:bookmarkEnd w:id="40"/>
      <w:bookmarkEnd w:id="41"/>
    </w:p>
    <w:p>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发机器名称为GGZ9/500大轴承管式成绳机（以下简称合绳机），合绳机长42.2米，宽2米，主要由筒体总成、后调直、双牵引装置（包括1#双牵引装置和2#双牵引装置）、收线等工艺设备组成，主要用于捻制不超过8根股的钢丝绳，如图2所示。该合绳机位于北车间，距离北墙约21m，东墙约11.5m。钢丝绳走线速度为0.55m/s，牵引轮转速为205.5r/min。日常合绳机运行操作仅需1名员工。</w:t>
      </w:r>
    </w:p>
    <w:p>
      <w:pPr>
        <w:keepNext w:val="0"/>
        <w:keepLines w:val="0"/>
        <w:widowControl/>
        <w:suppressLineNumbers w:val="0"/>
        <w:jc w:val="center"/>
        <w:rPr>
          <w:rFonts w:hint="eastAsia" w:ascii="仿宋_GB2312" w:hAnsi="仿宋_GB2312" w:eastAsia="仿宋_GB2312" w:cs="仿宋_GB2312"/>
          <w:sz w:val="32"/>
          <w:szCs w:val="32"/>
          <w:lang w:val="en-US" w:eastAsia="zh-CN"/>
        </w:rPr>
      </w:pPr>
      <w:r>
        <w:rPr>
          <w:rFonts w:hint="eastAsia" w:ascii="Times New Roman" w:hAnsi="Times New Roman" w:eastAsia="宋体" w:cs="Times New Roman"/>
          <w:b/>
          <w:bCs/>
          <w:color w:val="000000"/>
          <w:sz w:val="21"/>
          <w:szCs w:val="21"/>
          <w:lang w:val="en-US" w:eastAsia="zh-CN" w:bidi="zh-TW"/>
        </w:rPr>
        <w:drawing>
          <wp:inline distT="0" distB="0" distL="114300" distR="114300">
            <wp:extent cx="5012690" cy="3578225"/>
            <wp:effectExtent l="0" t="0" r="16510" b="3175"/>
            <wp:docPr id="7" name="图片 7" descr="6dc4b1fad79cd57a40ee38a7d5738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dc4b1fad79cd57a40ee38a7d5738de"/>
                    <pic:cNvPicPr>
                      <a:picLocks noChangeAspect="1"/>
                    </pic:cNvPicPr>
                  </pic:nvPicPr>
                  <pic:blipFill>
                    <a:blip r:embed="rId14"/>
                    <a:srcRect t="4963" r="-279" b="2965"/>
                    <a:stretch>
                      <a:fillRect/>
                    </a:stretch>
                  </pic:blipFill>
                  <pic:spPr>
                    <a:xfrm>
                      <a:off x="0" y="0"/>
                      <a:ext cx="5012690" cy="3578225"/>
                    </a:xfrm>
                    <a:prstGeom prst="rect">
                      <a:avLst/>
                    </a:prstGeom>
                  </pic:spPr>
                </pic:pic>
              </a:graphicData>
            </a:graphic>
          </wp:inline>
        </w:drawing>
      </w:r>
    </w:p>
    <w:p>
      <w:pPr>
        <w:pStyle w:val="4"/>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 xml:space="preserve">图2北车间合绳机 </w:t>
      </w:r>
    </w:p>
    <w:p>
      <w:pPr>
        <w:keepNext w:val="0"/>
        <w:keepLines w:val="0"/>
        <w:widowControl/>
        <w:suppressLineNumbers w:val="0"/>
        <w:ind w:firstLine="640" w:firstLineChars="200"/>
        <w:jc w:val="left"/>
        <w:rPr>
          <w:rFonts w:hint="eastAsia"/>
          <w:lang w:val="en-US" w:eastAsia="zh-CN"/>
        </w:rPr>
      </w:pPr>
      <w:r>
        <w:rPr>
          <w:rFonts w:hint="eastAsia" w:ascii="仿宋_GB2312" w:hAnsi="仿宋_GB2312" w:eastAsia="仿宋_GB2312" w:cs="仿宋_GB2312"/>
          <w:sz w:val="32"/>
          <w:szCs w:val="32"/>
          <w:lang w:val="en-US" w:eastAsia="zh-CN"/>
        </w:rPr>
        <w:t>合绳机日常操作流程为：首先将满轴的股线和麻绳接到合绳机上，然后等合绳运行到2500米时，在合拢口处喷漆做明显的标记，经过两道牵引轮，待标记点到收线器时，按下急停按钮使机器停下来，用无齿锯对标记点进行切割，最后合绳缠到木轴上形成一盘钢丝绳。</w:t>
      </w:r>
    </w:p>
    <w:p>
      <w:pPr>
        <w:pStyle w:val="3"/>
        <w:bidi w:val="0"/>
        <w:rPr>
          <w:rFonts w:hint="default" w:ascii="仿宋_GB2312" w:eastAsia="仿宋_GB2312"/>
          <w:sz w:val="32"/>
          <w:szCs w:val="32"/>
          <w:lang w:val="en-US" w:eastAsia="zh-CN"/>
        </w:rPr>
      </w:pPr>
      <w:bookmarkStart w:id="42" w:name="_Toc15713"/>
      <w:bookmarkStart w:id="43" w:name="_Toc953"/>
      <w:r>
        <w:rPr>
          <w:rFonts w:hint="eastAsia"/>
          <w:lang w:val="en-US" w:eastAsia="zh-CN"/>
        </w:rPr>
        <w:t>（四）1#双牵引装置情况</w:t>
      </w:r>
      <w:bookmarkEnd w:id="42"/>
      <w:bookmarkEnd w:id="43"/>
    </w:p>
    <w:p>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1#双牵引装置为合绳机双牵引装置的组成部分</w:t>
      </w:r>
      <w:r>
        <w:rPr>
          <w:rFonts w:hint="default" w:ascii="仿宋_GB2312" w:hAnsi="仿宋_GB2312" w:eastAsia="仿宋_GB2312" w:cs="仿宋_GB2312"/>
          <w:sz w:val="32"/>
          <w:szCs w:val="32"/>
          <w:lang w:val="en-US" w:eastAsia="zh-CN"/>
        </w:rPr>
        <w:t>。它的作用</w:t>
      </w:r>
      <w:r>
        <w:rPr>
          <w:rFonts w:hint="eastAsia" w:ascii="仿宋_GB2312" w:hAnsi="仿宋_GB2312" w:eastAsia="仿宋_GB2312" w:cs="仿宋_GB2312"/>
          <w:sz w:val="32"/>
          <w:szCs w:val="32"/>
          <w:lang w:val="en-US" w:eastAsia="zh-CN"/>
        </w:rPr>
        <w:t>是带动</w:t>
      </w:r>
      <w:r>
        <w:rPr>
          <w:rFonts w:hint="default" w:ascii="仿宋_GB2312" w:hAnsi="仿宋_GB2312" w:eastAsia="仿宋_GB2312" w:cs="仿宋_GB2312"/>
          <w:sz w:val="32"/>
          <w:szCs w:val="32"/>
          <w:lang w:val="en-US" w:eastAsia="zh-CN"/>
        </w:rPr>
        <w:t>已经捻制成的</w:t>
      </w:r>
      <w:r>
        <w:rPr>
          <w:rFonts w:hint="eastAsia" w:ascii="仿宋_GB2312" w:hAnsi="仿宋_GB2312" w:eastAsia="仿宋_GB2312" w:cs="仿宋_GB2312"/>
          <w:sz w:val="32"/>
          <w:szCs w:val="32"/>
          <w:lang w:val="en-US" w:eastAsia="zh-CN"/>
        </w:rPr>
        <w:t>钢丝绳</w:t>
      </w:r>
      <w:r>
        <w:rPr>
          <w:rFonts w:hint="default" w:ascii="仿宋_GB2312" w:hAnsi="仿宋_GB2312" w:eastAsia="仿宋_GB2312" w:cs="仿宋_GB2312"/>
          <w:sz w:val="32"/>
          <w:szCs w:val="32"/>
          <w:lang w:val="en-US" w:eastAsia="zh-CN"/>
        </w:rPr>
        <w:t>克服前面各道摩擦阻力，连续不断地输送给后面的收线。</w:t>
      </w:r>
      <w:r>
        <w:rPr>
          <w:rFonts w:hint="eastAsia" w:ascii="仿宋_GB2312" w:hAnsi="仿宋_GB2312" w:eastAsia="仿宋_GB2312" w:cs="仿宋_GB2312"/>
          <w:sz w:val="32"/>
          <w:szCs w:val="32"/>
          <w:lang w:val="en-US" w:eastAsia="zh-CN"/>
        </w:rPr>
        <w:t>1#双牵引装置主要由电机传动减速箱、主动小齿轮、被动大齿轮、两个牵引轮、机座等组成，其整体长4.4m，宽2.5m，设备最高点距离地面0.92m，牵引轮半径为0.6m，两个牵引轮之间的间距为0.08m，其圆心间距为1.45m。1#双牵引装置位于基坑内，西侧的牵引轮水平距离基坑西侧0.25m，北侧0.08m，如图3所示。</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pPr>
      <w:r>
        <w:rPr>
          <w:rFonts w:hint="eastAsia" w:ascii="Times New Roman" w:hAnsi="Times New Roman" w:cs="Times New Roman"/>
          <w:b/>
          <w:bCs/>
          <w:kern w:val="44"/>
          <w:sz w:val="24"/>
          <w:szCs w:val="24"/>
          <w:lang w:val="en-US" w:eastAsia="zh-CN" w:bidi="ar-SA"/>
        </w:rPr>
        <w:drawing>
          <wp:inline distT="0" distB="0" distL="114300" distR="114300">
            <wp:extent cx="5019040" cy="3304540"/>
            <wp:effectExtent l="0" t="0" r="10160" b="10160"/>
            <wp:docPr id="1" name="图片 1" descr="566a01ad3f1b5117cb948aca76c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66a01ad3f1b5117cb948aca76c2440"/>
                    <pic:cNvPicPr>
                      <a:picLocks noChangeAspect="1"/>
                    </pic:cNvPicPr>
                  </pic:nvPicPr>
                  <pic:blipFill>
                    <a:blip r:embed="rId15"/>
                    <a:srcRect t="5212" r="910" b="7786"/>
                    <a:stretch>
                      <a:fillRect/>
                    </a:stretch>
                  </pic:blipFill>
                  <pic:spPr>
                    <a:xfrm>
                      <a:off x="0" y="0"/>
                      <a:ext cx="5019040" cy="3304540"/>
                    </a:xfrm>
                    <a:prstGeom prst="rect">
                      <a:avLst/>
                    </a:prstGeom>
                  </pic:spPr>
                </pic:pic>
              </a:graphicData>
            </a:graphic>
          </wp:inline>
        </w:drawing>
      </w:r>
    </w:p>
    <w:p>
      <w:pPr>
        <w:pStyle w:val="4"/>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center"/>
        <w:textAlignment w:val="auto"/>
        <w:rPr>
          <w:rFonts w:hint="eastAsia" w:ascii="Times New Roman" w:hAnsi="Times New Roman" w:eastAsia="宋体" w:cs="Times New Roman"/>
          <w:b/>
          <w:bCs/>
          <w:color w:val="000000"/>
          <w:sz w:val="21"/>
          <w:szCs w:val="21"/>
          <w:lang w:val="en-US" w:eastAsia="zh-CN" w:bidi="zh-TW"/>
        </w:rPr>
      </w:pPr>
      <w:r>
        <w:rPr>
          <w:rFonts w:hint="eastAsia" w:ascii="黑体" w:hAnsi="黑体" w:eastAsia="黑体" w:cs="黑体"/>
          <w:sz w:val="24"/>
          <w:szCs w:val="24"/>
          <w:lang w:val="en-US" w:eastAsia="zh-CN"/>
        </w:rPr>
        <w:t>图3 1#双牵引装置</w:t>
      </w:r>
      <w:bookmarkStart w:id="44" w:name="_Toc27252"/>
      <w:bookmarkStart w:id="45" w:name="_Toc8757"/>
      <w:bookmarkStart w:id="46" w:name="_Toc4063"/>
    </w:p>
    <w:p>
      <w:pPr>
        <w:pStyle w:val="2"/>
        <w:bidi w:val="0"/>
      </w:pPr>
      <w:bookmarkStart w:id="47" w:name="_Toc15563"/>
      <w:r>
        <w:rPr>
          <w:rFonts w:hint="eastAsia"/>
        </w:rPr>
        <w:t>二、事故发生的经过及应急处置情况</w:t>
      </w:r>
      <w:bookmarkEnd w:id="44"/>
      <w:bookmarkEnd w:id="45"/>
      <w:bookmarkEnd w:id="46"/>
      <w:bookmarkEnd w:id="47"/>
    </w:p>
    <w:p>
      <w:pPr>
        <w:pStyle w:val="3"/>
        <w:bidi w:val="0"/>
      </w:pPr>
      <w:bookmarkStart w:id="48" w:name="_Toc27931"/>
      <w:bookmarkStart w:id="49" w:name="_Toc15785"/>
      <w:bookmarkStart w:id="50" w:name="_Toc28823"/>
      <w:bookmarkStart w:id="51" w:name="_Toc16051"/>
      <w:r>
        <w:rPr>
          <w:rFonts w:hint="eastAsia"/>
        </w:rPr>
        <w:t>（一）事故经过</w:t>
      </w:r>
      <w:bookmarkEnd w:id="48"/>
      <w:bookmarkEnd w:id="49"/>
      <w:bookmarkEnd w:id="50"/>
      <w:bookmarkEnd w:id="51"/>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bookmarkStart w:id="52" w:name="_Toc16310"/>
      <w:bookmarkStart w:id="53" w:name="_Toc16202"/>
      <w:bookmarkStart w:id="54" w:name="_Toc31080"/>
      <w:r>
        <w:rPr>
          <w:rFonts w:hint="eastAsia" w:ascii="仿宋_GB2312" w:hAnsi="仿宋_GB2312" w:eastAsia="仿宋_GB2312" w:cs="仿宋_GB2312"/>
          <w:sz w:val="32"/>
          <w:szCs w:val="32"/>
          <w:lang w:val="en-US" w:eastAsia="zh-CN"/>
        </w:rPr>
        <w:t>2024年4月28日7时，静双海翔公司合绳工邬某某到公司北车间操作合绳机开始工作。9时13分，邬某某使用自喷漆在合绳机1#双牵引装置的牵引轮处给钢丝绳在2500米的位置上做标记，如图4所示。当邬某某右手伸进牵引轮与钢丝绳之间喷漆时，被钢丝绳带进牵引轮中，随着牵引轮的转动，上半身被带到牵引轮和牵引轮地坑之间的夹缝中。</w:t>
      </w:r>
    </w:p>
    <w:p>
      <w:pPr>
        <w:keepNext w:val="0"/>
        <w:keepLines w:val="0"/>
        <w:pageBreakBefore w:val="0"/>
        <w:widowControl w:val="0"/>
        <w:kinsoku/>
        <w:wordWrap/>
        <w:overflowPunct/>
        <w:topLinePunct w:val="0"/>
        <w:autoSpaceDE/>
        <w:autoSpaceDN/>
        <w:bidi w:val="0"/>
        <w:adjustRightInd/>
        <w:snapToGrid/>
        <w:spacing w:line="560" w:lineRule="exact"/>
        <w:ind w:firstLine="640"/>
        <w:jc w:val="center"/>
        <w:textAlignment w:val="auto"/>
        <w:rPr>
          <w:rFonts w:hint="eastAsia" w:ascii="仿宋_GB2312" w:hAnsi="仿宋_GB2312" w:eastAsia="仿宋_GB2312" w:cs="仿宋_GB2312"/>
          <w:sz w:val="32"/>
          <w:szCs w:val="32"/>
          <w:lang w:val="en-US" w:eastAsia="zh-CN"/>
        </w:rPr>
      </w:pPr>
      <w:r>
        <w:rPr>
          <w:rFonts w:hint="default" w:ascii="黑体" w:hAnsi="黑体" w:eastAsia="黑体" w:cs="黑体"/>
          <w:kern w:val="2"/>
          <w:sz w:val="24"/>
          <w:szCs w:val="24"/>
          <w:lang w:val="en-US" w:eastAsia="zh-CN" w:bidi="ar-SA"/>
        </w:rPr>
        <w:drawing>
          <wp:anchor distT="0" distB="0" distL="114300" distR="114300" simplePos="0" relativeHeight="251659264" behindDoc="0" locked="0" layoutInCell="1" allowOverlap="1">
            <wp:simplePos x="0" y="0"/>
            <wp:positionH relativeFrom="column">
              <wp:posOffset>330200</wp:posOffset>
            </wp:positionH>
            <wp:positionV relativeFrom="paragraph">
              <wp:posOffset>113665</wp:posOffset>
            </wp:positionV>
            <wp:extent cx="4815840" cy="2884805"/>
            <wp:effectExtent l="0" t="0" r="3810" b="10795"/>
            <wp:wrapTopAndBottom/>
            <wp:docPr id="6" name="图片 6" descr="cb7882e3321b0b69771a20ed290b3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b7882e3321b0b69771a20ed290b3e2"/>
                    <pic:cNvPicPr>
                      <a:picLocks noChangeAspect="1"/>
                    </pic:cNvPicPr>
                  </pic:nvPicPr>
                  <pic:blipFill>
                    <a:blip r:embed="rId16"/>
                    <a:stretch>
                      <a:fillRect/>
                    </a:stretch>
                  </pic:blipFill>
                  <pic:spPr>
                    <a:xfrm>
                      <a:off x="0" y="0"/>
                      <a:ext cx="4815840" cy="2884805"/>
                    </a:xfrm>
                    <a:prstGeom prst="rect">
                      <a:avLst/>
                    </a:prstGeom>
                  </pic:spPr>
                </pic:pic>
              </a:graphicData>
            </a:graphic>
          </wp:anchor>
        </w:drawing>
      </w:r>
      <w:r>
        <w:rPr>
          <w:rFonts w:hint="eastAsia" w:ascii="黑体" w:hAnsi="黑体" w:eastAsia="黑体" w:cs="黑体"/>
          <w:kern w:val="2"/>
          <w:sz w:val="24"/>
          <w:szCs w:val="24"/>
          <w:lang w:val="en-US" w:eastAsia="zh-CN" w:bidi="ar-SA"/>
        </w:rPr>
        <w:t>图4 邬某某喷漆示意图</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10时31分，南车间合股工吴某某到北车间拿合股用的装置时，发现邬某某上半身夹在牵引轮和地坑之间后，立即通知公司相关负责人。公司销售部部长田某某</w:t>
      </w:r>
      <w:bookmarkStart w:id="102" w:name="_GoBack"/>
      <w:bookmarkEnd w:id="102"/>
      <w:r>
        <w:rPr>
          <w:rFonts w:hint="eastAsia" w:ascii="仿宋_GB2312" w:hAnsi="仿宋_GB2312" w:eastAsia="仿宋_GB2312" w:cs="仿宋_GB2312"/>
          <w:sz w:val="32"/>
          <w:szCs w:val="32"/>
          <w:lang w:val="en-US" w:eastAsia="zh-CN"/>
        </w:rPr>
        <w:t>打电话通知了公司负责人王某某并拨打了120急救电话。因邬某某右手和胳膊被钢丝绳束缚在牵引轮中，造成现场救援困难，现场人员拨打了119报警电话。119消防人员到达现场后将邬某某从钢丝绳和牵引轮中解救出来，经120急救人员现场抢救无效死亡。</w:t>
      </w:r>
    </w:p>
    <w:p>
      <w:pPr>
        <w:pStyle w:val="3"/>
        <w:bidi w:val="0"/>
      </w:pPr>
      <w:bookmarkStart w:id="55" w:name="_Toc3653"/>
      <w:r>
        <w:rPr>
          <w:rFonts w:hint="eastAsia"/>
        </w:rPr>
        <w:t>（</w:t>
      </w:r>
      <w:r>
        <w:rPr>
          <w:rFonts w:hint="eastAsia"/>
          <w:lang w:eastAsia="zh-CN"/>
        </w:rPr>
        <w:t>二</w:t>
      </w:r>
      <w:r>
        <w:rPr>
          <w:rFonts w:hint="eastAsia"/>
        </w:rPr>
        <w:t>）事故</w:t>
      </w:r>
      <w:r>
        <w:rPr>
          <w:rFonts w:hint="eastAsia" w:ascii="Times New Roman" w:hAnsi="Times New Roman" w:cs="Times New Roman"/>
        </w:rPr>
        <w:t>应急</w:t>
      </w:r>
      <w:r>
        <w:t>处置情况</w:t>
      </w:r>
      <w:bookmarkEnd w:id="52"/>
      <w:bookmarkEnd w:id="53"/>
      <w:bookmarkEnd w:id="54"/>
      <w:bookmarkEnd w:id="55"/>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事故发生后，静双海翔公司于11时02分将事故情况上报双塘镇人民政府，双塘镇人民政府于11时20分上报区应急管理局，现场员工拨打120、11</w:t>
      </w:r>
      <w:r>
        <w:rPr>
          <w:rFonts w:hint="eastAsia" w:ascii="仿宋_GB2312" w:eastAsia="仿宋_GB2312" w:cs="Times New Roman"/>
          <w:sz w:val="32"/>
          <w:szCs w:val="32"/>
          <w:lang w:val="en-US" w:eastAsia="zh-CN"/>
        </w:rPr>
        <w:t>9电话，并积极开展现场救援。120急救人员和119救援人员赶到后，将邬某某从牵引轮中救下，并进行了抢救，</w:t>
      </w:r>
      <w:r>
        <w:rPr>
          <w:rFonts w:hint="eastAsia" w:ascii="仿宋_GB2312" w:eastAsia="仿宋_GB2312"/>
          <w:sz w:val="32"/>
          <w:szCs w:val="32"/>
          <w:lang w:val="en-US" w:eastAsia="zh-CN"/>
        </w:rPr>
        <w:t>经现场抢救无效死亡</w:t>
      </w:r>
      <w:r>
        <w:rPr>
          <w:rFonts w:hint="eastAsia" w:ascii="仿宋_GB2312" w:hAnsi="仿宋_GB2312" w:eastAsia="仿宋_GB2312" w:cs="仿宋_GB2312"/>
          <w:sz w:val="32"/>
          <w:szCs w:val="32"/>
          <w:lang w:val="en-US" w:eastAsia="zh-CN"/>
        </w:rPr>
        <w:t>。接报后，区应急管理局、双塘镇人民政府、公安静海分局等单位第一时间赶赴现场开展事故应急处置工作。该起事故因组织有序、救援得当，未造成事故扩大、次生灾害和网络舆情，应急处置措施得当。</w:t>
      </w:r>
      <w:bookmarkStart w:id="56" w:name="_Toc4571"/>
      <w:bookmarkStart w:id="57" w:name="_Toc17736"/>
    </w:p>
    <w:p>
      <w:pPr>
        <w:pStyle w:val="2"/>
        <w:bidi w:val="0"/>
        <w:rPr>
          <w:rFonts w:hint="eastAsia"/>
        </w:rPr>
      </w:pPr>
      <w:bookmarkStart w:id="58" w:name="_Toc23670"/>
      <w:bookmarkStart w:id="59" w:name="_Toc32325"/>
      <w:r>
        <w:rPr>
          <w:rFonts w:hint="eastAsia"/>
        </w:rPr>
        <w:t>三、事故伤亡情况及直接经济损失</w:t>
      </w:r>
      <w:bookmarkEnd w:id="56"/>
      <w:bookmarkEnd w:id="57"/>
      <w:bookmarkEnd w:id="58"/>
      <w:bookmarkEnd w:id="59"/>
    </w:p>
    <w:p>
      <w:pPr>
        <w:pStyle w:val="3"/>
        <w:bidi w:val="0"/>
      </w:pPr>
      <w:bookmarkStart w:id="60" w:name="_Toc1839"/>
      <w:bookmarkStart w:id="61" w:name="_Toc10240"/>
      <w:bookmarkStart w:id="62" w:name="_Toc17636"/>
      <w:bookmarkStart w:id="63" w:name="_Toc28819"/>
      <w:r>
        <w:rPr>
          <w:rFonts w:hint="eastAsia"/>
        </w:rPr>
        <w:t>（一）死亡人员情况</w:t>
      </w:r>
      <w:bookmarkEnd w:id="60"/>
      <w:bookmarkEnd w:id="61"/>
      <w:bookmarkEnd w:id="62"/>
      <w:bookmarkEnd w:id="63"/>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邬某某，男，56岁，</w:t>
      </w:r>
      <w:r>
        <w:rPr>
          <w:rFonts w:hint="default" w:ascii="仿宋_GB2312" w:hAnsi="仿宋_GB2312" w:eastAsia="仿宋_GB2312" w:cs="仿宋_GB2312"/>
          <w:sz w:val="32"/>
          <w:szCs w:val="32"/>
          <w:lang w:val="en-US" w:eastAsia="zh-CN"/>
        </w:rPr>
        <w:t>湖北省鹤峰土家族自治县</w:t>
      </w:r>
      <w:r>
        <w:rPr>
          <w:rFonts w:hint="eastAsia" w:ascii="仿宋_GB2312" w:hAnsi="仿宋_GB2312" w:eastAsia="仿宋_GB2312" w:cs="仿宋_GB2312"/>
          <w:sz w:val="32"/>
          <w:szCs w:val="32"/>
          <w:lang w:val="en-US" w:eastAsia="zh-CN"/>
        </w:rPr>
        <w:t>人。自2019年9月起在静双海翔公司从事操作合绳机工作，岗位为合绳机操作工。</w:t>
      </w:r>
    </w:p>
    <w:p>
      <w:pPr>
        <w:pStyle w:val="3"/>
        <w:bidi w:val="0"/>
      </w:pPr>
      <w:bookmarkStart w:id="64" w:name="_Toc30856"/>
      <w:bookmarkStart w:id="65" w:name="_Toc5860"/>
      <w:bookmarkStart w:id="66" w:name="_Toc10126"/>
      <w:bookmarkStart w:id="67" w:name="_Toc8640"/>
      <w:r>
        <w:rPr>
          <w:rFonts w:hint="eastAsia"/>
        </w:rPr>
        <w:t>（二）事故直接经济损失</w:t>
      </w:r>
      <w:bookmarkEnd w:id="64"/>
      <w:bookmarkEnd w:id="65"/>
      <w:bookmarkEnd w:id="66"/>
      <w:bookmarkEnd w:id="6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事故造成的直接经济损失约为110万元人民币（不含事故罚款）。</w:t>
      </w:r>
    </w:p>
    <w:p>
      <w:pPr>
        <w:pStyle w:val="2"/>
        <w:bidi w:val="0"/>
      </w:pPr>
      <w:bookmarkStart w:id="68" w:name="_Toc9475"/>
      <w:bookmarkStart w:id="69" w:name="_Toc22198"/>
      <w:bookmarkStart w:id="70" w:name="_Toc12283"/>
      <w:bookmarkStart w:id="71" w:name="_Toc12041"/>
      <w:r>
        <w:rPr>
          <w:rFonts w:hint="eastAsia"/>
        </w:rPr>
        <w:t>四、事故原因和</w:t>
      </w:r>
      <w:r>
        <w:t>性质</w:t>
      </w:r>
      <w:bookmarkEnd w:id="68"/>
      <w:bookmarkEnd w:id="69"/>
      <w:bookmarkEnd w:id="70"/>
      <w:bookmarkEnd w:id="7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事故调查组对静双海翔公司“4·28”一般机械伤害事故进行了全面调查，通过调取视频监控、询问相关人员、现场勘查、综合分析，认定了该事故发生的原因。</w:t>
      </w:r>
      <w:bookmarkStart w:id="72" w:name="_Toc12102"/>
      <w:bookmarkStart w:id="73" w:name="_Toc20576"/>
      <w:bookmarkStart w:id="74" w:name="_Toc20741"/>
    </w:p>
    <w:p>
      <w:pPr>
        <w:pStyle w:val="3"/>
        <w:numPr>
          <w:ilvl w:val="0"/>
          <w:numId w:val="1"/>
        </w:numPr>
        <w:bidi w:val="0"/>
        <w:rPr>
          <w:rFonts w:hint="eastAsia"/>
        </w:rPr>
      </w:pPr>
      <w:bookmarkStart w:id="75" w:name="_Toc24271"/>
      <w:r>
        <w:rPr>
          <w:rFonts w:hint="eastAsia"/>
        </w:rPr>
        <w:t>事故直接原因</w:t>
      </w:r>
      <w:bookmarkEnd w:id="72"/>
      <w:bookmarkEnd w:id="73"/>
      <w:bookmarkEnd w:id="74"/>
      <w:bookmarkEnd w:id="75"/>
      <w:bookmarkStart w:id="76" w:name="_Toc947"/>
      <w:bookmarkStart w:id="77" w:name="_Toc11070"/>
      <w:bookmarkStart w:id="78" w:name="_Toc771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邬某某右手持自喷漆伸入两牵引轮之间对钢丝绳进行喷涂做标记时，右手被运行中的钢丝绳与转动的牵引轮夹住，同时转动的牵引轮带动邬某某右手一同转动，导致邬某某上半身卡在牵引轮与基坑之间的缝隙中，经急救人员现场抢救无效后死亡。</w:t>
      </w:r>
    </w:p>
    <w:p>
      <w:pPr>
        <w:pStyle w:val="3"/>
        <w:bidi w:val="0"/>
      </w:pPr>
      <w:bookmarkStart w:id="79" w:name="_Toc29540"/>
      <w:r>
        <w:rPr>
          <w:rFonts w:hint="eastAsia"/>
        </w:rPr>
        <w:t>（二）事故</w:t>
      </w:r>
      <w:r>
        <w:t>间接原因</w:t>
      </w:r>
      <w:bookmarkEnd w:id="76"/>
      <w:bookmarkEnd w:id="77"/>
      <w:bookmarkEnd w:id="78"/>
      <w:bookmarkEnd w:id="7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w:t>
      </w:r>
      <w:r>
        <w:rPr>
          <w:rFonts w:hint="eastAsia" w:ascii="Times New Roman" w:hAnsi="Times New Roman" w:eastAsia="仿宋_GB2312" w:cs="Times New Roman"/>
          <w:sz w:val="32"/>
          <w:szCs w:val="32"/>
          <w:lang w:val="en-US" w:eastAsia="zh-CN"/>
        </w:rPr>
        <w:t>静双海翔公司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Times New Roman" w:hAnsi="Times New Roman" w:eastAsia="仿宋_GB2312" w:cs="Times New Roman"/>
          <w:sz w:val="32"/>
          <w:szCs w:val="32"/>
          <w:lang w:val="en-US" w:eastAsia="zh-CN"/>
        </w:rPr>
        <w:t>静双海翔公司违反了</w:t>
      </w:r>
      <w:r>
        <w:rPr>
          <w:rFonts w:hint="eastAsia" w:ascii="仿宋_GB2312" w:hAnsi="仿宋_GB2312" w:eastAsia="仿宋_GB2312" w:cs="仿宋_GB2312"/>
          <w:sz w:val="32"/>
          <w:szCs w:val="32"/>
          <w:vertAlign w:val="superscript"/>
          <w:lang w:val="en-US" w:eastAsia="zh-CN"/>
        </w:rPr>
        <w:t xml:space="preserve"> </w:t>
      </w:r>
      <w:r>
        <w:rPr>
          <w:rFonts w:hint="eastAsia" w:ascii="Times New Roman" w:hAnsi="Times New Roman" w:eastAsia="仿宋_GB2312" w:cs="Times New Roman"/>
          <w:sz w:val="32"/>
          <w:szCs w:val="32"/>
          <w:lang w:val="en-US" w:eastAsia="zh-CN"/>
        </w:rPr>
        <w:t>《天津市生产经营单位安全生产主体责任规定》第十三条</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0"/>
      </w:r>
      <w:r>
        <w:rPr>
          <w:rStyle w:val="17"/>
          <w:rFonts w:hint="eastAsia" w:ascii="Times New Roman" w:hAnsi="Times New Roman" w:eastAsia="仿宋_GB2312"/>
          <w:sz w:val="32"/>
          <w:szCs w:val="32"/>
          <w:lang w:val="en-US" w:eastAsia="zh-CN"/>
        </w:rPr>
        <w:t>]</w:t>
      </w:r>
      <w:r>
        <w:rPr>
          <w:rFonts w:hint="eastAsia" w:ascii="仿宋_GB2312" w:hAnsi="仿宋_GB2312" w:eastAsia="仿宋_GB2312" w:cs="仿宋_GB2312"/>
          <w:sz w:val="32"/>
          <w:szCs w:val="32"/>
          <w:lang w:val="en-US" w:eastAsia="zh-CN"/>
        </w:rPr>
        <w:t>的</w:t>
      </w:r>
      <w:r>
        <w:rPr>
          <w:rFonts w:hint="eastAsia" w:ascii="Times New Roman" w:hAnsi="Times New Roman" w:eastAsia="仿宋_GB2312" w:cs="Times New Roman"/>
          <w:sz w:val="32"/>
          <w:szCs w:val="32"/>
          <w:lang w:val="en-US" w:eastAsia="zh-CN"/>
        </w:rPr>
        <w:t>规定</w:t>
      </w:r>
      <w:r>
        <w:rPr>
          <w:rFonts w:hint="eastAsia" w:ascii="仿宋_GB2312" w:eastAsia="仿宋_GB2312" w:cs="仿宋_GB2312"/>
          <w:sz w:val="32"/>
          <w:szCs w:val="32"/>
          <w:lang w:val="en-US" w:eastAsia="zh-CN"/>
        </w:rPr>
        <w:t>，</w:t>
      </w:r>
      <w:r>
        <w:rPr>
          <w:rFonts w:hint="eastAsia" w:ascii="仿宋_GB2312" w:eastAsia="仿宋_GB2312"/>
          <w:sz w:val="32"/>
          <w:szCs w:val="32"/>
          <w:lang w:val="en-US" w:eastAsia="zh-CN"/>
        </w:rPr>
        <w:t>合绳工岗位安全生产操作规程制定不全面。</w:t>
      </w:r>
      <w:r>
        <w:rPr>
          <w:rFonts w:hint="eastAsia" w:ascii="Times New Roman" w:hAnsi="Times New Roman" w:eastAsia="仿宋_GB2312" w:cs="Times New Roman"/>
          <w:sz w:val="32"/>
          <w:szCs w:val="32"/>
          <w:lang w:val="en-US" w:eastAsia="zh-CN"/>
        </w:rPr>
        <w:t>该公司组织制定的《合绳车间操作规定》和《天津静双海翔合绳车间作业指导书及关键点控制》中未对米数标记作业进行明确规定，未明确做米数标记时的安全操作要求及禁止事项。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（2）静双海翔公司违反了</w:t>
      </w:r>
      <w:r>
        <w:rPr>
          <w:rFonts w:hint="eastAsia" w:ascii="Times New Roman" w:hAnsi="Times New Roman" w:eastAsia="仿宋_GB2312" w:cs="Times New Roman"/>
          <w:sz w:val="32"/>
          <w:szCs w:val="32"/>
          <w:lang w:val="en-US" w:eastAsia="zh-CN"/>
        </w:rPr>
        <w:t>《中华人民共和国安全生产法》第四十一条第一款</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1"/>
      </w:r>
      <w:r>
        <w:rPr>
          <w:rStyle w:val="17"/>
          <w:rFonts w:hint="eastAsia" w:ascii="Times New Roman" w:hAnsi="Times New Roman" w:eastAsia="仿宋_GB2312"/>
          <w:sz w:val="32"/>
          <w:szCs w:val="32"/>
          <w:lang w:val="en-US" w:eastAsia="zh-CN"/>
        </w:rPr>
        <w:t>]</w:t>
      </w:r>
      <w:r>
        <w:rPr>
          <w:rFonts w:hint="eastAsia" w:ascii="仿宋_GB2312" w:hAnsi="仿宋_GB2312" w:eastAsia="仿宋_GB2312" w:cs="仿宋_GB2312"/>
          <w:kern w:val="2"/>
          <w:sz w:val="32"/>
          <w:szCs w:val="32"/>
          <w:lang w:val="en-US" w:eastAsia="zh-CN" w:bidi="ar-SA"/>
        </w:rPr>
        <w:t>、《天津市生产经营单位安全生产主体责任规定》第二十条第一、五项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2"/>
      </w:r>
      <w:r>
        <w:rPr>
          <w:rStyle w:val="17"/>
          <w:rFonts w:hint="eastAsia" w:ascii="Times New Roman" w:hAnsi="Times New Roman" w:eastAsia="仿宋_GB2312"/>
          <w:sz w:val="32"/>
          <w:szCs w:val="32"/>
          <w:lang w:val="en-US" w:eastAsia="zh-CN"/>
        </w:rPr>
        <w:t>]</w:t>
      </w:r>
      <w:r>
        <w:rPr>
          <w:rFonts w:hint="eastAsia" w:ascii="仿宋_GB2312" w:hAnsi="仿宋_GB2312" w:eastAsia="仿宋_GB2312" w:cs="仿宋_GB2312"/>
          <w:kern w:val="2"/>
          <w:sz w:val="32"/>
          <w:szCs w:val="32"/>
          <w:lang w:val="en-US" w:eastAsia="zh-CN" w:bidi="ar-SA"/>
        </w:rPr>
        <w:t>的规定</w:t>
      </w:r>
      <w:r>
        <w:rPr>
          <w:rFonts w:hint="eastAsia" w:ascii="仿宋_GB2312" w:eastAsia="仿宋_GB2312"/>
          <w:sz w:val="32"/>
          <w:szCs w:val="32"/>
          <w:lang w:val="en-US" w:eastAsia="zh-CN"/>
        </w:rPr>
        <w:t>，未对辨识出的安全风险进行有效管控</w:t>
      </w:r>
      <w:r>
        <w:rPr>
          <w:rFonts w:hint="eastAsia" w:ascii="仿宋_GB2312" w:hAnsi="仿宋_GB2312" w:eastAsia="仿宋_GB2312" w:cs="仿宋_GB2312"/>
          <w:kern w:val="2"/>
          <w:sz w:val="32"/>
          <w:szCs w:val="32"/>
          <w:lang w:val="en-US" w:eastAsia="zh-CN" w:bidi="ar-SA"/>
        </w:rPr>
        <w:t>。该公司于2022年编制的《安全风险分级管控和隐患排查治理双重预防机制建设管理手册》8.2 安全检查表分析法（SCL）中辨识出合绳机存在设备运转、传动部位缺少防护的风险，但静双海翔公司未在</w:t>
      </w:r>
      <w:r>
        <w:rPr>
          <w:rFonts w:hint="eastAsia" w:ascii="仿宋_GB2312" w:eastAsia="仿宋_GB2312"/>
          <w:sz w:val="32"/>
          <w:szCs w:val="32"/>
          <w:lang w:val="en-US" w:eastAsia="zh-CN"/>
        </w:rPr>
        <w:t>1#双牵引装置的运转、传动部位设置防护装置。</w:t>
      </w:r>
    </w:p>
    <w:p>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Times New Roman" w:hAnsi="Times New Roman" w:eastAsia="仿宋_GB2312" w:cs="Times New Roman"/>
          <w:sz w:val="32"/>
          <w:szCs w:val="32"/>
          <w:lang w:val="en-US" w:eastAsia="zh-CN"/>
        </w:rPr>
        <w:t>静双海翔公司违反了《中华人民共和国安全生产法》第四十一条第二款</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3"/>
      </w:r>
      <w:r>
        <w:rPr>
          <w:rStyle w:val="17"/>
          <w:rFonts w:hint="eastAsia" w:ascii="Times New Roman" w:hAnsi="Times New Roman" w:eastAsia="仿宋_GB2312"/>
          <w:sz w:val="32"/>
          <w:szCs w:val="32"/>
          <w:lang w:val="en-US" w:eastAsia="zh-CN"/>
        </w:rPr>
        <w:t>]</w:t>
      </w:r>
      <w:r>
        <w:rPr>
          <w:rFonts w:hint="eastAsia" w:ascii="Times New Roman" w:hAnsi="Times New Roman" w:eastAsia="仿宋_GB2312" w:cs="Times New Roman"/>
          <w:sz w:val="32"/>
          <w:szCs w:val="32"/>
          <w:lang w:val="en-US" w:eastAsia="zh-CN"/>
        </w:rPr>
        <w:t>、《天津市生产经营单位安全生产主体责任规定》第二十一条第四项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4"/>
      </w:r>
      <w:r>
        <w:rPr>
          <w:rStyle w:val="17"/>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val="en-US" w:eastAsia="zh-CN"/>
        </w:rPr>
        <w:t>的规定</w:t>
      </w:r>
      <w:r>
        <w:rPr>
          <w:rFonts w:hint="eastAsia" w:ascii="Times New Roman" w:hAnsi="Times New Roman" w:eastAsia="仿宋_GB2312" w:cs="Times New Roman"/>
          <w:sz w:val="32"/>
          <w:szCs w:val="32"/>
          <w:lang w:val="en-US" w:eastAsia="zh-CN"/>
        </w:rPr>
        <w:t>，该公司</w:t>
      </w:r>
      <w:r>
        <w:rPr>
          <w:rFonts w:hint="eastAsia" w:ascii="仿宋_GB2312" w:eastAsia="仿宋_GB2312"/>
          <w:sz w:val="32"/>
          <w:szCs w:val="32"/>
          <w:lang w:eastAsia="zh-CN"/>
        </w:rPr>
        <w:t>虽然安排了安全员负责车间安全检查</w:t>
      </w:r>
      <w:r>
        <w:rPr>
          <w:rFonts w:hint="eastAsia" w:ascii="仿宋_GB2312" w:eastAsia="仿宋_GB2312"/>
          <w:sz w:val="32"/>
          <w:szCs w:val="32"/>
          <w:lang w:val="en-US" w:eastAsia="zh-CN"/>
        </w:rPr>
        <w:t>和</w:t>
      </w:r>
      <w:r>
        <w:rPr>
          <w:rFonts w:hint="eastAsia" w:ascii="仿宋_GB2312" w:eastAsia="仿宋_GB2312"/>
          <w:sz w:val="32"/>
          <w:szCs w:val="32"/>
          <w:lang w:eastAsia="zh-CN"/>
        </w:rPr>
        <w:t>隐患排查，但未发现</w:t>
      </w:r>
      <w:r>
        <w:rPr>
          <w:rFonts w:hint="eastAsia" w:ascii="仿宋_GB2312" w:eastAsia="仿宋_GB2312"/>
          <w:sz w:val="32"/>
          <w:szCs w:val="32"/>
          <w:lang w:val="en-US" w:eastAsia="zh-CN"/>
        </w:rPr>
        <w:t>北</w:t>
      </w:r>
      <w:r>
        <w:rPr>
          <w:rFonts w:hint="default" w:ascii="仿宋_GB2312" w:eastAsia="仿宋_GB2312"/>
          <w:sz w:val="32"/>
          <w:szCs w:val="32"/>
          <w:lang w:val="en" w:eastAsia="zh-CN"/>
        </w:rPr>
        <w:t>车间内</w:t>
      </w:r>
      <w:r>
        <w:rPr>
          <w:rFonts w:hint="eastAsia" w:ascii="仿宋_GB2312" w:eastAsia="仿宋_GB2312"/>
          <w:sz w:val="32"/>
          <w:szCs w:val="32"/>
          <w:lang w:eastAsia="zh-CN"/>
        </w:rPr>
        <w:t>的</w:t>
      </w:r>
      <w:r>
        <w:rPr>
          <w:rFonts w:hint="eastAsia" w:ascii="仿宋_GB2312" w:hAnsi="仿宋_GB2312" w:eastAsia="仿宋_GB2312" w:cs="仿宋_GB2312"/>
          <w:kern w:val="2"/>
          <w:sz w:val="32"/>
          <w:szCs w:val="32"/>
          <w:lang w:val="en-US" w:eastAsia="zh-CN" w:bidi="ar-SA"/>
        </w:rPr>
        <w:t>合绳机运转、传动部位缺少防护装置的隐患，并及时消除事故隐患</w:t>
      </w:r>
      <w:r>
        <w:rPr>
          <w:rFonts w:hint="eastAsia" w:ascii="仿宋_GB2312" w:hAnsi="仿宋_GB2312" w:eastAsia="仿宋_GB2312" w:cs="仿宋_GB2312"/>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2.双塘镇人民政府</w:t>
      </w:r>
    </w:p>
    <w:p>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双塘镇人民政府安全生产检查专业能力不足。双塘镇人民政府于2022年至2024年5月份共对企业召开安全生产工作部署和培训会议5次，对静双海翔公司开展检查复查6次，但检查中均未发现</w:t>
      </w:r>
      <w:r>
        <w:rPr>
          <w:rFonts w:hint="eastAsia" w:ascii="仿宋_GB2312" w:eastAsia="仿宋_GB2312"/>
          <w:sz w:val="32"/>
          <w:szCs w:val="32"/>
          <w:lang w:val="en-US" w:eastAsia="zh-CN"/>
        </w:rPr>
        <w:t>合绳工岗位安全生产操作规程制定不全面和</w:t>
      </w:r>
      <w:r>
        <w:rPr>
          <w:rFonts w:hint="eastAsia" w:ascii="仿宋_GB2312" w:hAnsi="仿宋_GB2312" w:eastAsia="仿宋_GB2312" w:cs="仿宋_GB2312"/>
          <w:kern w:val="2"/>
          <w:sz w:val="32"/>
          <w:szCs w:val="32"/>
          <w:lang w:val="en-US" w:eastAsia="zh-CN" w:bidi="ar-SA"/>
        </w:rPr>
        <w:t>合绳机运转、传动部位缺少防护装置的隐患。</w:t>
      </w:r>
    </w:p>
    <w:p>
      <w:pPr>
        <w:pStyle w:val="3"/>
        <w:bidi w:val="0"/>
      </w:pPr>
      <w:bookmarkStart w:id="80" w:name="_Toc2878"/>
      <w:bookmarkStart w:id="81" w:name="_Toc12452"/>
      <w:bookmarkStart w:id="82" w:name="_Toc26035"/>
      <w:bookmarkStart w:id="83" w:name="_Toc24506"/>
      <w:r>
        <w:rPr>
          <w:rFonts w:hint="eastAsia"/>
        </w:rPr>
        <w:t>（三）事故性质</w:t>
      </w:r>
      <w:bookmarkEnd w:id="80"/>
      <w:bookmarkEnd w:id="81"/>
      <w:bookmarkEnd w:id="82"/>
      <w:bookmarkEnd w:id="8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eastAsia="仿宋_GB2312" w:cs="仿宋_GB2312"/>
          <w:sz w:val="32"/>
          <w:szCs w:val="32"/>
        </w:rPr>
      </w:pPr>
      <w:r>
        <w:rPr>
          <w:rFonts w:hint="eastAsia" w:ascii="仿宋_GB2312" w:eastAsia="仿宋_GB2312" w:cs="仿宋_GB2312"/>
          <w:sz w:val="32"/>
          <w:szCs w:val="32"/>
        </w:rPr>
        <w:t>事故</w:t>
      </w:r>
      <w:r>
        <w:rPr>
          <w:rFonts w:ascii="仿宋_GB2312" w:eastAsia="仿宋_GB2312" w:cs="仿宋_GB2312"/>
          <w:sz w:val="32"/>
          <w:szCs w:val="32"/>
        </w:rPr>
        <w:t>调查组认定，</w:t>
      </w:r>
      <w:r>
        <w:rPr>
          <w:rFonts w:hint="eastAsia" w:ascii="Times New Roman" w:hAnsi="Times New Roman" w:eastAsia="仿宋_GB2312" w:cs="Times New Roman"/>
          <w:sz w:val="32"/>
          <w:szCs w:val="32"/>
          <w:lang w:val="en-US" w:eastAsia="zh-CN"/>
        </w:rPr>
        <w:t>静海区</w:t>
      </w:r>
      <w:r>
        <w:rPr>
          <w:rFonts w:hint="eastAsia" w:ascii="仿宋_GB2312" w:hAnsi="仿宋_GB2312" w:eastAsia="仿宋_GB2312" w:cs="仿宋_GB2312"/>
          <w:sz w:val="32"/>
          <w:szCs w:val="32"/>
          <w:lang w:val="en-US" w:eastAsia="zh-CN"/>
        </w:rPr>
        <w:t>双塘镇静双海翔公司</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US" w:eastAsia="zh-CN"/>
        </w:rPr>
        <w:t>28</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lang w:val="en" w:eastAsia="zh-CN"/>
        </w:rPr>
        <w:t>一般</w:t>
      </w:r>
      <w:r>
        <w:rPr>
          <w:rFonts w:hint="eastAsia" w:ascii="仿宋_GB2312" w:hAnsi="仿宋_GB2312" w:eastAsia="仿宋_GB2312" w:cs="仿宋_GB2312"/>
          <w:sz w:val="32"/>
          <w:szCs w:val="32"/>
          <w:lang w:val="en-US" w:eastAsia="zh-CN"/>
        </w:rPr>
        <w:t>机械伤害</w:t>
      </w:r>
      <w:r>
        <w:rPr>
          <w:rFonts w:hint="default" w:ascii="仿宋_GB2312" w:hAnsi="仿宋_GB2312" w:eastAsia="仿宋_GB2312" w:cs="仿宋_GB2312"/>
          <w:sz w:val="32"/>
          <w:szCs w:val="32"/>
          <w:lang w:val="en"/>
        </w:rPr>
        <w:t>事故</w:t>
      </w:r>
      <w:r>
        <w:rPr>
          <w:rFonts w:hint="eastAsia" w:ascii="仿宋_GB2312" w:eastAsia="仿宋_GB2312" w:cs="仿宋_GB2312"/>
          <w:sz w:val="32"/>
          <w:szCs w:val="32"/>
        </w:rPr>
        <w:t>是</w:t>
      </w:r>
      <w:r>
        <w:rPr>
          <w:rFonts w:ascii="仿宋_GB2312" w:eastAsia="仿宋_GB2312" w:cs="仿宋_GB2312"/>
          <w:sz w:val="32"/>
          <w:szCs w:val="32"/>
        </w:rPr>
        <w:t>一起生产安全责任事故。</w:t>
      </w:r>
      <w:bookmarkStart w:id="84" w:name="_Toc22280"/>
      <w:bookmarkStart w:id="85" w:name="_Toc29944"/>
    </w:p>
    <w:p>
      <w:pPr>
        <w:pStyle w:val="2"/>
        <w:numPr>
          <w:ilvl w:val="0"/>
          <w:numId w:val="2"/>
        </w:numPr>
        <w:bidi w:val="0"/>
        <w:rPr>
          <w:rFonts w:hint="eastAsia"/>
          <w:lang w:eastAsia="zh-CN"/>
        </w:rPr>
      </w:pPr>
      <w:bookmarkStart w:id="86" w:name="_Toc1308"/>
      <w:bookmarkStart w:id="87" w:name="_Toc11708"/>
      <w:r>
        <w:rPr>
          <w:rFonts w:hint="eastAsia"/>
        </w:rPr>
        <w:t>对事故责任单位及人员的处理建议</w:t>
      </w:r>
      <w:bookmarkEnd w:id="84"/>
      <w:bookmarkEnd w:id="85"/>
      <w:bookmarkEnd w:id="86"/>
      <w:bookmarkEnd w:id="87"/>
      <w:bookmarkStart w:id="88" w:name="_Toc8836"/>
      <w:bookmarkStart w:id="89" w:name="_Toc14798"/>
      <w:bookmarkStart w:id="90" w:name="_Toc27591"/>
    </w:p>
    <w:bookmarkEnd w:id="88"/>
    <w:p>
      <w:pPr>
        <w:pStyle w:val="3"/>
        <w:bidi w:val="0"/>
      </w:pPr>
      <w:bookmarkStart w:id="91" w:name="_Toc1077"/>
      <w:bookmarkStart w:id="92" w:name="_Toc11132"/>
      <w:r>
        <w:rPr>
          <w:rFonts w:hint="eastAsia"/>
        </w:rPr>
        <w:t>（</w:t>
      </w:r>
      <w:r>
        <w:rPr>
          <w:rFonts w:hint="eastAsia"/>
          <w:lang w:val="en-US" w:eastAsia="zh-CN"/>
        </w:rPr>
        <w:t>一</w:t>
      </w:r>
      <w:r>
        <w:t>）</w:t>
      </w:r>
      <w:r>
        <w:rPr>
          <w:rFonts w:hint="eastAsia"/>
        </w:rPr>
        <w:t>建议给予行政处罚的单位</w:t>
      </w:r>
      <w:bookmarkEnd w:id="89"/>
      <w:bookmarkEnd w:id="90"/>
      <w:bookmarkEnd w:id="91"/>
      <w:bookmarkEnd w:id="92"/>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0"/>
        <w:textAlignment w:val="auto"/>
        <w:rPr>
          <w:rFonts w:ascii="仿宋_GB2312" w:hAnsi="黑体" w:eastAsia="仿宋_GB2312" w:cs="黑体"/>
          <w:sz w:val="32"/>
          <w:szCs w:val="32"/>
        </w:rPr>
      </w:pPr>
      <w:r>
        <w:rPr>
          <w:rFonts w:hint="eastAsia" w:ascii="仿宋_GB2312" w:hAnsi="黑体" w:eastAsia="仿宋_GB2312" w:cs="黑体"/>
          <w:sz w:val="32"/>
          <w:szCs w:val="32"/>
          <w:highlight w:val="none"/>
          <w:lang w:eastAsia="zh-CN"/>
        </w:rPr>
        <w:t>静双海翔公司</w:t>
      </w:r>
      <w:r>
        <w:rPr>
          <w:rFonts w:ascii="仿宋_GB2312" w:hAnsi="黑体" w:eastAsia="仿宋_GB2312" w:cs="黑体"/>
          <w:sz w:val="32"/>
          <w:szCs w:val="32"/>
          <w:highlight w:val="none"/>
        </w:rPr>
        <w:t>安全生产主体责任</w:t>
      </w:r>
      <w:r>
        <w:rPr>
          <w:rFonts w:ascii="仿宋_GB2312" w:hAnsi="黑体" w:eastAsia="仿宋_GB2312" w:cs="黑体"/>
          <w:sz w:val="32"/>
          <w:szCs w:val="32"/>
          <w:highlight w:val="none"/>
          <w:lang w:val="en"/>
        </w:rPr>
        <w:t>落实</w:t>
      </w:r>
      <w:r>
        <w:rPr>
          <w:rFonts w:hint="eastAsia" w:ascii="仿宋_GB2312" w:hAnsi="黑体" w:eastAsia="仿宋_GB2312" w:cs="黑体"/>
          <w:sz w:val="32"/>
          <w:szCs w:val="32"/>
          <w:highlight w:val="none"/>
          <w:lang w:eastAsia="zh-CN"/>
        </w:rPr>
        <w:t>不到位</w:t>
      </w:r>
      <w:r>
        <w:rPr>
          <w:rFonts w:ascii="仿宋_GB2312" w:hAnsi="黑体" w:eastAsia="仿宋_GB2312" w:cs="黑体"/>
          <w:sz w:val="32"/>
          <w:szCs w:val="32"/>
          <w:highlight w:val="none"/>
        </w:rPr>
        <w:t>，</w:t>
      </w:r>
      <w:r>
        <w:rPr>
          <w:rFonts w:hint="eastAsia" w:ascii="仿宋_GB2312" w:hAnsi="黑体" w:eastAsia="仿宋_GB2312" w:cs="黑体"/>
          <w:sz w:val="32"/>
          <w:szCs w:val="32"/>
          <w:highlight w:val="none"/>
          <w:lang w:val="en-US" w:eastAsia="zh-CN"/>
        </w:rPr>
        <w:t>安全生产操作规程</w:t>
      </w:r>
      <w:r>
        <w:rPr>
          <w:rFonts w:ascii="仿宋_GB2312" w:hAnsi="黑体" w:eastAsia="仿宋_GB2312" w:cs="黑体"/>
          <w:sz w:val="32"/>
          <w:szCs w:val="32"/>
        </w:rPr>
        <w:t>编制不全面</w:t>
      </w:r>
      <w:r>
        <w:rPr>
          <w:rFonts w:hint="eastAsia" w:ascii="仿宋_GB2312" w:hAnsi="黑体" w:eastAsia="仿宋_GB2312" w:cs="黑体"/>
          <w:sz w:val="32"/>
          <w:szCs w:val="32"/>
          <w:lang w:eastAsia="zh-CN"/>
        </w:rPr>
        <w:t>，</w:t>
      </w:r>
      <w:r>
        <w:rPr>
          <w:rFonts w:hint="eastAsia" w:ascii="仿宋_GB2312" w:hAnsi="黑体" w:eastAsia="仿宋_GB2312" w:cs="黑体"/>
          <w:sz w:val="32"/>
          <w:szCs w:val="32"/>
          <w:lang w:val="en-US" w:eastAsia="zh-CN"/>
        </w:rPr>
        <w:t>安全风险管控不到位</w:t>
      </w:r>
      <w:r>
        <w:rPr>
          <w:rFonts w:hint="default" w:ascii="仿宋_GB2312" w:hAnsi="黑体" w:eastAsia="仿宋_GB2312" w:cs="黑体"/>
          <w:sz w:val="32"/>
          <w:szCs w:val="32"/>
          <w:lang w:val="en" w:eastAsia="zh-CN"/>
        </w:rPr>
        <w:t>，</w:t>
      </w:r>
      <w:r>
        <w:rPr>
          <w:rFonts w:ascii="仿宋_GB2312" w:hAnsi="黑体" w:eastAsia="仿宋_GB2312" w:cs="黑体"/>
          <w:sz w:val="32"/>
          <w:szCs w:val="32"/>
        </w:rPr>
        <w:t>隐患排查</w:t>
      </w:r>
      <w:r>
        <w:rPr>
          <w:rFonts w:hint="eastAsia" w:ascii="仿宋_GB2312" w:hAnsi="黑体" w:eastAsia="仿宋_GB2312" w:cs="黑体"/>
          <w:sz w:val="32"/>
          <w:szCs w:val="32"/>
          <w:lang w:val="en-US" w:eastAsia="zh-CN"/>
        </w:rPr>
        <w:t>治理未</w:t>
      </w:r>
      <w:r>
        <w:rPr>
          <w:rFonts w:ascii="仿宋_GB2312" w:hAnsi="黑体" w:eastAsia="仿宋_GB2312" w:cs="黑体"/>
          <w:sz w:val="32"/>
          <w:szCs w:val="32"/>
        </w:rPr>
        <w:t>落实，对事故发生负有责任。依据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一百一十四条</w:t>
      </w:r>
      <w:r>
        <w:rPr>
          <w:rFonts w:hint="eastAsia" w:ascii="仿宋_GB2312" w:hAnsi="黑体" w:eastAsia="仿宋_GB2312" w:cs="黑体"/>
          <w:sz w:val="32"/>
          <w:szCs w:val="32"/>
          <w:lang w:val="en-US" w:eastAsia="zh-CN"/>
        </w:rPr>
        <w:t>第一款</w:t>
      </w:r>
      <w:r>
        <w:rPr>
          <w:rFonts w:hint="eastAsia" w:ascii="仿宋_GB2312" w:hAnsi="黑体" w:eastAsia="仿宋_GB2312" w:cs="黑体"/>
          <w:sz w:val="32"/>
          <w:szCs w:val="32"/>
        </w:rPr>
        <w:t>第一项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sz w:val="32"/>
          <w:szCs w:val="32"/>
          <w:lang w:val="en-US" w:eastAsia="zh-CN"/>
        </w:rPr>
        <w:footnoteReference w:id="5"/>
      </w:r>
      <w:r>
        <w:rPr>
          <w:rStyle w:val="17"/>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val="en-US" w:eastAsia="zh-CN"/>
        </w:rPr>
        <w:t>和《生产安全事故罚款处罚规定》（中华人民共和国应急管理部</w:t>
      </w:r>
      <w:r>
        <w:rPr>
          <w:rFonts w:hint="eastAsia" w:ascii="仿宋_GB2312" w:hAnsi="仿宋_GB2312" w:eastAsia="仿宋_GB2312" w:cs="仿宋_GB2312"/>
          <w:sz w:val="32"/>
          <w:szCs w:val="32"/>
          <w:lang w:val="en-US" w:eastAsia="zh-CN"/>
        </w:rPr>
        <w:t>第14号</w:t>
      </w:r>
      <w:r>
        <w:rPr>
          <w:rFonts w:hint="eastAsia" w:ascii="Times New Roman" w:hAnsi="Times New Roman" w:eastAsia="仿宋_GB2312"/>
          <w:sz w:val="32"/>
          <w:szCs w:val="32"/>
          <w:lang w:val="en-US" w:eastAsia="zh-CN"/>
        </w:rPr>
        <w:t>令）第十四条第二项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sz w:val="32"/>
          <w:szCs w:val="32"/>
          <w:lang w:val="en-US" w:eastAsia="zh-CN"/>
        </w:rPr>
        <w:footnoteReference w:id="6"/>
      </w:r>
      <w:r>
        <w:rPr>
          <w:rStyle w:val="17"/>
          <w:rFonts w:hint="eastAsia" w:ascii="Times New Roman" w:hAnsi="Times New Roman" w:eastAsia="仿宋_GB2312"/>
          <w:sz w:val="32"/>
          <w:szCs w:val="32"/>
          <w:lang w:val="en-US" w:eastAsia="zh-CN"/>
        </w:rPr>
        <w:t>]</w:t>
      </w:r>
      <w:r>
        <w:rPr>
          <w:rFonts w:ascii="仿宋_GB2312" w:hAnsi="黑体" w:eastAsia="仿宋_GB2312" w:cs="黑体"/>
          <w:sz w:val="32"/>
          <w:szCs w:val="32"/>
        </w:rPr>
        <w:t>的规定，</w:t>
      </w:r>
      <w:r>
        <w:rPr>
          <w:rFonts w:hint="eastAsia" w:ascii="仿宋_GB2312" w:hAnsi="黑体" w:eastAsia="仿宋_GB2312" w:cs="黑体"/>
          <w:sz w:val="32"/>
          <w:szCs w:val="32"/>
        </w:rPr>
        <w:t>建议</w:t>
      </w:r>
      <w:r>
        <w:rPr>
          <w:rFonts w:ascii="仿宋_GB2312" w:hAnsi="黑体" w:eastAsia="仿宋_GB2312" w:cs="黑体"/>
          <w:sz w:val="32"/>
          <w:szCs w:val="32"/>
        </w:rPr>
        <w:t>由区应急管理局对该</w:t>
      </w:r>
      <w:r>
        <w:rPr>
          <w:rFonts w:hint="eastAsia" w:ascii="仿宋_GB2312" w:hAnsi="黑体" w:eastAsia="仿宋_GB2312" w:cs="黑体"/>
          <w:sz w:val="32"/>
          <w:szCs w:val="32"/>
        </w:rPr>
        <w:t>公司</w:t>
      </w:r>
      <w:r>
        <w:rPr>
          <w:rFonts w:hint="eastAsia" w:ascii="仿宋_GB2312" w:hAnsi="黑体" w:eastAsia="仿宋_GB2312" w:cs="黑体"/>
          <w:sz w:val="32"/>
          <w:szCs w:val="32"/>
          <w:lang w:val="en-US" w:eastAsia="zh-CN"/>
        </w:rPr>
        <w:t>处人民币</w:t>
      </w:r>
      <w:r>
        <w:rPr>
          <w:rFonts w:hint="eastAsia" w:ascii="仿宋_GB2312" w:hAnsi="仿宋_GB2312" w:eastAsia="仿宋_GB2312" w:cs="仿宋_GB2312"/>
          <w:kern w:val="2"/>
          <w:sz w:val="32"/>
          <w:szCs w:val="32"/>
          <w:lang w:val="en-US" w:eastAsia="zh-CN" w:bidi="ar-SA"/>
        </w:rPr>
        <w:t>69万</w:t>
      </w:r>
      <w:r>
        <w:rPr>
          <w:rFonts w:hint="eastAsia" w:ascii="仿宋_GB2312" w:hAnsi="黑体" w:eastAsia="仿宋_GB2312" w:cs="黑体"/>
          <w:sz w:val="32"/>
          <w:szCs w:val="32"/>
          <w:lang w:val="en-US" w:eastAsia="zh-CN"/>
        </w:rPr>
        <w:t>元的</w:t>
      </w:r>
      <w:r>
        <w:rPr>
          <w:rFonts w:ascii="仿宋_GB2312" w:hAnsi="黑体" w:eastAsia="仿宋_GB2312" w:cs="黑体"/>
          <w:sz w:val="32"/>
          <w:szCs w:val="32"/>
          <w:lang w:val="en"/>
        </w:rPr>
        <w:t>罚款</w:t>
      </w:r>
      <w:r>
        <w:rPr>
          <w:rFonts w:ascii="仿宋_GB2312" w:hAnsi="黑体" w:eastAsia="仿宋_GB2312" w:cs="黑体"/>
          <w:sz w:val="32"/>
          <w:szCs w:val="32"/>
        </w:rPr>
        <w:t>。</w:t>
      </w:r>
    </w:p>
    <w:p>
      <w:pPr>
        <w:pStyle w:val="3"/>
        <w:bidi w:val="0"/>
      </w:pPr>
      <w:bookmarkStart w:id="93" w:name="_Toc13231"/>
      <w:bookmarkStart w:id="94" w:name="_Toc3124"/>
      <w:bookmarkStart w:id="95" w:name="_Toc189"/>
      <w:bookmarkStart w:id="96" w:name="_Toc18867"/>
      <w:r>
        <w:rPr>
          <w:rFonts w:hint="eastAsia"/>
        </w:rPr>
        <w:t>（</w:t>
      </w:r>
      <w:r>
        <w:rPr>
          <w:rFonts w:hint="eastAsia"/>
          <w:lang w:val="en-US" w:eastAsia="zh-CN"/>
        </w:rPr>
        <w:t>二</w:t>
      </w:r>
      <w:r>
        <w:t>）</w:t>
      </w:r>
      <w:r>
        <w:rPr>
          <w:rFonts w:hint="eastAsia"/>
        </w:rPr>
        <w:t>建议给予行政处罚的责任人</w:t>
      </w:r>
      <w:bookmarkEnd w:id="93"/>
      <w:bookmarkEnd w:id="94"/>
      <w:bookmarkEnd w:id="95"/>
      <w:bookmarkEnd w:id="9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sz w:val="32"/>
          <w:szCs w:val="32"/>
        </w:rPr>
      </w:pPr>
      <w:r>
        <w:rPr>
          <w:rFonts w:hint="eastAsia" w:ascii="仿宋_GB2312" w:hAnsi="黑体" w:eastAsia="仿宋_GB2312" w:cs="黑体"/>
          <w:sz w:val="32"/>
          <w:szCs w:val="32"/>
          <w:lang w:val="en-US" w:eastAsia="zh-CN"/>
        </w:rPr>
        <w:t>王某某作为静双海翔公司的主要负责人，</w:t>
      </w:r>
      <w:r>
        <w:rPr>
          <w:rFonts w:hint="eastAsia" w:ascii="仿宋_GB2312" w:hAnsi="黑体" w:eastAsia="仿宋_GB2312" w:cs="黑体"/>
          <w:sz w:val="32"/>
          <w:szCs w:val="32"/>
        </w:rPr>
        <w:t>未履行《中华人民共和国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二十一条第</w:t>
      </w:r>
      <w:r>
        <w:rPr>
          <w:rFonts w:hint="eastAsia" w:ascii="仿宋_GB2312" w:hAnsi="黑体" w:eastAsia="仿宋_GB2312" w:cs="黑体"/>
          <w:sz w:val="32"/>
          <w:szCs w:val="32"/>
        </w:rPr>
        <w:t>五项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cs="Times New Roman"/>
          <w:kern w:val="2"/>
          <w:sz w:val="32"/>
          <w:szCs w:val="32"/>
          <w:lang w:val="en-US" w:eastAsia="zh-CN" w:bidi="ar-SA"/>
        </w:rPr>
        <w:footnoteReference w:id="7"/>
      </w:r>
      <w:r>
        <w:rPr>
          <w:rStyle w:val="17"/>
          <w:rFonts w:hint="eastAsia" w:ascii="Times New Roman" w:hAnsi="Times New Roman" w:eastAsia="仿宋_GB2312"/>
          <w:sz w:val="32"/>
          <w:szCs w:val="32"/>
          <w:lang w:val="en-US" w:eastAsia="zh-CN"/>
        </w:rPr>
        <w:t>]</w:t>
      </w:r>
      <w:r>
        <w:rPr>
          <w:rFonts w:hint="eastAsia" w:ascii="仿宋_GB2312" w:hAnsi="黑体" w:eastAsia="仿宋_GB2312" w:cs="黑体"/>
          <w:sz w:val="32"/>
          <w:szCs w:val="32"/>
          <w:lang w:eastAsia="zh-CN"/>
        </w:rPr>
        <w:t>的安全生产管理职责，</w:t>
      </w:r>
      <w:r>
        <w:rPr>
          <w:rFonts w:hint="eastAsia" w:ascii="Times New Roman" w:hAnsi="Times New Roman" w:eastAsia="仿宋_GB2312" w:cs="Times New Roman"/>
          <w:sz w:val="32"/>
          <w:szCs w:val="32"/>
          <w:lang w:eastAsia="zh-CN"/>
        </w:rPr>
        <w:t>未及时消除生产安全事故隐患，</w:t>
      </w:r>
      <w:r>
        <w:rPr>
          <w:rFonts w:hint="eastAsia" w:eastAsia="仿宋_GB2312"/>
          <w:sz w:val="32"/>
          <w:szCs w:val="32"/>
          <w:lang w:eastAsia="zh-CN"/>
        </w:rPr>
        <w:t>对事故发生负有责任。</w:t>
      </w:r>
      <w:r>
        <w:rPr>
          <w:rFonts w:ascii="Times New Roman" w:hAnsi="Times New Roman" w:eastAsia="仿宋_GB2312" w:cs="Times New Roman"/>
          <w:sz w:val="32"/>
          <w:szCs w:val="32"/>
        </w:rPr>
        <w:t>依据《中华人民共和国安全生产法》</w:t>
      </w:r>
      <w:r>
        <w:rPr>
          <w:rFonts w:hint="eastAsia" w:ascii="仿宋_GB2312" w:hAnsi="Times New Roman" w:eastAsia="仿宋_GB2312" w:cs="仿宋_GB2312"/>
          <w:sz w:val="32"/>
          <w:szCs w:val="32"/>
          <w:lang w:val="en-US" w:eastAsia="zh-CN"/>
        </w:rPr>
        <w:t>第九十五条第一项</w:t>
      </w:r>
      <w:r>
        <w:rPr>
          <w:rStyle w:val="17"/>
          <w:rFonts w:hint="eastAsia" w:ascii="Times New Roman" w:hAnsi="Times New Roman" w:eastAsia="仿宋_GB2312"/>
          <w:sz w:val="32"/>
          <w:szCs w:val="32"/>
          <w:lang w:val="en-US" w:eastAsia="zh-CN"/>
        </w:rPr>
        <w:t>[</w:t>
      </w:r>
      <w:r>
        <w:rPr>
          <w:rStyle w:val="17"/>
          <w:rFonts w:hint="eastAsia" w:ascii="Times New Roman" w:hAnsi="Times New Roman" w:eastAsia="仿宋_GB2312"/>
          <w:sz w:val="32"/>
          <w:szCs w:val="32"/>
          <w:lang w:val="en-US" w:eastAsia="zh-CN"/>
        </w:rPr>
        <w:footnoteReference w:id="8"/>
      </w:r>
      <w:r>
        <w:rPr>
          <w:rStyle w:val="17"/>
          <w:rFonts w:hint="eastAsia" w:ascii="Times New Roman" w:hAnsi="Times New Roman" w:eastAsia="仿宋_GB2312"/>
          <w:sz w:val="32"/>
          <w:szCs w:val="32"/>
          <w:lang w:val="en-US" w:eastAsia="zh-CN"/>
        </w:rPr>
        <w:t>]</w:t>
      </w:r>
      <w:r>
        <w:rPr>
          <w:rFonts w:hint="eastAsia" w:ascii="仿宋_GB2312" w:hAnsi="Times New Roman" w:eastAsia="仿宋_GB2312" w:cs="仿宋_GB2312"/>
          <w:sz w:val="32"/>
          <w:szCs w:val="32"/>
          <w:lang w:val="en-US" w:eastAsia="zh-CN"/>
        </w:rPr>
        <w:t>的规定</w:t>
      </w:r>
      <w:r>
        <w:rPr>
          <w:rFonts w:hint="eastAsia" w:ascii="仿宋_GB2312" w:hAnsi="黑体" w:eastAsia="仿宋_GB2312" w:cs="黑体"/>
          <w:sz w:val="32"/>
          <w:szCs w:val="32"/>
          <w:lang w:eastAsia="zh-CN"/>
        </w:rPr>
        <w:t>，</w:t>
      </w:r>
      <w:r>
        <w:rPr>
          <w:rFonts w:eastAsia="仿宋_GB2312"/>
          <w:sz w:val="32"/>
          <w:szCs w:val="32"/>
        </w:rPr>
        <w:t>建议由区应急管理局对</w:t>
      </w:r>
      <w:r>
        <w:rPr>
          <w:rFonts w:hint="eastAsia" w:eastAsia="仿宋_GB2312"/>
          <w:sz w:val="32"/>
          <w:szCs w:val="32"/>
          <w:lang w:val="en-US" w:eastAsia="zh-CN"/>
        </w:rPr>
        <w:t>王某某</w:t>
      </w:r>
      <w:r>
        <w:rPr>
          <w:rFonts w:hint="eastAsia" w:eastAsia="仿宋_GB2312"/>
          <w:sz w:val="32"/>
          <w:szCs w:val="32"/>
          <w:lang w:eastAsia="zh-CN"/>
        </w:rPr>
        <w:t>处</w:t>
      </w:r>
      <w:r>
        <w:rPr>
          <w:rFonts w:eastAsia="仿宋_GB2312"/>
          <w:sz w:val="32"/>
          <w:szCs w:val="32"/>
        </w:rPr>
        <w:t>上一年年收入</w:t>
      </w:r>
      <w:r>
        <w:rPr>
          <w:rFonts w:hint="eastAsia" w:ascii="仿宋_GB2312" w:hAnsi="Times New Roman" w:eastAsia="仿宋_GB2312" w:cs="仿宋_GB2312"/>
          <w:sz w:val="32"/>
          <w:szCs w:val="32"/>
          <w:lang w:val="en-US" w:eastAsia="zh-CN"/>
        </w:rPr>
        <w:t>40%</w:t>
      </w:r>
      <w:r>
        <w:rPr>
          <w:rFonts w:eastAsia="仿宋_GB2312"/>
          <w:sz w:val="32"/>
          <w:szCs w:val="32"/>
        </w:rPr>
        <w:t>的罚款</w:t>
      </w:r>
      <w:r>
        <w:rPr>
          <w:rFonts w:hint="eastAsia" w:eastAsia="仿宋_GB2312"/>
          <w:sz w:val="32"/>
          <w:szCs w:val="32"/>
          <w:lang w:eastAsia="zh-CN"/>
        </w:rPr>
        <w:t>，</w:t>
      </w:r>
      <w:r>
        <w:rPr>
          <w:rFonts w:hint="eastAsia" w:ascii="仿宋_GB2312" w:hAnsi="黑体" w:eastAsia="仿宋_GB2312" w:cs="黑体"/>
          <w:sz w:val="32"/>
          <w:szCs w:val="32"/>
          <w:lang w:val="en-US" w:eastAsia="zh-CN"/>
        </w:rPr>
        <w:t>处</w:t>
      </w:r>
      <w:r>
        <w:rPr>
          <w:rFonts w:hint="eastAsia" w:eastAsia="仿宋_GB2312"/>
          <w:sz w:val="32"/>
          <w:szCs w:val="32"/>
          <w:lang w:eastAsia="zh-CN"/>
        </w:rPr>
        <w:t>人</w:t>
      </w:r>
      <w:r>
        <w:rPr>
          <w:rFonts w:hint="eastAsia" w:ascii="仿宋_GB2312" w:hAnsi="黑体" w:eastAsia="仿宋_GB2312" w:cs="黑体"/>
          <w:sz w:val="32"/>
          <w:szCs w:val="32"/>
          <w:lang w:eastAsia="zh-CN"/>
        </w:rPr>
        <w:t>民币</w:t>
      </w:r>
      <w:r>
        <w:rPr>
          <w:rFonts w:hint="eastAsia" w:ascii="仿宋_GB2312" w:hAnsi="黑体" w:eastAsia="仿宋_GB2312" w:cs="黑体"/>
          <w:sz w:val="32"/>
          <w:szCs w:val="32"/>
          <w:lang w:val="en-US" w:eastAsia="zh-CN"/>
        </w:rPr>
        <w:t>4.78万元的</w:t>
      </w:r>
      <w:r>
        <w:rPr>
          <w:rFonts w:ascii="仿宋_GB2312" w:hAnsi="黑体" w:eastAsia="仿宋_GB2312" w:cs="黑体"/>
          <w:sz w:val="32"/>
          <w:szCs w:val="32"/>
          <w:lang w:val="en"/>
        </w:rPr>
        <w:t>罚款</w:t>
      </w:r>
      <w:r>
        <w:rPr>
          <w:rFonts w:hint="eastAsia" w:ascii="仿宋_GB2312" w:hAnsi="黑体" w:eastAsia="仿宋_GB2312" w:cs="黑体"/>
          <w:sz w:val="32"/>
          <w:szCs w:val="32"/>
        </w:rPr>
        <w:t>。</w:t>
      </w:r>
    </w:p>
    <w:p>
      <w:pPr>
        <w:pStyle w:val="3"/>
        <w:bidi w:val="0"/>
        <w:rPr>
          <w:rFonts w:hint="default"/>
          <w:lang w:val="en-US" w:eastAsia="zh-CN"/>
        </w:rPr>
      </w:pPr>
      <w:bookmarkStart w:id="97" w:name="_Toc13584"/>
      <w:r>
        <w:rPr>
          <w:rFonts w:hint="eastAsia"/>
          <w:lang w:val="en-US" w:eastAsia="zh-CN"/>
        </w:rPr>
        <w:t>（三）</w:t>
      </w:r>
      <w:r>
        <w:rPr>
          <w:rFonts w:hint="eastAsia" w:ascii="仿宋_GB2312" w:hAnsi="黑体" w:eastAsia="仿宋_GB2312" w:cs="黑体"/>
          <w:kern w:val="2"/>
          <w:sz w:val="32"/>
          <w:szCs w:val="32"/>
          <w:lang w:val="en-US" w:eastAsia="zh-CN" w:bidi="ar-SA"/>
        </w:rPr>
        <w:t>建议区安委会办公室对双塘镇人民政府进行约谈。</w:t>
      </w:r>
      <w:bookmarkEnd w:id="97"/>
    </w:p>
    <w:p>
      <w:pPr>
        <w:pStyle w:val="2"/>
        <w:bidi w:val="0"/>
        <w:rPr>
          <w:rFonts w:hint="eastAsia"/>
        </w:rPr>
      </w:pPr>
      <w:r>
        <w:rPr>
          <w:rFonts w:hint="eastAsia"/>
          <w:lang w:val="en-US" w:eastAsia="zh-CN"/>
        </w:rPr>
        <w:t xml:space="preserve"> </w:t>
      </w:r>
      <w:bookmarkStart w:id="98" w:name="_Toc32561"/>
      <w:bookmarkStart w:id="99" w:name="_Toc1104"/>
      <w:bookmarkStart w:id="100" w:name="_Toc31100"/>
      <w:bookmarkStart w:id="101" w:name="_Toc22812"/>
      <w:r>
        <w:rPr>
          <w:rFonts w:hint="eastAsia"/>
          <w:lang w:eastAsia="zh-CN"/>
        </w:rPr>
        <w:t>六、</w:t>
      </w:r>
      <w:r>
        <w:t>事故防范和整改措施</w:t>
      </w:r>
      <w:r>
        <w:rPr>
          <w:rFonts w:hint="eastAsia"/>
        </w:rPr>
        <w:t>建议</w:t>
      </w:r>
      <w:bookmarkEnd w:id="98"/>
      <w:bookmarkEnd w:id="99"/>
      <w:bookmarkEnd w:id="100"/>
      <w:bookmarkEnd w:id="101"/>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黑体" w:eastAsia="仿宋_GB2312" w:cs="黑体"/>
          <w:sz w:val="32"/>
          <w:szCs w:val="32"/>
          <w:lang w:val="en-US" w:eastAsia="zh-CN"/>
        </w:rPr>
        <w:t>1.静双海翔公司要结合本单位生产工艺流程修订安全生产操作规程，明确米数标记作业的</w:t>
      </w:r>
      <w:r>
        <w:rPr>
          <w:rFonts w:hint="eastAsia" w:ascii="仿宋_GB2312" w:hAnsi="仿宋_GB2312" w:eastAsia="仿宋_GB2312" w:cs="仿宋_GB2312"/>
          <w:sz w:val="32"/>
          <w:szCs w:val="32"/>
          <w:lang w:val="en-US" w:eastAsia="zh-CN"/>
        </w:rPr>
        <w:t>禁止事项以及紧急情况现场处置措施等内容。建议优先采用自动化方式对钢丝绳作标记，以实现设备本质化安全。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2.静双海翔公司要</w:t>
      </w:r>
      <w:r>
        <w:rPr>
          <w:rFonts w:hint="eastAsia" w:ascii="仿宋_GB2312" w:hAnsi="仿宋_GB2312" w:eastAsia="仿宋_GB2312" w:cs="仿宋_GB2312"/>
          <w:sz w:val="32"/>
          <w:szCs w:val="32"/>
          <w:lang w:val="en-US" w:eastAsia="zh-CN"/>
        </w:rPr>
        <w:t>全方位、全过程辨识设备设施存在的安全风险，对合绳机存在的危险因素重新辨识，对辨识出的全部安全风险进行分类管理，落实生产经营单位、车间、班组和岗位的管控责任，制作岗位安全风险告知卡，对从业人员进行风险教育和技能培训。</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黑体" w:eastAsia="仿宋_GB2312" w:cs="黑体"/>
          <w:sz w:val="32"/>
          <w:szCs w:val="32"/>
          <w:lang w:val="en-US" w:eastAsia="zh-CN"/>
        </w:rPr>
      </w:pPr>
      <w:r>
        <w:rPr>
          <w:rFonts w:hint="eastAsia" w:ascii="仿宋_GB2312" w:hAnsi="仿宋_GB2312" w:eastAsia="仿宋_GB2312" w:cs="仿宋_GB2312"/>
          <w:sz w:val="32"/>
          <w:szCs w:val="32"/>
          <w:lang w:val="en-US" w:eastAsia="zh-CN"/>
        </w:rPr>
        <w:t>3.静双海翔公司要严格落实</w:t>
      </w:r>
      <w:r>
        <w:rPr>
          <w:rFonts w:hint="eastAsia" w:ascii="仿宋_GB2312" w:hAnsi="黑体" w:eastAsia="仿宋_GB2312" w:cs="黑体"/>
          <w:sz w:val="32"/>
          <w:szCs w:val="32"/>
          <w:lang w:val="en-US" w:eastAsia="zh-CN"/>
        </w:rPr>
        <w:t>隐患排查治理</w:t>
      </w:r>
      <w:r>
        <w:rPr>
          <w:rFonts w:ascii="Times New Roman" w:hAnsi="Times New Roman" w:eastAsia="仿宋_GB2312"/>
          <w:sz w:val="32"/>
          <w:szCs w:val="32"/>
        </w:rPr>
        <w:t>工作机制，</w:t>
      </w:r>
      <w:r>
        <w:rPr>
          <w:rFonts w:hint="eastAsia" w:ascii="Times New Roman" w:hAnsi="Times New Roman" w:eastAsia="仿宋_GB2312"/>
          <w:sz w:val="32"/>
          <w:szCs w:val="32"/>
          <w:lang w:eastAsia="zh-CN"/>
        </w:rPr>
        <w:t>结合《安全风险分级管控和隐患排查治理双重预防机制建设管理手册》有针对性地</w:t>
      </w:r>
      <w:r>
        <w:rPr>
          <w:rFonts w:hint="eastAsia" w:ascii="仿宋_GB2312" w:hAnsi="黑体" w:eastAsia="仿宋_GB2312" w:cs="黑体"/>
          <w:sz w:val="32"/>
          <w:szCs w:val="32"/>
          <w:lang w:val="en-US" w:eastAsia="zh-CN"/>
        </w:rPr>
        <w:t>开展隐患排查治理工作，将排查出来的事故隐患及时整改，对发现的违章作业及时制止、纠正。</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黑体" w:eastAsia="仿宋_GB2312" w:cs="黑体"/>
          <w:sz w:val="32"/>
          <w:szCs w:val="32"/>
          <w:lang w:val="en-US" w:eastAsia="zh-CN"/>
        </w:rPr>
      </w:pPr>
      <w:r>
        <w:rPr>
          <w:rFonts w:hint="eastAsia" w:ascii="仿宋_GB2312" w:hAnsi="黑体" w:eastAsia="仿宋_GB2312" w:cs="黑体"/>
          <w:sz w:val="32"/>
          <w:szCs w:val="32"/>
          <w:lang w:val="en-US" w:eastAsia="zh-CN"/>
        </w:rPr>
        <w:t>4.双塘镇人民政府要深刻吸取事故教训，加强对检查人员的教育培训，提升业务能力水平，严查设备设施安全防护落实情况和安全生产操作规程，推动企业落实安全生产主体责任，坚决遏制类似事故再次发生。</w:t>
      </w:r>
    </w:p>
    <w:p>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sz w:val="32"/>
          <w:szCs w:val="32"/>
          <w:lang w:val="en-US" w:eastAsia="zh-CN"/>
        </w:rPr>
      </w:pPr>
      <w:r>
        <w:rPr>
          <w:rFonts w:hint="eastAsia" w:ascii="仿宋_GB2312" w:hAnsi="黑体" w:eastAsia="仿宋_GB2312" w:cs="黑体"/>
          <w:sz w:val="32"/>
          <w:szCs w:val="32"/>
          <w:lang w:val="en-US" w:eastAsia="zh-CN"/>
        </w:rPr>
        <w:t xml:space="preserve">    </w:t>
      </w:r>
    </w:p>
    <w:sectPr>
      <w:footerReference r:id="rId11" w:type="default"/>
      <w:pgSz w:w="11906" w:h="16838"/>
      <w:pgMar w:top="2041" w:right="1559" w:bottom="1701" w:left="1559" w:header="851" w:footer="170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6"/>
      </w:rPr>
    </w:pPr>
    <w:r>
      <w:fldChar w:fldCharType="begin"/>
    </w:r>
    <w:r>
      <w:rPr>
        <w:rStyle w:val="16"/>
      </w:rPr>
      <w:instrText xml:space="preserve">PAGE  </w:instrText>
    </w:r>
    <w:r>
      <w:fldChar w:fldCharType="end"/>
    </w:r>
  </w:p>
  <w:p>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Style w:val="16"/>
                              <w:sz w:val="28"/>
                              <w:szCs w:val="28"/>
                            </w:rPr>
                          </w:pPr>
                          <w:r>
                            <w:rPr>
                              <w:rFonts w:hint="eastAsia" w:ascii="宋体" w:hAnsi="宋体" w:cs="宋体"/>
                              <w:sz w:val="28"/>
                              <w:szCs w:val="28"/>
                            </w:rPr>
                            <w:fldChar w:fldCharType="begin"/>
                          </w:r>
                          <w:r>
                            <w:rPr>
                              <w:rStyle w:val="16"/>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6"/>
                              <w:rFonts w:ascii="宋体" w:hAnsi="宋体" w:cs="宋体"/>
                              <w:sz w:val="28"/>
                              <w:szCs w:val="28"/>
                            </w:rP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CIngssBAACcAwAADgAAAGRycy9lMm9Eb2MueG1srVPNjtMwEL4j8Q6W&#10;79RpB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AiJ4LLAQAAnAMAAA4AAAAAAAAAAQAgAAAAHgEAAGRycy9lMm9E&#10;b2MueG1sUEsFBgAAAAAGAAYAWQEAAFsFAAAAAA==&#10;">
              <v:fill on="f" focussize="0,0"/>
              <v:stroke on="f"/>
              <v:imagedata o:title=""/>
              <o:lock v:ext="edit" aspectratio="f"/>
              <v:textbox inset="0mm,0mm,0mm,0mm" style="mso-fit-shape-to-text:t;">
                <w:txbxContent>
                  <w:p>
                    <w:pPr>
                      <w:pStyle w:val="7"/>
                      <w:rPr>
                        <w:rStyle w:val="16"/>
                        <w:sz w:val="28"/>
                        <w:szCs w:val="28"/>
                      </w:rPr>
                    </w:pPr>
                    <w:r>
                      <w:rPr>
                        <w:rFonts w:hint="eastAsia" w:ascii="宋体" w:hAnsi="宋体" w:cs="宋体"/>
                        <w:sz w:val="28"/>
                        <w:szCs w:val="28"/>
                      </w:rPr>
                      <w:fldChar w:fldCharType="begin"/>
                    </w:r>
                    <w:r>
                      <w:rPr>
                        <w:rStyle w:val="16"/>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6"/>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《天津市生产经营单位安全生产主体责任规定》第十三条</w:t>
      </w:r>
      <w:r>
        <w:rPr>
          <w:rFonts w:hint="eastAsia"/>
          <w:lang w:val="en-US" w:eastAsia="zh-CN"/>
        </w:rPr>
        <w:t>“</w:t>
      </w:r>
      <w:r>
        <w:rPr>
          <w:rFonts w:hint="eastAsia"/>
        </w:rPr>
        <w:t>生产经营单位的主要负责人应当依照法律、法规、规章和标准，结合本单位生产工艺流程、技术设备特点以及岗位作业安全风险等情况，组织制定安全生产操作规程。安全生产操作规程应当覆盖本单位生产经营的全部作业活动，并明确安全操作要求、作业环境要求、作业防护要求、禁止事项、紧急情况现场处置措施等内容。</w:t>
      </w:r>
      <w:r>
        <w:rPr>
          <w:rFonts w:hint="eastAsia"/>
          <w:lang w:val="en-US" w:eastAsia="zh-CN"/>
        </w:rPr>
        <w:t>”</w:t>
      </w:r>
    </w:p>
  </w:footnote>
  <w:footnote w:id="1">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《中华人民共和国安全生产法》第四十一条</w:t>
      </w:r>
      <w:r>
        <w:rPr>
          <w:rFonts w:hint="eastAsia"/>
          <w:lang w:val="en-US" w:eastAsia="zh-CN"/>
        </w:rPr>
        <w:t>第一款“</w:t>
      </w:r>
      <w:r>
        <w:rPr>
          <w:rFonts w:hint="eastAsia"/>
        </w:rPr>
        <w:t>生产经营单位应当建立安全风险分级管控制度，按照安全风险分级采取相应的管控措施。</w:t>
      </w:r>
      <w:r>
        <w:rPr>
          <w:rFonts w:hint="eastAsia"/>
          <w:lang w:val="en-US" w:eastAsia="zh-CN"/>
        </w:rPr>
        <w:t>”</w:t>
      </w:r>
    </w:p>
  </w:footnote>
  <w:footnote w:id="2">
    <w:p>
      <w:pPr>
        <w:pStyle w:val="10"/>
        <w:snapToGrid w:val="0"/>
        <w:rPr>
          <w:rFonts w:hint="eastAsia" w:eastAsia="微软雅黑"/>
          <w:lang w:eastAsia="zh-CN"/>
        </w:rPr>
      </w:pPr>
      <w:r>
        <w:rPr>
          <w:rFonts w:hint="eastAsia"/>
          <w:lang w:val="en-US" w:eastAsia="zh-CN"/>
        </w:rPr>
        <w:t>[</w:t>
      </w:r>
      <w:r>
        <w:rPr>
          <w:rFonts w:hint="eastAsia"/>
        </w:rPr>
        <w:footnoteRef/>
      </w:r>
      <w:r>
        <w:rPr>
          <w:rFonts w:hint="eastAsia"/>
          <w:lang w:val="en-US" w:eastAsia="zh-CN"/>
        </w:rPr>
        <w:t>]</w:t>
      </w:r>
      <w:r>
        <w:rPr>
          <w:rFonts w:hint="eastAsia"/>
        </w:rPr>
        <w:t xml:space="preserve"> 《天津市生产经营单位安全生产主体责任规定》第二十条 </w:t>
      </w:r>
      <w:r>
        <w:rPr>
          <w:rFonts w:hint="eastAsia"/>
          <w:lang w:eastAsia="zh-CN"/>
        </w:rPr>
        <w:t>“</w:t>
      </w:r>
      <w:r>
        <w:rPr>
          <w:rFonts w:hint="eastAsia"/>
        </w:rPr>
        <w:t>生产经营单位应当履行下列安全风险分级管控责任：（</w:t>
      </w:r>
      <w:r>
        <w:rPr>
          <w:rFonts w:hint="eastAsia"/>
          <w:lang w:val="en-US" w:eastAsia="zh-CN"/>
        </w:rPr>
        <w:t>一</w:t>
      </w:r>
      <w:r>
        <w:rPr>
          <w:rFonts w:hint="eastAsia"/>
        </w:rPr>
        <w:t>）</w:t>
      </w:r>
      <w:r>
        <w:rPr>
          <w:rFonts w:hint="eastAsia"/>
          <w:lang w:val="en"/>
        </w:rPr>
        <w:t>落实安全风险分级管控制度，开展安全风险的辨识、评估、公告、防控等工作</w:t>
      </w:r>
      <w:r>
        <w:rPr>
          <w:rFonts w:hint="eastAsia"/>
        </w:rPr>
        <w:t>；（</w:t>
      </w:r>
      <w:r>
        <w:rPr>
          <w:rFonts w:hint="eastAsia"/>
          <w:lang w:eastAsia="zh-CN"/>
        </w:rPr>
        <w:t>五</w:t>
      </w:r>
      <w:r>
        <w:rPr>
          <w:rFonts w:hint="eastAsia"/>
        </w:rPr>
        <w:t>）</w:t>
      </w:r>
      <w:r>
        <w:rPr>
          <w:rFonts w:hint="eastAsia"/>
          <w:lang w:val="en"/>
        </w:rPr>
        <w:t>采取消除、替代、运用技术手段、隔离危险源、实施个体防护、设置监控设施等措施，对辨识出的安全风险进行有效管控</w:t>
      </w:r>
      <w:r>
        <w:rPr>
          <w:rFonts w:hint="eastAsia"/>
          <w:lang w:eastAsia="zh-CN"/>
        </w:rPr>
        <w:t>。”</w:t>
      </w:r>
    </w:p>
  </w:footnote>
  <w:footnote w:id="3">
    <w:p>
      <w:pPr>
        <w:pStyle w:val="10"/>
        <w:snapToGrid w:val="0"/>
        <w:rPr>
          <w:rFonts w:hint="eastAsia"/>
        </w:rPr>
      </w:pPr>
      <w:r>
        <w:rPr>
          <w:rFonts w:hint="eastAsia"/>
          <w:lang w:val="en-US" w:eastAsia="zh-CN"/>
        </w:rPr>
        <w:t>[</w:t>
      </w:r>
      <w:r>
        <w:rPr>
          <w:rFonts w:hint="eastAsia"/>
        </w:rPr>
        <w:footnoteRef/>
      </w:r>
      <w:r>
        <w:rPr>
          <w:rFonts w:hint="eastAsia"/>
          <w:lang w:val="en-US" w:eastAsia="zh-CN"/>
        </w:rPr>
        <w:t>]</w:t>
      </w:r>
      <w:r>
        <w:rPr>
          <w:rFonts w:hint="eastAsia"/>
        </w:rPr>
        <w:t xml:space="preserve"> 《中华人民共和国安全生产法》第四十一条</w:t>
      </w:r>
      <w:r>
        <w:rPr>
          <w:rFonts w:hint="eastAsia"/>
          <w:lang w:val="en-US" w:eastAsia="zh-CN"/>
        </w:rPr>
        <w:t>第二款</w:t>
      </w:r>
      <w:r>
        <w:rPr>
          <w:rFonts w:hint="eastAsia"/>
          <w:lang w:eastAsia="zh-CN"/>
        </w:rPr>
        <w:t>“</w:t>
      </w:r>
      <w:r>
        <w:rPr>
          <w:rFonts w:hint="eastAsia"/>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r>
        <w:rPr>
          <w:rFonts w:hint="eastAsia"/>
          <w:lang w:eastAsia="zh-CN"/>
        </w:rPr>
        <w:t>”</w:t>
      </w:r>
    </w:p>
  </w:footnote>
  <w:footnote w:id="4">
    <w:p>
      <w:pPr>
        <w:pStyle w:val="10"/>
        <w:snapToGrid w:val="0"/>
        <w:rPr>
          <w:rFonts w:hint="eastAsia" w:eastAsia="微软雅黑"/>
          <w:lang w:eastAsia="zh-CN"/>
        </w:rPr>
      </w:pPr>
      <w:r>
        <w:rPr>
          <w:rFonts w:hint="eastAsia"/>
          <w:lang w:val="en-US" w:eastAsia="zh-CN"/>
        </w:rPr>
        <w:t>[</w:t>
      </w:r>
      <w:r>
        <w:rPr>
          <w:rFonts w:hint="eastAsia"/>
        </w:rPr>
        <w:footnoteRef/>
      </w:r>
      <w:r>
        <w:rPr>
          <w:rFonts w:hint="eastAsia"/>
          <w:lang w:val="en-US" w:eastAsia="zh-CN"/>
        </w:rPr>
        <w:t>]</w:t>
      </w:r>
      <w:r>
        <w:rPr>
          <w:rFonts w:hint="eastAsia"/>
        </w:rPr>
        <w:t xml:space="preserve"> 《天津市生产经营单位安全生产主体责任规定》第二十一条</w:t>
      </w:r>
      <w:r>
        <w:rPr>
          <w:rFonts w:hint="eastAsia"/>
          <w:lang w:eastAsia="zh-CN"/>
        </w:rPr>
        <w:t>“</w:t>
      </w:r>
      <w:r>
        <w:rPr>
          <w:rFonts w:hint="eastAsia"/>
        </w:rPr>
        <w:t>生产经营单位应当履行下列隐患排查治理责任：（四）对于一般事故隐患立即组织整改，对于重大事故隐患制定并实施事故隐患整改方案，设置警戒标识，采取应急措施，公示事故隐患的危害程度、影响范围，并落实整改措施、责任、资金、时限和事故应急预案，按期完成整改，确保隐患消除</w:t>
      </w:r>
      <w:r>
        <w:rPr>
          <w:rFonts w:hint="eastAsia"/>
          <w:lang w:eastAsia="zh-CN"/>
        </w:rPr>
        <w:t>。”</w:t>
      </w:r>
    </w:p>
  </w:footnote>
  <w:footnote w:id="5">
    <w:p>
      <w:pPr>
        <w:pStyle w:val="10"/>
        <w:snapToGrid w:val="0"/>
        <w:rPr>
          <w:rFonts w:hint="eastAsia" w:eastAsia="微软雅黑"/>
          <w:lang w:eastAsia="zh-CN"/>
        </w:rPr>
      </w:pPr>
      <w:r>
        <w:rPr>
          <w:rFonts w:hint="eastAsia"/>
          <w:lang w:val="en-US" w:eastAsia="zh-CN"/>
        </w:rPr>
        <w:t>[</w:t>
      </w:r>
      <w:r>
        <w:rPr>
          <w:rFonts w:hint="eastAsia"/>
        </w:rPr>
        <w:footnoteRef/>
      </w:r>
      <w:r>
        <w:rPr>
          <w:rFonts w:hint="eastAsia"/>
          <w:lang w:val="en-US" w:eastAsia="zh-CN"/>
        </w:rPr>
        <w:t>]</w:t>
      </w:r>
      <w:r>
        <w:rPr>
          <w:rFonts w:hint="eastAsia"/>
        </w:rPr>
        <w:t xml:space="preserve"> 《中华人民共和国安全生产法》</w:t>
      </w:r>
      <w:r>
        <w:rPr>
          <w:rFonts w:hint="default"/>
        </w:rPr>
        <w:t>第一百一十四条</w:t>
      </w:r>
      <w:r>
        <w:rPr>
          <w:rFonts w:hint="eastAsia"/>
          <w:lang w:val="en-US" w:eastAsia="zh-CN"/>
        </w:rPr>
        <w:t>第一款</w:t>
      </w:r>
      <w:r>
        <w:rPr>
          <w:rFonts w:hint="eastAsia"/>
          <w:lang w:eastAsia="zh-CN"/>
        </w:rPr>
        <w:t>“</w:t>
      </w:r>
      <w:r>
        <w:rPr>
          <w:rFonts w:hint="default"/>
        </w:rPr>
        <w:t>发生生产安全事故，对负有责任的生产经营单位除要求其依法承担相应的赔偿等责任外，由应急管理部门依照下列规定处以罚款:（一）发生一般事故的，处三十万元以上一百万元以下的罚款</w:t>
      </w:r>
      <w:r>
        <w:rPr>
          <w:rFonts w:hint="eastAsia"/>
          <w:lang w:eastAsia="zh-CN"/>
        </w:rPr>
        <w:t>。”</w:t>
      </w:r>
    </w:p>
  </w:footnote>
  <w:footnote w:id="6">
    <w:p>
      <w:pPr>
        <w:pStyle w:val="10"/>
        <w:snapToGrid w:val="0"/>
        <w:rPr>
          <w:rFonts w:hint="default"/>
          <w:lang w:val="en-US" w:eastAsia="zh-CN"/>
        </w:rPr>
      </w:pPr>
      <w:r>
        <w:rPr>
          <w:rFonts w:hint="eastAsia"/>
        </w:rPr>
        <w:t>[</w:t>
      </w:r>
      <w:r>
        <w:rPr>
          <w:rFonts w:hint="eastAsia"/>
        </w:rPr>
        <w:footnoteRef/>
      </w:r>
      <w:r>
        <w:rPr>
          <w:rFonts w:hint="eastAsia"/>
        </w:rPr>
        <w:t xml:space="preserve">] </w:t>
      </w:r>
      <w:r>
        <w:rPr>
          <w:rFonts w:hint="eastAsia"/>
          <w:lang w:val="en-US" w:eastAsia="zh-CN"/>
        </w:rPr>
        <w:t>《生产安全事故罚款处罚规</w:t>
      </w:r>
      <w:r>
        <w:rPr>
          <w:rFonts w:hint="eastAsia"/>
          <w:color w:val="auto"/>
          <w:lang w:val="en-US" w:eastAsia="zh-CN"/>
        </w:rPr>
        <w:t>定》（</w:t>
      </w:r>
      <w:r>
        <w:rPr>
          <w:rFonts w:hint="eastAsia"/>
          <w:lang w:val="en-US" w:eastAsia="zh-CN"/>
        </w:rPr>
        <w:t>中华人民共和国应急管理部第14号令</w:t>
      </w:r>
      <w:r>
        <w:rPr>
          <w:rFonts w:hint="eastAsia"/>
          <w:color w:val="auto"/>
          <w:lang w:val="en-US" w:eastAsia="zh-CN"/>
        </w:rPr>
        <w:t>）第十四条“事故发生单位对一般事故负有责任的，依照下列规定处以罚款：</w:t>
      </w:r>
      <w:r>
        <w:rPr>
          <w:rFonts w:hint="default"/>
          <w:lang w:val="en-US" w:eastAsia="zh-CN"/>
        </w:rPr>
        <w:t>（二）造成1人死亡，或者3人以上6人以下重伤，或者300万元以上500万元以下直接经济损失的，处50万元以上70万元以下的罚款</w:t>
      </w:r>
      <w:r>
        <w:rPr>
          <w:rFonts w:hint="eastAsia"/>
          <w:lang w:val="en-US" w:eastAsia="zh-CN"/>
        </w:rPr>
        <w:t>。</w:t>
      </w:r>
      <w:r>
        <w:rPr>
          <w:rFonts w:hint="eastAsia"/>
          <w:color w:val="auto"/>
          <w:lang w:val="en-US" w:eastAsia="zh-CN"/>
        </w:rPr>
        <w:t>”</w:t>
      </w:r>
    </w:p>
  </w:footnote>
  <w:footnote w:id="7">
    <w:p>
      <w:pPr>
        <w:pStyle w:val="10"/>
        <w:snapToGrid w:val="0"/>
        <w:rPr>
          <w:rFonts w:hint="eastAsia" w:eastAsia="微软雅黑"/>
          <w:lang w:val="en-US" w:eastAsia="zh-CN"/>
        </w:rPr>
      </w:pPr>
      <w:r>
        <w:rPr>
          <w:rFonts w:hint="eastAsia"/>
          <w:lang w:val="en-US" w:eastAsia="zh-CN"/>
        </w:rPr>
        <w:t>[</w:t>
      </w:r>
      <w:r>
        <w:rPr>
          <w:rFonts w:hint="default"/>
        </w:rPr>
        <w:footnoteRef/>
      </w:r>
      <w:r>
        <w:rPr>
          <w:rFonts w:hint="eastAsia"/>
          <w:lang w:val="en-US" w:eastAsia="zh-CN"/>
        </w:rPr>
        <w:t>]</w:t>
      </w:r>
      <w:r>
        <w:rPr>
          <w:rFonts w:hint="default"/>
        </w:rPr>
        <w:t xml:space="preserve"> 《中华人民共和国安全生产法》</w:t>
      </w:r>
      <w:r>
        <w:rPr>
          <w:rFonts w:hint="eastAsia"/>
        </w:rPr>
        <w:t>第二十一条</w:t>
      </w:r>
      <w:r>
        <w:rPr>
          <w:rFonts w:hint="eastAsia"/>
          <w:lang w:eastAsia="zh-CN"/>
        </w:rPr>
        <w:t>“</w:t>
      </w:r>
      <w:r>
        <w:rPr>
          <w:rFonts w:hint="eastAsia"/>
        </w:rPr>
        <w:t>生产经营单位的主要负责人对本单位安全生产工作负有下列职责:（五）组织建立并落实安全风险分级管控和隐患排查治理双重预防工作机制，督促、检查本单位的安全生产工作，及时消除生产安全事故隐患</w:t>
      </w:r>
      <w:r>
        <w:rPr>
          <w:rFonts w:hint="eastAsia"/>
          <w:lang w:eastAsia="zh-CN"/>
        </w:rPr>
        <w:t>。”</w:t>
      </w:r>
    </w:p>
  </w:footnote>
  <w:footnote w:id="8">
    <w:p>
      <w:pPr>
        <w:pStyle w:val="10"/>
        <w:snapToGrid w:val="0"/>
        <w:rPr>
          <w:rFonts w:hint="eastAsia"/>
          <w:lang w:eastAsia="zh-CN"/>
        </w:rPr>
      </w:pPr>
      <w:r>
        <w:rPr>
          <w:rFonts w:hint="eastAsia"/>
          <w:lang w:val="en-US" w:eastAsia="zh-CN"/>
        </w:rPr>
        <w:t>[</w:t>
      </w:r>
      <w:r>
        <w:rPr>
          <w:rFonts w:hint="default"/>
        </w:rPr>
        <w:footnoteRef/>
      </w:r>
      <w:r>
        <w:rPr>
          <w:rFonts w:hint="eastAsia"/>
          <w:lang w:val="en-US" w:eastAsia="zh-CN"/>
        </w:rPr>
        <w:t>]</w:t>
      </w:r>
      <w:r>
        <w:rPr>
          <w:rFonts w:hint="default"/>
        </w:rPr>
        <w:t xml:space="preserve"> 《中华人民共和国安全生产法》</w:t>
      </w:r>
      <w:r>
        <w:rPr>
          <w:rFonts w:hint="eastAsia"/>
        </w:rPr>
        <w:t>第九十五条</w:t>
      </w:r>
      <w:r>
        <w:rPr>
          <w:rFonts w:hint="eastAsia"/>
          <w:lang w:eastAsia="zh-CN"/>
        </w:rPr>
        <w:t>“</w:t>
      </w:r>
      <w:r>
        <w:rPr>
          <w:rFonts w:hint="eastAsia"/>
        </w:rPr>
        <w:t>生产经营单位的主要负责人未履行本法规定的安全生产管理职责，导致发生生产安全事故的，由应急管理部门依照下列规定处以罚款:（一）发生一般事故的，处上一年年收入百分之四十的罚款</w:t>
      </w:r>
      <w:r>
        <w:rPr>
          <w:rFonts w:hint="eastAsia"/>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82E7ED"/>
    <w:multiLevelType w:val="singleLevel"/>
    <w:tmpl w:val="E082E7ED"/>
    <w:lvl w:ilvl="0" w:tentative="0">
      <w:start w:val="5"/>
      <w:numFmt w:val="chineseCounting"/>
      <w:suff w:val="nothing"/>
      <w:lvlText w:val="%1、"/>
      <w:lvlJc w:val="left"/>
      <w:rPr>
        <w:rFonts w:hint="eastAsia"/>
      </w:rPr>
    </w:lvl>
  </w:abstractNum>
  <w:abstractNum w:abstractNumId="1">
    <w:nsid w:val="66C2BD3A"/>
    <w:multiLevelType w:val="singleLevel"/>
    <w:tmpl w:val="66C2BD3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18"/>
    <w:footnote w:id="1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4ODU2M2RmNDRmZjNlY2NmYzE5ODhlYjhiOTRmMWY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D66F9"/>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0697"/>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558DE"/>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3986"/>
    <w:rsid w:val="0069653D"/>
    <w:rsid w:val="00697394"/>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10CF"/>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B6D7D"/>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329F"/>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0241A"/>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043AB8"/>
    <w:rsid w:val="01141316"/>
    <w:rsid w:val="01973B44"/>
    <w:rsid w:val="01E06868"/>
    <w:rsid w:val="01F3041C"/>
    <w:rsid w:val="0200793B"/>
    <w:rsid w:val="034F46D6"/>
    <w:rsid w:val="035A07A9"/>
    <w:rsid w:val="039853B6"/>
    <w:rsid w:val="03B804CE"/>
    <w:rsid w:val="03FF3601"/>
    <w:rsid w:val="03FF56E1"/>
    <w:rsid w:val="047B14FB"/>
    <w:rsid w:val="04AC4FFA"/>
    <w:rsid w:val="04AE367F"/>
    <w:rsid w:val="051A51B8"/>
    <w:rsid w:val="052B4CCF"/>
    <w:rsid w:val="053B62F9"/>
    <w:rsid w:val="055A55B4"/>
    <w:rsid w:val="060E6ACB"/>
    <w:rsid w:val="062A447C"/>
    <w:rsid w:val="06F25C63"/>
    <w:rsid w:val="06F3506B"/>
    <w:rsid w:val="071023CF"/>
    <w:rsid w:val="07822C2A"/>
    <w:rsid w:val="07E239BD"/>
    <w:rsid w:val="08444A26"/>
    <w:rsid w:val="0854278F"/>
    <w:rsid w:val="0896610C"/>
    <w:rsid w:val="096D3BBB"/>
    <w:rsid w:val="09B66A82"/>
    <w:rsid w:val="09CF6BF3"/>
    <w:rsid w:val="09D0734D"/>
    <w:rsid w:val="0A200008"/>
    <w:rsid w:val="0A712A1D"/>
    <w:rsid w:val="0AA10287"/>
    <w:rsid w:val="0AD36597"/>
    <w:rsid w:val="0B854033"/>
    <w:rsid w:val="0C065DC3"/>
    <w:rsid w:val="0C0B585A"/>
    <w:rsid w:val="0C7B29E0"/>
    <w:rsid w:val="0C851169"/>
    <w:rsid w:val="0CE642FD"/>
    <w:rsid w:val="0D450893"/>
    <w:rsid w:val="0DA25D4B"/>
    <w:rsid w:val="0DEE0F90"/>
    <w:rsid w:val="0E49572E"/>
    <w:rsid w:val="0EAA23DC"/>
    <w:rsid w:val="0EC711C5"/>
    <w:rsid w:val="0ED63C65"/>
    <w:rsid w:val="0F07055B"/>
    <w:rsid w:val="0F2C4B67"/>
    <w:rsid w:val="0F4075C9"/>
    <w:rsid w:val="0F4946D0"/>
    <w:rsid w:val="0F8B118C"/>
    <w:rsid w:val="0FB03EC1"/>
    <w:rsid w:val="10343A3C"/>
    <w:rsid w:val="10817376"/>
    <w:rsid w:val="10D8487D"/>
    <w:rsid w:val="113A27F3"/>
    <w:rsid w:val="114652DE"/>
    <w:rsid w:val="117F7050"/>
    <w:rsid w:val="11B21EC4"/>
    <w:rsid w:val="11CC15E8"/>
    <w:rsid w:val="12046FD4"/>
    <w:rsid w:val="12374CB3"/>
    <w:rsid w:val="123A7B01"/>
    <w:rsid w:val="1264760D"/>
    <w:rsid w:val="12DC3AAD"/>
    <w:rsid w:val="12EB16AE"/>
    <w:rsid w:val="130F79DE"/>
    <w:rsid w:val="13166FBF"/>
    <w:rsid w:val="133A279F"/>
    <w:rsid w:val="133D279D"/>
    <w:rsid w:val="139D445C"/>
    <w:rsid w:val="13AA2559"/>
    <w:rsid w:val="141F7B53"/>
    <w:rsid w:val="144E5B19"/>
    <w:rsid w:val="1492384F"/>
    <w:rsid w:val="14F94098"/>
    <w:rsid w:val="152D05F0"/>
    <w:rsid w:val="155F1A38"/>
    <w:rsid w:val="15806971"/>
    <w:rsid w:val="15D07D0B"/>
    <w:rsid w:val="165B5812"/>
    <w:rsid w:val="169A3A63"/>
    <w:rsid w:val="16FA74C1"/>
    <w:rsid w:val="176B1320"/>
    <w:rsid w:val="1777F757"/>
    <w:rsid w:val="17B40B54"/>
    <w:rsid w:val="17CE7E68"/>
    <w:rsid w:val="17D15614"/>
    <w:rsid w:val="17D9680D"/>
    <w:rsid w:val="17DB2585"/>
    <w:rsid w:val="17EB20F3"/>
    <w:rsid w:val="17FA10A1"/>
    <w:rsid w:val="180513B0"/>
    <w:rsid w:val="181A1635"/>
    <w:rsid w:val="184D6001"/>
    <w:rsid w:val="185F4E30"/>
    <w:rsid w:val="18792E4F"/>
    <w:rsid w:val="18891FE1"/>
    <w:rsid w:val="18A7312B"/>
    <w:rsid w:val="18BD1C8B"/>
    <w:rsid w:val="18E216F1"/>
    <w:rsid w:val="199B021E"/>
    <w:rsid w:val="19A40A22"/>
    <w:rsid w:val="19CC3D4F"/>
    <w:rsid w:val="19E63587"/>
    <w:rsid w:val="1A0758B3"/>
    <w:rsid w:val="1A7139D2"/>
    <w:rsid w:val="1A9C424D"/>
    <w:rsid w:val="1AB316BA"/>
    <w:rsid w:val="1B1A7868"/>
    <w:rsid w:val="1B5763C6"/>
    <w:rsid w:val="1BB85D7A"/>
    <w:rsid w:val="1BD244ED"/>
    <w:rsid w:val="1C6532C0"/>
    <w:rsid w:val="1C9C3DB5"/>
    <w:rsid w:val="1CA83493"/>
    <w:rsid w:val="1CAE20B1"/>
    <w:rsid w:val="1CEC0429"/>
    <w:rsid w:val="1CF96883"/>
    <w:rsid w:val="1D203EFF"/>
    <w:rsid w:val="1D2C232B"/>
    <w:rsid w:val="1D4E55A7"/>
    <w:rsid w:val="1D7C2114"/>
    <w:rsid w:val="1D9F518C"/>
    <w:rsid w:val="1DEB1048"/>
    <w:rsid w:val="1E4A0E7D"/>
    <w:rsid w:val="1E513FF3"/>
    <w:rsid w:val="1E804FAB"/>
    <w:rsid w:val="1EC16E29"/>
    <w:rsid w:val="1EEB4ADC"/>
    <w:rsid w:val="1EFF76EF"/>
    <w:rsid w:val="1F0A4FA5"/>
    <w:rsid w:val="1F1943BE"/>
    <w:rsid w:val="1F5F1CED"/>
    <w:rsid w:val="1F6F5AB9"/>
    <w:rsid w:val="200C59D1"/>
    <w:rsid w:val="204A66E0"/>
    <w:rsid w:val="20AF5F3A"/>
    <w:rsid w:val="20E753F6"/>
    <w:rsid w:val="22792CA9"/>
    <w:rsid w:val="22A04AF7"/>
    <w:rsid w:val="23A221A9"/>
    <w:rsid w:val="240F7FE9"/>
    <w:rsid w:val="245931AF"/>
    <w:rsid w:val="24E72569"/>
    <w:rsid w:val="25104A4A"/>
    <w:rsid w:val="25A91F14"/>
    <w:rsid w:val="25B14925"/>
    <w:rsid w:val="25DF1492"/>
    <w:rsid w:val="266F4F92"/>
    <w:rsid w:val="267A740D"/>
    <w:rsid w:val="27160864"/>
    <w:rsid w:val="27206206"/>
    <w:rsid w:val="27402E79"/>
    <w:rsid w:val="27856069"/>
    <w:rsid w:val="27ED7391"/>
    <w:rsid w:val="28074CD0"/>
    <w:rsid w:val="285A37B5"/>
    <w:rsid w:val="286E07B0"/>
    <w:rsid w:val="287A3941"/>
    <w:rsid w:val="288326EF"/>
    <w:rsid w:val="293D1B3E"/>
    <w:rsid w:val="29E4176D"/>
    <w:rsid w:val="29FF73BE"/>
    <w:rsid w:val="2A070B95"/>
    <w:rsid w:val="2A32640D"/>
    <w:rsid w:val="2A9F38E6"/>
    <w:rsid w:val="2AEC2D35"/>
    <w:rsid w:val="2B434271"/>
    <w:rsid w:val="2B850A74"/>
    <w:rsid w:val="2BAA0794"/>
    <w:rsid w:val="2BCA04EF"/>
    <w:rsid w:val="2C3F712F"/>
    <w:rsid w:val="2C4E3C3B"/>
    <w:rsid w:val="2CB52F4D"/>
    <w:rsid w:val="2CCE20D1"/>
    <w:rsid w:val="2D403331"/>
    <w:rsid w:val="2D6B3436"/>
    <w:rsid w:val="2D745BE9"/>
    <w:rsid w:val="2D8F7DB2"/>
    <w:rsid w:val="2DE0049D"/>
    <w:rsid w:val="2E1168A9"/>
    <w:rsid w:val="2E141EF5"/>
    <w:rsid w:val="2E470F56"/>
    <w:rsid w:val="2EBF198B"/>
    <w:rsid w:val="2F3565C7"/>
    <w:rsid w:val="2F367971"/>
    <w:rsid w:val="2FDDF987"/>
    <w:rsid w:val="30E86304"/>
    <w:rsid w:val="317D5EF3"/>
    <w:rsid w:val="31DC7DF6"/>
    <w:rsid w:val="31F340BE"/>
    <w:rsid w:val="32766BCA"/>
    <w:rsid w:val="32DA3B36"/>
    <w:rsid w:val="33161689"/>
    <w:rsid w:val="33B01B25"/>
    <w:rsid w:val="33EB5DD3"/>
    <w:rsid w:val="34922353"/>
    <w:rsid w:val="34B87A7E"/>
    <w:rsid w:val="35473B6A"/>
    <w:rsid w:val="354B027F"/>
    <w:rsid w:val="35FEFD93"/>
    <w:rsid w:val="36A2536A"/>
    <w:rsid w:val="36DD3334"/>
    <w:rsid w:val="37357164"/>
    <w:rsid w:val="379F4F25"/>
    <w:rsid w:val="37D760D3"/>
    <w:rsid w:val="37EF7183"/>
    <w:rsid w:val="37F906D2"/>
    <w:rsid w:val="38B17A8E"/>
    <w:rsid w:val="39026DAB"/>
    <w:rsid w:val="394713D0"/>
    <w:rsid w:val="398E5251"/>
    <w:rsid w:val="39BD02DE"/>
    <w:rsid w:val="3A86417A"/>
    <w:rsid w:val="3B973013"/>
    <w:rsid w:val="3B974891"/>
    <w:rsid w:val="3BF33A92"/>
    <w:rsid w:val="3C7A1ABD"/>
    <w:rsid w:val="3C7A2E86"/>
    <w:rsid w:val="3C8C1F1C"/>
    <w:rsid w:val="3CCB0E49"/>
    <w:rsid w:val="3CE5162C"/>
    <w:rsid w:val="3D255578"/>
    <w:rsid w:val="3D2E3E42"/>
    <w:rsid w:val="3D5C074C"/>
    <w:rsid w:val="3D5D2C46"/>
    <w:rsid w:val="3D874491"/>
    <w:rsid w:val="3DD45635"/>
    <w:rsid w:val="3DEE65DA"/>
    <w:rsid w:val="3E0B50C2"/>
    <w:rsid w:val="3E3D2DA2"/>
    <w:rsid w:val="3EA572C5"/>
    <w:rsid w:val="3EEB214D"/>
    <w:rsid w:val="3EF13B0F"/>
    <w:rsid w:val="3EFBF42B"/>
    <w:rsid w:val="3EFD0CD4"/>
    <w:rsid w:val="3F4A7E6C"/>
    <w:rsid w:val="3FA3261F"/>
    <w:rsid w:val="3FBF6165"/>
    <w:rsid w:val="40104C12"/>
    <w:rsid w:val="40152231"/>
    <w:rsid w:val="40512B35"/>
    <w:rsid w:val="40714F85"/>
    <w:rsid w:val="407E5A74"/>
    <w:rsid w:val="4189498B"/>
    <w:rsid w:val="41E61F86"/>
    <w:rsid w:val="41FA6ED2"/>
    <w:rsid w:val="42167A81"/>
    <w:rsid w:val="42890CAC"/>
    <w:rsid w:val="433F0E43"/>
    <w:rsid w:val="43811983"/>
    <w:rsid w:val="43BD02F5"/>
    <w:rsid w:val="44AE0556"/>
    <w:rsid w:val="454315E6"/>
    <w:rsid w:val="4597548E"/>
    <w:rsid w:val="45A33D90"/>
    <w:rsid w:val="462A1905"/>
    <w:rsid w:val="46712E10"/>
    <w:rsid w:val="468408E6"/>
    <w:rsid w:val="46E62229"/>
    <w:rsid w:val="46EF2F88"/>
    <w:rsid w:val="47046B53"/>
    <w:rsid w:val="473D5EA7"/>
    <w:rsid w:val="47E6076A"/>
    <w:rsid w:val="480A1F47"/>
    <w:rsid w:val="483238CB"/>
    <w:rsid w:val="485975AD"/>
    <w:rsid w:val="485D476D"/>
    <w:rsid w:val="489355A5"/>
    <w:rsid w:val="48B11518"/>
    <w:rsid w:val="494D2A33"/>
    <w:rsid w:val="4961203A"/>
    <w:rsid w:val="49BA5BA1"/>
    <w:rsid w:val="49D10483"/>
    <w:rsid w:val="4A061DE2"/>
    <w:rsid w:val="4A253068"/>
    <w:rsid w:val="4A40069B"/>
    <w:rsid w:val="4A431740"/>
    <w:rsid w:val="4AE41970"/>
    <w:rsid w:val="4B1E2F91"/>
    <w:rsid w:val="4B68207B"/>
    <w:rsid w:val="4B7342A7"/>
    <w:rsid w:val="4BFF3048"/>
    <w:rsid w:val="4C312198"/>
    <w:rsid w:val="4C6D4614"/>
    <w:rsid w:val="4C810E93"/>
    <w:rsid w:val="4D096C71"/>
    <w:rsid w:val="4D1614DE"/>
    <w:rsid w:val="4D5C167F"/>
    <w:rsid w:val="4D67578C"/>
    <w:rsid w:val="4D7F5185"/>
    <w:rsid w:val="4D8B28E8"/>
    <w:rsid w:val="4DA62712"/>
    <w:rsid w:val="4DCD3478"/>
    <w:rsid w:val="4DF4A872"/>
    <w:rsid w:val="4F29184C"/>
    <w:rsid w:val="4F578DFD"/>
    <w:rsid w:val="4F727661"/>
    <w:rsid w:val="4F772274"/>
    <w:rsid w:val="4FBA1BB2"/>
    <w:rsid w:val="4FD5108C"/>
    <w:rsid w:val="4FD80B7D"/>
    <w:rsid w:val="502C679A"/>
    <w:rsid w:val="503C160C"/>
    <w:rsid w:val="504B2EFC"/>
    <w:rsid w:val="50DB26D2"/>
    <w:rsid w:val="51266A33"/>
    <w:rsid w:val="513C4F71"/>
    <w:rsid w:val="515F3303"/>
    <w:rsid w:val="51BA7300"/>
    <w:rsid w:val="520C2D5F"/>
    <w:rsid w:val="52481FEA"/>
    <w:rsid w:val="528D04C5"/>
    <w:rsid w:val="530A3743"/>
    <w:rsid w:val="53894668"/>
    <w:rsid w:val="53994B7A"/>
    <w:rsid w:val="53A4547B"/>
    <w:rsid w:val="540C39AE"/>
    <w:rsid w:val="54302D35"/>
    <w:rsid w:val="54455B6E"/>
    <w:rsid w:val="544F687F"/>
    <w:rsid w:val="54515744"/>
    <w:rsid w:val="546038DA"/>
    <w:rsid w:val="54F94081"/>
    <w:rsid w:val="551045B4"/>
    <w:rsid w:val="55DD0C9B"/>
    <w:rsid w:val="55DD72CA"/>
    <w:rsid w:val="565A678F"/>
    <w:rsid w:val="56685EB6"/>
    <w:rsid w:val="56C65BD3"/>
    <w:rsid w:val="5778511F"/>
    <w:rsid w:val="58AD0DF8"/>
    <w:rsid w:val="58C85C32"/>
    <w:rsid w:val="59077600"/>
    <w:rsid w:val="59992A7B"/>
    <w:rsid w:val="59A81801"/>
    <w:rsid w:val="5A323AEF"/>
    <w:rsid w:val="5A3E4763"/>
    <w:rsid w:val="5A9115F4"/>
    <w:rsid w:val="5A937028"/>
    <w:rsid w:val="5AA426FF"/>
    <w:rsid w:val="5AD7215D"/>
    <w:rsid w:val="5AEF57B4"/>
    <w:rsid w:val="5B1E422F"/>
    <w:rsid w:val="5BEF4DBF"/>
    <w:rsid w:val="5C8956D8"/>
    <w:rsid w:val="5D167A64"/>
    <w:rsid w:val="5D425E6D"/>
    <w:rsid w:val="5D7B7CD1"/>
    <w:rsid w:val="5DF5C7D1"/>
    <w:rsid w:val="5E0E058B"/>
    <w:rsid w:val="5E4105E7"/>
    <w:rsid w:val="5E5C58A6"/>
    <w:rsid w:val="5EBB05F2"/>
    <w:rsid w:val="5EDE0D55"/>
    <w:rsid w:val="5FCA04E2"/>
    <w:rsid w:val="5FD41360"/>
    <w:rsid w:val="5FF622D0"/>
    <w:rsid w:val="600B28A8"/>
    <w:rsid w:val="60581E83"/>
    <w:rsid w:val="60864B16"/>
    <w:rsid w:val="60EA0710"/>
    <w:rsid w:val="61972646"/>
    <w:rsid w:val="61AE540E"/>
    <w:rsid w:val="61B21DD0"/>
    <w:rsid w:val="61BD67C2"/>
    <w:rsid w:val="61C947C9"/>
    <w:rsid w:val="62202ABB"/>
    <w:rsid w:val="624520A2"/>
    <w:rsid w:val="629965B2"/>
    <w:rsid w:val="63CE58D0"/>
    <w:rsid w:val="63E678B4"/>
    <w:rsid w:val="641C32D6"/>
    <w:rsid w:val="64DC13D0"/>
    <w:rsid w:val="64E82805"/>
    <w:rsid w:val="651D6963"/>
    <w:rsid w:val="655A5E64"/>
    <w:rsid w:val="65AC69E5"/>
    <w:rsid w:val="65BA0ED1"/>
    <w:rsid w:val="65C94D98"/>
    <w:rsid w:val="65DA6FA5"/>
    <w:rsid w:val="65DF0A5F"/>
    <w:rsid w:val="66AD02DF"/>
    <w:rsid w:val="66C73830"/>
    <w:rsid w:val="670342D9"/>
    <w:rsid w:val="6737716A"/>
    <w:rsid w:val="67BA7A3C"/>
    <w:rsid w:val="67DA171E"/>
    <w:rsid w:val="68012F0F"/>
    <w:rsid w:val="684921C0"/>
    <w:rsid w:val="686C3C81"/>
    <w:rsid w:val="688B65D3"/>
    <w:rsid w:val="68C56C31"/>
    <w:rsid w:val="69440841"/>
    <w:rsid w:val="69877444"/>
    <w:rsid w:val="69913E1E"/>
    <w:rsid w:val="6A382F5A"/>
    <w:rsid w:val="6A4E61B3"/>
    <w:rsid w:val="6A5F7893"/>
    <w:rsid w:val="6ACD70D8"/>
    <w:rsid w:val="6AF53F51"/>
    <w:rsid w:val="6B3D425E"/>
    <w:rsid w:val="6B58739C"/>
    <w:rsid w:val="6B880F07"/>
    <w:rsid w:val="6BDF0445"/>
    <w:rsid w:val="6C016845"/>
    <w:rsid w:val="6C1520FC"/>
    <w:rsid w:val="6C2C0C04"/>
    <w:rsid w:val="6C9FBE96"/>
    <w:rsid w:val="6D260D22"/>
    <w:rsid w:val="6D4D6E3E"/>
    <w:rsid w:val="6D914BEF"/>
    <w:rsid w:val="6D9E2FAE"/>
    <w:rsid w:val="6E041063"/>
    <w:rsid w:val="6E3012D7"/>
    <w:rsid w:val="6E3D6323"/>
    <w:rsid w:val="6E6D1EE8"/>
    <w:rsid w:val="6EB732A8"/>
    <w:rsid w:val="6F26088D"/>
    <w:rsid w:val="6F3A4F60"/>
    <w:rsid w:val="6F96218E"/>
    <w:rsid w:val="700258BD"/>
    <w:rsid w:val="700B208A"/>
    <w:rsid w:val="703379DD"/>
    <w:rsid w:val="70495430"/>
    <w:rsid w:val="70501F38"/>
    <w:rsid w:val="70A635C9"/>
    <w:rsid w:val="70DD2686"/>
    <w:rsid w:val="711D729F"/>
    <w:rsid w:val="71375833"/>
    <w:rsid w:val="715220E5"/>
    <w:rsid w:val="7183488E"/>
    <w:rsid w:val="71985EC1"/>
    <w:rsid w:val="7210A9A9"/>
    <w:rsid w:val="722649FF"/>
    <w:rsid w:val="724539F8"/>
    <w:rsid w:val="72457D99"/>
    <w:rsid w:val="72A100AA"/>
    <w:rsid w:val="72B556A2"/>
    <w:rsid w:val="72DF2B29"/>
    <w:rsid w:val="72EE6A57"/>
    <w:rsid w:val="732E5C04"/>
    <w:rsid w:val="7369671C"/>
    <w:rsid w:val="737112CA"/>
    <w:rsid w:val="73F741F0"/>
    <w:rsid w:val="73FAAFAD"/>
    <w:rsid w:val="7420296E"/>
    <w:rsid w:val="74A63406"/>
    <w:rsid w:val="74DF1FB9"/>
    <w:rsid w:val="751E66F6"/>
    <w:rsid w:val="752210D4"/>
    <w:rsid w:val="753A5F73"/>
    <w:rsid w:val="753E6716"/>
    <w:rsid w:val="75AF5D58"/>
    <w:rsid w:val="7618000C"/>
    <w:rsid w:val="76366479"/>
    <w:rsid w:val="765E09BB"/>
    <w:rsid w:val="76A07D97"/>
    <w:rsid w:val="76FA74A7"/>
    <w:rsid w:val="76FFC3DD"/>
    <w:rsid w:val="775972A4"/>
    <w:rsid w:val="7777E031"/>
    <w:rsid w:val="77881D70"/>
    <w:rsid w:val="779F3151"/>
    <w:rsid w:val="77CE4490"/>
    <w:rsid w:val="77EBA314"/>
    <w:rsid w:val="77FE6B23"/>
    <w:rsid w:val="78126A72"/>
    <w:rsid w:val="786126FD"/>
    <w:rsid w:val="7888753B"/>
    <w:rsid w:val="78A0B416"/>
    <w:rsid w:val="78AA0A59"/>
    <w:rsid w:val="79513566"/>
    <w:rsid w:val="797E04DE"/>
    <w:rsid w:val="79E7252A"/>
    <w:rsid w:val="7A2F35B1"/>
    <w:rsid w:val="7A59555E"/>
    <w:rsid w:val="7AE74BA9"/>
    <w:rsid w:val="7AFBF691"/>
    <w:rsid w:val="7B043E82"/>
    <w:rsid w:val="7B234AF2"/>
    <w:rsid w:val="7B493EF6"/>
    <w:rsid w:val="7B4B6523"/>
    <w:rsid w:val="7BA45C33"/>
    <w:rsid w:val="7BB31428"/>
    <w:rsid w:val="7BB53345"/>
    <w:rsid w:val="7BB76217"/>
    <w:rsid w:val="7BD7C99D"/>
    <w:rsid w:val="7BFBBF5B"/>
    <w:rsid w:val="7C120DEF"/>
    <w:rsid w:val="7C1B1867"/>
    <w:rsid w:val="7C2D5C29"/>
    <w:rsid w:val="7C7F36AD"/>
    <w:rsid w:val="7CB93EFC"/>
    <w:rsid w:val="7CC86220"/>
    <w:rsid w:val="7CE54755"/>
    <w:rsid w:val="7CE905BC"/>
    <w:rsid w:val="7CF52CFA"/>
    <w:rsid w:val="7D760D57"/>
    <w:rsid w:val="7D9B7410"/>
    <w:rsid w:val="7DA95783"/>
    <w:rsid w:val="7DFF2F1F"/>
    <w:rsid w:val="7DFFC0A5"/>
    <w:rsid w:val="7E161B3A"/>
    <w:rsid w:val="7E1A0417"/>
    <w:rsid w:val="7E4D4360"/>
    <w:rsid w:val="7E7924D3"/>
    <w:rsid w:val="7EEFA6D1"/>
    <w:rsid w:val="7EEFF5C5"/>
    <w:rsid w:val="7F0D3AEF"/>
    <w:rsid w:val="7F233313"/>
    <w:rsid w:val="7F280963"/>
    <w:rsid w:val="7F43A97C"/>
    <w:rsid w:val="7F5CA056"/>
    <w:rsid w:val="7F7444B8"/>
    <w:rsid w:val="7F8C0EB8"/>
    <w:rsid w:val="7FB4652F"/>
    <w:rsid w:val="7FBA362F"/>
    <w:rsid w:val="7FC9210C"/>
    <w:rsid w:val="7FD5285F"/>
    <w:rsid w:val="7FD76CB1"/>
    <w:rsid w:val="7FDF6058"/>
    <w:rsid w:val="7FDFF3AB"/>
    <w:rsid w:val="7FF6A7F6"/>
    <w:rsid w:val="7FFDD85C"/>
    <w:rsid w:val="7FFFA025"/>
    <w:rsid w:val="8BBE5FE2"/>
    <w:rsid w:val="9BF1CD2D"/>
    <w:rsid w:val="9EF902EF"/>
    <w:rsid w:val="A67F5D9D"/>
    <w:rsid w:val="AADDA890"/>
    <w:rsid w:val="ABEDCBD7"/>
    <w:rsid w:val="AD1B1BE1"/>
    <w:rsid w:val="AF6B3DFB"/>
    <w:rsid w:val="B35F0A04"/>
    <w:rsid w:val="B6E7C33B"/>
    <w:rsid w:val="B6F7B6B0"/>
    <w:rsid w:val="B7F7DAED"/>
    <w:rsid w:val="B9B7E667"/>
    <w:rsid w:val="B9BF37AD"/>
    <w:rsid w:val="BBBF74F2"/>
    <w:rsid w:val="BBFDB7A0"/>
    <w:rsid w:val="BBFF5038"/>
    <w:rsid w:val="BE593D33"/>
    <w:rsid w:val="BEF39B55"/>
    <w:rsid w:val="BEFD6136"/>
    <w:rsid w:val="BF7B6B02"/>
    <w:rsid w:val="BFCF258F"/>
    <w:rsid w:val="BFFD9295"/>
    <w:rsid w:val="BFFF9F67"/>
    <w:rsid w:val="CEFD65C4"/>
    <w:rsid w:val="CFEBD48C"/>
    <w:rsid w:val="D7EDED82"/>
    <w:rsid w:val="D9ED1252"/>
    <w:rsid w:val="DDDFA1BA"/>
    <w:rsid w:val="DE5FCADE"/>
    <w:rsid w:val="DF7F1169"/>
    <w:rsid w:val="DFFC9E35"/>
    <w:rsid w:val="EDB9B1B2"/>
    <w:rsid w:val="EEDF626D"/>
    <w:rsid w:val="F3FD38AB"/>
    <w:rsid w:val="F5B34AA4"/>
    <w:rsid w:val="F6BCC8B7"/>
    <w:rsid w:val="F6FFA8F6"/>
    <w:rsid w:val="F97F58B1"/>
    <w:rsid w:val="FAFBC2EB"/>
    <w:rsid w:val="FBE75BCE"/>
    <w:rsid w:val="FCEFA801"/>
    <w:rsid w:val="FCF86F25"/>
    <w:rsid w:val="FD7DFE50"/>
    <w:rsid w:val="FE9FEF3A"/>
    <w:rsid w:val="FF335EB3"/>
    <w:rsid w:val="FF3E450D"/>
    <w:rsid w:val="FF731AAF"/>
    <w:rsid w:val="FFCF27D8"/>
    <w:rsid w:val="FFDF27B8"/>
    <w:rsid w:val="FFF74D72"/>
    <w:rsid w:val="FFF7BE34"/>
    <w:rsid w:val="FFFD9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lang w:val="en-US" w:eastAsia="zh-CN" w:bidi="ar-SA"/>
    </w:rPr>
  </w:style>
  <w:style w:type="paragraph" w:styleId="2">
    <w:name w:val="heading 1"/>
    <w:basedOn w:val="1"/>
    <w:next w:val="1"/>
    <w:qFormat/>
    <w:locked/>
    <w:uiPriority w:val="0"/>
    <w:pPr>
      <w:keepNext/>
      <w:keepLines/>
      <w:spacing w:beforeLines="0" w:beforeAutospacing="0" w:afterLines="0" w:afterAutospacing="0" w:line="560" w:lineRule="exact"/>
      <w:ind w:firstLine="672" w:firstLineChars="200"/>
      <w:jc w:val="left"/>
      <w:outlineLvl w:val="0"/>
    </w:pPr>
    <w:rPr>
      <w:rFonts w:ascii="Times New Roman" w:hAnsi="Times New Roman" w:eastAsia="黑体"/>
      <w:kern w:val="44"/>
      <w:sz w:val="32"/>
    </w:rPr>
  </w:style>
  <w:style w:type="paragraph" w:styleId="3">
    <w:name w:val="heading 2"/>
    <w:basedOn w:val="1"/>
    <w:next w:val="1"/>
    <w:unhideWhenUsed/>
    <w:qFormat/>
    <w:locked/>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_GB2312"/>
      <w:sz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Date"/>
    <w:basedOn w:val="1"/>
    <w:next w:val="1"/>
    <w:link w:val="19"/>
    <w:qFormat/>
    <w:uiPriority w:val="99"/>
    <w:pPr>
      <w:ind w:left="100" w:leftChars="2500"/>
    </w:pPr>
    <w:rPr>
      <w:kern w:val="0"/>
      <w:sz w:val="20"/>
      <w:lang w:val="zh-CN" w:eastAsia="zh-CN"/>
    </w:rPr>
  </w:style>
  <w:style w:type="paragraph" w:styleId="6">
    <w:name w:val="Balloon Text"/>
    <w:basedOn w:val="1"/>
    <w:link w:val="23"/>
    <w:semiHidden/>
    <w:unhideWhenUsed/>
    <w:qFormat/>
    <w:uiPriority w:val="99"/>
    <w:rPr>
      <w:sz w:val="18"/>
      <w:szCs w:val="18"/>
      <w:lang w:val="zh-CN" w:eastAsia="zh-CN"/>
    </w:rPr>
  </w:style>
  <w:style w:type="paragraph" w:styleId="7">
    <w:name w:val="footer"/>
    <w:basedOn w:val="1"/>
    <w:link w:val="18"/>
    <w:qFormat/>
    <w:uiPriority w:val="99"/>
    <w:pPr>
      <w:tabs>
        <w:tab w:val="center" w:pos="4153"/>
        <w:tab w:val="right" w:pos="8306"/>
      </w:tabs>
      <w:snapToGrid w:val="0"/>
      <w:jc w:val="left"/>
    </w:pPr>
    <w:rPr>
      <w:kern w:val="0"/>
      <w:sz w:val="18"/>
      <w:szCs w:val="18"/>
      <w:lang w:val="zh-CN" w:eastAsia="zh-CN"/>
    </w:rPr>
  </w:style>
  <w:style w:type="paragraph" w:styleId="8">
    <w:name w:val="header"/>
    <w:basedOn w:val="1"/>
    <w:link w:val="20"/>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9">
    <w:name w:val="toc 1"/>
    <w:basedOn w:val="2"/>
    <w:next w:val="3"/>
    <w:qFormat/>
    <w:locked/>
    <w:uiPriority w:val="0"/>
  </w:style>
  <w:style w:type="paragraph" w:styleId="10">
    <w:name w:val="footnote text"/>
    <w:basedOn w:val="1"/>
    <w:link w:val="24"/>
    <w:semiHidden/>
    <w:unhideWhenUsed/>
    <w:qFormat/>
    <w:uiPriority w:val="99"/>
    <w:pPr>
      <w:snapToGrid w:val="0"/>
      <w:jc w:val="left"/>
    </w:pPr>
    <w:rPr>
      <w:sz w:val="18"/>
      <w:szCs w:val="18"/>
    </w:rPr>
  </w:style>
  <w:style w:type="paragraph" w:styleId="11">
    <w:name w:val="toc 2"/>
    <w:basedOn w:val="3"/>
    <w:next w:val="1"/>
    <w:qFormat/>
    <w:locked/>
    <w:uiPriority w:val="0"/>
    <w:pPr>
      <w:ind w:left="420" w:leftChars="200"/>
    </w:pPr>
  </w:style>
  <w:style w:type="paragraph" w:styleId="12">
    <w:name w:val="Normal (Web)"/>
    <w:basedOn w:val="1"/>
    <w:qFormat/>
    <w:uiPriority w:val="99"/>
    <w:pPr>
      <w:spacing w:beforeAutospacing="1" w:afterAutospacing="1"/>
      <w:jc w:val="left"/>
    </w:pPr>
    <w:rPr>
      <w:kern w:val="0"/>
      <w:sz w:val="24"/>
      <w:szCs w:val="24"/>
    </w:rPr>
  </w:style>
  <w:style w:type="paragraph" w:styleId="13">
    <w:name w:val="Body Text First Indent 2"/>
    <w:basedOn w:val="1"/>
    <w:next w:val="5"/>
    <w:unhideWhenUsed/>
    <w:qFormat/>
    <w:uiPriority w:val="99"/>
    <w:pPr>
      <w:ind w:firstLine="420" w:firstLineChars="200"/>
    </w:pPr>
    <w:rPr>
      <w:szCs w:val="21"/>
    </w:rPr>
  </w:style>
  <w:style w:type="character" w:styleId="16">
    <w:name w:val="page number"/>
    <w:qFormat/>
    <w:uiPriority w:val="99"/>
    <w:rPr>
      <w:rFonts w:cs="Times New Roman"/>
    </w:rPr>
  </w:style>
  <w:style w:type="character" w:styleId="17">
    <w:name w:val="footnote reference"/>
    <w:semiHidden/>
    <w:unhideWhenUsed/>
    <w:qFormat/>
    <w:uiPriority w:val="99"/>
    <w:rPr>
      <w:vertAlign w:val="superscript"/>
    </w:rPr>
  </w:style>
  <w:style w:type="character" w:customStyle="1" w:styleId="18">
    <w:name w:val="页脚 字符"/>
    <w:link w:val="7"/>
    <w:semiHidden/>
    <w:qFormat/>
    <w:locked/>
    <w:uiPriority w:val="99"/>
    <w:rPr>
      <w:rFonts w:cs="Times New Roman"/>
      <w:sz w:val="18"/>
      <w:szCs w:val="18"/>
    </w:rPr>
  </w:style>
  <w:style w:type="character" w:customStyle="1" w:styleId="19">
    <w:name w:val="日期 字符"/>
    <w:link w:val="5"/>
    <w:semiHidden/>
    <w:qFormat/>
    <w:locked/>
    <w:uiPriority w:val="99"/>
    <w:rPr>
      <w:rFonts w:cs="Times New Roman"/>
      <w:sz w:val="20"/>
      <w:szCs w:val="20"/>
    </w:rPr>
  </w:style>
  <w:style w:type="character" w:customStyle="1" w:styleId="20">
    <w:name w:val="页眉 字符"/>
    <w:link w:val="8"/>
    <w:semiHidden/>
    <w:qFormat/>
    <w:locked/>
    <w:uiPriority w:val="99"/>
    <w:rPr>
      <w:rFonts w:cs="Times New Roman"/>
      <w:sz w:val="18"/>
      <w:szCs w:val="18"/>
    </w:rPr>
  </w:style>
  <w:style w:type="paragraph" w:customStyle="1" w:styleId="21">
    <w:name w:val="p16"/>
    <w:basedOn w:val="1"/>
    <w:qFormat/>
    <w:uiPriority w:val="99"/>
    <w:pPr>
      <w:widowControl/>
    </w:pPr>
    <w:rPr>
      <w:kern w:val="0"/>
      <w:szCs w:val="21"/>
    </w:rPr>
  </w:style>
  <w:style w:type="paragraph" w:customStyle="1" w:styleId="22">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3">
    <w:name w:val="批注框文本 字符"/>
    <w:link w:val="6"/>
    <w:semiHidden/>
    <w:qFormat/>
    <w:uiPriority w:val="99"/>
    <w:rPr>
      <w:kern w:val="2"/>
      <w:sz w:val="18"/>
      <w:szCs w:val="18"/>
    </w:rPr>
  </w:style>
  <w:style w:type="character" w:customStyle="1" w:styleId="24">
    <w:name w:val="脚注文本 字符"/>
    <w:link w:val="10"/>
    <w:semiHidden/>
    <w:qFormat/>
    <w:uiPriority w:val="99"/>
    <w:rPr>
      <w:kern w:val="2"/>
      <w:sz w:val="18"/>
      <w:szCs w:val="18"/>
    </w:rPr>
  </w:style>
  <w:style w:type="paragraph" w:customStyle="1" w:styleId="25">
    <w:name w:val="WPSOffice手动目录 1"/>
    <w:qFormat/>
    <w:uiPriority w:val="0"/>
    <w:pPr>
      <w:ind w:leftChars="0"/>
    </w:pPr>
    <w:rPr>
      <w:rFonts w:ascii="Times New Roman" w:hAnsi="Times New Roman" w:eastAsia="宋体" w:cs="Times New Roman"/>
      <w:sz w:val="20"/>
      <w:szCs w:val="20"/>
    </w:rPr>
  </w:style>
  <w:style w:type="paragraph" w:customStyle="1" w:styleId="26">
    <w:name w:val="WPSOffice手动目录 2"/>
    <w:qFormat/>
    <w:uiPriority w:val="0"/>
    <w:pPr>
      <w:ind w:leftChars="200"/>
    </w:pPr>
    <w:rPr>
      <w:rFonts w:ascii="Times New Roman" w:hAnsi="Times New Roman" w:eastAsia="宋体" w:cs="Times New Roman"/>
      <w:sz w:val="20"/>
      <w:szCs w:val="20"/>
    </w:rPr>
  </w:style>
  <w:style w:type="table" w:customStyle="1" w:styleId="2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jpe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14</Pages>
  <Words>3825</Words>
  <Characters>4008</Characters>
  <Lines>47</Lines>
  <Paragraphs>13</Paragraphs>
  <TotalTime>8</TotalTime>
  <ScaleCrop>false</ScaleCrop>
  <LinksUpToDate>false</LinksUpToDate>
  <CharactersWithSpaces>4123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2022-09-21T14:50:00Z</dcterms:created>
  <dc:creator>雨林木风</dc:creator>
  <cp:lastModifiedBy>嘉树</cp:lastModifiedBy>
  <cp:lastPrinted>2024-05-30T00:46:00Z</cp:lastPrinted>
  <dcterms:modified xsi:type="dcterms:W3CDTF">2024-07-08T03:29:38Z</dcterms:modified>
  <dc:title>关于印发静海县创建全国农村中医药工作先进单位活动实施方案的通知</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7074770FF8034B4789590FBE96578930_13</vt:lpwstr>
  </property>
</Properties>
</file>