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570E2B">
      <w:pPr>
        <w:widowControl w:val="0"/>
        <w:spacing w:line="560" w:lineRule="exact"/>
        <w:jc w:val="both"/>
        <w:rPr>
          <w:rFonts w:ascii="黑体" w:hAnsi="黑体" w:eastAsia="黑体"/>
          <w:kern w:val="2"/>
          <w:szCs w:val="24"/>
        </w:rPr>
      </w:pPr>
    </w:p>
    <w:p w14:paraId="0F283FF6">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ascii="方正小标宋简体" w:hAnsi="方正小标宋_GBK" w:eastAsia="方正小标宋简体" w:cs="方正小标宋_GBK"/>
          <w:w w:val="90"/>
          <w:sz w:val="44"/>
          <w:szCs w:val="44"/>
          <w:lang w:val="en-US" w:eastAsia="zh-CN"/>
        </w:rPr>
      </w:pPr>
      <w:r>
        <w:rPr>
          <w:rFonts w:hint="eastAsia" w:ascii="方正小标宋简体" w:hAnsi="方正小标宋_GBK" w:eastAsia="方正小标宋简体" w:cs="方正小标宋_GBK"/>
          <w:w w:val="90"/>
          <w:sz w:val="44"/>
          <w:szCs w:val="44"/>
          <w:lang w:val="en-US" w:eastAsia="zh-CN"/>
        </w:rPr>
        <w:t>静海区大邱庄镇友发第二分公司“5·27”</w:t>
      </w:r>
    </w:p>
    <w:p w14:paraId="228B7EB0">
      <w:pPr>
        <w:spacing w:line="560" w:lineRule="exact"/>
        <w:jc w:val="center"/>
        <w:rPr>
          <w:rFonts w:hint="eastAsia" w:ascii="方正小标宋简体" w:eastAsia="方正小标宋简体"/>
          <w:sz w:val="44"/>
          <w:szCs w:val="44"/>
        </w:rPr>
      </w:pPr>
      <w:r>
        <w:rPr>
          <w:rFonts w:hint="eastAsia" w:ascii="方正小标宋简体" w:hAnsi="方正小标宋_GBK" w:eastAsia="方正小标宋简体" w:cs="方正小标宋_GBK"/>
          <w:w w:val="90"/>
          <w:sz w:val="44"/>
          <w:szCs w:val="44"/>
          <w:lang w:val="en-US" w:eastAsia="zh-CN"/>
        </w:rPr>
        <w:t>一般机械伤害事故</w:t>
      </w:r>
      <w:r>
        <w:rPr>
          <w:rFonts w:hint="eastAsia" w:ascii="方正小标宋简体" w:hAnsi="宋体" w:eastAsia="方正小标宋简体"/>
          <w:sz w:val="44"/>
          <w:szCs w:val="44"/>
        </w:rPr>
        <w:t>评估</w:t>
      </w:r>
      <w:r>
        <w:rPr>
          <w:rFonts w:hint="eastAsia" w:ascii="方正小标宋简体" w:eastAsia="方正小标宋简体"/>
          <w:sz w:val="44"/>
          <w:szCs w:val="44"/>
        </w:rPr>
        <w:t>报告</w:t>
      </w:r>
    </w:p>
    <w:p w14:paraId="3106E73C">
      <w:pPr>
        <w:spacing w:before="156" w:beforeLines="50" w:line="560" w:lineRule="exact"/>
        <w:ind w:firstLine="640" w:firstLineChars="200"/>
        <w:jc w:val="both"/>
        <w:rPr>
          <w:bCs/>
        </w:rPr>
      </w:pPr>
    </w:p>
    <w:p w14:paraId="71F54FA9">
      <w:pPr>
        <w:spacing w:line="560" w:lineRule="exact"/>
        <w:ind w:firstLine="640" w:firstLineChars="200"/>
        <w:jc w:val="both"/>
      </w:pPr>
      <w:r>
        <w:rPr>
          <w:rFonts w:hint="eastAsia"/>
          <w:bCs/>
          <w:lang w:eastAsia="zh-CN"/>
        </w:rPr>
        <w:t>依据</w:t>
      </w:r>
      <w:r>
        <w:rPr>
          <w:rFonts w:hint="eastAsia"/>
        </w:rPr>
        <w:t>《生产安全事故防范和整改措施落实情况评估办法》</w:t>
      </w:r>
      <w:r>
        <w:rPr>
          <w:rFonts w:hint="eastAsia"/>
          <w:lang w:val="en-US" w:eastAsia="zh-CN"/>
        </w:rPr>
        <w:t xml:space="preserve"> </w:t>
      </w:r>
      <w:r>
        <w:rPr>
          <w:rFonts w:hint="eastAsia"/>
        </w:rPr>
        <w:t>《天津市</w:t>
      </w:r>
      <w:r>
        <w:t>生产安全事故</w:t>
      </w:r>
      <w:r>
        <w:rPr>
          <w:rFonts w:hint="eastAsia"/>
        </w:rPr>
        <w:t>防范和整改措施落实情况评估办法》</w:t>
      </w:r>
      <w:r>
        <w:t>规定</w:t>
      </w:r>
      <w:r>
        <w:rPr>
          <w:rFonts w:hint="eastAsia"/>
        </w:rPr>
        <w:t>，</w:t>
      </w:r>
      <w:r>
        <w:rPr>
          <w:rFonts w:hint="eastAsia" w:ascii="Times New Roman" w:hAnsi="Times New Roman" w:eastAsia="仿宋_GB2312" w:cs="Times New Roman"/>
          <w:sz w:val="32"/>
          <w:szCs w:val="32"/>
          <w:lang w:val="en-US" w:eastAsia="zh-CN" w:bidi="ar-SA"/>
        </w:rPr>
        <w:t>2024</w:t>
      </w:r>
      <w:r>
        <w:rPr>
          <w:rFonts w:hint="eastAsia"/>
        </w:rPr>
        <w:t>年</w:t>
      </w:r>
      <w:r>
        <w:rPr>
          <w:rFonts w:hint="eastAsia" w:ascii="Times New Roman" w:hAnsi="Times New Roman" w:eastAsia="仿宋_GB2312" w:cs="Times New Roman"/>
          <w:sz w:val="32"/>
          <w:szCs w:val="32"/>
          <w:lang w:val="en-US" w:eastAsia="zh-CN" w:bidi="ar-SA"/>
        </w:rPr>
        <w:t>5</w:t>
      </w:r>
      <w:r>
        <w:rPr>
          <w:rFonts w:hint="eastAsia"/>
        </w:rPr>
        <w:t>月</w:t>
      </w:r>
      <w:r>
        <w:rPr>
          <w:rFonts w:hint="eastAsia" w:ascii="Times New Roman" w:hAnsi="Times New Roman" w:eastAsia="仿宋_GB2312" w:cs="Times New Roman"/>
          <w:sz w:val="32"/>
          <w:szCs w:val="32"/>
          <w:lang w:val="en-US" w:eastAsia="zh-CN" w:bidi="ar-SA"/>
        </w:rPr>
        <w:t>30</w:t>
      </w:r>
      <w:r>
        <w:rPr>
          <w:rFonts w:hint="eastAsia"/>
        </w:rPr>
        <w:t>日</w:t>
      </w:r>
      <w:r>
        <w:t>，</w:t>
      </w:r>
      <w:r>
        <w:rPr>
          <w:rFonts w:hint="eastAsia" w:hAnsi="仿宋_GB2312" w:cs="仿宋_GB2312"/>
          <w:kern w:val="0"/>
          <w:sz w:val="32"/>
          <w:szCs w:val="32"/>
          <w:lang w:val="en" w:eastAsia="zh-CN"/>
        </w:rPr>
        <w:t>我区</w:t>
      </w:r>
      <w:r>
        <w:rPr>
          <w:rFonts w:hint="eastAsia"/>
        </w:rPr>
        <w:t>成立了静海区大邱庄镇友发第二分公司“</w:t>
      </w:r>
      <w:r>
        <w:rPr>
          <w:rFonts w:hint="eastAsia" w:ascii="Times New Roman" w:hAnsi="Times New Roman" w:eastAsia="仿宋_GB2312" w:cs="Times New Roman"/>
          <w:sz w:val="32"/>
          <w:szCs w:val="32"/>
          <w:lang w:val="en-US" w:eastAsia="zh-CN" w:bidi="ar-SA"/>
        </w:rPr>
        <w:t>5·27</w:t>
      </w:r>
      <w:r>
        <w:rPr>
          <w:rFonts w:hint="eastAsia"/>
        </w:rPr>
        <w:t>”一般机械伤害事故评估</w:t>
      </w:r>
      <w:r>
        <w:t>组</w:t>
      </w:r>
      <w:r>
        <w:rPr>
          <w:rFonts w:hint="eastAsia"/>
          <w:lang w:eastAsia="zh-CN"/>
        </w:rPr>
        <w:t>，</w:t>
      </w:r>
      <w:r>
        <w:t>开展</w:t>
      </w:r>
      <w:r>
        <w:rPr>
          <w:rFonts w:hint="eastAsia"/>
          <w:lang w:eastAsia="zh-CN"/>
        </w:rPr>
        <w:t>该起事故</w:t>
      </w:r>
      <w:r>
        <w:t>评估</w:t>
      </w:r>
      <w:r>
        <w:rPr>
          <w:rFonts w:hint="eastAsia"/>
          <w:lang w:eastAsia="zh-CN"/>
        </w:rPr>
        <w:t>相关</w:t>
      </w:r>
      <w:r>
        <w:rPr>
          <w:rFonts w:hint="eastAsia"/>
        </w:rPr>
        <w:t>工作</w:t>
      </w:r>
      <w:r>
        <w:rPr>
          <w:rFonts w:hint="eastAsia"/>
          <w:lang w:eastAsia="zh-CN"/>
        </w:rPr>
        <w:t>。</w:t>
      </w:r>
      <w:r>
        <w:rPr>
          <w:rFonts w:hint="eastAsia" w:ascii="Times New Roman" w:hAnsi="Times New Roman" w:eastAsia="仿宋_GB2312" w:cs="Times New Roman"/>
          <w:sz w:val="32"/>
          <w:szCs w:val="32"/>
          <w:lang w:val="en-US" w:eastAsia="zh-CN" w:bidi="ar-SA"/>
        </w:rPr>
        <w:t>2024</w:t>
      </w:r>
      <w:r>
        <w:rPr>
          <w:rFonts w:hint="eastAsia"/>
        </w:rPr>
        <w:t>年</w:t>
      </w:r>
      <w:r>
        <w:rPr>
          <w:rFonts w:hint="default" w:ascii="Times New Roman" w:cs="Times New Roman"/>
          <w:sz w:val="32"/>
          <w:szCs w:val="32"/>
          <w:lang w:val="en" w:eastAsia="zh-CN" w:bidi="ar-SA"/>
        </w:rPr>
        <w:t>8</w:t>
      </w:r>
      <w:r>
        <w:rPr>
          <w:rFonts w:hint="eastAsia"/>
        </w:rPr>
        <w:t>月</w:t>
      </w:r>
      <w:r>
        <w:rPr>
          <w:rFonts w:hint="default" w:ascii="Times New Roman" w:cs="Times New Roman"/>
          <w:sz w:val="32"/>
          <w:szCs w:val="32"/>
          <w:lang w:val="en" w:eastAsia="zh-CN" w:bidi="ar-SA"/>
        </w:rPr>
        <w:t>15</w:t>
      </w:r>
      <w:r>
        <w:rPr>
          <w:rFonts w:hint="eastAsia"/>
        </w:rPr>
        <w:t>日，事故评估</w:t>
      </w:r>
      <w:r>
        <w:t>组</w:t>
      </w:r>
      <w:r>
        <w:rPr>
          <w:rFonts w:hint="eastAsia"/>
        </w:rPr>
        <w:t>完</w:t>
      </w:r>
      <w:r>
        <w:t>成事故评估工作</w:t>
      </w:r>
      <w:r>
        <w:rPr>
          <w:rFonts w:hint="eastAsia"/>
        </w:rPr>
        <w:t>，形成本报告。</w:t>
      </w:r>
    </w:p>
    <w:p w14:paraId="593681F0">
      <w:pPr>
        <w:spacing w:line="560" w:lineRule="exact"/>
        <w:ind w:firstLine="640" w:firstLineChars="200"/>
        <w:jc w:val="both"/>
        <w:outlineLvl w:val="0"/>
        <w:rPr>
          <w:rFonts w:ascii="黑体" w:hAnsi="黑体" w:eastAsia="黑体"/>
        </w:rPr>
      </w:pPr>
      <w:r>
        <w:rPr>
          <w:rFonts w:hint="eastAsia" w:ascii="黑体" w:hAnsi="黑体" w:eastAsia="黑体"/>
        </w:rPr>
        <w:t>一</w:t>
      </w:r>
      <w:r>
        <w:rPr>
          <w:rFonts w:ascii="黑体" w:hAnsi="黑体" w:eastAsia="黑体"/>
        </w:rPr>
        <w:t>、评估目的</w:t>
      </w:r>
    </w:p>
    <w:p w14:paraId="58C20E74">
      <w:pPr>
        <w:spacing w:line="560" w:lineRule="exact"/>
        <w:ind w:firstLine="640" w:firstLineChars="200"/>
        <w:jc w:val="both"/>
        <w:rPr>
          <w:rFonts w:hint="eastAsia"/>
          <w:bCs/>
        </w:rPr>
      </w:pPr>
      <w:r>
        <w:t>为深入贯彻落实习近平总书记关于安全生产的重要指示批 示精神，认真落实</w:t>
      </w:r>
      <w:r>
        <w:rPr>
          <w:rFonts w:hint="eastAsia"/>
          <w:lang w:eastAsia="zh-CN"/>
        </w:rPr>
        <w:t>市委市政府、区委区政府</w:t>
      </w:r>
      <w:r>
        <w:t>关于做好安全生产工作的部署要求，充分发挥事故调查处理对加强和改进安全生产工作的促进作用，督促生产安全事故防范和整改措施有效落实，从根本上消除事故隐患、从根本上解决存在问题，防范生产安全事故发生，最大程度保障人民群众生命</w:t>
      </w:r>
      <w:r>
        <w:rPr>
          <w:rFonts w:hint="eastAsia"/>
          <w:lang w:eastAsia="zh-CN"/>
        </w:rPr>
        <w:t>财产</w:t>
      </w:r>
      <w:r>
        <w:t>安全，按照《中共中央</w:t>
      </w:r>
      <w:r>
        <w:rPr>
          <w:rFonts w:hint="eastAsia"/>
          <w:lang w:val="en-US" w:eastAsia="zh-CN"/>
        </w:rPr>
        <w:t xml:space="preserve"> </w:t>
      </w:r>
      <w:r>
        <w:t>国务院关于推进安全生产领域改革发展的意见》《中共天津市委</w:t>
      </w:r>
      <w:r>
        <w:rPr>
          <w:rFonts w:hint="eastAsia"/>
          <w:lang w:val="en-US" w:eastAsia="zh-CN"/>
        </w:rPr>
        <w:t xml:space="preserve"> </w:t>
      </w:r>
      <w:r>
        <w:t>天津市人民政府关于推进安全生产领域改革发展的实施意见》和《生产安全事故防范和整改措施落实情况评估办法》</w:t>
      </w:r>
      <w:r>
        <w:rPr>
          <w:rFonts w:hint="eastAsia"/>
          <w:lang w:eastAsia="zh-CN"/>
        </w:rPr>
        <w:t>等</w:t>
      </w:r>
      <w:r>
        <w:t>规定</w:t>
      </w:r>
      <w:r>
        <w:rPr>
          <w:rFonts w:hint="eastAsia"/>
          <w:bCs/>
        </w:rPr>
        <w:t>，</w:t>
      </w:r>
      <w:r>
        <w:rPr>
          <w:rFonts w:hint="eastAsia"/>
          <w:bCs/>
          <w:lang w:eastAsia="zh-CN"/>
        </w:rPr>
        <w:t>推动生产安全事故责任追究和整改措施的落实，</w:t>
      </w:r>
      <w:r>
        <w:rPr>
          <w:rFonts w:hint="eastAsia"/>
          <w:bCs/>
        </w:rPr>
        <w:t>特开展此次事故评估工作。</w:t>
      </w:r>
    </w:p>
    <w:p w14:paraId="564BB192">
      <w:pPr>
        <w:pStyle w:val="2"/>
        <w:jc w:val="both"/>
        <w:rPr>
          <w:rFonts w:hint="eastAsia"/>
        </w:rPr>
      </w:pPr>
    </w:p>
    <w:p w14:paraId="77FBDBE2">
      <w:pPr>
        <w:spacing w:line="560" w:lineRule="exact"/>
        <w:ind w:firstLine="640" w:firstLineChars="200"/>
        <w:jc w:val="both"/>
        <w:outlineLvl w:val="0"/>
        <w:rPr>
          <w:rFonts w:ascii="黑体" w:hAnsi="黑体" w:eastAsia="黑体"/>
          <w:bCs/>
        </w:rPr>
      </w:pPr>
      <w:r>
        <w:rPr>
          <w:rFonts w:hint="eastAsia" w:ascii="黑体" w:hAnsi="黑体" w:eastAsia="黑体"/>
        </w:rPr>
        <w:t>二</w:t>
      </w:r>
      <w:r>
        <w:rPr>
          <w:rFonts w:ascii="黑体" w:hAnsi="黑体" w:eastAsia="黑体"/>
        </w:rPr>
        <w:t>、</w:t>
      </w:r>
      <w:r>
        <w:rPr>
          <w:rFonts w:ascii="黑体" w:hAnsi="黑体" w:eastAsia="黑体"/>
          <w:bCs/>
        </w:rPr>
        <w:t>评估依据及</w:t>
      </w:r>
      <w:r>
        <w:rPr>
          <w:rFonts w:hint="eastAsia" w:ascii="黑体" w:hAnsi="黑体" w:eastAsia="黑体"/>
          <w:bCs/>
        </w:rPr>
        <w:t>职责分工</w:t>
      </w:r>
    </w:p>
    <w:p w14:paraId="66394C2B">
      <w:pPr>
        <w:spacing w:line="560" w:lineRule="exact"/>
        <w:ind w:firstLine="640" w:firstLineChars="200"/>
        <w:jc w:val="both"/>
      </w:pPr>
      <w:r>
        <w:rPr>
          <w:rFonts w:hint="eastAsia" w:ascii="Times New Roman" w:hAnsi="Times New Roman" w:eastAsia="仿宋_GB2312" w:cs="Times New Roman"/>
          <w:sz w:val="32"/>
          <w:szCs w:val="32"/>
          <w:lang w:val="en-US" w:eastAsia="zh-CN" w:bidi="ar-SA"/>
        </w:rPr>
        <w:t>2024</w:t>
      </w:r>
      <w:r>
        <w:rPr>
          <w:rFonts w:hint="eastAsia"/>
          <w:bCs/>
        </w:rPr>
        <w:t>年</w:t>
      </w:r>
      <w:r>
        <w:rPr>
          <w:rFonts w:hint="eastAsia" w:ascii="Times New Roman" w:hAnsi="Times New Roman" w:eastAsia="仿宋_GB2312" w:cs="Times New Roman"/>
          <w:sz w:val="32"/>
          <w:szCs w:val="32"/>
          <w:lang w:val="en-US" w:eastAsia="zh-CN" w:bidi="ar-SA"/>
        </w:rPr>
        <w:t>5</w:t>
      </w:r>
      <w:r>
        <w:rPr>
          <w:rFonts w:hint="eastAsia"/>
          <w:bCs/>
        </w:rPr>
        <w:t>月</w:t>
      </w:r>
      <w:r>
        <w:rPr>
          <w:rFonts w:hint="eastAsia" w:ascii="Times New Roman" w:hAnsi="Times New Roman" w:eastAsia="仿宋_GB2312" w:cs="Times New Roman"/>
          <w:sz w:val="32"/>
          <w:szCs w:val="32"/>
          <w:lang w:val="en-US" w:eastAsia="zh-CN" w:bidi="ar-SA"/>
        </w:rPr>
        <w:t>30</w:t>
      </w:r>
      <w:r>
        <w:rPr>
          <w:rFonts w:hint="eastAsia"/>
          <w:bCs/>
        </w:rPr>
        <w:t>日</w:t>
      </w:r>
      <w:r>
        <w:rPr>
          <w:rFonts w:hint="eastAsia"/>
          <w:bCs/>
          <w:lang w:eastAsia="zh-CN"/>
        </w:rPr>
        <w:t>，我区</w:t>
      </w:r>
      <w:r>
        <w:rPr>
          <w:rFonts w:hint="eastAsia"/>
          <w:bCs/>
        </w:rPr>
        <w:t>成立了</w:t>
      </w:r>
      <w:r>
        <w:rPr>
          <w:rFonts w:hint="eastAsia"/>
        </w:rPr>
        <w:t>静海区大邱庄镇友发第二分公司“</w:t>
      </w:r>
      <w:r>
        <w:rPr>
          <w:rFonts w:hint="eastAsia" w:ascii="Times New Roman" w:hAnsi="Times New Roman" w:eastAsia="仿宋_GB2312" w:cs="Times New Roman"/>
          <w:sz w:val="32"/>
          <w:szCs w:val="32"/>
          <w:lang w:val="en-US" w:eastAsia="zh-CN" w:bidi="ar-SA"/>
        </w:rPr>
        <w:t>5·27</w:t>
      </w:r>
      <w:r>
        <w:rPr>
          <w:rFonts w:hint="eastAsia"/>
        </w:rPr>
        <w:t>”一般机械伤害事故评估</w:t>
      </w:r>
      <w:r>
        <w:t>组</w:t>
      </w:r>
      <w:r>
        <w:rPr>
          <w:rFonts w:hint="eastAsia"/>
          <w:bCs/>
          <w:lang w:eastAsia="zh-CN"/>
        </w:rPr>
        <w:t>，区应急管理局、</w:t>
      </w:r>
      <w:r>
        <w:rPr>
          <w:rFonts w:hint="eastAsia" w:hAnsi="仿宋_GB2312" w:cs="仿宋_GB2312"/>
        </w:rPr>
        <w:t>公安静海分局、区</w:t>
      </w:r>
      <w:r>
        <w:rPr>
          <w:rFonts w:hint="eastAsia" w:hAnsi="仿宋_GB2312" w:cs="仿宋_GB2312"/>
          <w:lang w:val="en-US" w:eastAsia="zh-CN"/>
        </w:rPr>
        <w:t>工信</w:t>
      </w:r>
      <w:r>
        <w:rPr>
          <w:rFonts w:hint="eastAsia" w:hAnsi="仿宋_GB2312" w:cs="仿宋_GB2312"/>
        </w:rPr>
        <w:t>局、区总工会、</w:t>
      </w:r>
      <w:r>
        <w:rPr>
          <w:rFonts w:hint="eastAsia" w:hAnsi="仿宋_GB2312" w:cs="仿宋_GB2312"/>
          <w:sz w:val="32"/>
          <w:szCs w:val="32"/>
          <w:lang w:eastAsia="zh-CN"/>
        </w:rPr>
        <w:t>大邱庄镇政府</w:t>
      </w:r>
      <w:r>
        <w:rPr>
          <w:rFonts w:hint="eastAsia"/>
          <w:bCs/>
        </w:rPr>
        <w:t>为成员单位</w:t>
      </w:r>
      <w:r>
        <w:rPr>
          <w:rFonts w:hint="eastAsia"/>
          <w:bCs/>
          <w:lang w:val="en-US" w:eastAsia="zh-CN"/>
        </w:rPr>
        <w:t>开展评估工作。</w:t>
      </w:r>
    </w:p>
    <w:p w14:paraId="43273F7C">
      <w:pPr>
        <w:spacing w:line="560" w:lineRule="exact"/>
        <w:ind w:firstLine="640" w:firstLineChars="200"/>
        <w:jc w:val="both"/>
        <w:rPr>
          <w:rFonts w:hint="eastAsia" w:eastAsia="仿宋_GB2312"/>
          <w:bCs/>
          <w:lang w:val="en-US" w:eastAsia="zh-CN"/>
        </w:rPr>
      </w:pPr>
      <w:r>
        <w:rPr>
          <w:rFonts w:hint="eastAsia"/>
          <w:bCs/>
          <w:lang w:eastAsia="zh-CN"/>
        </w:rPr>
        <w:t>按照分工，</w:t>
      </w:r>
      <w:r>
        <w:rPr>
          <w:rFonts w:hint="eastAsia"/>
          <w:bCs/>
        </w:rPr>
        <w:t>区应急管理局</w:t>
      </w:r>
      <w:r>
        <w:rPr>
          <w:rFonts w:hint="eastAsia"/>
          <w:bCs/>
          <w:lang w:eastAsia="zh-CN"/>
        </w:rPr>
        <w:t>负责</w:t>
      </w:r>
      <w:r>
        <w:rPr>
          <w:rFonts w:hint="eastAsia"/>
          <w:bCs/>
        </w:rPr>
        <w:t>组织、协调事故评估组成员单位做好评估工作；</w:t>
      </w:r>
      <w:r>
        <w:rPr>
          <w:rFonts w:hint="eastAsia"/>
          <w:bCs/>
          <w:lang w:eastAsia="zh-CN"/>
        </w:rPr>
        <w:t>根据</w:t>
      </w:r>
      <w:r>
        <w:rPr>
          <w:rFonts w:hint="eastAsia"/>
          <w:bCs/>
        </w:rPr>
        <w:t>事故调查报告中给予行政处罚的单位和个人</w:t>
      </w:r>
      <w:r>
        <w:rPr>
          <w:rFonts w:hint="eastAsia"/>
          <w:bCs/>
          <w:lang w:eastAsia="zh-CN"/>
        </w:rPr>
        <w:t>的处理意见，</w:t>
      </w:r>
      <w:r>
        <w:rPr>
          <w:rFonts w:hint="eastAsia"/>
          <w:bCs/>
        </w:rPr>
        <w:t>对事故责任单位、人员</w:t>
      </w:r>
      <w:r>
        <w:rPr>
          <w:rFonts w:hint="eastAsia"/>
          <w:bCs/>
          <w:lang w:eastAsia="zh-CN"/>
        </w:rPr>
        <w:t>行政处罚方面</w:t>
      </w:r>
      <w:r>
        <w:rPr>
          <w:rFonts w:hint="eastAsia"/>
          <w:bCs/>
        </w:rPr>
        <w:t>落实情况进行评估</w:t>
      </w:r>
      <w:r>
        <w:rPr>
          <w:rFonts w:hint="eastAsia"/>
          <w:bCs/>
          <w:lang w:eastAsia="zh-CN"/>
        </w:rPr>
        <w:t>；根据</w:t>
      </w:r>
      <w:r>
        <w:rPr>
          <w:rFonts w:hint="eastAsia"/>
          <w:bCs/>
        </w:rPr>
        <w:t>事故调查报告中</w:t>
      </w:r>
      <w:r>
        <w:rPr>
          <w:rFonts w:hint="default"/>
          <w:bCs/>
        </w:rPr>
        <w:t>事故防范和</w:t>
      </w:r>
      <w:r>
        <w:rPr>
          <w:rFonts w:hint="eastAsia"/>
          <w:bCs/>
        </w:rPr>
        <w:t>整改措施意见，对事故发生单位的事故</w:t>
      </w:r>
      <w:r>
        <w:rPr>
          <w:rFonts w:hint="default"/>
          <w:bCs/>
        </w:rPr>
        <w:t>防范和</w:t>
      </w:r>
      <w:r>
        <w:rPr>
          <w:rFonts w:hint="eastAsia"/>
          <w:bCs/>
        </w:rPr>
        <w:t>整改措施落实情况进行评估</w:t>
      </w:r>
      <w:r>
        <w:rPr>
          <w:rFonts w:hint="eastAsia"/>
          <w:bCs/>
          <w:lang w:eastAsia="zh-CN"/>
        </w:rPr>
        <w:t>，</w:t>
      </w:r>
      <w:r>
        <w:rPr>
          <w:rFonts w:hint="eastAsia"/>
          <w:bCs/>
        </w:rPr>
        <w:t>形成总体评估报告</w:t>
      </w:r>
      <w:r>
        <w:rPr>
          <w:rFonts w:hint="eastAsia"/>
          <w:bCs/>
          <w:lang w:eastAsia="zh-CN"/>
        </w:rPr>
        <w:t>。</w:t>
      </w:r>
    </w:p>
    <w:p w14:paraId="2E34AC61">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hAnsi="仿宋_GB2312" w:cs="仿宋_GB2312"/>
        </w:rPr>
      </w:pPr>
      <w:r>
        <w:rPr>
          <w:rFonts w:hint="eastAsia" w:hAnsi="仿宋_GB2312" w:cs="仿宋_GB2312"/>
        </w:rPr>
        <w:t>公安静海分局</w:t>
      </w:r>
      <w:r>
        <w:rPr>
          <w:rFonts w:hint="eastAsia" w:hAnsi="仿宋_GB2312" w:cs="仿宋_GB2312"/>
          <w:lang w:eastAsia="zh-CN"/>
        </w:rPr>
        <w:t>负责评估相关人员刑事责任追究落实情况，并向区应急管理局提交相关法律文书。</w:t>
      </w:r>
    </w:p>
    <w:p w14:paraId="4AADD6A5">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bCs/>
        </w:rPr>
      </w:pPr>
      <w:r>
        <w:rPr>
          <w:rFonts w:hint="eastAsia" w:hAnsi="仿宋_GB2312" w:cs="仿宋_GB2312"/>
        </w:rPr>
        <w:t>区</w:t>
      </w:r>
      <w:r>
        <w:rPr>
          <w:rFonts w:hint="eastAsia" w:hAnsi="仿宋_GB2312" w:cs="仿宋_GB2312"/>
          <w:lang w:val="en-US" w:eastAsia="zh-CN"/>
        </w:rPr>
        <w:t>工信</w:t>
      </w:r>
      <w:r>
        <w:rPr>
          <w:rFonts w:hint="eastAsia" w:hAnsi="仿宋_GB2312" w:cs="仿宋_GB2312"/>
        </w:rPr>
        <w:t>局、区总工会</w:t>
      </w:r>
      <w:r>
        <w:rPr>
          <w:rFonts w:hint="eastAsia"/>
          <w:bCs/>
          <w:lang w:eastAsia="zh-CN"/>
        </w:rPr>
        <w:t>负责配合</w:t>
      </w:r>
      <w:r>
        <w:rPr>
          <w:rFonts w:hint="eastAsia"/>
          <w:bCs/>
        </w:rPr>
        <w:t>区应急管理局</w:t>
      </w:r>
      <w:r>
        <w:rPr>
          <w:rFonts w:hint="eastAsia"/>
          <w:bCs/>
          <w:lang w:val="en-US" w:eastAsia="zh-CN"/>
        </w:rPr>
        <w:t>对事故防范和整改措施落实情况的评估。</w:t>
      </w:r>
    </w:p>
    <w:p w14:paraId="63BCC5E4">
      <w:pPr>
        <w:spacing w:line="560" w:lineRule="exact"/>
        <w:ind w:firstLine="640" w:firstLineChars="200"/>
        <w:jc w:val="both"/>
        <w:rPr>
          <w:bCs/>
        </w:rPr>
      </w:pPr>
      <w:r>
        <w:rPr>
          <w:rFonts w:hint="eastAsia" w:hAnsi="仿宋_GB2312" w:cs="仿宋_GB2312"/>
          <w:sz w:val="32"/>
          <w:szCs w:val="32"/>
          <w:lang w:eastAsia="zh-CN"/>
        </w:rPr>
        <w:t>大邱庄镇政府</w:t>
      </w:r>
      <w:r>
        <w:rPr>
          <w:rFonts w:hint="eastAsia"/>
          <w:bCs/>
          <w:lang w:eastAsia="zh-CN"/>
        </w:rPr>
        <w:t>负责</w:t>
      </w:r>
      <w:r>
        <w:rPr>
          <w:rFonts w:hint="eastAsia"/>
          <w:bCs/>
        </w:rPr>
        <w:t>落实属地责任，配合评估组其他成员单位做好此次事故评估工作</w:t>
      </w:r>
      <w:r>
        <w:rPr>
          <w:bCs/>
        </w:rPr>
        <w:t>。</w:t>
      </w:r>
    </w:p>
    <w:p w14:paraId="3C10CE17">
      <w:pPr>
        <w:spacing w:line="560" w:lineRule="exact"/>
        <w:ind w:firstLine="640" w:firstLineChars="200"/>
        <w:jc w:val="both"/>
        <w:outlineLvl w:val="0"/>
        <w:rPr>
          <w:rFonts w:ascii="黑体" w:hAnsi="黑体" w:eastAsia="黑体"/>
        </w:rPr>
      </w:pPr>
      <w:r>
        <w:rPr>
          <w:rFonts w:hint="eastAsia" w:ascii="黑体" w:hAnsi="黑体" w:eastAsia="黑体"/>
        </w:rPr>
        <w:t>三、事故调查处理情况</w:t>
      </w:r>
    </w:p>
    <w:p w14:paraId="49AA5E94">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rPr>
      </w:pPr>
      <w:r>
        <w:rPr>
          <w:rFonts w:hint="eastAsia" w:ascii="Times New Roman" w:hAnsi="Times New Roman" w:eastAsia="仿宋_GB2312" w:cs="Times New Roman"/>
          <w:sz w:val="32"/>
          <w:szCs w:val="32"/>
          <w:lang w:val="en-US" w:eastAsia="zh-CN" w:bidi="ar-SA"/>
        </w:rPr>
        <w:t>2023</w:t>
      </w:r>
      <w:r>
        <w:rPr>
          <w:rFonts w:hint="eastAsia" w:ascii="仿宋_GB2312" w:hAnsi="仿宋_GB2312" w:eastAsia="仿宋_GB2312" w:cs="仿宋_GB2312"/>
          <w:sz w:val="32"/>
          <w:szCs w:val="32"/>
          <w:lang w:val="en-US" w:eastAsia="zh-CN"/>
        </w:rPr>
        <w:t>年</w:t>
      </w:r>
      <w:r>
        <w:rPr>
          <w:rFonts w:hint="eastAsia" w:ascii="Times New Roman" w:hAnsi="Times New Roman" w:eastAsia="仿宋_GB2312" w:cs="Times New Roman"/>
          <w:sz w:val="32"/>
          <w:szCs w:val="32"/>
          <w:lang w:val="en-US" w:eastAsia="zh-CN" w:bidi="ar-SA"/>
        </w:rPr>
        <w:t>5</w:t>
      </w:r>
      <w:r>
        <w:rPr>
          <w:rFonts w:hint="eastAsia" w:ascii="仿宋_GB2312" w:hAnsi="仿宋_GB2312" w:eastAsia="仿宋_GB2312" w:cs="仿宋_GB2312"/>
          <w:sz w:val="32"/>
          <w:szCs w:val="32"/>
          <w:lang w:val="en-US" w:eastAsia="zh-CN"/>
        </w:rPr>
        <w:t>月</w:t>
      </w:r>
      <w:r>
        <w:rPr>
          <w:rFonts w:hint="eastAsia" w:ascii="Times New Roman" w:hAnsi="Times New Roman" w:eastAsia="仿宋_GB2312" w:cs="Times New Roman"/>
          <w:sz w:val="32"/>
          <w:szCs w:val="32"/>
          <w:lang w:val="en-US" w:eastAsia="zh-CN" w:bidi="ar-SA"/>
        </w:rPr>
        <w:t>27</w:t>
      </w:r>
      <w:r>
        <w:rPr>
          <w:rFonts w:hint="eastAsia" w:ascii="仿宋_GB2312" w:hAnsi="仿宋_GB2312" w:eastAsia="仿宋_GB2312" w:cs="仿宋_GB2312"/>
          <w:sz w:val="32"/>
          <w:szCs w:val="32"/>
          <w:lang w:val="en-US" w:eastAsia="zh-CN"/>
        </w:rPr>
        <w:t>日</w:t>
      </w:r>
      <w:r>
        <w:rPr>
          <w:rFonts w:hint="eastAsia" w:ascii="仿宋_GB2312" w:hAnsi="仿宋_GB2312" w:eastAsia="仿宋_GB2312" w:cs="仿宋_GB2312"/>
          <w:sz w:val="32"/>
          <w:szCs w:val="32"/>
        </w:rPr>
        <w:t>，</w:t>
      </w:r>
      <w:r>
        <w:rPr>
          <w:rFonts w:hint="eastAsia" w:hAnsi="仿宋_GB2312" w:cs="仿宋_GB2312"/>
          <w:sz w:val="32"/>
          <w:szCs w:val="32"/>
          <w:lang w:eastAsia="zh-CN"/>
        </w:rPr>
        <w:t>位于</w:t>
      </w:r>
      <w:r>
        <w:rPr>
          <w:rFonts w:hint="eastAsia" w:ascii="仿宋_GB2312" w:hAnsi="仿宋_GB2312" w:eastAsia="仿宋_GB2312" w:cs="仿宋_GB2312"/>
          <w:sz w:val="32"/>
          <w:szCs w:val="32"/>
          <w:lang w:val="en-US" w:eastAsia="zh-CN"/>
        </w:rPr>
        <w:t>静海区大邱庄镇的天津友发钢管集团股份有限公司第二分公司</w:t>
      </w:r>
      <w:r>
        <w:rPr>
          <w:rFonts w:hint="eastAsia" w:hAnsi="仿宋_GB2312" w:cs="仿宋_GB2312"/>
          <w:sz w:val="32"/>
          <w:szCs w:val="32"/>
          <w:lang w:val="en-US" w:eastAsia="zh-CN"/>
        </w:rPr>
        <w:t>（以下简称：</w:t>
      </w:r>
      <w:r>
        <w:rPr>
          <w:rFonts w:hint="eastAsia" w:ascii="Times New Roman" w:hAnsi="Times New Roman" w:eastAsia="仿宋_GB2312" w:cs="Times New Roman"/>
          <w:sz w:val="32"/>
          <w:szCs w:val="32"/>
          <w:lang w:val="en-US" w:eastAsia="zh-CN"/>
        </w:rPr>
        <w:t>友发第二分公司</w:t>
      </w:r>
      <w:r>
        <w:rPr>
          <w:rFonts w:hint="eastAsia" w:ascii="Times New Roman" w:cs="Times New Roman"/>
          <w:sz w:val="32"/>
          <w:szCs w:val="32"/>
          <w:lang w:val="en-US" w:eastAsia="zh-CN"/>
        </w:rPr>
        <w:t>）</w:t>
      </w:r>
      <w:r>
        <w:rPr>
          <w:rFonts w:hint="eastAsia" w:ascii="仿宋_GB2312" w:hAnsi="仿宋_GB2312" w:eastAsia="仿宋_GB2312" w:cs="仿宋_GB2312"/>
          <w:sz w:val="32"/>
          <w:szCs w:val="32"/>
          <w:lang w:val="en-US" w:eastAsia="zh-CN"/>
        </w:rPr>
        <w:t>二车间内发生一起机械伤害事故，造成</w:t>
      </w:r>
      <w:r>
        <w:rPr>
          <w:rFonts w:hint="eastAsia" w:ascii="Times New Roman" w:hAnsi="Times New Roman" w:eastAsia="仿宋_GB2312" w:cs="Times New Roman"/>
          <w:sz w:val="32"/>
          <w:szCs w:val="32"/>
          <w:lang w:val="en-US" w:eastAsia="zh-CN" w:bidi="ar-SA"/>
        </w:rPr>
        <w:t>1</w:t>
      </w:r>
      <w:r>
        <w:rPr>
          <w:rFonts w:hint="eastAsia" w:ascii="仿宋_GB2312" w:hAnsi="仿宋_GB2312" w:eastAsia="仿宋_GB2312" w:cs="仿宋_GB2312"/>
          <w:sz w:val="32"/>
          <w:szCs w:val="32"/>
          <w:lang w:val="en-US" w:eastAsia="zh-CN"/>
        </w:rPr>
        <w:t>人死亡，直接经济损失约</w:t>
      </w:r>
      <w:r>
        <w:rPr>
          <w:rFonts w:hint="eastAsia" w:ascii="Times New Roman" w:hAnsi="Times New Roman" w:eastAsia="仿宋_GB2312" w:cs="Times New Roman"/>
          <w:sz w:val="32"/>
          <w:szCs w:val="32"/>
          <w:lang w:val="en-US" w:eastAsia="zh-CN" w:bidi="ar-SA"/>
        </w:rPr>
        <w:t>116.3</w:t>
      </w:r>
      <w:r>
        <w:rPr>
          <w:rFonts w:hint="eastAsia" w:ascii="仿宋_GB2312" w:hAnsi="仿宋_GB2312" w:eastAsia="仿宋_GB2312" w:cs="仿宋_GB2312"/>
          <w:sz w:val="32"/>
          <w:szCs w:val="32"/>
          <w:lang w:val="en-US" w:eastAsia="zh-CN"/>
        </w:rPr>
        <w:t>万元</w:t>
      </w:r>
      <w:r>
        <w:rPr>
          <w:rFonts w:hint="eastAsia" w:ascii="仿宋_GB2312" w:hAnsi="仿宋" w:eastAsia="仿宋_GB2312"/>
          <w:sz w:val="32"/>
          <w:szCs w:val="32"/>
        </w:rPr>
        <w:t>。</w:t>
      </w:r>
    </w:p>
    <w:p w14:paraId="4A127353">
      <w:pPr>
        <w:pStyle w:val="2"/>
        <w:keepNext w:val="0"/>
        <w:keepLines w:val="0"/>
        <w:pageBreakBefore w:val="0"/>
        <w:widowControl/>
        <w:kinsoku/>
        <w:wordWrap/>
        <w:overflowPunct/>
        <w:topLinePunct w:val="0"/>
        <w:autoSpaceDE/>
        <w:autoSpaceDN/>
        <w:bidi w:val="0"/>
        <w:adjustRightInd/>
        <w:snapToGrid/>
        <w:spacing w:line="560" w:lineRule="exact"/>
        <w:ind w:firstLine="640"/>
        <w:jc w:val="both"/>
        <w:textAlignment w:val="auto"/>
        <w:rPr>
          <w:rFonts w:hint="eastAsia"/>
        </w:rPr>
      </w:pPr>
      <w:r>
        <w:rPr>
          <w:rFonts w:hint="eastAsia"/>
          <w:lang w:eastAsia="zh-CN"/>
        </w:rPr>
        <w:t>事故发生后</w:t>
      </w:r>
      <w:r>
        <w:rPr>
          <w:rFonts w:hint="eastAsia"/>
        </w:rPr>
        <w:t>，</w:t>
      </w:r>
      <w:r>
        <w:rPr>
          <w:rFonts w:hint="eastAsia"/>
          <w:lang w:eastAsia="zh-CN"/>
        </w:rPr>
        <w:t>依据</w:t>
      </w:r>
      <w:r>
        <w:rPr>
          <w:rFonts w:hint="eastAsia"/>
        </w:rPr>
        <w:t>《生产安全事故报告和调查处理条例》《天津市安全生产条例》</w:t>
      </w:r>
      <w:r>
        <w:rPr>
          <w:rFonts w:hint="eastAsia"/>
          <w:lang w:eastAsia="zh-CN"/>
        </w:rPr>
        <w:t>的规定</w:t>
      </w:r>
      <w:r>
        <w:rPr>
          <w:rFonts w:hint="eastAsia"/>
        </w:rPr>
        <w:t>，经区政府研究决定成立静海区大邱庄镇友发第二分公司“</w:t>
      </w:r>
      <w:r>
        <w:rPr>
          <w:rFonts w:hint="eastAsia" w:ascii="Times New Roman" w:hAnsi="Times New Roman" w:eastAsia="仿宋_GB2312" w:cs="Times New Roman"/>
          <w:sz w:val="32"/>
          <w:szCs w:val="32"/>
          <w:lang w:val="en-US" w:eastAsia="zh-CN" w:bidi="ar-SA"/>
        </w:rPr>
        <w:t>5·27</w:t>
      </w:r>
      <w:r>
        <w:rPr>
          <w:rFonts w:hint="eastAsia"/>
        </w:rPr>
        <w:t>”一般机械伤害事故</w:t>
      </w:r>
      <w:r>
        <w:rPr>
          <w:rFonts w:hint="default" w:ascii="仿宋_GB2312" w:hAnsi="仿宋_GB2312" w:eastAsia="仿宋_GB2312" w:cs="仿宋_GB2312"/>
          <w:sz w:val="32"/>
          <w:szCs w:val="32"/>
          <w:lang w:val="en"/>
        </w:rPr>
        <w:t>调查组</w:t>
      </w:r>
      <w:r>
        <w:rPr>
          <w:rFonts w:hint="eastAsia" w:ascii="Times New Roman" w:cs="Times New Roman"/>
          <w:sz w:val="32"/>
          <w:szCs w:val="32"/>
          <w:lang w:val="en-US" w:eastAsia="zh-CN"/>
        </w:rPr>
        <w:t>开展事故调查工作</w:t>
      </w:r>
      <w:r>
        <w:rPr>
          <w:rFonts w:hint="eastAsia"/>
        </w:rPr>
        <w:t>。</w:t>
      </w:r>
    </w:p>
    <w:p w14:paraId="38BA3AC6">
      <w:pPr>
        <w:pStyle w:val="2"/>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ascii="仿宋_GB2312" w:eastAsia="仿宋_GB2312"/>
          <w:sz w:val="32"/>
          <w:szCs w:val="32"/>
        </w:rPr>
      </w:pPr>
      <w:r>
        <w:rPr>
          <w:rFonts w:hint="eastAsia"/>
          <w:lang w:val="en-US" w:eastAsia="zh-CN"/>
        </w:rPr>
        <w:t>经事故调查组现场勘查和调查取证认定该起事故的直接原因为：</w:t>
      </w:r>
      <w:r>
        <w:rPr>
          <w:rFonts w:hint="eastAsia"/>
          <w:sz w:val="32"/>
          <w:szCs w:val="32"/>
          <w:lang w:eastAsia="zh-CN"/>
        </w:rPr>
        <w:t>张某某</w:t>
      </w:r>
      <w:r>
        <w:rPr>
          <w:rFonts w:hint="eastAsia" w:eastAsia="仿宋_GB2312"/>
          <w:sz w:val="32"/>
          <w:szCs w:val="32"/>
          <w:lang w:eastAsia="zh-CN"/>
        </w:rPr>
        <w:t>在使用撬棍撬带钢上的焊点过程中，</w:t>
      </w:r>
      <w:r>
        <w:rPr>
          <w:rFonts w:hint="eastAsia"/>
          <w:sz w:val="32"/>
          <w:szCs w:val="32"/>
          <w:lang w:eastAsia="zh-CN"/>
        </w:rPr>
        <w:t>曲某某</w:t>
      </w:r>
      <w:r>
        <w:rPr>
          <w:rFonts w:hint="eastAsia" w:eastAsia="仿宋_GB2312"/>
          <w:sz w:val="32"/>
          <w:szCs w:val="32"/>
          <w:lang w:eastAsia="zh-CN"/>
        </w:rPr>
        <w:t>认为</w:t>
      </w:r>
      <w:r>
        <w:rPr>
          <w:rFonts w:hint="eastAsia"/>
          <w:sz w:val="32"/>
          <w:szCs w:val="32"/>
          <w:lang w:eastAsia="zh-CN"/>
        </w:rPr>
        <w:t>张某某</w:t>
      </w:r>
      <w:r>
        <w:rPr>
          <w:rFonts w:hint="eastAsia" w:eastAsia="仿宋_GB2312"/>
          <w:sz w:val="32"/>
          <w:szCs w:val="32"/>
          <w:lang w:eastAsia="zh-CN"/>
        </w:rPr>
        <w:t>已撬开带钢卷上的焊点，违反该公司制定的《作业指导书》相关要求，操作控制台引料开关，导致</w:t>
      </w:r>
      <w:r>
        <w:rPr>
          <w:rFonts w:hint="eastAsia" w:ascii="仿宋_GB2312" w:eastAsia="仿宋_GB2312"/>
          <w:sz w:val="32"/>
          <w:szCs w:val="32"/>
          <w:lang w:val="en-US" w:eastAsia="zh-CN"/>
        </w:rPr>
        <w:t>插在带钢卷料头处的撬棍随之转动，撬棍尾部打到</w:t>
      </w:r>
      <w:r>
        <w:rPr>
          <w:rFonts w:hint="eastAsia"/>
          <w:sz w:val="32"/>
          <w:szCs w:val="32"/>
          <w:lang w:val="en-US" w:eastAsia="zh-CN"/>
        </w:rPr>
        <w:t>张某某</w:t>
      </w:r>
      <w:r>
        <w:rPr>
          <w:rFonts w:hint="eastAsia" w:ascii="仿宋_GB2312" w:eastAsia="仿宋_GB2312"/>
          <w:sz w:val="32"/>
          <w:szCs w:val="32"/>
          <w:lang w:val="en-US" w:eastAsia="zh-CN"/>
        </w:rPr>
        <w:t>左侧面部致其死亡</w:t>
      </w:r>
      <w:r>
        <w:rPr>
          <w:rFonts w:hint="eastAsia" w:ascii="仿宋_GB2312" w:eastAsia="仿宋_GB2312"/>
          <w:sz w:val="32"/>
          <w:szCs w:val="32"/>
        </w:rPr>
        <w:t>。</w:t>
      </w:r>
    </w:p>
    <w:p w14:paraId="6EF288BA">
      <w:pPr>
        <w:pStyle w:val="2"/>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eastAsia" w:ascii="Times New Roman" w:hAnsi="Times New Roman" w:eastAsia="仿宋_GB2312" w:cs="Times New Roman"/>
          <w:sz w:val="32"/>
          <w:szCs w:val="32"/>
          <w:lang w:val="en-US" w:eastAsia="zh-CN"/>
        </w:rPr>
      </w:pPr>
      <w:r>
        <w:rPr>
          <w:rFonts w:hint="eastAsia"/>
          <w:lang w:val="en-US" w:eastAsia="zh-CN"/>
        </w:rPr>
        <w:t>该起事故的间接原因为：</w:t>
      </w:r>
      <w:r>
        <w:rPr>
          <w:rFonts w:hint="eastAsia" w:ascii="Times New Roman" w:hAnsi="Times New Roman" w:eastAsia="仿宋_GB2312" w:cs="Times New Roman"/>
          <w:sz w:val="32"/>
          <w:szCs w:val="32"/>
          <w:lang w:val="en-US" w:eastAsia="zh-CN" w:bidi="ar-SA"/>
        </w:rPr>
        <w:t>1.</w:t>
      </w:r>
      <w:r>
        <w:rPr>
          <w:rFonts w:hint="eastAsia" w:ascii="Times New Roman" w:hAnsi="Times New Roman" w:eastAsia="仿宋_GB2312" w:cs="Times New Roman"/>
          <w:sz w:val="32"/>
          <w:szCs w:val="32"/>
          <w:lang w:val="en-US" w:eastAsia="zh-CN"/>
        </w:rPr>
        <w:t>友发第二分公司违反了</w:t>
      </w:r>
      <w:r>
        <w:rPr>
          <w:rFonts w:hint="eastAsia" w:ascii="仿宋_GB2312" w:hAnsi="仿宋_GB2312" w:eastAsia="仿宋_GB2312" w:cs="仿宋_GB2312"/>
          <w:sz w:val="32"/>
          <w:szCs w:val="32"/>
          <w:vertAlign w:val="superscript"/>
          <w:lang w:val="en-US" w:eastAsia="zh-CN"/>
        </w:rPr>
        <w:t xml:space="preserve"> </w:t>
      </w:r>
      <w:r>
        <w:rPr>
          <w:rFonts w:hint="eastAsia" w:ascii="Times New Roman" w:hAnsi="Times New Roman" w:eastAsia="仿宋_GB2312" w:cs="Times New Roman"/>
          <w:sz w:val="32"/>
          <w:szCs w:val="32"/>
          <w:lang w:val="en-US" w:eastAsia="zh-CN"/>
        </w:rPr>
        <w:t>《天津市生产经营单位安全生产主体责任规定》第十三条</w:t>
      </w:r>
      <w:r>
        <w:rPr>
          <w:rFonts w:hint="eastAsia" w:ascii="仿宋_GB2312" w:hAnsi="仿宋_GB2312" w:eastAsia="仿宋_GB2312" w:cs="仿宋_GB2312"/>
          <w:sz w:val="32"/>
          <w:szCs w:val="32"/>
          <w:lang w:val="en-US" w:eastAsia="zh-CN"/>
        </w:rPr>
        <w:t>的</w:t>
      </w:r>
      <w:r>
        <w:rPr>
          <w:rFonts w:hint="eastAsia" w:ascii="Times New Roman" w:hAnsi="Times New Roman" w:eastAsia="仿宋_GB2312" w:cs="Times New Roman"/>
          <w:sz w:val="32"/>
          <w:szCs w:val="32"/>
          <w:lang w:val="en-US" w:eastAsia="zh-CN"/>
        </w:rPr>
        <w:t>规定</w:t>
      </w:r>
      <w:r>
        <w:rPr>
          <w:rFonts w:hint="eastAsia" w:ascii="仿宋_GB2312" w:eastAsia="仿宋_GB2312" w:cs="仿宋_GB2312"/>
          <w:sz w:val="32"/>
          <w:szCs w:val="32"/>
          <w:lang w:val="en-US" w:eastAsia="zh-CN"/>
        </w:rPr>
        <w:t>，</w:t>
      </w:r>
      <w:r>
        <w:rPr>
          <w:rFonts w:hint="eastAsia" w:ascii="仿宋_GB2312" w:eastAsia="仿宋_GB2312"/>
          <w:sz w:val="32"/>
          <w:szCs w:val="32"/>
          <w:lang w:val="en-US" w:eastAsia="zh-CN"/>
        </w:rPr>
        <w:t>上料工岗位操作规程制定不全面，该公司上料工岗位操作规程只对上料工撬料时应站在侧方位作业、严禁站</w:t>
      </w:r>
      <w:r>
        <w:rPr>
          <w:rFonts w:hint="eastAsia"/>
          <w:sz w:val="32"/>
          <w:szCs w:val="32"/>
          <w:lang w:val="en-US" w:eastAsia="zh-CN"/>
        </w:rPr>
        <w:t>在</w:t>
      </w:r>
      <w:r>
        <w:rPr>
          <w:rFonts w:hint="eastAsia" w:ascii="仿宋_GB2312" w:eastAsia="仿宋_GB2312"/>
          <w:sz w:val="32"/>
          <w:szCs w:val="32"/>
          <w:lang w:val="en-US" w:eastAsia="zh-CN"/>
        </w:rPr>
        <w:t>原料正面作业等进行了要求，未明确撬料时其他人员不得按动控制台开关、撬料时岗位之间如何衔接配合</w:t>
      </w:r>
      <w:r>
        <w:rPr>
          <w:rFonts w:hint="eastAsia" w:ascii="Times New Roman" w:hAnsi="Times New Roman" w:eastAsia="仿宋_GB2312" w:cs="Times New Roman"/>
          <w:sz w:val="32"/>
          <w:szCs w:val="32"/>
          <w:lang w:val="en-US" w:eastAsia="zh-CN"/>
        </w:rPr>
        <w:t>等</w:t>
      </w:r>
      <w:r>
        <w:rPr>
          <w:rFonts w:hint="eastAsia" w:ascii="仿宋_GB2312" w:eastAsia="仿宋_GB2312"/>
          <w:sz w:val="32"/>
          <w:szCs w:val="32"/>
          <w:lang w:val="en-US" w:eastAsia="zh-CN"/>
        </w:rPr>
        <w:t>安全操作要求</w:t>
      </w:r>
      <w:r>
        <w:rPr>
          <w:rFonts w:hint="eastAsia" w:ascii="仿宋_GB2312" w:eastAsia="仿宋_GB2312"/>
          <w:sz w:val="32"/>
          <w:szCs w:val="32"/>
          <w:lang w:eastAsia="zh-CN"/>
        </w:rPr>
        <w:t>。</w:t>
      </w:r>
      <w:r>
        <w:rPr>
          <w:rFonts w:hint="eastAsia" w:ascii="仿宋_GB2312" w:eastAsia="仿宋_GB2312"/>
          <w:sz w:val="32"/>
          <w:szCs w:val="32"/>
          <w:lang w:val="en-US" w:eastAsia="zh-CN"/>
        </w:rPr>
        <w:t>上料工岗位操作规程还存在与实际生产工艺流程不符的情况。</w:t>
      </w:r>
    </w:p>
    <w:p w14:paraId="68BAB670">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outlineLvl w:val="9"/>
        <w:rPr>
          <w:rFonts w:hint="eastAsia" w:ascii="仿宋_GB2312" w:hAnsi="仿宋_GB2312" w:eastAsia="仿宋_GB2312" w:cs="仿宋_GB2312"/>
          <w:kern w:val="2"/>
          <w:sz w:val="32"/>
          <w:szCs w:val="32"/>
          <w:lang w:val="en-US" w:eastAsia="zh-CN" w:bidi="ar-SA"/>
        </w:rPr>
      </w:pPr>
      <w:r>
        <w:rPr>
          <w:rFonts w:hint="eastAsia" w:ascii="Times New Roman" w:hAnsi="Times New Roman" w:eastAsia="仿宋_GB2312" w:cs="Times New Roman"/>
          <w:sz w:val="32"/>
          <w:szCs w:val="32"/>
          <w:lang w:val="en-US" w:eastAsia="zh-CN" w:bidi="ar-SA"/>
        </w:rPr>
        <w:t>2.</w:t>
      </w:r>
      <w:r>
        <w:rPr>
          <w:rFonts w:hint="eastAsia" w:ascii="仿宋_GB2312" w:hAnsi="仿宋_GB2312" w:eastAsia="仿宋_GB2312" w:cs="仿宋_GB2312"/>
          <w:kern w:val="2"/>
          <w:sz w:val="32"/>
          <w:szCs w:val="32"/>
          <w:lang w:val="en-US" w:eastAsia="zh-CN" w:bidi="ar-SA"/>
        </w:rPr>
        <w:t>友发第二分公司违反了</w:t>
      </w:r>
      <w:r>
        <w:rPr>
          <w:rFonts w:hint="eastAsia" w:ascii="Times New Roman" w:hAnsi="Times New Roman" w:eastAsia="仿宋_GB2312" w:cs="Times New Roman"/>
          <w:sz w:val="32"/>
          <w:szCs w:val="32"/>
          <w:lang w:val="en-US" w:eastAsia="zh-CN"/>
        </w:rPr>
        <w:t>《中华人民共和国安全生产法》第四十一条第一款</w:t>
      </w:r>
      <w:r>
        <w:rPr>
          <w:rFonts w:hint="eastAsia" w:ascii="仿宋_GB2312" w:hAnsi="仿宋_GB2312" w:eastAsia="仿宋_GB2312" w:cs="仿宋_GB2312"/>
          <w:kern w:val="2"/>
          <w:sz w:val="32"/>
          <w:szCs w:val="32"/>
          <w:lang w:val="en-US" w:eastAsia="zh-CN" w:bidi="ar-SA"/>
        </w:rPr>
        <w:t>、《天津市生产经营单位安全生产主体责任规定》第二十条</w:t>
      </w:r>
      <w:r>
        <w:rPr>
          <w:rFonts w:hint="eastAsia" w:hAnsi="仿宋_GB2312" w:cs="仿宋_GB2312"/>
          <w:kern w:val="2"/>
          <w:sz w:val="32"/>
          <w:szCs w:val="32"/>
          <w:lang w:val="en-US" w:eastAsia="zh-CN" w:bidi="ar-SA"/>
        </w:rPr>
        <w:t>第</w:t>
      </w:r>
      <w:r>
        <w:rPr>
          <w:rFonts w:hint="eastAsia" w:ascii="仿宋_GB2312" w:hAnsi="仿宋_GB2312" w:eastAsia="仿宋_GB2312" w:cs="仿宋_GB2312"/>
          <w:kern w:val="2"/>
          <w:sz w:val="32"/>
          <w:szCs w:val="32"/>
          <w:lang w:val="en-US" w:eastAsia="zh-CN" w:bidi="ar-SA"/>
        </w:rPr>
        <w:t>二</w:t>
      </w:r>
      <w:r>
        <w:rPr>
          <w:rFonts w:hint="eastAsia" w:hAnsi="仿宋_GB2312" w:cs="仿宋_GB2312"/>
          <w:kern w:val="2"/>
          <w:sz w:val="32"/>
          <w:szCs w:val="32"/>
          <w:lang w:val="en-US" w:eastAsia="zh-CN" w:bidi="ar-SA"/>
        </w:rPr>
        <w:t>项</w:t>
      </w:r>
      <w:r>
        <w:rPr>
          <w:rFonts w:hint="eastAsia" w:ascii="仿宋_GB2312" w:hAnsi="仿宋_GB2312" w:eastAsia="仿宋_GB2312" w:cs="仿宋_GB2312"/>
          <w:kern w:val="2"/>
          <w:sz w:val="32"/>
          <w:szCs w:val="32"/>
          <w:lang w:val="en-US" w:eastAsia="zh-CN" w:bidi="ar-SA"/>
        </w:rPr>
        <w:t>、</w:t>
      </w:r>
      <w:r>
        <w:rPr>
          <w:rFonts w:hint="eastAsia" w:hAnsi="仿宋_GB2312" w:cs="仿宋_GB2312"/>
          <w:kern w:val="2"/>
          <w:sz w:val="32"/>
          <w:szCs w:val="32"/>
          <w:lang w:val="en-US" w:eastAsia="zh-CN" w:bidi="ar-SA"/>
        </w:rPr>
        <w:t>第</w:t>
      </w:r>
      <w:r>
        <w:rPr>
          <w:rFonts w:hint="eastAsia" w:ascii="仿宋_GB2312" w:hAnsi="仿宋_GB2312" w:eastAsia="仿宋_GB2312" w:cs="仿宋_GB2312"/>
          <w:kern w:val="2"/>
          <w:sz w:val="32"/>
          <w:szCs w:val="32"/>
          <w:lang w:val="en-US" w:eastAsia="zh-CN" w:bidi="ar-SA"/>
        </w:rPr>
        <w:t>三</w:t>
      </w:r>
      <w:r>
        <w:rPr>
          <w:rFonts w:hint="eastAsia" w:hAnsi="仿宋_GB2312" w:cs="仿宋_GB2312"/>
          <w:kern w:val="2"/>
          <w:sz w:val="32"/>
          <w:szCs w:val="32"/>
          <w:lang w:val="en-US" w:eastAsia="zh-CN" w:bidi="ar-SA"/>
        </w:rPr>
        <w:t>项</w:t>
      </w:r>
      <w:r>
        <w:rPr>
          <w:rFonts w:hint="eastAsia" w:ascii="仿宋_GB2312" w:hAnsi="仿宋_GB2312" w:eastAsia="仿宋_GB2312" w:cs="仿宋_GB2312"/>
          <w:kern w:val="2"/>
          <w:sz w:val="32"/>
          <w:szCs w:val="32"/>
          <w:lang w:val="en-US" w:eastAsia="zh-CN" w:bidi="ar-SA"/>
        </w:rPr>
        <w:t>的规定，未全方位、全过程辨识人员行为和管理体系等方面存在的安全风险。该公司编制的《安全风险分级管控专篇》</w:t>
      </w:r>
      <w:r>
        <w:rPr>
          <w:rFonts w:hint="eastAsia" w:ascii="Times New Roman" w:hAnsi="Times New Roman" w:eastAsia="仿宋_GB2312" w:cs="Times New Roman"/>
          <w:sz w:val="32"/>
          <w:szCs w:val="32"/>
          <w:lang w:val="en-US" w:eastAsia="zh-CN" w:bidi="ar-SA"/>
        </w:rPr>
        <w:t xml:space="preserve">2.2 </w:t>
      </w:r>
      <w:r>
        <w:rPr>
          <w:rFonts w:hint="eastAsia" w:ascii="仿宋_GB2312" w:hAnsi="仿宋_GB2312" w:eastAsia="仿宋_GB2312" w:cs="仿宋_GB2312"/>
          <w:kern w:val="2"/>
          <w:sz w:val="32"/>
          <w:szCs w:val="32"/>
          <w:lang w:val="en-US" w:eastAsia="zh-CN" w:bidi="ar-SA"/>
        </w:rPr>
        <w:t>作业行为/活动风险辨识表工作危害分析 (JHA) 评价表辨识出的机械伤害采取的工程技术措施为设备运转部位采取防护措施或通过设置围栏等防止作业人员靠近，未辨识出开卷作业过程存在的作业人员违规操作造成机械伤害等安全风险。</w:t>
      </w:r>
    </w:p>
    <w:p w14:paraId="5A360487">
      <w:pPr>
        <w:pStyle w:val="2"/>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lang w:val="en-US" w:eastAsia="zh-CN"/>
        </w:rPr>
      </w:pPr>
      <w:r>
        <w:rPr>
          <w:rFonts w:hint="eastAsia" w:ascii="Times New Roman" w:hAnsi="Times New Roman" w:eastAsia="仿宋_GB2312" w:cs="Times New Roman"/>
          <w:sz w:val="32"/>
          <w:szCs w:val="32"/>
          <w:lang w:val="en-US" w:eastAsia="zh-CN" w:bidi="ar-SA"/>
        </w:rPr>
        <w:t>3.</w:t>
      </w:r>
      <w:r>
        <w:rPr>
          <w:rFonts w:hint="eastAsia" w:ascii="Times New Roman" w:hAnsi="Times New Roman" w:eastAsia="仿宋_GB2312" w:cs="Times New Roman"/>
          <w:sz w:val="32"/>
          <w:szCs w:val="32"/>
          <w:lang w:val="en-US" w:eastAsia="zh-CN"/>
        </w:rPr>
        <w:t>友发第二分公司违反了《中华人民共和国安全生产法》第四十一条第二款、《天津市生产经营单位安全生产主体责任规定》第二十一条第四项</w:t>
      </w:r>
      <w:r>
        <w:rPr>
          <w:rFonts w:hint="eastAsia" w:ascii="Times New Roman" w:hAnsi="Times New Roman" w:eastAsia="仿宋_GB2312"/>
          <w:sz w:val="32"/>
          <w:szCs w:val="32"/>
          <w:lang w:val="en-US" w:eastAsia="zh-CN"/>
        </w:rPr>
        <w:t>的规定</w:t>
      </w:r>
      <w:r>
        <w:rPr>
          <w:rFonts w:hint="eastAsia" w:ascii="Times New Roman" w:hAnsi="Times New Roman" w:eastAsia="仿宋_GB2312" w:cs="Times New Roman"/>
          <w:sz w:val="32"/>
          <w:szCs w:val="32"/>
          <w:lang w:val="en-US" w:eastAsia="zh-CN"/>
        </w:rPr>
        <w:t>，该公司</w:t>
      </w:r>
      <w:r>
        <w:rPr>
          <w:rFonts w:hint="eastAsia" w:ascii="仿宋_GB2312" w:eastAsia="仿宋_GB2312"/>
          <w:sz w:val="32"/>
          <w:szCs w:val="32"/>
          <w:lang w:eastAsia="zh-CN"/>
        </w:rPr>
        <w:t>虽然安排了专职安全员负责车间安全检查、隐患排查和视频监控纠违，但未发现</w:t>
      </w:r>
      <w:r>
        <w:rPr>
          <w:rFonts w:hint="default" w:ascii="仿宋_GB2312" w:eastAsia="仿宋_GB2312"/>
          <w:sz w:val="32"/>
          <w:szCs w:val="32"/>
          <w:lang w:val="en" w:eastAsia="zh-CN"/>
        </w:rPr>
        <w:t>车间内</w:t>
      </w:r>
      <w:r>
        <w:rPr>
          <w:rFonts w:hint="eastAsia" w:ascii="仿宋_GB2312" w:eastAsia="仿宋_GB2312"/>
          <w:sz w:val="32"/>
          <w:szCs w:val="32"/>
          <w:lang w:eastAsia="zh-CN"/>
        </w:rPr>
        <w:t>存在的边撬料边操作控制台的情况，未及时消除事故隐患</w:t>
      </w:r>
      <w:r>
        <w:rPr>
          <w:rFonts w:hint="eastAsia" w:ascii="仿宋_GB2312" w:hAnsi="仿宋_GB2312" w:eastAsia="仿宋_GB2312" w:cs="仿宋_GB2312"/>
          <w:sz w:val="32"/>
          <w:szCs w:val="32"/>
          <w:lang w:val="en-US" w:eastAsia="zh-CN"/>
        </w:rPr>
        <w:t>。</w:t>
      </w:r>
    </w:p>
    <w:p w14:paraId="24EE76AE">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lang w:val="en-US" w:eastAsia="zh-CN"/>
        </w:rPr>
      </w:pPr>
      <w:bookmarkStart w:id="0" w:name="_Toc2878"/>
      <w:bookmarkStart w:id="1" w:name="_Toc26035"/>
      <w:r>
        <w:rPr>
          <w:rFonts w:hint="eastAsia" w:ascii="Times New Roman" w:hAnsi="Times New Roman" w:eastAsia="仿宋_GB2312" w:cs="Times New Roman"/>
          <w:sz w:val="32"/>
          <w:szCs w:val="32"/>
          <w:lang w:val="en-US" w:eastAsia="zh-CN" w:bidi="ar-SA"/>
        </w:rPr>
        <w:t>4.</w:t>
      </w:r>
      <w:r>
        <w:rPr>
          <w:rFonts w:hint="eastAsia" w:hAnsi="Calibri" w:cs="仿宋_GB2312"/>
          <w:kern w:val="2"/>
          <w:sz w:val="32"/>
          <w:szCs w:val="32"/>
          <w:lang w:val="en-US" w:eastAsia="zh-CN" w:bidi="ar-SA"/>
        </w:rPr>
        <w:t>曲某某</w:t>
      </w:r>
      <w:r>
        <w:rPr>
          <w:rFonts w:hint="eastAsia" w:ascii="仿宋_GB2312" w:hAnsi="Calibri" w:eastAsia="仿宋_GB2312" w:cs="仿宋_GB2312"/>
          <w:kern w:val="2"/>
          <w:sz w:val="32"/>
          <w:szCs w:val="32"/>
          <w:lang w:val="en-US" w:eastAsia="zh-CN" w:bidi="ar-SA"/>
        </w:rPr>
        <w:t>在操作控制台前未对</w:t>
      </w:r>
      <w:r>
        <w:rPr>
          <w:rFonts w:hint="eastAsia" w:hAnsi="Calibri" w:cs="仿宋_GB2312"/>
          <w:kern w:val="2"/>
          <w:sz w:val="32"/>
          <w:szCs w:val="32"/>
          <w:lang w:val="en-US" w:eastAsia="zh-CN" w:bidi="ar-SA"/>
        </w:rPr>
        <w:t>张某某</w:t>
      </w:r>
      <w:r>
        <w:rPr>
          <w:rFonts w:hint="eastAsia" w:ascii="仿宋_GB2312" w:hAnsi="Calibri" w:eastAsia="仿宋_GB2312" w:cs="仿宋_GB2312"/>
          <w:kern w:val="2"/>
          <w:sz w:val="32"/>
          <w:szCs w:val="32"/>
          <w:lang w:val="en-US" w:eastAsia="zh-CN" w:bidi="ar-SA"/>
        </w:rPr>
        <w:t>是否撬开焊点进行确认，</w:t>
      </w:r>
      <w:r>
        <w:rPr>
          <w:rFonts w:hint="eastAsia" w:eastAsia="仿宋_GB2312"/>
          <w:sz w:val="32"/>
          <w:szCs w:val="32"/>
          <w:lang w:eastAsia="zh-CN"/>
        </w:rPr>
        <w:t>违反《作业指导书》要求</w:t>
      </w:r>
      <w:r>
        <w:rPr>
          <w:rFonts w:hint="eastAsia" w:ascii="仿宋_GB2312" w:hAnsi="Calibri" w:eastAsia="仿宋_GB2312" w:cs="仿宋_GB2312"/>
          <w:kern w:val="2"/>
          <w:sz w:val="32"/>
          <w:szCs w:val="32"/>
          <w:lang w:val="en-US" w:eastAsia="zh-CN" w:bidi="ar-SA"/>
        </w:rPr>
        <w:t>在</w:t>
      </w:r>
      <w:r>
        <w:rPr>
          <w:rFonts w:hint="eastAsia" w:hAnsi="Calibri" w:cs="仿宋_GB2312"/>
          <w:kern w:val="2"/>
          <w:sz w:val="32"/>
          <w:szCs w:val="32"/>
          <w:lang w:val="en-US" w:eastAsia="zh-CN" w:bidi="ar-SA"/>
        </w:rPr>
        <w:t>张某某</w:t>
      </w:r>
      <w:r>
        <w:rPr>
          <w:rFonts w:hint="eastAsia" w:ascii="仿宋_GB2312" w:hAnsi="Calibri" w:eastAsia="仿宋_GB2312" w:cs="仿宋_GB2312"/>
          <w:kern w:val="2"/>
          <w:sz w:val="32"/>
          <w:szCs w:val="32"/>
          <w:lang w:val="en-US" w:eastAsia="zh-CN" w:bidi="ar-SA"/>
        </w:rPr>
        <w:t>未撬开带钢焊点且未远离带钢</w:t>
      </w:r>
      <w:r>
        <w:rPr>
          <w:rFonts w:hint="eastAsia" w:ascii="Times New Roman" w:hAnsi="Times New Roman" w:eastAsia="仿宋_GB2312" w:cs="Times New Roman"/>
          <w:sz w:val="32"/>
          <w:szCs w:val="32"/>
          <w:lang w:val="en-US" w:eastAsia="zh-CN" w:bidi="ar-SA"/>
        </w:rPr>
        <w:t>2</w:t>
      </w:r>
      <w:r>
        <w:rPr>
          <w:rFonts w:hint="eastAsia" w:ascii="仿宋_GB2312" w:hAnsi="Calibri" w:eastAsia="仿宋_GB2312" w:cs="仿宋_GB2312"/>
          <w:kern w:val="2"/>
          <w:sz w:val="32"/>
          <w:szCs w:val="32"/>
          <w:lang w:val="en-US" w:eastAsia="zh-CN" w:bidi="ar-SA"/>
        </w:rPr>
        <w:t>米以外的情况下操作控制</w:t>
      </w:r>
      <w:r>
        <w:rPr>
          <w:rFonts w:hint="eastAsia" w:ascii="仿宋_GB2312" w:hAnsi="Calibri" w:eastAsia="仿宋_GB2312" w:cs="仿宋_GB2312"/>
          <w:color w:val="000000" w:themeColor="text1"/>
          <w:kern w:val="2"/>
          <w:sz w:val="32"/>
          <w:szCs w:val="32"/>
          <w:lang w:val="en-US" w:eastAsia="zh-CN" w:bidi="ar-SA"/>
          <w14:textFill>
            <w14:solidFill>
              <w14:schemeClr w14:val="tx1"/>
            </w14:solidFill>
          </w14:textFill>
        </w:rPr>
        <w:t>台</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w:t>
      </w:r>
      <w:bookmarkEnd w:id="0"/>
      <w:bookmarkEnd w:id="1"/>
    </w:p>
    <w:p w14:paraId="1556D20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eastAsia="仿宋_GB2312" w:cs="仿宋_GB2312"/>
          <w:sz w:val="32"/>
          <w:szCs w:val="32"/>
          <w:lang w:val="en-US" w:eastAsia="zh-CN"/>
        </w:rPr>
      </w:pPr>
      <w:r>
        <w:rPr>
          <w:rFonts w:hint="eastAsia" w:ascii="Times New Roman" w:hAnsi="Times New Roman" w:eastAsia="仿宋_GB2312" w:cs="Times New Roman"/>
          <w:sz w:val="32"/>
          <w:szCs w:val="32"/>
          <w:lang w:val="en-US" w:eastAsia="zh-CN" w:bidi="ar-SA"/>
        </w:rPr>
        <w:t>2023</w:t>
      </w:r>
      <w:r>
        <w:rPr>
          <w:rFonts w:hint="eastAsia" w:ascii="仿宋_GB2312" w:eastAsia="仿宋_GB2312" w:cs="仿宋_GB2312"/>
          <w:sz w:val="32"/>
          <w:szCs w:val="32"/>
          <w:lang w:val="en-US" w:eastAsia="zh-CN"/>
        </w:rPr>
        <w:t>年</w:t>
      </w:r>
      <w:r>
        <w:rPr>
          <w:rFonts w:hint="eastAsia" w:ascii="Times New Roman" w:hAnsi="Times New Roman" w:eastAsia="仿宋_GB2312" w:cs="Times New Roman"/>
          <w:sz w:val="32"/>
          <w:szCs w:val="32"/>
          <w:lang w:val="en-US" w:eastAsia="zh-CN" w:bidi="ar-SA"/>
        </w:rPr>
        <w:t>7</w:t>
      </w:r>
      <w:r>
        <w:rPr>
          <w:rFonts w:hint="eastAsia" w:ascii="仿宋_GB2312" w:eastAsia="仿宋_GB2312" w:cs="仿宋_GB2312"/>
          <w:sz w:val="32"/>
          <w:szCs w:val="32"/>
          <w:lang w:val="en-US" w:eastAsia="zh-CN"/>
        </w:rPr>
        <w:t>月</w:t>
      </w:r>
      <w:r>
        <w:rPr>
          <w:rFonts w:hint="eastAsia" w:ascii="Times New Roman" w:hAnsi="Times New Roman" w:eastAsia="仿宋_GB2312" w:cs="Times New Roman"/>
          <w:sz w:val="32"/>
          <w:szCs w:val="32"/>
          <w:lang w:val="en-US" w:eastAsia="zh-CN" w:bidi="ar-SA"/>
        </w:rPr>
        <w:t>20</w:t>
      </w:r>
      <w:r>
        <w:rPr>
          <w:rFonts w:hint="eastAsia" w:ascii="仿宋_GB2312" w:eastAsia="仿宋_GB2312" w:cs="仿宋_GB2312"/>
          <w:sz w:val="32"/>
          <w:szCs w:val="32"/>
          <w:lang w:val="en-US" w:eastAsia="zh-CN"/>
        </w:rPr>
        <w:t>日，事故调查组向区政府提交《</w:t>
      </w:r>
      <w:r>
        <w:rPr>
          <w:rFonts w:hint="eastAsia" w:ascii="仿宋_GB2312" w:eastAsia="仿宋_GB2312"/>
          <w:sz w:val="32"/>
          <w:szCs w:val="32"/>
        </w:rPr>
        <w:t>静海区大邱庄镇</w:t>
      </w:r>
      <w:r>
        <w:rPr>
          <w:rFonts w:hint="eastAsia" w:ascii="仿宋_GB2312" w:eastAsia="仿宋_GB2312" w:cs="仿宋_GB2312"/>
          <w:sz w:val="32"/>
          <w:szCs w:val="32"/>
          <w:lang w:eastAsia="zh-CN"/>
        </w:rPr>
        <w:t>友发第二分公司</w:t>
      </w:r>
      <w:r>
        <w:rPr>
          <w:rFonts w:hint="eastAsia" w:ascii="仿宋_GB2312" w:eastAsia="仿宋_GB2312" w:cs="仿宋_GB2312"/>
          <w:sz w:val="32"/>
          <w:szCs w:val="32"/>
        </w:rPr>
        <w:t>“</w:t>
      </w:r>
      <w:r>
        <w:rPr>
          <w:rFonts w:hint="eastAsia" w:ascii="Times New Roman" w:hAnsi="Times New Roman" w:eastAsia="仿宋_GB2312" w:cs="Times New Roman"/>
          <w:sz w:val="32"/>
          <w:szCs w:val="32"/>
          <w:lang w:val="en-US" w:eastAsia="zh-CN" w:bidi="ar-SA"/>
        </w:rPr>
        <w:t>5·27</w:t>
      </w:r>
      <w:r>
        <w:rPr>
          <w:rFonts w:hint="eastAsia" w:ascii="仿宋_GB2312" w:eastAsia="仿宋_GB2312" w:cs="仿宋_GB2312"/>
          <w:sz w:val="32"/>
          <w:szCs w:val="32"/>
        </w:rPr>
        <w:t>”</w:t>
      </w:r>
      <w:r>
        <w:rPr>
          <w:rFonts w:hint="eastAsia" w:ascii="仿宋_GB2312" w:eastAsia="仿宋_GB2312" w:cs="仿宋_GB2312"/>
          <w:sz w:val="32"/>
          <w:szCs w:val="32"/>
          <w:lang w:eastAsia="zh-CN"/>
        </w:rPr>
        <w:t>一般机械伤害</w:t>
      </w:r>
      <w:r>
        <w:rPr>
          <w:rFonts w:hint="eastAsia" w:ascii="仿宋_GB2312" w:eastAsia="仿宋_GB2312" w:cs="仿宋_GB2312"/>
          <w:sz w:val="32"/>
          <w:szCs w:val="32"/>
        </w:rPr>
        <w:t>事故</w:t>
      </w:r>
      <w:r>
        <w:rPr>
          <w:rFonts w:hint="eastAsia" w:ascii="仿宋_GB2312" w:eastAsia="仿宋_GB2312" w:cs="仿宋_GB2312"/>
          <w:sz w:val="32"/>
          <w:szCs w:val="32"/>
          <w:lang w:val="en-US" w:eastAsia="zh-CN"/>
        </w:rPr>
        <w:t>调查报告》。</w:t>
      </w:r>
      <w:r>
        <w:rPr>
          <w:rFonts w:hint="eastAsia" w:ascii="Times New Roman" w:hAnsi="Times New Roman" w:eastAsia="仿宋_GB2312" w:cs="Times New Roman"/>
          <w:sz w:val="32"/>
          <w:szCs w:val="32"/>
          <w:lang w:val="en-US" w:eastAsia="zh-CN" w:bidi="ar-SA"/>
        </w:rPr>
        <w:t>2023</w:t>
      </w:r>
      <w:r>
        <w:rPr>
          <w:rFonts w:hint="eastAsia" w:ascii="仿宋_GB2312" w:eastAsia="仿宋_GB2312" w:cs="仿宋_GB2312"/>
          <w:sz w:val="32"/>
          <w:szCs w:val="32"/>
          <w:lang w:val="en-US" w:eastAsia="zh-CN"/>
        </w:rPr>
        <w:t>年</w:t>
      </w:r>
      <w:r>
        <w:rPr>
          <w:rFonts w:hint="eastAsia" w:ascii="Times New Roman" w:hAnsi="Times New Roman" w:eastAsia="仿宋_GB2312" w:cs="Times New Roman"/>
          <w:sz w:val="32"/>
          <w:szCs w:val="32"/>
          <w:lang w:val="en-US" w:eastAsia="zh-CN" w:bidi="ar-SA"/>
        </w:rPr>
        <w:t>7</w:t>
      </w:r>
      <w:r>
        <w:rPr>
          <w:rFonts w:hint="eastAsia" w:ascii="仿宋_GB2312" w:eastAsia="仿宋_GB2312" w:cs="仿宋_GB2312"/>
          <w:sz w:val="32"/>
          <w:szCs w:val="32"/>
          <w:lang w:val="en-US" w:eastAsia="zh-CN"/>
        </w:rPr>
        <w:t>月</w:t>
      </w:r>
      <w:r>
        <w:rPr>
          <w:rFonts w:hint="eastAsia" w:ascii="Times New Roman" w:hAnsi="Times New Roman" w:eastAsia="仿宋_GB2312" w:cs="Times New Roman"/>
          <w:sz w:val="32"/>
          <w:szCs w:val="32"/>
          <w:lang w:val="en-US" w:eastAsia="zh-CN" w:bidi="ar-SA"/>
        </w:rPr>
        <w:t>24</w:t>
      </w:r>
      <w:r>
        <w:rPr>
          <w:rFonts w:hint="eastAsia" w:ascii="仿宋_GB2312" w:eastAsia="仿宋_GB2312" w:cs="仿宋_GB2312"/>
          <w:sz w:val="32"/>
          <w:szCs w:val="32"/>
          <w:lang w:val="en-US" w:eastAsia="zh-CN"/>
        </w:rPr>
        <w:t>日，区政府批复同意事故调查报告，事故调查</w:t>
      </w:r>
      <w:r>
        <w:rPr>
          <w:rFonts w:hint="eastAsia" w:cs="仿宋_GB2312"/>
          <w:sz w:val="32"/>
          <w:szCs w:val="32"/>
          <w:lang w:val="en-US" w:eastAsia="zh-CN"/>
        </w:rPr>
        <w:t>结束</w:t>
      </w:r>
      <w:r>
        <w:rPr>
          <w:rFonts w:hint="eastAsia" w:ascii="仿宋_GB2312" w:eastAsia="仿宋_GB2312" w:cs="仿宋_GB2312"/>
          <w:sz w:val="32"/>
          <w:szCs w:val="32"/>
          <w:lang w:val="en-US" w:eastAsia="zh-CN"/>
        </w:rPr>
        <w:t>。</w:t>
      </w:r>
    </w:p>
    <w:p w14:paraId="2C206F3D">
      <w:pPr>
        <w:pStyle w:val="13"/>
        <w:keepNext w:val="0"/>
        <w:keepLines w:val="0"/>
        <w:pageBreakBefore w:val="0"/>
        <w:widowControl w:val="0"/>
        <w:kinsoku/>
        <w:wordWrap/>
        <w:overflowPunct/>
        <w:topLinePunct w:val="0"/>
        <w:autoSpaceDE/>
        <w:autoSpaceDN/>
        <w:bidi w:val="0"/>
        <w:adjustRightInd/>
        <w:snapToGrid/>
        <w:spacing w:after="0" w:line="560" w:lineRule="exact"/>
        <w:ind w:left="0" w:leftChars="0" w:firstLine="64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四、评估工作部署开展情况</w:t>
      </w:r>
    </w:p>
    <w:p w14:paraId="0BABEA73">
      <w:pPr>
        <w:pStyle w:val="13"/>
        <w:keepNext w:val="0"/>
        <w:keepLines w:val="0"/>
        <w:pageBreakBefore w:val="0"/>
        <w:widowControl w:val="0"/>
        <w:kinsoku/>
        <w:wordWrap/>
        <w:overflowPunct/>
        <w:topLinePunct w:val="0"/>
        <w:autoSpaceDE/>
        <w:autoSpaceDN/>
        <w:bidi w:val="0"/>
        <w:adjustRightInd/>
        <w:snapToGrid/>
        <w:spacing w:after="0" w:line="560" w:lineRule="exact"/>
        <w:ind w:left="0" w:leftChars="0" w:firstLine="640"/>
        <w:jc w:val="both"/>
        <w:textAlignment w:val="auto"/>
        <w:rPr>
          <w:rFonts w:hint="eastAsia" w:ascii="仿宋_GB2312" w:eastAsia="仿宋_GB2312" w:cs="仿宋_GB2312"/>
          <w:sz w:val="32"/>
          <w:szCs w:val="32"/>
          <w:lang w:val="en-US" w:eastAsia="zh-CN"/>
        </w:rPr>
      </w:pPr>
      <w:r>
        <w:rPr>
          <w:rFonts w:hint="eastAsia" w:ascii="Times New Roman" w:hAnsi="Times New Roman" w:eastAsia="仿宋_GB2312" w:cs="Times New Roman"/>
          <w:sz w:val="32"/>
          <w:szCs w:val="32"/>
          <w:lang w:val="en-US" w:eastAsia="zh-CN"/>
        </w:rPr>
        <w:t>2024</w:t>
      </w:r>
      <w:r>
        <w:rPr>
          <w:rFonts w:hint="eastAsia" w:ascii="仿宋_GB2312" w:eastAsia="仿宋_GB2312" w:cs="仿宋_GB2312"/>
          <w:sz w:val="32"/>
          <w:szCs w:val="32"/>
          <w:lang w:val="en-US" w:eastAsia="zh-CN"/>
        </w:rPr>
        <w:t>年</w:t>
      </w:r>
      <w:r>
        <w:rPr>
          <w:rFonts w:hint="eastAsia" w:ascii="Times New Roman" w:hAnsi="Times New Roman" w:eastAsia="仿宋_GB2312" w:cs="Times New Roman"/>
          <w:sz w:val="32"/>
          <w:szCs w:val="32"/>
          <w:lang w:val="en-US" w:eastAsia="zh-CN"/>
        </w:rPr>
        <w:t>5</w:t>
      </w:r>
      <w:r>
        <w:rPr>
          <w:rFonts w:hint="eastAsia" w:ascii="仿宋_GB2312" w:eastAsia="仿宋_GB2312" w:cs="仿宋_GB2312"/>
          <w:sz w:val="32"/>
          <w:szCs w:val="32"/>
          <w:lang w:val="en-US" w:eastAsia="zh-CN"/>
        </w:rPr>
        <w:t>月</w:t>
      </w:r>
      <w:r>
        <w:rPr>
          <w:rFonts w:hint="eastAsia" w:ascii="Times New Roman" w:hAnsi="Times New Roman" w:eastAsia="仿宋_GB2312" w:cs="Times New Roman"/>
          <w:sz w:val="32"/>
          <w:szCs w:val="32"/>
          <w:lang w:val="en-US" w:eastAsia="zh-CN"/>
        </w:rPr>
        <w:t>30</w:t>
      </w:r>
      <w:r>
        <w:rPr>
          <w:rFonts w:hint="eastAsia" w:ascii="仿宋_GB2312" w:eastAsia="仿宋_GB2312" w:cs="仿宋_GB2312"/>
          <w:sz w:val="32"/>
          <w:szCs w:val="32"/>
          <w:lang w:val="en-US" w:eastAsia="zh-CN"/>
        </w:rPr>
        <w:t>日，事故评估组召开了</w:t>
      </w:r>
      <w:r>
        <w:rPr>
          <w:rFonts w:hint="eastAsia" w:ascii="仿宋_GB2312" w:eastAsia="仿宋_GB2312"/>
          <w:sz w:val="32"/>
          <w:szCs w:val="32"/>
        </w:rPr>
        <w:t>静海区大邱庄镇</w:t>
      </w:r>
      <w:r>
        <w:rPr>
          <w:rFonts w:hint="eastAsia" w:ascii="仿宋_GB2312" w:eastAsia="仿宋_GB2312" w:cs="仿宋_GB2312"/>
          <w:sz w:val="32"/>
          <w:szCs w:val="32"/>
          <w:lang w:eastAsia="zh-CN"/>
        </w:rPr>
        <w:t>友发第二分公司</w:t>
      </w:r>
      <w:r>
        <w:rPr>
          <w:rFonts w:hint="eastAsia" w:ascii="仿宋_GB2312" w:eastAsia="仿宋_GB2312" w:cs="仿宋_GB2312"/>
          <w:sz w:val="32"/>
          <w:szCs w:val="32"/>
        </w:rPr>
        <w:t>“</w:t>
      </w:r>
      <w:r>
        <w:rPr>
          <w:rFonts w:hint="eastAsia" w:ascii="Times New Roman" w:hAnsi="Times New Roman" w:eastAsia="仿宋_GB2312" w:cs="Times New Roman"/>
          <w:sz w:val="32"/>
          <w:szCs w:val="32"/>
          <w:lang w:val="en-US" w:eastAsia="zh-CN"/>
        </w:rPr>
        <w:t>5·27</w:t>
      </w:r>
      <w:r>
        <w:rPr>
          <w:rFonts w:hint="eastAsia" w:ascii="仿宋_GB2312" w:eastAsia="仿宋_GB2312" w:cs="仿宋_GB2312"/>
          <w:sz w:val="32"/>
          <w:szCs w:val="32"/>
        </w:rPr>
        <w:t>”</w:t>
      </w:r>
      <w:r>
        <w:rPr>
          <w:rFonts w:hint="eastAsia" w:ascii="仿宋_GB2312" w:eastAsia="仿宋_GB2312" w:cs="仿宋_GB2312"/>
          <w:sz w:val="32"/>
          <w:szCs w:val="32"/>
          <w:lang w:eastAsia="zh-CN"/>
        </w:rPr>
        <w:t>一般机械伤害</w:t>
      </w:r>
      <w:r>
        <w:rPr>
          <w:rFonts w:hint="eastAsia" w:ascii="仿宋_GB2312" w:eastAsia="仿宋_GB2312" w:cs="仿宋_GB2312"/>
          <w:sz w:val="32"/>
          <w:szCs w:val="32"/>
        </w:rPr>
        <w:t>事故</w:t>
      </w:r>
      <w:r>
        <w:rPr>
          <w:rFonts w:hint="eastAsia" w:ascii="仿宋_GB2312" w:eastAsia="仿宋_GB2312" w:cs="仿宋_GB2312"/>
          <w:sz w:val="32"/>
          <w:szCs w:val="32"/>
          <w:lang w:val="en-US" w:eastAsia="zh-CN"/>
        </w:rPr>
        <w:t>评估组会议，对事故评估的相关工作进行部署，明确了各成员单位的职责分工。</w:t>
      </w:r>
    </w:p>
    <w:p w14:paraId="4D2249D2">
      <w:pPr>
        <w:pStyle w:val="13"/>
        <w:keepNext w:val="0"/>
        <w:keepLines w:val="0"/>
        <w:pageBreakBefore w:val="0"/>
        <w:widowControl w:val="0"/>
        <w:kinsoku/>
        <w:wordWrap/>
        <w:overflowPunct/>
        <w:topLinePunct w:val="0"/>
        <w:autoSpaceDE/>
        <w:autoSpaceDN/>
        <w:bidi w:val="0"/>
        <w:adjustRightInd/>
        <w:snapToGrid/>
        <w:spacing w:after="0" w:line="560" w:lineRule="exact"/>
        <w:ind w:left="0" w:leftChars="0" w:firstLine="640"/>
        <w:jc w:val="both"/>
        <w:textAlignment w:val="auto"/>
        <w:rPr>
          <w:rFonts w:hint="eastAsia" w:ascii="仿宋_GB2312" w:eastAsia="仿宋_GB2312" w:cs="仿宋_GB2312"/>
          <w:sz w:val="32"/>
          <w:szCs w:val="32"/>
          <w:lang w:val="en-US" w:eastAsia="zh-CN"/>
        </w:rPr>
      </w:pPr>
      <w:r>
        <w:rPr>
          <w:rFonts w:hint="eastAsia" w:ascii="Times New Roman" w:hAnsi="Times New Roman" w:eastAsia="仿宋_GB2312" w:cs="Times New Roman"/>
          <w:sz w:val="32"/>
          <w:szCs w:val="32"/>
          <w:lang w:val="en-US" w:eastAsia="zh-CN"/>
        </w:rPr>
        <w:t>2024</w:t>
      </w:r>
      <w:r>
        <w:rPr>
          <w:rFonts w:hint="eastAsia" w:ascii="仿宋_GB2312" w:eastAsia="仿宋_GB2312" w:cs="仿宋_GB2312"/>
          <w:sz w:val="32"/>
          <w:szCs w:val="32"/>
          <w:lang w:val="en-US" w:eastAsia="zh-CN"/>
        </w:rPr>
        <w:t>年</w:t>
      </w:r>
      <w:r>
        <w:rPr>
          <w:rFonts w:hint="eastAsia" w:ascii="Times New Roman" w:hAnsi="Times New Roman" w:eastAsia="仿宋_GB2312" w:cs="Times New Roman"/>
          <w:sz w:val="32"/>
          <w:szCs w:val="32"/>
          <w:lang w:val="en-US" w:eastAsia="zh-CN"/>
        </w:rPr>
        <w:t>6</w:t>
      </w:r>
      <w:r>
        <w:rPr>
          <w:rFonts w:hint="eastAsia" w:ascii="仿宋_GB2312" w:eastAsia="仿宋_GB2312" w:cs="仿宋_GB2312"/>
          <w:sz w:val="32"/>
          <w:szCs w:val="32"/>
          <w:lang w:val="en-US" w:eastAsia="zh-CN"/>
        </w:rPr>
        <w:t>月</w:t>
      </w:r>
      <w:r>
        <w:rPr>
          <w:rFonts w:hint="eastAsia" w:ascii="Times New Roman" w:hAnsi="Times New Roman" w:eastAsia="仿宋_GB2312" w:cs="Times New Roman"/>
          <w:sz w:val="32"/>
          <w:szCs w:val="32"/>
          <w:lang w:val="en-US" w:eastAsia="zh-CN"/>
        </w:rPr>
        <w:t>12</w:t>
      </w:r>
      <w:r>
        <w:rPr>
          <w:rFonts w:hint="eastAsia" w:ascii="仿宋_GB2312" w:eastAsia="仿宋_GB2312" w:cs="仿宋_GB2312"/>
          <w:sz w:val="32"/>
          <w:szCs w:val="32"/>
          <w:lang w:val="en-US" w:eastAsia="zh-CN"/>
        </w:rPr>
        <w:t>日、</w:t>
      </w:r>
      <w:r>
        <w:rPr>
          <w:rFonts w:hint="eastAsia" w:ascii="Times New Roman" w:hAnsi="Times New Roman" w:eastAsia="仿宋_GB2312" w:cs="Times New Roman"/>
          <w:sz w:val="32"/>
          <w:szCs w:val="32"/>
          <w:lang w:val="en-US" w:eastAsia="zh-CN"/>
        </w:rPr>
        <w:t>6</w:t>
      </w:r>
      <w:r>
        <w:rPr>
          <w:rFonts w:hint="eastAsia" w:ascii="仿宋_GB2312" w:eastAsia="仿宋_GB2312" w:cs="仿宋_GB2312"/>
          <w:sz w:val="32"/>
          <w:szCs w:val="32"/>
          <w:lang w:val="en-US" w:eastAsia="zh-CN"/>
        </w:rPr>
        <w:t>月</w:t>
      </w:r>
      <w:r>
        <w:rPr>
          <w:rFonts w:hint="eastAsia" w:ascii="Times New Roman" w:hAnsi="Times New Roman" w:eastAsia="仿宋_GB2312" w:cs="Times New Roman"/>
          <w:sz w:val="32"/>
          <w:szCs w:val="32"/>
          <w:lang w:val="en-US" w:eastAsia="zh-CN"/>
        </w:rPr>
        <w:t>18</w:t>
      </w:r>
      <w:r>
        <w:rPr>
          <w:rFonts w:hint="eastAsia" w:ascii="仿宋_GB2312" w:eastAsia="仿宋_GB2312" w:cs="仿宋_GB2312"/>
          <w:sz w:val="32"/>
          <w:szCs w:val="32"/>
          <w:lang w:val="en-US" w:eastAsia="zh-CN"/>
        </w:rPr>
        <w:t>日，事故评估组对事故调查报告中提出的</w:t>
      </w:r>
      <w:r>
        <w:rPr>
          <w:rFonts w:hint="eastAsia" w:ascii="Times New Roman" w:hAnsi="Times New Roman" w:eastAsia="仿宋_GB2312" w:cs="Times New Roman"/>
          <w:sz w:val="32"/>
          <w:szCs w:val="32"/>
          <w:lang w:val="en-US" w:eastAsia="zh-CN"/>
        </w:rPr>
        <w:t>友发第二分公司</w:t>
      </w:r>
      <w:r>
        <w:rPr>
          <w:rFonts w:hint="eastAsia" w:ascii="仿宋_GB2312" w:eastAsia="仿宋_GB2312" w:cs="仿宋_GB2312"/>
          <w:sz w:val="32"/>
          <w:szCs w:val="32"/>
          <w:lang w:val="en-US" w:eastAsia="zh-CN"/>
        </w:rPr>
        <w:t>事故防范和整改措施落实情况进行了实地评估。</w:t>
      </w:r>
    </w:p>
    <w:p w14:paraId="505B7A86">
      <w:pPr>
        <w:pStyle w:val="13"/>
        <w:keepNext w:val="0"/>
        <w:keepLines w:val="0"/>
        <w:pageBreakBefore w:val="0"/>
        <w:widowControl w:val="0"/>
        <w:kinsoku/>
        <w:wordWrap/>
        <w:overflowPunct/>
        <w:topLinePunct w:val="0"/>
        <w:autoSpaceDE/>
        <w:autoSpaceDN/>
        <w:bidi w:val="0"/>
        <w:adjustRightInd/>
        <w:snapToGrid/>
        <w:spacing w:after="0" w:line="560" w:lineRule="exact"/>
        <w:ind w:left="0" w:leftChars="0" w:firstLine="640"/>
        <w:jc w:val="both"/>
        <w:textAlignment w:val="auto"/>
        <w:rPr>
          <w:rFonts w:hint="default" w:ascii="仿宋_GB2312" w:eastAsia="仿宋_GB2312" w:cs="仿宋_GB2312"/>
          <w:sz w:val="32"/>
          <w:szCs w:val="32"/>
          <w:lang w:val="en-US" w:eastAsia="zh-CN"/>
        </w:rPr>
      </w:pPr>
      <w:r>
        <w:rPr>
          <w:rFonts w:hint="eastAsia" w:ascii="Times New Roman" w:hAnsi="Times New Roman" w:eastAsia="仿宋_GB2312" w:cs="Times New Roman"/>
          <w:sz w:val="32"/>
          <w:szCs w:val="32"/>
          <w:lang w:val="en-US" w:eastAsia="zh-CN"/>
        </w:rPr>
        <w:t>2024</w:t>
      </w:r>
      <w:r>
        <w:rPr>
          <w:rFonts w:hint="eastAsia" w:ascii="仿宋_GB2312" w:eastAsia="仿宋_GB2312" w:cs="仿宋_GB2312"/>
          <w:sz w:val="32"/>
          <w:szCs w:val="32"/>
          <w:lang w:val="en-US" w:eastAsia="zh-CN"/>
        </w:rPr>
        <w:t>年</w:t>
      </w:r>
      <w:r>
        <w:rPr>
          <w:rFonts w:hint="eastAsia" w:ascii="Times New Roman" w:hAnsi="Times New Roman" w:eastAsia="仿宋_GB2312" w:cs="Times New Roman"/>
          <w:sz w:val="32"/>
          <w:szCs w:val="32"/>
          <w:lang w:val="en-US" w:eastAsia="zh-CN"/>
        </w:rPr>
        <w:t>5</w:t>
      </w:r>
      <w:r>
        <w:rPr>
          <w:rFonts w:hint="eastAsia" w:ascii="仿宋_GB2312" w:eastAsia="仿宋_GB2312" w:cs="仿宋_GB2312"/>
          <w:sz w:val="32"/>
          <w:szCs w:val="32"/>
          <w:lang w:val="en-US" w:eastAsia="zh-CN"/>
        </w:rPr>
        <w:t>月-</w:t>
      </w:r>
      <w:r>
        <w:rPr>
          <w:rFonts w:hint="eastAsia" w:ascii="Times New Roman" w:hAnsi="Times New Roman" w:eastAsia="仿宋_GB2312" w:cs="Times New Roman"/>
          <w:sz w:val="32"/>
          <w:szCs w:val="32"/>
          <w:lang w:val="en-US" w:eastAsia="zh-CN"/>
        </w:rPr>
        <w:t>8</w:t>
      </w:r>
      <w:r>
        <w:rPr>
          <w:rFonts w:hint="eastAsia" w:ascii="仿宋_GB2312" w:eastAsia="仿宋_GB2312" w:cs="仿宋_GB2312"/>
          <w:sz w:val="32"/>
          <w:szCs w:val="32"/>
          <w:lang w:val="en-US" w:eastAsia="zh-CN"/>
        </w:rPr>
        <w:t>月，区应急管理局将收集的相关资料信息进行归集整理，撰写评估报告并征求相关部门意见。</w:t>
      </w:r>
    </w:p>
    <w:p w14:paraId="69DD5794">
      <w:pPr>
        <w:pStyle w:val="13"/>
        <w:keepNext w:val="0"/>
        <w:keepLines w:val="0"/>
        <w:pageBreakBefore w:val="0"/>
        <w:widowControl w:val="0"/>
        <w:kinsoku/>
        <w:wordWrap/>
        <w:overflowPunct/>
        <w:topLinePunct w:val="0"/>
        <w:autoSpaceDE/>
        <w:autoSpaceDN/>
        <w:bidi w:val="0"/>
        <w:adjustRightInd/>
        <w:snapToGrid/>
        <w:spacing w:after="0" w:line="560" w:lineRule="exact"/>
        <w:ind w:left="0" w:leftChars="0" w:firstLine="640"/>
        <w:jc w:val="both"/>
        <w:textAlignment w:val="auto"/>
        <w:rPr>
          <w:rFonts w:hint="eastAsia" w:ascii="仿宋_GB2312" w:eastAsia="仿宋_GB2312" w:cs="仿宋_GB2312"/>
          <w:sz w:val="32"/>
          <w:szCs w:val="32"/>
          <w:lang w:val="en-US" w:eastAsia="zh-CN"/>
        </w:rPr>
      </w:pPr>
      <w:r>
        <w:rPr>
          <w:rFonts w:hint="eastAsia" w:ascii="黑体" w:hAnsi="黑体" w:eastAsia="黑体" w:cs="黑体"/>
          <w:sz w:val="32"/>
          <w:szCs w:val="32"/>
          <w:lang w:val="en-US" w:eastAsia="zh-CN"/>
        </w:rPr>
        <w:t>五、评估事项及结论</w:t>
      </w:r>
      <w:r>
        <w:rPr>
          <w:rFonts w:hint="eastAsia" w:ascii="仿宋_GB2312" w:eastAsia="仿宋_GB2312" w:cs="仿宋_GB2312"/>
          <w:sz w:val="32"/>
          <w:szCs w:val="32"/>
          <w:lang w:val="en-US" w:eastAsia="zh-CN"/>
        </w:rPr>
        <w:tab/>
      </w:r>
    </w:p>
    <w:p w14:paraId="4BFFFE2D">
      <w:pPr>
        <w:pStyle w:val="13"/>
        <w:keepNext w:val="0"/>
        <w:keepLines w:val="0"/>
        <w:pageBreakBefore w:val="0"/>
        <w:widowControl w:val="0"/>
        <w:kinsoku/>
        <w:wordWrap/>
        <w:overflowPunct/>
        <w:topLinePunct w:val="0"/>
        <w:autoSpaceDE/>
        <w:autoSpaceDN/>
        <w:bidi w:val="0"/>
        <w:adjustRightInd/>
        <w:snapToGrid/>
        <w:spacing w:after="0" w:line="560" w:lineRule="exact"/>
        <w:ind w:left="0" w:leftChars="0" w:firstLine="640"/>
        <w:jc w:val="both"/>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（一）事故相关人员刑事责任追究落实情况</w:t>
      </w:r>
    </w:p>
    <w:p w14:paraId="0E7B4B1A">
      <w:pPr>
        <w:pStyle w:val="13"/>
        <w:keepNext w:val="0"/>
        <w:keepLines w:val="0"/>
        <w:pageBreakBefore w:val="0"/>
        <w:widowControl w:val="0"/>
        <w:kinsoku/>
        <w:wordWrap/>
        <w:overflowPunct/>
        <w:topLinePunct w:val="0"/>
        <w:autoSpaceDE/>
        <w:autoSpaceDN/>
        <w:bidi w:val="0"/>
        <w:adjustRightInd/>
        <w:snapToGrid/>
        <w:spacing w:after="0" w:line="560" w:lineRule="exact"/>
        <w:ind w:left="0" w:leftChars="0" w:firstLine="640"/>
        <w:jc w:val="both"/>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2023年7月31日，友发第二分公司员工曲某某因涉嫌犯过失致人死亡罪被天津市公安局静海分局取保候审，2024年2月28日被天津市静海区人民检察院取保候审，2024年5月11日因涉嫌犯重大责任事故罪被天津市静海区人民法院取保候审。</w:t>
      </w:r>
    </w:p>
    <w:p w14:paraId="19205CA0">
      <w:pPr>
        <w:pStyle w:val="13"/>
        <w:keepNext w:val="0"/>
        <w:keepLines w:val="0"/>
        <w:pageBreakBefore w:val="0"/>
        <w:widowControl w:val="0"/>
        <w:kinsoku/>
        <w:wordWrap/>
        <w:overflowPunct/>
        <w:topLinePunct w:val="0"/>
        <w:autoSpaceDE/>
        <w:autoSpaceDN/>
        <w:bidi w:val="0"/>
        <w:adjustRightInd/>
        <w:snapToGrid/>
        <w:spacing w:after="0" w:line="560" w:lineRule="exact"/>
        <w:ind w:left="0" w:leftChars="0" w:firstLine="640"/>
        <w:jc w:val="both"/>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2024年5月9日，天津市静海区人民检察院以津静检刑诉〔2024〕201号起诉书指控被告曲某某犯重大责任事故罪向天津市静海区人民法院提起公诉。5月11日天津市静海区人民法院受理，并依法适用简易程序。</w:t>
      </w:r>
    </w:p>
    <w:p w14:paraId="2DF2A96B">
      <w:pPr>
        <w:pStyle w:val="13"/>
        <w:keepNext w:val="0"/>
        <w:keepLines w:val="0"/>
        <w:pageBreakBefore w:val="0"/>
        <w:widowControl w:val="0"/>
        <w:kinsoku/>
        <w:wordWrap/>
        <w:overflowPunct/>
        <w:topLinePunct w:val="0"/>
        <w:autoSpaceDE/>
        <w:autoSpaceDN/>
        <w:bidi w:val="0"/>
        <w:adjustRightInd/>
        <w:snapToGrid/>
        <w:spacing w:after="0" w:line="560" w:lineRule="exact"/>
        <w:ind w:left="0" w:leftChars="0" w:firstLine="640"/>
        <w:jc w:val="both"/>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2024年5月21日，静海区人民法院依法判决：曲某某犯重大责任事故罪，依据《中华人民共和国刑法》第一百三十四条第一款、第六十七条第一款、第七十二条、第七十三条，《最高人民法院、最高人民检察院关于办理危害生产安全刑事案件适用法律若干问题的解释》第一条、第六条第一款第一项，《中华人民共和国刑事诉讼法》第十五条之规定，判处有期徒刑六个月，缓刑一年。矫正日期自2024年6月1日至2025年5月31日。</w:t>
      </w:r>
    </w:p>
    <w:p w14:paraId="3B43E931">
      <w:pPr>
        <w:pStyle w:val="13"/>
        <w:keepNext w:val="0"/>
        <w:keepLines w:val="0"/>
        <w:pageBreakBefore w:val="0"/>
        <w:widowControl w:val="0"/>
        <w:kinsoku/>
        <w:wordWrap/>
        <w:overflowPunct/>
        <w:topLinePunct w:val="0"/>
        <w:autoSpaceDE/>
        <w:autoSpaceDN/>
        <w:bidi w:val="0"/>
        <w:adjustRightInd/>
        <w:snapToGrid/>
        <w:spacing w:after="0" w:line="560" w:lineRule="exact"/>
        <w:ind w:left="0" w:leftChars="0" w:firstLine="640"/>
        <w:jc w:val="both"/>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2024年6月5日，曲某某到天津市静海区司法局大邱庄司法所报道，截止2024年8月9日，曲某某能够遵守司法所监管规定，按时到司法所报道，表现良好。</w:t>
      </w:r>
    </w:p>
    <w:p w14:paraId="4B8A7A82">
      <w:pPr>
        <w:pStyle w:val="13"/>
        <w:keepNext w:val="0"/>
        <w:keepLines w:val="0"/>
        <w:pageBreakBefore w:val="0"/>
        <w:widowControl w:val="0"/>
        <w:kinsoku/>
        <w:wordWrap/>
        <w:overflowPunct/>
        <w:topLinePunct w:val="0"/>
        <w:autoSpaceDE/>
        <w:autoSpaceDN/>
        <w:bidi w:val="0"/>
        <w:adjustRightInd/>
        <w:snapToGrid/>
        <w:spacing w:after="0" w:line="560" w:lineRule="exact"/>
        <w:ind w:left="0" w:leftChars="0" w:firstLine="640"/>
        <w:jc w:val="both"/>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（二）事故单位及有关人员行政处罚落实情况</w:t>
      </w:r>
    </w:p>
    <w:p w14:paraId="4E416FD5">
      <w:pPr>
        <w:pStyle w:val="13"/>
        <w:keepNext w:val="0"/>
        <w:keepLines w:val="0"/>
        <w:pageBreakBefore w:val="0"/>
        <w:widowControl w:val="0"/>
        <w:kinsoku/>
        <w:wordWrap/>
        <w:overflowPunct/>
        <w:topLinePunct w:val="0"/>
        <w:autoSpaceDE/>
        <w:autoSpaceDN/>
        <w:bidi w:val="0"/>
        <w:adjustRightInd/>
        <w:snapToGrid/>
        <w:spacing w:after="0" w:line="560" w:lineRule="exact"/>
        <w:ind w:left="0" w:leftChars="0" w:firstLine="640"/>
        <w:jc w:val="both"/>
        <w:textAlignment w:val="auto"/>
        <w:rPr>
          <w:rFonts w:hint="eastAsia" w:ascii="仿宋_GB2312" w:hAnsi="黑体" w:eastAsia="仿宋_GB2312" w:cs="黑体"/>
          <w:sz w:val="32"/>
          <w:szCs w:val="32"/>
          <w:lang w:val="en-US" w:eastAsia="zh-CN"/>
        </w:rPr>
      </w:pPr>
      <w:r>
        <w:rPr>
          <w:rFonts w:hint="eastAsia" w:ascii="Times New Roman" w:hAnsi="Times New Roman" w:eastAsia="仿宋_GB2312" w:cs="Times New Roman"/>
          <w:sz w:val="32"/>
          <w:szCs w:val="32"/>
          <w:lang w:val="en-US" w:eastAsia="zh-CN"/>
        </w:rPr>
        <w:t>友发第二分公司</w:t>
      </w:r>
      <w:r>
        <w:rPr>
          <w:rFonts w:ascii="仿宋_GB2312" w:hAnsi="黑体" w:eastAsia="仿宋_GB2312" w:cs="黑体"/>
          <w:sz w:val="32"/>
          <w:szCs w:val="32"/>
          <w:highlight w:val="none"/>
        </w:rPr>
        <w:t>安全生产主体责任</w:t>
      </w:r>
      <w:r>
        <w:rPr>
          <w:rFonts w:ascii="仿宋_GB2312" w:hAnsi="黑体" w:eastAsia="仿宋_GB2312" w:cs="黑体"/>
          <w:sz w:val="32"/>
          <w:szCs w:val="32"/>
          <w:highlight w:val="none"/>
          <w:lang w:val="en"/>
        </w:rPr>
        <w:t>落实</w:t>
      </w:r>
      <w:r>
        <w:rPr>
          <w:rFonts w:hint="eastAsia" w:ascii="仿宋_GB2312" w:hAnsi="黑体" w:eastAsia="仿宋_GB2312" w:cs="黑体"/>
          <w:sz w:val="32"/>
          <w:szCs w:val="32"/>
          <w:highlight w:val="none"/>
          <w:lang w:eastAsia="zh-CN"/>
        </w:rPr>
        <w:t>不到位</w:t>
      </w:r>
      <w:r>
        <w:rPr>
          <w:rFonts w:ascii="仿宋_GB2312" w:hAnsi="黑体" w:eastAsia="仿宋_GB2312" w:cs="黑体"/>
          <w:sz w:val="32"/>
          <w:szCs w:val="32"/>
          <w:highlight w:val="none"/>
        </w:rPr>
        <w:t>，</w:t>
      </w:r>
      <w:r>
        <w:rPr>
          <w:rFonts w:hint="eastAsia" w:ascii="仿宋_GB2312" w:hAnsi="黑体" w:eastAsia="仿宋_GB2312" w:cs="黑体"/>
          <w:sz w:val="32"/>
          <w:szCs w:val="32"/>
          <w:highlight w:val="none"/>
          <w:lang w:val="en-US" w:eastAsia="zh-CN"/>
        </w:rPr>
        <w:t>安全操作规程</w:t>
      </w:r>
      <w:r>
        <w:rPr>
          <w:rFonts w:ascii="仿宋_GB2312" w:hAnsi="黑体" w:eastAsia="仿宋_GB2312" w:cs="黑体"/>
          <w:sz w:val="32"/>
          <w:szCs w:val="32"/>
        </w:rPr>
        <w:t>编制不全面</w:t>
      </w:r>
      <w:r>
        <w:rPr>
          <w:rFonts w:hint="eastAsia" w:ascii="仿宋_GB2312" w:hAnsi="黑体" w:eastAsia="仿宋_GB2312" w:cs="黑体"/>
          <w:sz w:val="32"/>
          <w:szCs w:val="32"/>
          <w:lang w:eastAsia="zh-CN"/>
        </w:rPr>
        <w:t>，</w:t>
      </w:r>
      <w:r>
        <w:rPr>
          <w:rFonts w:hint="eastAsia" w:ascii="仿宋_GB2312" w:hAnsi="黑体" w:eastAsia="仿宋_GB2312" w:cs="黑体"/>
          <w:sz w:val="32"/>
          <w:szCs w:val="32"/>
          <w:lang w:val="en-US" w:eastAsia="zh-CN"/>
        </w:rPr>
        <w:t>安全风险辨识、管控不到位</w:t>
      </w:r>
      <w:r>
        <w:rPr>
          <w:rFonts w:hint="default" w:ascii="仿宋_GB2312" w:hAnsi="黑体" w:eastAsia="仿宋_GB2312" w:cs="黑体"/>
          <w:sz w:val="32"/>
          <w:szCs w:val="32"/>
          <w:lang w:val="en" w:eastAsia="zh-CN"/>
        </w:rPr>
        <w:t>，</w:t>
      </w:r>
      <w:r>
        <w:rPr>
          <w:rFonts w:ascii="仿宋_GB2312" w:hAnsi="黑体" w:eastAsia="仿宋_GB2312" w:cs="黑体"/>
          <w:sz w:val="32"/>
          <w:szCs w:val="32"/>
        </w:rPr>
        <w:t>隐患排查落实不到位，</w:t>
      </w:r>
      <w:r>
        <w:rPr>
          <w:rFonts w:hint="eastAsia" w:ascii="仿宋_GB2312" w:eastAsia="仿宋_GB2312" w:cs="仿宋_GB2312"/>
          <w:sz w:val="32"/>
          <w:szCs w:val="32"/>
          <w:lang w:val="en-US" w:eastAsia="zh-CN"/>
        </w:rPr>
        <w:t>对事故的发生负有责</w:t>
      </w:r>
      <w:r>
        <w:rPr>
          <w:rFonts w:hint="eastAsia" w:ascii="仿宋_GB2312" w:hAnsi="黑体" w:eastAsia="仿宋_GB2312" w:cs="黑体"/>
          <w:sz w:val="32"/>
          <w:szCs w:val="32"/>
          <w:lang w:val="en-US" w:eastAsia="zh-CN"/>
        </w:rPr>
        <w:t>任。依据《中华人民共和国安全生产法》第一百一十四条第一项的规定，区应急管理局于</w:t>
      </w:r>
      <w:r>
        <w:rPr>
          <w:rFonts w:hint="eastAsia" w:ascii="Times New Roman" w:hAnsi="Times New Roman" w:eastAsia="仿宋_GB2312" w:cs="Times New Roman"/>
          <w:sz w:val="32"/>
          <w:szCs w:val="32"/>
          <w:lang w:val="en-US" w:eastAsia="zh-CN"/>
        </w:rPr>
        <w:t>2023</w:t>
      </w:r>
      <w:r>
        <w:rPr>
          <w:rFonts w:hint="eastAsia" w:ascii="仿宋_GB2312" w:hAnsi="黑体" w:eastAsia="仿宋_GB2312" w:cs="黑体"/>
          <w:sz w:val="32"/>
          <w:szCs w:val="32"/>
          <w:lang w:val="en-US" w:eastAsia="zh-CN"/>
        </w:rPr>
        <w:t>年</w:t>
      </w:r>
      <w:r>
        <w:rPr>
          <w:rFonts w:hint="default" w:ascii="Times New Roman" w:hAnsi="Times New Roman" w:eastAsia="仿宋_GB2312" w:cs="Times New Roman"/>
          <w:sz w:val="32"/>
          <w:szCs w:val="32"/>
          <w:lang w:val="en" w:eastAsia="zh-CN"/>
        </w:rPr>
        <w:t>8</w:t>
      </w:r>
      <w:r>
        <w:rPr>
          <w:rFonts w:hint="eastAsia" w:ascii="仿宋_GB2312" w:hAnsi="黑体" w:eastAsia="仿宋_GB2312" w:cs="黑体"/>
          <w:sz w:val="32"/>
          <w:szCs w:val="32"/>
          <w:lang w:val="en-US" w:eastAsia="zh-CN"/>
        </w:rPr>
        <w:t>月</w:t>
      </w:r>
      <w:r>
        <w:rPr>
          <w:rFonts w:hint="default" w:ascii="Times New Roman" w:hAnsi="Times New Roman" w:eastAsia="仿宋_GB2312" w:cs="Times New Roman"/>
          <w:sz w:val="32"/>
          <w:szCs w:val="32"/>
          <w:lang w:val="en" w:eastAsia="zh-CN"/>
        </w:rPr>
        <w:t>29</w:t>
      </w:r>
      <w:r>
        <w:rPr>
          <w:rFonts w:hint="eastAsia" w:ascii="仿宋_GB2312" w:hAnsi="黑体" w:eastAsia="仿宋_GB2312" w:cs="黑体"/>
          <w:sz w:val="32"/>
          <w:szCs w:val="32"/>
          <w:lang w:val="en-US" w:eastAsia="zh-CN"/>
        </w:rPr>
        <w:t>日下达了《行政处罚决定书》（津静）应急罚</w:t>
      </w:r>
      <w:r>
        <w:rPr>
          <w:rFonts w:hint="default" w:ascii="Times New Roman" w:hAnsi="Times New Roman" w:eastAsia="仿宋_GB2312" w:cs="Times New Roman"/>
          <w:sz w:val="32"/>
          <w:szCs w:val="32"/>
          <w:lang w:val="en" w:eastAsia="zh-CN"/>
        </w:rPr>
        <w:t>〔</w:t>
      </w:r>
      <w:r>
        <w:rPr>
          <w:rFonts w:hint="eastAsia" w:ascii="Times New Roman" w:hAnsi="Times New Roman" w:eastAsia="仿宋_GB2312" w:cs="Times New Roman"/>
          <w:sz w:val="32"/>
          <w:szCs w:val="32"/>
          <w:lang w:val="en-US" w:eastAsia="zh-CN"/>
        </w:rPr>
        <w:t>2023</w:t>
      </w:r>
      <w:r>
        <w:rPr>
          <w:rFonts w:hint="default" w:ascii="Times New Roman" w:hAnsi="Times New Roman" w:eastAsia="仿宋_GB2312" w:cs="Times New Roman"/>
          <w:sz w:val="32"/>
          <w:szCs w:val="32"/>
          <w:lang w:val="en" w:eastAsia="zh-CN"/>
        </w:rPr>
        <w:t>〕</w:t>
      </w:r>
      <w:r>
        <w:rPr>
          <w:rFonts w:hint="eastAsia" w:ascii="仿宋_GB2312" w:hAnsi="黑体" w:eastAsia="仿宋_GB2312" w:cs="黑体"/>
          <w:sz w:val="32"/>
          <w:szCs w:val="32"/>
          <w:lang w:val="en-US" w:eastAsia="zh-CN"/>
        </w:rPr>
        <w:t>支队-</w:t>
      </w:r>
      <w:r>
        <w:rPr>
          <w:rFonts w:hint="eastAsia" w:ascii="Times New Roman" w:hAnsi="Times New Roman" w:eastAsia="仿宋_GB2312" w:cs="Times New Roman"/>
          <w:sz w:val="32"/>
          <w:szCs w:val="32"/>
          <w:lang w:val="en-US" w:eastAsia="zh-CN"/>
        </w:rPr>
        <w:t>S0</w:t>
      </w:r>
      <w:r>
        <w:rPr>
          <w:rFonts w:hint="default" w:ascii="Times New Roman" w:hAnsi="Times New Roman" w:eastAsia="仿宋_GB2312" w:cs="Times New Roman"/>
          <w:sz w:val="32"/>
          <w:szCs w:val="32"/>
          <w:lang w:val="en" w:eastAsia="zh-CN"/>
        </w:rPr>
        <w:t>05</w:t>
      </w:r>
      <w:r>
        <w:rPr>
          <w:rFonts w:hint="eastAsia" w:ascii="仿宋_GB2312" w:hAnsi="黑体" w:eastAsia="仿宋_GB2312" w:cs="黑体"/>
          <w:sz w:val="32"/>
          <w:szCs w:val="32"/>
          <w:lang w:val="en-US" w:eastAsia="zh-CN"/>
        </w:rPr>
        <w:t>号对其给予人民币</w:t>
      </w:r>
      <w:r>
        <w:rPr>
          <w:rFonts w:hint="eastAsia" w:ascii="Times New Roman" w:hAnsi="Times New Roman" w:eastAsia="仿宋_GB2312" w:cs="Times New Roman"/>
          <w:sz w:val="32"/>
          <w:szCs w:val="32"/>
          <w:lang w:val="en-US" w:eastAsia="zh-CN"/>
        </w:rPr>
        <w:t>49</w:t>
      </w:r>
      <w:r>
        <w:rPr>
          <w:rFonts w:hint="eastAsia" w:ascii="仿宋_GB2312" w:hAnsi="黑体" w:eastAsia="仿宋_GB2312" w:cs="黑体"/>
          <w:sz w:val="32"/>
          <w:szCs w:val="32"/>
          <w:lang w:val="en-US" w:eastAsia="zh-CN"/>
        </w:rPr>
        <w:t>万元罚款的行政处罚。</w:t>
      </w:r>
    </w:p>
    <w:p w14:paraId="34C912B6">
      <w:pPr>
        <w:pStyle w:val="13"/>
        <w:keepNext w:val="0"/>
        <w:keepLines w:val="0"/>
        <w:pageBreakBefore w:val="0"/>
        <w:widowControl w:val="0"/>
        <w:kinsoku/>
        <w:wordWrap/>
        <w:overflowPunct/>
        <w:topLinePunct w:val="0"/>
        <w:autoSpaceDE/>
        <w:autoSpaceDN/>
        <w:bidi w:val="0"/>
        <w:adjustRightInd/>
        <w:snapToGrid/>
        <w:spacing w:after="0" w:line="560" w:lineRule="exact"/>
        <w:ind w:left="0" w:leftChars="0" w:firstLine="640"/>
        <w:jc w:val="both"/>
        <w:textAlignment w:val="auto"/>
        <w:rPr>
          <w:rFonts w:hint="eastAsia" w:ascii="仿宋_GB2312" w:hAnsi="黑体" w:eastAsia="仿宋_GB2312" w:cs="黑体"/>
          <w:sz w:val="32"/>
          <w:szCs w:val="32"/>
          <w:lang w:val="en-US" w:eastAsia="zh-CN"/>
        </w:rPr>
      </w:pPr>
      <w:r>
        <w:rPr>
          <w:rFonts w:hint="eastAsia" w:ascii="仿宋_GB2312" w:hAnsi="黑体" w:eastAsia="仿宋_GB2312" w:cs="黑体"/>
          <w:sz w:val="32"/>
          <w:szCs w:val="32"/>
          <w:lang w:val="en-US" w:eastAsia="zh-CN"/>
        </w:rPr>
        <w:t>徐某作为友发第二分公司主要负责人，未及时消除生产安全事故隐患，违反了《中华人民共和国安全生产法》第二十一条第五项的规定，对事故发生负有责任。依据《中华人民共和国安全生产法》第九十五条第一项的规定，区应急管理局于</w:t>
      </w:r>
      <w:r>
        <w:rPr>
          <w:rFonts w:hint="eastAsia" w:ascii="Times New Roman" w:hAnsi="Times New Roman" w:eastAsia="仿宋_GB2312" w:cs="Times New Roman"/>
          <w:sz w:val="32"/>
          <w:szCs w:val="32"/>
          <w:lang w:val="en-US" w:eastAsia="zh-CN"/>
        </w:rPr>
        <w:t>2023</w:t>
      </w:r>
      <w:r>
        <w:rPr>
          <w:rFonts w:hint="eastAsia" w:ascii="仿宋_GB2312" w:hAnsi="黑体" w:eastAsia="仿宋_GB2312" w:cs="黑体"/>
          <w:sz w:val="32"/>
          <w:szCs w:val="32"/>
          <w:lang w:val="en-US" w:eastAsia="zh-CN"/>
        </w:rPr>
        <w:t>年</w:t>
      </w:r>
      <w:r>
        <w:rPr>
          <w:rFonts w:hint="default" w:ascii="Times New Roman" w:hAnsi="Times New Roman" w:eastAsia="仿宋_GB2312" w:cs="Times New Roman"/>
          <w:sz w:val="32"/>
          <w:szCs w:val="32"/>
          <w:lang w:val="en" w:eastAsia="zh-CN"/>
        </w:rPr>
        <w:t>8</w:t>
      </w:r>
      <w:r>
        <w:rPr>
          <w:rFonts w:hint="eastAsia" w:ascii="仿宋_GB2312" w:hAnsi="黑体" w:eastAsia="仿宋_GB2312" w:cs="黑体"/>
          <w:sz w:val="32"/>
          <w:szCs w:val="32"/>
          <w:lang w:val="en-US" w:eastAsia="zh-CN"/>
        </w:rPr>
        <w:t>月</w:t>
      </w:r>
      <w:r>
        <w:rPr>
          <w:rFonts w:hint="default" w:ascii="Times New Roman" w:hAnsi="Times New Roman" w:eastAsia="仿宋_GB2312" w:cs="Times New Roman"/>
          <w:sz w:val="32"/>
          <w:szCs w:val="32"/>
          <w:lang w:val="en" w:eastAsia="zh-CN"/>
        </w:rPr>
        <w:t>29</w:t>
      </w:r>
      <w:r>
        <w:rPr>
          <w:rFonts w:hint="eastAsia" w:ascii="仿宋_GB2312" w:hAnsi="黑体" w:eastAsia="仿宋_GB2312" w:cs="黑体"/>
          <w:sz w:val="32"/>
          <w:szCs w:val="32"/>
          <w:lang w:val="en-US" w:eastAsia="zh-CN"/>
        </w:rPr>
        <w:t>日下达了《行政处罚决定书》（津静）应急罚</w:t>
      </w:r>
      <w:r>
        <w:rPr>
          <w:rFonts w:hint="default" w:ascii="Times New Roman" w:hAnsi="Times New Roman" w:eastAsia="仿宋_GB2312" w:cs="Times New Roman"/>
          <w:sz w:val="32"/>
          <w:szCs w:val="32"/>
          <w:lang w:val="en" w:eastAsia="zh-CN"/>
        </w:rPr>
        <w:t>〔</w:t>
      </w:r>
      <w:r>
        <w:rPr>
          <w:rFonts w:hint="eastAsia" w:ascii="Times New Roman" w:hAnsi="Times New Roman" w:eastAsia="仿宋_GB2312" w:cs="Times New Roman"/>
          <w:sz w:val="32"/>
          <w:szCs w:val="32"/>
          <w:lang w:val="en-US" w:eastAsia="zh-CN"/>
        </w:rPr>
        <w:t>2023</w:t>
      </w:r>
      <w:r>
        <w:rPr>
          <w:rFonts w:hint="default" w:ascii="Times New Roman" w:hAnsi="Times New Roman" w:eastAsia="仿宋_GB2312" w:cs="Times New Roman"/>
          <w:sz w:val="32"/>
          <w:szCs w:val="32"/>
          <w:lang w:val="en" w:eastAsia="zh-CN"/>
        </w:rPr>
        <w:t>〕</w:t>
      </w:r>
      <w:r>
        <w:rPr>
          <w:rFonts w:hint="eastAsia" w:ascii="仿宋_GB2312" w:hAnsi="黑体" w:eastAsia="仿宋_GB2312" w:cs="黑体"/>
          <w:sz w:val="32"/>
          <w:szCs w:val="32"/>
          <w:lang w:val="en-US" w:eastAsia="zh-CN"/>
        </w:rPr>
        <w:t>支队-</w:t>
      </w:r>
      <w:r>
        <w:rPr>
          <w:rFonts w:hint="eastAsia" w:ascii="Times New Roman" w:hAnsi="Times New Roman" w:eastAsia="仿宋_GB2312" w:cs="Times New Roman"/>
          <w:sz w:val="32"/>
          <w:szCs w:val="32"/>
          <w:lang w:val="en-US" w:eastAsia="zh-CN"/>
        </w:rPr>
        <w:t>S00</w:t>
      </w:r>
      <w:r>
        <w:rPr>
          <w:rFonts w:hint="default" w:ascii="Times New Roman" w:hAnsi="Times New Roman" w:eastAsia="仿宋_GB2312" w:cs="Times New Roman"/>
          <w:sz w:val="32"/>
          <w:szCs w:val="32"/>
          <w:lang w:val="en" w:eastAsia="zh-CN"/>
        </w:rPr>
        <w:t>4</w:t>
      </w:r>
      <w:r>
        <w:rPr>
          <w:rFonts w:hint="eastAsia" w:ascii="仿宋_GB2312" w:hAnsi="黑体" w:eastAsia="仿宋_GB2312" w:cs="黑体"/>
          <w:sz w:val="32"/>
          <w:szCs w:val="32"/>
          <w:lang w:val="en-US" w:eastAsia="zh-CN"/>
        </w:rPr>
        <w:t>号对其处上一年年收入</w:t>
      </w:r>
      <w:r>
        <w:rPr>
          <w:rFonts w:hint="eastAsia" w:ascii="Times New Roman" w:hAnsi="Times New Roman" w:eastAsia="仿宋_GB2312" w:cs="Times New Roman"/>
          <w:sz w:val="32"/>
          <w:szCs w:val="32"/>
          <w:lang w:val="en-US" w:eastAsia="zh-CN"/>
        </w:rPr>
        <w:t>40%</w:t>
      </w:r>
      <w:r>
        <w:rPr>
          <w:rFonts w:hint="eastAsia" w:ascii="仿宋_GB2312" w:hAnsi="黑体" w:eastAsia="仿宋_GB2312" w:cs="黑体"/>
          <w:sz w:val="32"/>
          <w:szCs w:val="32"/>
          <w:lang w:val="en-US" w:eastAsia="zh-CN"/>
        </w:rPr>
        <w:t>的罚款，计人民币</w:t>
      </w:r>
      <w:r>
        <w:rPr>
          <w:rFonts w:hint="eastAsia" w:ascii="Times New Roman" w:hAnsi="Times New Roman" w:eastAsia="仿宋_GB2312" w:cs="Times New Roman"/>
          <w:sz w:val="32"/>
          <w:szCs w:val="32"/>
          <w:lang w:val="en-US" w:eastAsia="zh-CN"/>
        </w:rPr>
        <w:t>5.448</w:t>
      </w:r>
      <w:r>
        <w:rPr>
          <w:rFonts w:hint="eastAsia" w:ascii="仿宋_GB2312" w:hAnsi="黑体" w:eastAsia="仿宋_GB2312" w:cs="黑体"/>
          <w:sz w:val="32"/>
          <w:szCs w:val="32"/>
          <w:lang w:val="en-US" w:eastAsia="zh-CN"/>
        </w:rPr>
        <w:t>万元的行政处罚。</w:t>
      </w:r>
    </w:p>
    <w:p w14:paraId="40CE4E6F">
      <w:pPr>
        <w:pStyle w:val="13"/>
        <w:keepNext w:val="0"/>
        <w:keepLines w:val="0"/>
        <w:pageBreakBefore w:val="0"/>
        <w:widowControl w:val="0"/>
        <w:kinsoku/>
        <w:wordWrap/>
        <w:overflowPunct/>
        <w:topLinePunct w:val="0"/>
        <w:autoSpaceDE/>
        <w:autoSpaceDN/>
        <w:bidi w:val="0"/>
        <w:adjustRightInd/>
        <w:snapToGrid/>
        <w:spacing w:after="0" w:line="560" w:lineRule="exact"/>
        <w:ind w:left="0" w:leftChars="0" w:firstLine="640"/>
        <w:jc w:val="both"/>
        <w:textAlignment w:val="auto"/>
        <w:rPr>
          <w:rFonts w:hint="eastAsia" w:ascii="仿宋_GB2312" w:hAnsi="黑体" w:eastAsia="仿宋_GB2312" w:cs="黑体"/>
          <w:sz w:val="32"/>
          <w:szCs w:val="32"/>
          <w:lang w:val="en-US" w:eastAsia="zh-CN"/>
        </w:rPr>
      </w:pPr>
      <w:r>
        <w:rPr>
          <w:rFonts w:hint="eastAsia" w:ascii="Times New Roman" w:hAnsi="Times New Roman" w:eastAsia="仿宋_GB2312" w:cs="Times New Roman"/>
          <w:sz w:val="32"/>
          <w:szCs w:val="32"/>
          <w:lang w:val="en-US" w:eastAsia="zh-CN"/>
        </w:rPr>
        <w:t>2023</w:t>
      </w:r>
      <w:r>
        <w:rPr>
          <w:rFonts w:hint="eastAsia" w:ascii="仿宋_GB2312" w:hAnsi="黑体" w:eastAsia="仿宋_GB2312" w:cs="黑体"/>
          <w:sz w:val="32"/>
          <w:szCs w:val="32"/>
          <w:lang w:val="en-US" w:eastAsia="zh-CN"/>
        </w:rPr>
        <w:t>年</w:t>
      </w:r>
      <w:r>
        <w:rPr>
          <w:rFonts w:hint="default" w:ascii="Times New Roman" w:hAnsi="Times New Roman" w:eastAsia="仿宋_GB2312" w:cs="Times New Roman"/>
          <w:sz w:val="32"/>
          <w:szCs w:val="32"/>
          <w:lang w:val="en" w:eastAsia="zh-CN"/>
        </w:rPr>
        <w:t>8</w:t>
      </w:r>
      <w:r>
        <w:rPr>
          <w:rFonts w:hint="eastAsia" w:ascii="仿宋_GB2312" w:hAnsi="黑体" w:eastAsia="仿宋_GB2312" w:cs="黑体"/>
          <w:sz w:val="32"/>
          <w:szCs w:val="32"/>
          <w:lang w:val="en-US" w:eastAsia="zh-CN"/>
        </w:rPr>
        <w:t>月</w:t>
      </w:r>
      <w:r>
        <w:rPr>
          <w:rFonts w:hint="default" w:ascii="Times New Roman" w:hAnsi="Times New Roman" w:eastAsia="仿宋_GB2312" w:cs="Times New Roman"/>
          <w:sz w:val="32"/>
          <w:szCs w:val="32"/>
          <w:lang w:val="en" w:eastAsia="zh-CN"/>
        </w:rPr>
        <w:t>31</w:t>
      </w:r>
      <w:r>
        <w:rPr>
          <w:rFonts w:hint="eastAsia" w:ascii="仿宋_GB2312" w:hAnsi="黑体" w:eastAsia="仿宋_GB2312" w:cs="黑体"/>
          <w:sz w:val="32"/>
          <w:szCs w:val="32"/>
          <w:lang w:val="en-US" w:eastAsia="zh-CN"/>
        </w:rPr>
        <w:t>日，友发第二分公司及其公司主要负责人徐某已足额缴纳罚款。</w:t>
      </w:r>
    </w:p>
    <w:p w14:paraId="3F6A93CA">
      <w:pPr>
        <w:pStyle w:val="13"/>
        <w:keepNext w:val="0"/>
        <w:keepLines w:val="0"/>
        <w:pageBreakBefore w:val="0"/>
        <w:widowControl w:val="0"/>
        <w:kinsoku/>
        <w:wordWrap/>
        <w:overflowPunct/>
        <w:topLinePunct w:val="0"/>
        <w:autoSpaceDE/>
        <w:autoSpaceDN/>
        <w:bidi w:val="0"/>
        <w:adjustRightInd/>
        <w:snapToGrid/>
        <w:spacing w:after="0" w:line="560" w:lineRule="exact"/>
        <w:ind w:left="0" w:leftChars="0" w:firstLine="640"/>
        <w:jc w:val="both"/>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（三）事故防范和整改措施落实情况</w:t>
      </w:r>
    </w:p>
    <w:p w14:paraId="4165F11C">
      <w:pPr>
        <w:pStyle w:val="13"/>
        <w:keepNext w:val="0"/>
        <w:keepLines w:val="0"/>
        <w:pageBreakBefore w:val="0"/>
        <w:widowControl w:val="0"/>
        <w:kinsoku/>
        <w:wordWrap/>
        <w:overflowPunct/>
        <w:topLinePunct w:val="0"/>
        <w:autoSpaceDE/>
        <w:autoSpaceDN/>
        <w:bidi w:val="0"/>
        <w:adjustRightInd/>
        <w:snapToGrid/>
        <w:spacing w:after="0" w:line="560" w:lineRule="exact"/>
        <w:ind w:left="0" w:leftChars="0" w:firstLine="640"/>
        <w:jc w:val="both"/>
        <w:textAlignment w:val="auto"/>
        <w:rPr>
          <w:rFonts w:hint="eastAsia" w:ascii="仿宋_GB2312" w:eastAsia="仿宋_GB2312" w:cs="仿宋_GB2312"/>
          <w:sz w:val="32"/>
          <w:szCs w:val="32"/>
          <w:lang w:val="en-US" w:eastAsia="zh-CN"/>
        </w:rPr>
      </w:pPr>
      <w:r>
        <w:rPr>
          <w:rFonts w:hint="eastAsia" w:ascii="Times New Roman" w:hAnsi="Times New Roman" w:eastAsia="仿宋_GB2312" w:cs="Times New Roman"/>
          <w:sz w:val="32"/>
          <w:szCs w:val="32"/>
          <w:lang w:val="en-US" w:eastAsia="zh-CN"/>
        </w:rPr>
        <w:t>友发第二分公司</w:t>
      </w:r>
      <w:r>
        <w:rPr>
          <w:rFonts w:hint="eastAsia" w:ascii="仿宋_GB2312" w:eastAsia="仿宋_GB2312" w:cs="仿宋_GB2312"/>
          <w:sz w:val="32"/>
          <w:szCs w:val="32"/>
          <w:lang w:val="en-US" w:eastAsia="zh-CN"/>
        </w:rPr>
        <w:t>针对该起</w:t>
      </w:r>
      <w:r>
        <w:rPr>
          <w:rFonts w:hint="eastAsia" w:ascii="仿宋_GB2312" w:eastAsia="仿宋_GB2312" w:cs="仿宋_GB2312"/>
          <w:sz w:val="32"/>
          <w:szCs w:val="32"/>
        </w:rPr>
        <w:t>事故</w:t>
      </w:r>
      <w:r>
        <w:rPr>
          <w:rFonts w:hint="eastAsia" w:ascii="仿宋_GB2312" w:eastAsia="仿宋_GB2312" w:cs="仿宋_GB2312"/>
          <w:sz w:val="32"/>
          <w:szCs w:val="32"/>
          <w:lang w:val="en-US" w:eastAsia="zh-CN"/>
        </w:rPr>
        <w:t>暴露出的安全管理问题和事故隐患，修订和完善了各岗位的安全操作规程；</w:t>
      </w:r>
      <w:r>
        <w:rPr>
          <w:rFonts w:hint="eastAsia" w:ascii="仿宋_GB2312" w:hAnsi="仿宋_GB2312" w:eastAsia="仿宋_GB2312" w:cs="仿宋_GB2312"/>
          <w:sz w:val="32"/>
          <w:szCs w:val="32"/>
          <w:lang w:val="en-US" w:eastAsia="zh-CN"/>
        </w:rPr>
        <w:t>全方位、全过程辨识了生产工艺存在的安全风险和危害因素，并进行分类管理，落实各级管控责任；</w:t>
      </w:r>
      <w:r>
        <w:rPr>
          <w:rFonts w:hint="eastAsia" w:ascii="仿宋_GB2312" w:eastAsia="仿宋_GB2312" w:cs="仿宋_GB2312"/>
          <w:sz w:val="32"/>
          <w:szCs w:val="32"/>
          <w:lang w:val="en-US" w:eastAsia="zh-CN"/>
        </w:rPr>
        <w:t>加强安全教育培训和隐患排查治理等措施；全方位、多角度落实企业安全生产主体责任，提升安全生产和应急管理水平。具体整改事项如下：</w:t>
      </w:r>
    </w:p>
    <w:p w14:paraId="35F19426">
      <w:pPr>
        <w:pStyle w:val="13"/>
        <w:keepNext w:val="0"/>
        <w:keepLines w:val="0"/>
        <w:pageBreakBefore w:val="0"/>
        <w:widowControl w:val="0"/>
        <w:kinsoku/>
        <w:wordWrap/>
        <w:overflowPunct/>
        <w:topLinePunct w:val="0"/>
        <w:autoSpaceDE/>
        <w:autoSpaceDN/>
        <w:bidi w:val="0"/>
        <w:adjustRightInd/>
        <w:snapToGrid/>
        <w:spacing w:after="0" w:line="560" w:lineRule="exact"/>
        <w:ind w:left="0" w:leftChars="0" w:firstLine="640"/>
        <w:jc w:val="both"/>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w:t>
      </w:r>
      <w:r>
        <w:rPr>
          <w:rFonts w:hint="eastAsia" w:ascii="仿宋_GB2312" w:eastAsia="仿宋_GB2312" w:cs="仿宋_GB2312"/>
          <w:sz w:val="32"/>
          <w:szCs w:val="32"/>
          <w:lang w:val="en-US" w:eastAsia="zh-CN"/>
        </w:rPr>
        <w:t>开展公司内部追责问责。</w:t>
      </w:r>
      <w:r>
        <w:rPr>
          <w:rFonts w:hint="eastAsia" w:ascii="Times New Roman" w:hAnsi="Times New Roman" w:eastAsia="仿宋_GB2312" w:cs="Times New Roman"/>
          <w:sz w:val="32"/>
          <w:szCs w:val="32"/>
          <w:lang w:val="en-US" w:eastAsia="zh-CN"/>
        </w:rPr>
        <w:t>2023</w:t>
      </w:r>
      <w:r>
        <w:rPr>
          <w:rFonts w:hint="eastAsia" w:ascii="仿宋_GB2312" w:eastAsia="仿宋_GB2312" w:cs="仿宋_GB2312"/>
          <w:sz w:val="32"/>
          <w:szCs w:val="32"/>
          <w:lang w:val="en-US" w:eastAsia="zh-CN"/>
        </w:rPr>
        <w:t>年</w:t>
      </w:r>
      <w:r>
        <w:rPr>
          <w:rFonts w:hint="eastAsia" w:ascii="Times New Roman" w:hAnsi="Times New Roman" w:eastAsia="仿宋_GB2312" w:cs="Times New Roman"/>
          <w:sz w:val="32"/>
          <w:szCs w:val="32"/>
          <w:lang w:val="en-US" w:eastAsia="zh-CN"/>
        </w:rPr>
        <w:t>5</w:t>
      </w:r>
      <w:r>
        <w:rPr>
          <w:rFonts w:hint="eastAsia" w:ascii="仿宋_GB2312" w:eastAsia="仿宋_GB2312" w:cs="仿宋_GB2312"/>
          <w:sz w:val="32"/>
          <w:szCs w:val="32"/>
          <w:lang w:val="en-US" w:eastAsia="zh-CN"/>
        </w:rPr>
        <w:t>月</w:t>
      </w:r>
      <w:r>
        <w:rPr>
          <w:rFonts w:hint="eastAsia" w:ascii="Times New Roman" w:hAnsi="Times New Roman" w:eastAsia="仿宋_GB2312" w:cs="Times New Roman"/>
          <w:sz w:val="32"/>
          <w:szCs w:val="32"/>
          <w:lang w:val="en-US" w:eastAsia="zh-CN"/>
        </w:rPr>
        <w:t>28</w:t>
      </w:r>
      <w:r>
        <w:rPr>
          <w:rFonts w:hint="eastAsia" w:ascii="仿宋_GB2312" w:eastAsia="仿宋_GB2312" w:cs="仿宋_GB2312"/>
          <w:sz w:val="32"/>
          <w:szCs w:val="32"/>
          <w:lang w:val="en-US" w:eastAsia="zh-CN"/>
        </w:rPr>
        <w:t>日，</w:t>
      </w:r>
      <w:r>
        <w:rPr>
          <w:rFonts w:hint="eastAsia" w:ascii="Times New Roman" w:hAnsi="Times New Roman" w:eastAsia="仿宋_GB2312" w:cs="Times New Roman"/>
          <w:sz w:val="32"/>
          <w:szCs w:val="32"/>
          <w:lang w:val="en-US" w:eastAsia="zh-CN"/>
        </w:rPr>
        <w:t>友发第二分公司根据公司相关奖惩制度对总经理、厂长、安环科主管、二车间副主任、班长、安全员等人进行了处罚，并在全公司进行了通报。</w:t>
      </w:r>
    </w:p>
    <w:p w14:paraId="317D705F">
      <w:pPr>
        <w:pStyle w:val="13"/>
        <w:keepNext w:val="0"/>
        <w:keepLines w:val="0"/>
        <w:pageBreakBefore w:val="0"/>
        <w:widowControl w:val="0"/>
        <w:kinsoku/>
        <w:wordWrap/>
        <w:overflowPunct/>
        <w:topLinePunct w:val="0"/>
        <w:autoSpaceDE/>
        <w:autoSpaceDN/>
        <w:bidi w:val="0"/>
        <w:adjustRightInd/>
        <w:snapToGrid/>
        <w:spacing w:after="0" w:line="560" w:lineRule="exact"/>
        <w:ind w:left="0" w:leftChars="0" w:firstLine="640"/>
        <w:jc w:val="both"/>
        <w:textAlignment w:val="auto"/>
        <w:rPr>
          <w:rFonts w:hint="eastAsia" w:ascii="仿宋_GB2312" w:eastAsia="仿宋_GB2312" w:cs="仿宋_GB2312"/>
          <w:sz w:val="32"/>
          <w:szCs w:val="32"/>
          <w:lang w:val="en-US" w:eastAsia="zh-CN"/>
        </w:rPr>
      </w:pPr>
      <w:r>
        <w:rPr>
          <w:rFonts w:hint="eastAsia" w:ascii="Times New Roman" w:hAnsi="Times New Roman" w:eastAsia="仿宋_GB2312" w:cs="Times New Roman"/>
          <w:sz w:val="32"/>
          <w:szCs w:val="32"/>
          <w:lang w:val="en-US" w:eastAsia="zh-CN"/>
        </w:rPr>
        <w:t>2.针对事故所暴露问题进行通报学习。2023</w:t>
      </w:r>
      <w:r>
        <w:rPr>
          <w:rFonts w:hint="eastAsia" w:ascii="仿宋_GB2312" w:eastAsia="仿宋_GB2312" w:cs="仿宋_GB2312"/>
          <w:sz w:val="32"/>
          <w:szCs w:val="32"/>
          <w:lang w:val="en-US" w:eastAsia="zh-CN"/>
        </w:rPr>
        <w:t>年</w:t>
      </w:r>
      <w:r>
        <w:rPr>
          <w:rFonts w:hint="eastAsia" w:ascii="Times New Roman" w:hAnsi="Times New Roman" w:eastAsia="仿宋_GB2312" w:cs="Times New Roman"/>
          <w:sz w:val="32"/>
          <w:szCs w:val="32"/>
          <w:lang w:val="en-US" w:eastAsia="zh-CN"/>
        </w:rPr>
        <w:t>5</w:t>
      </w:r>
      <w:r>
        <w:rPr>
          <w:rFonts w:hint="eastAsia" w:ascii="仿宋_GB2312" w:eastAsia="仿宋_GB2312" w:cs="仿宋_GB2312"/>
          <w:sz w:val="32"/>
          <w:szCs w:val="32"/>
          <w:lang w:val="en-US" w:eastAsia="zh-CN"/>
        </w:rPr>
        <w:t>月</w:t>
      </w:r>
      <w:r>
        <w:rPr>
          <w:rFonts w:hint="eastAsia" w:ascii="Times New Roman" w:hAnsi="Times New Roman" w:eastAsia="仿宋_GB2312" w:cs="Times New Roman"/>
          <w:sz w:val="32"/>
          <w:szCs w:val="32"/>
          <w:lang w:val="en-US" w:eastAsia="zh-CN"/>
        </w:rPr>
        <w:t>31</w:t>
      </w:r>
      <w:r>
        <w:rPr>
          <w:rFonts w:hint="eastAsia" w:ascii="仿宋_GB2312" w:eastAsia="仿宋_GB2312" w:cs="仿宋_GB2312"/>
          <w:sz w:val="32"/>
          <w:szCs w:val="32"/>
          <w:lang w:val="en-US" w:eastAsia="zh-CN"/>
        </w:rPr>
        <w:t>日，</w:t>
      </w:r>
      <w:r>
        <w:rPr>
          <w:rFonts w:hint="eastAsia" w:ascii="Times New Roman" w:hAnsi="Times New Roman" w:eastAsia="仿宋_GB2312" w:cs="Times New Roman"/>
          <w:sz w:val="32"/>
          <w:szCs w:val="32"/>
          <w:lang w:val="en-US" w:eastAsia="zh-CN"/>
        </w:rPr>
        <w:t>友发第二分公司</w:t>
      </w:r>
      <w:r>
        <w:rPr>
          <w:rFonts w:hint="eastAsia" w:ascii="仿宋_GB2312" w:eastAsia="仿宋_GB2312" w:cs="仿宋_GB2312"/>
          <w:sz w:val="32"/>
          <w:szCs w:val="32"/>
          <w:lang w:val="en-US" w:eastAsia="zh-CN"/>
        </w:rPr>
        <w:t>组织干部职工召开了</w:t>
      </w:r>
      <w:r>
        <w:rPr>
          <w:rFonts w:hint="eastAsia" w:ascii="Times New Roman" w:hAnsi="Times New Roman" w:eastAsia="仿宋_GB2312" w:cs="Times New Roman"/>
          <w:sz w:val="32"/>
          <w:szCs w:val="32"/>
          <w:lang w:val="en-US" w:eastAsia="zh-CN"/>
        </w:rPr>
        <w:t>“5·27”</w:t>
      </w:r>
      <w:r>
        <w:rPr>
          <w:rFonts w:hint="eastAsia" w:ascii="仿宋_GB2312" w:eastAsia="仿宋_GB2312" w:cs="仿宋_GB2312"/>
          <w:sz w:val="32"/>
          <w:szCs w:val="32"/>
          <w:lang w:val="en-US" w:eastAsia="zh-CN"/>
        </w:rPr>
        <w:t>事故分析会，会议通报了事故情况，并对《中华人民共和国安全生产法》《生产安全事故报告和调查处理条例》等法律法规进行了学习，对事故发生负有直接责任、间接责任以及管理责任的员工的奖惩情况进行了通报。</w:t>
      </w:r>
      <w:r>
        <w:rPr>
          <w:rFonts w:hint="eastAsia" w:ascii="Times New Roman" w:hAnsi="Times New Roman" w:eastAsia="仿宋_GB2312" w:cs="Times New Roman"/>
          <w:sz w:val="32"/>
          <w:szCs w:val="32"/>
          <w:lang w:val="en-US" w:eastAsia="zh-CN" w:bidi="ar-SA"/>
        </w:rPr>
        <w:t>2023年6月7日，友</w:t>
      </w:r>
      <w:r>
        <w:rPr>
          <w:rFonts w:hint="eastAsia" w:ascii="Times New Roman" w:hAnsi="Times New Roman" w:eastAsia="仿宋_GB2312" w:cs="Times New Roman"/>
          <w:sz w:val="32"/>
          <w:szCs w:val="32"/>
          <w:lang w:val="en-US" w:eastAsia="zh-CN"/>
        </w:rPr>
        <w:t>发第二分公司</w:t>
      </w:r>
      <w:r>
        <w:rPr>
          <w:rFonts w:hint="eastAsia" w:ascii="仿宋_GB2312" w:eastAsia="仿宋_GB2312" w:cs="仿宋_GB2312"/>
          <w:sz w:val="32"/>
          <w:szCs w:val="32"/>
          <w:lang w:val="en-US" w:eastAsia="zh-CN"/>
        </w:rPr>
        <w:t>组织各部门领导及生产</w:t>
      </w:r>
      <w:r>
        <w:rPr>
          <w:rFonts w:hint="eastAsia" w:ascii="Times New Roman" w:hAnsi="Times New Roman" w:eastAsia="仿宋_GB2312" w:cs="Times New Roman"/>
          <w:sz w:val="32"/>
          <w:szCs w:val="32"/>
          <w:lang w:val="en-US" w:eastAsia="zh-CN" w:bidi="ar-SA"/>
        </w:rPr>
        <w:t>主任召开</w:t>
      </w:r>
      <w:r>
        <w:rPr>
          <w:rFonts w:hint="eastAsia" w:ascii="Times New Roman" w:hAnsi="Times New Roman" w:eastAsia="仿宋_GB2312" w:cs="Times New Roman"/>
          <w:sz w:val="32"/>
          <w:szCs w:val="32"/>
          <w:lang w:val="en-US" w:eastAsia="zh-CN"/>
        </w:rPr>
        <w:t>“5·27”</w:t>
      </w:r>
      <w:r>
        <w:rPr>
          <w:rFonts w:hint="eastAsia" w:ascii="Times New Roman" w:hAnsi="Times New Roman" w:eastAsia="仿宋_GB2312" w:cs="Times New Roman"/>
          <w:sz w:val="32"/>
          <w:szCs w:val="32"/>
          <w:lang w:val="en-US" w:eastAsia="zh-CN" w:bidi="ar-SA"/>
        </w:rPr>
        <w:t>事故宣贯会，介绍了事故发生情况，分析了事故发生的原因，提出了相关整改措施，通报了事故责任考核情况。2023年5月至2024年6月，友发第</w:t>
      </w:r>
      <w:r>
        <w:rPr>
          <w:rFonts w:hint="eastAsia" w:ascii="Times New Roman" w:hAnsi="Times New Roman" w:eastAsia="仿宋_GB2312" w:cs="Times New Roman"/>
          <w:sz w:val="32"/>
          <w:szCs w:val="32"/>
          <w:lang w:val="en-US" w:eastAsia="zh-CN"/>
        </w:rPr>
        <w:t>二分公司在多次内部培训会议上学习了事故情况，</w:t>
      </w:r>
      <w:r>
        <w:rPr>
          <w:rFonts w:hint="eastAsia" w:ascii="仿宋_GB2312" w:eastAsia="仿宋_GB2312" w:cs="仿宋_GB2312"/>
          <w:sz w:val="32"/>
          <w:szCs w:val="32"/>
          <w:lang w:val="en-US" w:eastAsia="zh-CN"/>
        </w:rPr>
        <w:t>评估了事故整改措施的落实情况。</w:t>
      </w:r>
    </w:p>
    <w:p w14:paraId="568BF635">
      <w:pPr>
        <w:pStyle w:val="13"/>
        <w:keepNext w:val="0"/>
        <w:keepLines w:val="0"/>
        <w:pageBreakBefore w:val="0"/>
        <w:widowControl w:val="0"/>
        <w:kinsoku/>
        <w:wordWrap/>
        <w:overflowPunct/>
        <w:topLinePunct w:val="0"/>
        <w:autoSpaceDE/>
        <w:autoSpaceDN/>
        <w:bidi w:val="0"/>
        <w:adjustRightInd/>
        <w:snapToGrid/>
        <w:spacing w:after="0" w:line="560" w:lineRule="exact"/>
        <w:ind w:left="0" w:leftChars="0" w:firstLine="640"/>
        <w:jc w:val="both"/>
        <w:textAlignment w:val="auto"/>
        <w:rPr>
          <w:rFonts w:hint="eastAsia" w:ascii="仿宋_GB2312" w:eastAsia="仿宋_GB2312" w:cs="仿宋_GB2312"/>
          <w:sz w:val="32"/>
          <w:szCs w:val="32"/>
          <w:lang w:val="en-US" w:eastAsia="zh-CN"/>
        </w:rPr>
      </w:pPr>
      <w:r>
        <w:rPr>
          <w:rFonts w:hint="eastAsia" w:ascii="Times New Roman" w:hAnsi="Times New Roman" w:eastAsia="仿宋_GB2312" w:cs="Times New Roman"/>
          <w:sz w:val="32"/>
          <w:szCs w:val="32"/>
          <w:lang w:val="en-US" w:eastAsia="zh-CN"/>
        </w:rPr>
        <w:t>3.</w:t>
      </w:r>
      <w:r>
        <w:rPr>
          <w:rFonts w:hint="eastAsia" w:ascii="仿宋_GB2312" w:eastAsia="仿宋_GB2312" w:cs="仿宋_GB2312"/>
          <w:sz w:val="32"/>
          <w:szCs w:val="32"/>
          <w:lang w:val="en-US" w:eastAsia="zh-CN"/>
        </w:rPr>
        <w:t>重新修订《风险源点辨识与分级管控评估报告》。</w:t>
      </w:r>
      <w:r>
        <w:rPr>
          <w:rFonts w:hint="eastAsia" w:ascii="Times New Roman" w:hAnsi="Times New Roman" w:eastAsia="仿宋_GB2312" w:cs="Times New Roman"/>
          <w:sz w:val="32"/>
          <w:szCs w:val="32"/>
          <w:lang w:val="en-US" w:eastAsia="zh-CN"/>
        </w:rPr>
        <w:t>友发第二分公司</w:t>
      </w:r>
      <w:r>
        <w:rPr>
          <w:rFonts w:hint="eastAsia" w:ascii="仿宋_GB2312" w:eastAsia="仿宋_GB2312" w:cs="仿宋_GB2312"/>
          <w:sz w:val="32"/>
          <w:szCs w:val="32"/>
          <w:lang w:val="en-US" w:eastAsia="zh-CN"/>
        </w:rPr>
        <w:t>聘请第三方服务公司，于</w:t>
      </w:r>
      <w:r>
        <w:rPr>
          <w:rFonts w:hint="eastAsia" w:ascii="Times New Roman" w:hAnsi="Times New Roman" w:eastAsia="仿宋_GB2312" w:cs="Times New Roman"/>
          <w:sz w:val="32"/>
          <w:szCs w:val="32"/>
          <w:lang w:val="en-US" w:eastAsia="zh-CN"/>
        </w:rPr>
        <w:t>2023</w:t>
      </w:r>
      <w:r>
        <w:rPr>
          <w:rFonts w:hint="eastAsia" w:ascii="仿宋_GB2312" w:eastAsia="仿宋_GB2312" w:cs="仿宋_GB2312"/>
          <w:sz w:val="32"/>
          <w:szCs w:val="32"/>
          <w:lang w:val="en-US" w:eastAsia="zh-CN"/>
        </w:rPr>
        <w:t>年</w:t>
      </w:r>
      <w:r>
        <w:rPr>
          <w:rFonts w:hint="eastAsia" w:ascii="Times New Roman" w:hAnsi="Times New Roman" w:eastAsia="仿宋_GB2312" w:cs="Times New Roman"/>
          <w:sz w:val="32"/>
          <w:szCs w:val="32"/>
          <w:lang w:val="en-US" w:eastAsia="zh-CN"/>
        </w:rPr>
        <w:t>10</w:t>
      </w:r>
      <w:r>
        <w:rPr>
          <w:rFonts w:hint="eastAsia" w:ascii="仿宋_GB2312" w:eastAsia="仿宋_GB2312" w:cs="仿宋_GB2312"/>
          <w:sz w:val="32"/>
          <w:szCs w:val="32"/>
          <w:lang w:val="en-US" w:eastAsia="zh-CN"/>
        </w:rPr>
        <w:t>月重新制定了《风险源点辨识与分级管控评估报告》，进一步修订完善了《风险管控制度》，根据该公司的组织机构设置情况，确定了公司级、车间级、班组级和岗位级四个管控层级，并按照评估报告提出的控制措施开展安全管理工作。</w:t>
      </w:r>
    </w:p>
    <w:p w14:paraId="05080E5C">
      <w:pPr>
        <w:pStyle w:val="2"/>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eastAsia" w:ascii="Times New Roman" w:hAnsi="Times New Roman" w:eastAsia="仿宋_GB2312" w:cs="Times New Roman"/>
          <w:sz w:val="32"/>
          <w:szCs w:val="32"/>
          <w:lang w:val="en-US" w:eastAsia="zh-CN" w:bidi="ar-SA"/>
        </w:rPr>
      </w:pPr>
      <w:r>
        <w:rPr>
          <w:rFonts w:hint="eastAsia" w:ascii="Times New Roman" w:hAnsi="Times New Roman" w:eastAsia="仿宋_GB2312" w:cs="Times New Roman"/>
          <w:sz w:val="32"/>
          <w:szCs w:val="32"/>
          <w:lang w:val="en-US" w:eastAsia="zh-CN" w:bidi="ar-SA"/>
        </w:rPr>
        <w:t>4.相关</w:t>
      </w:r>
      <w:r>
        <w:rPr>
          <w:rFonts w:hint="eastAsia" w:hAnsi="黑体" w:cs="黑体"/>
          <w:sz w:val="32"/>
          <w:szCs w:val="32"/>
          <w:lang w:val="en-US" w:eastAsia="zh-CN"/>
        </w:rPr>
        <w:t>设备增设防护措施。</w:t>
      </w:r>
      <w:r>
        <w:rPr>
          <w:rFonts w:hint="eastAsia" w:ascii="Times New Roman" w:hAnsi="Times New Roman" w:eastAsia="仿宋_GB2312" w:cs="Times New Roman"/>
          <w:sz w:val="32"/>
          <w:szCs w:val="32"/>
          <w:lang w:val="en-US" w:eastAsia="zh-CN"/>
        </w:rPr>
        <w:t>友发第二分公司</w:t>
      </w:r>
      <w:r>
        <w:rPr>
          <w:rFonts w:hint="eastAsia" w:hAnsi="黑体" w:cs="黑体"/>
          <w:sz w:val="32"/>
          <w:szCs w:val="32"/>
          <w:lang w:val="en-US" w:eastAsia="zh-CN"/>
        </w:rPr>
        <w:t>在发生事故的</w:t>
      </w:r>
      <w:r>
        <w:rPr>
          <w:rFonts w:hint="eastAsia" w:ascii="Times New Roman" w:hAnsi="Times New Roman" w:eastAsia="仿宋_GB2312" w:cs="Times New Roman"/>
          <w:sz w:val="32"/>
          <w:szCs w:val="32"/>
          <w:lang w:val="en-US" w:eastAsia="zh-CN" w:bidi="ar-SA"/>
        </w:rPr>
        <w:t>76</w:t>
      </w:r>
      <w:r>
        <w:rPr>
          <w:rFonts w:hint="eastAsia" w:hAnsi="黑体" w:cs="黑体"/>
          <w:sz w:val="32"/>
          <w:szCs w:val="32"/>
          <w:lang w:val="en-US" w:eastAsia="zh-CN"/>
        </w:rPr>
        <w:t>机组及其他类似机组上料区的大臂和操作台处加装了急停开关和报警灯，当人员在大臂处作业时，必须按下</w:t>
      </w:r>
      <w:r>
        <w:rPr>
          <w:rFonts w:hint="eastAsia" w:ascii="仿宋_GB2312" w:hAnsi="黑体" w:eastAsia="仿宋_GB2312" w:cs="黑体"/>
          <w:sz w:val="32"/>
          <w:szCs w:val="32"/>
          <w:lang w:val="en-US" w:eastAsia="zh-CN"/>
        </w:rPr>
        <w:t>“锥头急停”</w:t>
      </w:r>
      <w:r>
        <w:rPr>
          <w:rFonts w:hint="eastAsia" w:hAnsi="黑体" w:cs="黑体"/>
          <w:sz w:val="32"/>
          <w:szCs w:val="32"/>
          <w:lang w:val="en-US" w:eastAsia="zh-CN"/>
        </w:rPr>
        <w:t>开关，此时大臂处设备断电，控制台处警报灯亮起，操作台无法进行控制。待人员作业完成，提起</w:t>
      </w:r>
      <w:r>
        <w:rPr>
          <w:rFonts w:hint="eastAsia" w:ascii="仿宋_GB2312" w:hAnsi="黑体" w:eastAsia="仿宋_GB2312" w:cs="黑体"/>
          <w:sz w:val="32"/>
          <w:szCs w:val="32"/>
          <w:lang w:val="en-US" w:eastAsia="zh-CN"/>
        </w:rPr>
        <w:t>“锥头急停”</w:t>
      </w:r>
      <w:r>
        <w:rPr>
          <w:rFonts w:hint="eastAsia" w:hAnsi="黑体" w:cs="黑体"/>
          <w:sz w:val="32"/>
          <w:szCs w:val="32"/>
          <w:lang w:val="en-US" w:eastAsia="zh-CN"/>
        </w:rPr>
        <w:t>开关后，操作</w:t>
      </w:r>
      <w:r>
        <w:rPr>
          <w:rFonts w:hint="eastAsia" w:ascii="Times New Roman" w:hAnsi="Times New Roman" w:eastAsia="仿宋_GB2312" w:cs="Times New Roman"/>
          <w:sz w:val="32"/>
          <w:szCs w:val="32"/>
          <w:lang w:val="en-US" w:eastAsia="zh-CN" w:bidi="ar-SA"/>
        </w:rPr>
        <w:t>台才能继续控制。</w:t>
      </w:r>
    </w:p>
    <w:p w14:paraId="2F46FA46">
      <w:pPr>
        <w:pStyle w:val="13"/>
        <w:keepNext w:val="0"/>
        <w:keepLines w:val="0"/>
        <w:pageBreakBefore w:val="0"/>
        <w:widowControl w:val="0"/>
        <w:kinsoku/>
        <w:wordWrap/>
        <w:overflowPunct/>
        <w:topLinePunct w:val="0"/>
        <w:autoSpaceDE/>
        <w:autoSpaceDN/>
        <w:bidi w:val="0"/>
        <w:adjustRightInd/>
        <w:snapToGrid/>
        <w:spacing w:after="0" w:line="560" w:lineRule="exact"/>
        <w:ind w:left="0" w:leftChars="0" w:firstLine="640"/>
        <w:jc w:val="both"/>
        <w:textAlignment w:val="auto"/>
        <w:rPr>
          <w:rFonts w:hint="default" w:ascii="Times New Roman" w:hAnsi="Times New Roman" w:eastAsia="仿宋_GB2312" w:cs="Times New Roman"/>
          <w:sz w:val="32"/>
          <w:szCs w:val="32"/>
          <w:lang w:val="en-US" w:eastAsia="zh-CN" w:bidi="ar-SA"/>
        </w:rPr>
      </w:pPr>
      <w:r>
        <w:rPr>
          <w:rFonts w:hint="eastAsia" w:ascii="Times New Roman" w:hAnsi="Times New Roman" w:eastAsia="仿宋_GB2312" w:cs="Times New Roman"/>
          <w:sz w:val="32"/>
          <w:szCs w:val="32"/>
          <w:lang w:val="en-US" w:eastAsia="zh-CN" w:bidi="ar-SA"/>
        </w:rPr>
        <w:t>5.重新修订岗位安全操作规程。友发第二分公司结合本单位生产工艺流程特点，重新修订了各岗位安全操作规程和作业指导书，增加了各岗位间如何衔接配合等安全操作内容，写明了由上料工按下“锥头急停”按钮，确定报警灯亮，再使用撬棍将带钢头撬开，明确了各项作业中的的禁止事项以及紧急情况现场处置措施等内容，删除了《安全操作规程》中与实际生产工艺不符的</w:t>
      </w:r>
      <w:r>
        <w:rPr>
          <w:rFonts w:hint="default" w:ascii="Times New Roman" w:hAnsi="Times New Roman" w:eastAsia="仿宋_GB2312" w:cs="Times New Roman"/>
          <w:sz w:val="32"/>
          <w:szCs w:val="32"/>
          <w:lang w:val="en" w:eastAsia="zh-CN" w:bidi="ar-SA"/>
        </w:rPr>
        <w:t>内容</w:t>
      </w:r>
      <w:r>
        <w:rPr>
          <w:rFonts w:hint="eastAsia" w:ascii="Times New Roman" w:hAnsi="Times New Roman" w:eastAsia="仿宋_GB2312" w:cs="Times New Roman"/>
          <w:sz w:val="32"/>
          <w:szCs w:val="32"/>
          <w:lang w:val="en-US" w:eastAsia="zh-CN" w:bidi="ar-SA"/>
        </w:rPr>
        <w:t>；并于2023年5月至2023年9月对全体员工分岗位、分批次开展《安全操作规程》专项教育培训。</w:t>
      </w:r>
    </w:p>
    <w:p w14:paraId="379F2F6F">
      <w:pPr>
        <w:pStyle w:val="2"/>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default" w:ascii="Times New Roman" w:hAnsi="Times New Roman" w:eastAsia="仿宋_GB2312" w:cs="Times New Roman"/>
          <w:sz w:val="32"/>
          <w:szCs w:val="32"/>
          <w:lang w:val="en-US" w:eastAsia="zh-CN" w:bidi="ar-SA"/>
        </w:rPr>
      </w:pPr>
      <w:r>
        <w:rPr>
          <w:rFonts w:hint="eastAsia" w:ascii="Times New Roman" w:hAnsi="Times New Roman" w:eastAsia="仿宋_GB2312" w:cs="Times New Roman"/>
          <w:sz w:val="32"/>
          <w:szCs w:val="32"/>
          <w:lang w:val="en-US" w:eastAsia="zh-CN" w:bidi="ar-SA"/>
        </w:rPr>
        <w:t>6.严格落实隐患排查治理工作机制</w:t>
      </w:r>
      <w:r>
        <w:rPr>
          <w:rFonts w:hint="eastAsia" w:ascii="Times New Roman" w:cs="Times New Roman"/>
          <w:sz w:val="32"/>
          <w:szCs w:val="32"/>
          <w:lang w:val="en-US" w:eastAsia="zh-CN" w:bidi="ar-SA"/>
        </w:rPr>
        <w:t>。</w:t>
      </w:r>
      <w:r>
        <w:rPr>
          <w:rFonts w:hint="eastAsia" w:ascii="Times New Roman" w:hAnsi="Times New Roman" w:eastAsia="仿宋_GB2312" w:cs="Times New Roman"/>
          <w:sz w:val="32"/>
          <w:szCs w:val="32"/>
          <w:lang w:val="en-US" w:eastAsia="zh-CN" w:bidi="ar-SA"/>
        </w:rPr>
        <w:t>友发第二分公司加大力度开展隐患排查治理工作，结合公司制定的《隐患排查治理专篇》《安全、环保奖惩制度细则》《作业指导书》等制度文件，有针对性地开展隐患排查治理工作，排</w:t>
      </w:r>
      <w:r>
        <w:rPr>
          <w:rFonts w:hint="default" w:ascii="Times New Roman" w:hAnsi="Times New Roman" w:eastAsia="仿宋_GB2312" w:cs="Times New Roman"/>
          <w:sz w:val="32"/>
          <w:szCs w:val="32"/>
          <w:lang w:val="en" w:eastAsia="zh-CN" w:bidi="ar-SA"/>
        </w:rPr>
        <w:t>查</w:t>
      </w:r>
      <w:r>
        <w:rPr>
          <w:rFonts w:hint="eastAsia" w:ascii="Times New Roman" w:hAnsi="Times New Roman" w:eastAsia="仿宋_GB2312" w:cs="Times New Roman"/>
          <w:sz w:val="32"/>
          <w:szCs w:val="32"/>
          <w:lang w:val="en-US" w:eastAsia="zh-CN" w:bidi="ar-SA"/>
        </w:rPr>
        <w:t>出来的事故隐患按期完成整改，对发现的违章作业立即制止、纠正。</w:t>
      </w:r>
      <w:r>
        <w:rPr>
          <w:rFonts w:hint="default" w:ascii="Times New Roman" w:hAnsi="Times New Roman" w:eastAsia="仿宋_GB2312" w:cs="Times New Roman"/>
          <w:sz w:val="32"/>
          <w:szCs w:val="32"/>
          <w:lang w:val="en" w:eastAsia="zh-CN" w:bidi="ar-SA"/>
        </w:rPr>
        <w:t>2023</w:t>
      </w:r>
      <w:r>
        <w:rPr>
          <w:rFonts w:hint="eastAsia" w:ascii="Times New Roman" w:hAnsi="Times New Roman" w:eastAsia="仿宋_GB2312" w:cs="Times New Roman"/>
          <w:sz w:val="32"/>
          <w:szCs w:val="32"/>
          <w:lang w:val="en" w:eastAsia="zh-CN" w:bidi="ar-SA"/>
        </w:rPr>
        <w:t>年</w:t>
      </w:r>
      <w:r>
        <w:rPr>
          <w:rFonts w:hint="eastAsia" w:ascii="Times New Roman" w:hAnsi="Times New Roman" w:eastAsia="仿宋_GB2312" w:cs="Times New Roman"/>
          <w:sz w:val="32"/>
          <w:szCs w:val="32"/>
          <w:lang w:val="en-US" w:eastAsia="zh-CN" w:bidi="ar-SA"/>
        </w:rPr>
        <w:t>6月至2024年5月，友发第二分公司通过专职安全员定期检查、车间班组长日常巡查、一线员工工作中自查</w:t>
      </w:r>
      <w:r>
        <w:rPr>
          <w:rFonts w:hint="eastAsia" w:ascii="Times New Roman" w:cs="Times New Roman"/>
          <w:sz w:val="32"/>
          <w:szCs w:val="32"/>
          <w:lang w:val="en-US" w:eastAsia="zh-CN" w:bidi="ar-SA"/>
        </w:rPr>
        <w:t>等</w:t>
      </w:r>
      <w:r>
        <w:rPr>
          <w:rFonts w:hint="eastAsia" w:ascii="Times New Roman" w:hAnsi="Times New Roman" w:eastAsia="仿宋_GB2312" w:cs="Times New Roman"/>
          <w:sz w:val="32"/>
          <w:szCs w:val="32"/>
          <w:lang w:val="en-US" w:eastAsia="zh-CN" w:bidi="ar-SA"/>
        </w:rPr>
        <w:t>形式，共发现隐患570余项，罚款3000余元，发放奖金5000余元</w:t>
      </w:r>
      <w:r>
        <w:rPr>
          <w:rFonts w:hint="eastAsia" w:ascii="Times New Roman" w:cs="Times New Roman"/>
          <w:sz w:val="32"/>
          <w:szCs w:val="32"/>
          <w:lang w:val="en-US" w:eastAsia="zh-CN" w:bidi="ar-SA"/>
        </w:rPr>
        <w:t>，</w:t>
      </w:r>
      <w:r>
        <w:rPr>
          <w:rFonts w:hint="eastAsia" w:ascii="Times New Roman" w:hAnsi="Times New Roman" w:eastAsia="仿宋_GB2312" w:cs="Times New Roman"/>
          <w:sz w:val="32"/>
          <w:szCs w:val="32"/>
          <w:lang w:val="en-US" w:eastAsia="zh-CN" w:bidi="ar-SA"/>
        </w:rPr>
        <w:t>充分调动</w:t>
      </w:r>
      <w:r>
        <w:rPr>
          <w:rFonts w:hint="eastAsia" w:ascii="Times New Roman" w:cs="Times New Roman"/>
          <w:sz w:val="32"/>
          <w:szCs w:val="32"/>
          <w:lang w:val="en-US" w:eastAsia="zh-CN" w:bidi="ar-SA"/>
        </w:rPr>
        <w:t>了</w:t>
      </w:r>
      <w:r>
        <w:rPr>
          <w:rFonts w:hint="eastAsia" w:ascii="Times New Roman" w:hAnsi="Times New Roman" w:eastAsia="仿宋_GB2312" w:cs="Times New Roman"/>
          <w:sz w:val="32"/>
          <w:szCs w:val="32"/>
          <w:lang w:val="en-US" w:eastAsia="zh-CN" w:bidi="ar-SA"/>
        </w:rPr>
        <w:t>员工主观能动性，积极提升“人人</w:t>
      </w:r>
      <w:r>
        <w:rPr>
          <w:rFonts w:hint="eastAsia" w:ascii="Times New Roman" w:cs="Times New Roman"/>
          <w:sz w:val="32"/>
          <w:szCs w:val="32"/>
          <w:lang w:val="en-US" w:eastAsia="zh-CN" w:bidi="ar-SA"/>
        </w:rPr>
        <w:t>讲</w:t>
      </w:r>
      <w:r>
        <w:rPr>
          <w:rFonts w:hint="eastAsia" w:ascii="Times New Roman" w:hAnsi="Times New Roman" w:eastAsia="仿宋_GB2312" w:cs="Times New Roman"/>
          <w:sz w:val="32"/>
          <w:szCs w:val="32"/>
          <w:lang w:val="en-US" w:eastAsia="zh-CN" w:bidi="ar-SA"/>
        </w:rPr>
        <w:t>安全，个个会应急”能力。</w:t>
      </w:r>
    </w:p>
    <w:p w14:paraId="6704C3DE">
      <w:pPr>
        <w:pStyle w:val="13"/>
        <w:keepNext w:val="0"/>
        <w:keepLines w:val="0"/>
        <w:pageBreakBefore w:val="0"/>
        <w:widowControl w:val="0"/>
        <w:kinsoku/>
        <w:wordWrap/>
        <w:overflowPunct/>
        <w:topLinePunct w:val="0"/>
        <w:autoSpaceDE/>
        <w:autoSpaceDN/>
        <w:bidi w:val="0"/>
        <w:adjustRightInd/>
        <w:snapToGrid/>
        <w:spacing w:after="0" w:line="560" w:lineRule="exact"/>
        <w:ind w:left="0" w:leftChars="0" w:firstLine="64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六、总体评估结论</w:t>
      </w:r>
    </w:p>
    <w:p w14:paraId="24DBE494">
      <w:pPr>
        <w:pStyle w:val="13"/>
        <w:keepNext w:val="0"/>
        <w:keepLines w:val="0"/>
        <w:pageBreakBefore w:val="0"/>
        <w:widowControl w:val="0"/>
        <w:kinsoku/>
        <w:wordWrap/>
        <w:overflowPunct/>
        <w:topLinePunct w:val="0"/>
        <w:autoSpaceDE/>
        <w:autoSpaceDN/>
        <w:bidi w:val="0"/>
        <w:adjustRightInd/>
        <w:snapToGrid/>
        <w:spacing w:after="0" w:line="560" w:lineRule="exact"/>
        <w:ind w:left="0" w:leftChars="0" w:firstLine="640"/>
        <w:jc w:val="both"/>
        <w:textAlignment w:val="auto"/>
        <w:rPr>
          <w:rFonts w:hint="eastAsia" w:ascii="Times New Roman" w:hAnsi="Times New Roman" w:eastAsia="仿宋_GB2312" w:cs="Times New Roman"/>
          <w:sz w:val="32"/>
          <w:szCs w:val="32"/>
          <w:lang w:val="en-US" w:eastAsia="zh-CN" w:bidi="ar-SA"/>
        </w:rPr>
      </w:pPr>
      <w:r>
        <w:rPr>
          <w:rFonts w:hint="eastAsia" w:ascii="Times New Roman" w:hAnsi="Times New Roman" w:eastAsia="仿宋_GB2312" w:cs="Times New Roman"/>
          <w:sz w:val="32"/>
          <w:szCs w:val="32"/>
          <w:lang w:val="en-US" w:eastAsia="zh-CN" w:bidi="ar-SA"/>
        </w:rPr>
        <w:t>针对静海区大邱庄镇友发第二分公司“5·27”一般机械伤害事故的评估工作已完成，现总结如下：</w:t>
      </w:r>
    </w:p>
    <w:p w14:paraId="5D6DB8AF">
      <w:pPr>
        <w:pStyle w:val="13"/>
        <w:keepNext w:val="0"/>
        <w:keepLines w:val="0"/>
        <w:pageBreakBefore w:val="0"/>
        <w:widowControl w:val="0"/>
        <w:kinsoku/>
        <w:wordWrap/>
        <w:overflowPunct/>
        <w:topLinePunct w:val="0"/>
        <w:autoSpaceDE/>
        <w:autoSpaceDN/>
        <w:bidi w:val="0"/>
        <w:adjustRightInd/>
        <w:snapToGrid/>
        <w:spacing w:after="0" w:line="560" w:lineRule="exact"/>
        <w:ind w:left="0" w:leftChars="0" w:firstLine="640"/>
        <w:jc w:val="both"/>
        <w:textAlignment w:val="auto"/>
        <w:rPr>
          <w:rFonts w:hint="eastAsia" w:ascii="仿宋_GB2312" w:eastAsia="仿宋_GB2312" w:cs="仿宋_GB2312"/>
          <w:sz w:val="32"/>
          <w:szCs w:val="32"/>
          <w:lang w:val="en-US" w:eastAsia="zh-CN"/>
        </w:rPr>
      </w:pPr>
      <w:r>
        <w:rPr>
          <w:rFonts w:hint="eastAsia" w:ascii="Times New Roman" w:hAnsi="Times New Roman" w:eastAsia="仿宋_GB2312" w:cs="Times New Roman"/>
          <w:sz w:val="32"/>
          <w:szCs w:val="32"/>
          <w:lang w:val="en-US" w:eastAsia="zh-CN" w:bidi="ar-SA"/>
        </w:rPr>
        <w:t>1.友发第二分公司员工曲某某因犯重大责任事故罪已由</w:t>
      </w:r>
      <w:r>
        <w:rPr>
          <w:rFonts w:hint="eastAsia" w:ascii="Times New Roman" w:hAnsi="Times New Roman" w:eastAsia="仿宋_GB2312" w:cs="Times New Roman"/>
          <w:sz w:val="32"/>
          <w:szCs w:val="32"/>
          <w:lang w:val="en-US" w:eastAsia="zh-CN"/>
        </w:rPr>
        <w:t>天津市静海区人民法院</w:t>
      </w:r>
      <w:r>
        <w:rPr>
          <w:rFonts w:hint="eastAsia" w:ascii="仿宋_GB2312" w:eastAsia="仿宋_GB2312" w:cs="仿宋_GB2312"/>
          <w:sz w:val="32"/>
          <w:szCs w:val="32"/>
          <w:lang w:val="en-US" w:eastAsia="zh-CN"/>
        </w:rPr>
        <w:t>依法判决并执行。曲某某已到</w:t>
      </w:r>
      <w:r>
        <w:rPr>
          <w:rFonts w:hint="eastAsia" w:ascii="Times New Roman" w:hAnsi="Times New Roman" w:eastAsia="仿宋_GB2312" w:cs="Times New Roman"/>
          <w:sz w:val="32"/>
          <w:szCs w:val="32"/>
          <w:lang w:val="en-US" w:eastAsia="zh-CN"/>
        </w:rPr>
        <w:t>天津市静海区司法局大邱庄司法所接受社区矫正，</w:t>
      </w:r>
      <w:r>
        <w:rPr>
          <w:rFonts w:hint="eastAsia" w:ascii="仿宋_GB2312" w:eastAsia="仿宋_GB2312" w:cs="仿宋_GB2312"/>
          <w:sz w:val="32"/>
          <w:szCs w:val="32"/>
          <w:lang w:val="en-US" w:eastAsia="zh-CN"/>
        </w:rPr>
        <w:t>事故相关人员刑事责任追究已落实。</w:t>
      </w:r>
    </w:p>
    <w:p w14:paraId="14198A42">
      <w:pPr>
        <w:pStyle w:val="13"/>
        <w:keepNext w:val="0"/>
        <w:keepLines w:val="0"/>
        <w:pageBreakBefore w:val="0"/>
        <w:widowControl w:val="0"/>
        <w:kinsoku/>
        <w:wordWrap/>
        <w:overflowPunct/>
        <w:topLinePunct w:val="0"/>
        <w:autoSpaceDE/>
        <w:autoSpaceDN/>
        <w:bidi w:val="0"/>
        <w:adjustRightInd/>
        <w:snapToGrid/>
        <w:spacing w:after="0" w:line="560" w:lineRule="exact"/>
        <w:ind w:left="0" w:leftChars="0" w:firstLine="640"/>
        <w:jc w:val="both"/>
        <w:textAlignment w:val="auto"/>
        <w:rPr>
          <w:rFonts w:hint="eastAsia" w:ascii="仿宋_GB2312" w:eastAsia="仿宋_GB2312" w:cs="仿宋_GB2312"/>
          <w:sz w:val="32"/>
          <w:szCs w:val="32"/>
          <w:lang w:val="en-US" w:eastAsia="zh-CN"/>
        </w:rPr>
      </w:pPr>
      <w:r>
        <w:rPr>
          <w:rFonts w:hint="eastAsia" w:ascii="Times New Roman" w:hAnsi="Times New Roman" w:eastAsia="仿宋_GB2312" w:cs="Times New Roman"/>
          <w:sz w:val="32"/>
          <w:szCs w:val="32"/>
          <w:lang w:val="en-US" w:eastAsia="zh-CN" w:bidi="ar-SA"/>
        </w:rPr>
        <w:t>2.</w:t>
      </w:r>
      <w:r>
        <w:rPr>
          <w:rFonts w:hint="eastAsia" w:ascii="仿宋_GB2312" w:eastAsia="仿宋_GB2312" w:cs="仿宋_GB2312"/>
          <w:sz w:val="32"/>
          <w:szCs w:val="32"/>
          <w:lang w:val="en-US" w:eastAsia="zh-CN"/>
        </w:rPr>
        <w:t>区应急管理局对友发第二分公司及其公司主要负责人徐某</w:t>
      </w:r>
      <w:bookmarkStart w:id="2" w:name="_GoBack"/>
      <w:bookmarkEnd w:id="2"/>
      <w:r>
        <w:rPr>
          <w:rFonts w:hint="eastAsia" w:ascii="仿宋_GB2312" w:eastAsia="仿宋_GB2312" w:cs="仿宋_GB2312"/>
          <w:sz w:val="32"/>
          <w:szCs w:val="32"/>
          <w:lang w:val="en-US" w:eastAsia="zh-CN"/>
        </w:rPr>
        <w:t>的行政处罚均已落实。</w:t>
      </w:r>
    </w:p>
    <w:p w14:paraId="2079BFC7">
      <w:pPr>
        <w:pStyle w:val="13"/>
        <w:keepNext w:val="0"/>
        <w:keepLines w:val="0"/>
        <w:pageBreakBefore w:val="0"/>
        <w:widowControl w:val="0"/>
        <w:kinsoku/>
        <w:wordWrap/>
        <w:overflowPunct/>
        <w:topLinePunct w:val="0"/>
        <w:autoSpaceDE/>
        <w:autoSpaceDN/>
        <w:bidi w:val="0"/>
        <w:adjustRightInd/>
        <w:snapToGrid/>
        <w:spacing w:after="0" w:line="560" w:lineRule="exact"/>
        <w:ind w:left="0" w:leftChars="0" w:firstLine="640"/>
        <w:jc w:val="both"/>
        <w:textAlignment w:val="auto"/>
        <w:rPr>
          <w:rFonts w:hint="default" w:ascii="仿宋_GB2312" w:eastAsia="仿宋_GB2312" w:cs="仿宋_GB2312"/>
          <w:sz w:val="32"/>
          <w:szCs w:val="32"/>
          <w:lang w:val="en-US" w:eastAsia="zh-CN"/>
        </w:rPr>
      </w:pPr>
      <w:r>
        <w:rPr>
          <w:rFonts w:hint="eastAsia" w:ascii="Times New Roman" w:hAnsi="Times New Roman" w:eastAsia="仿宋_GB2312" w:cs="Times New Roman"/>
          <w:sz w:val="32"/>
          <w:szCs w:val="32"/>
          <w:lang w:val="en-US" w:eastAsia="zh-CN" w:bidi="ar-SA"/>
        </w:rPr>
        <w:t>3.</w:t>
      </w:r>
      <w:r>
        <w:rPr>
          <w:rFonts w:hint="eastAsia" w:ascii="仿宋_GB2312" w:eastAsia="仿宋_GB2312" w:cs="仿宋_GB2312"/>
          <w:sz w:val="32"/>
          <w:szCs w:val="32"/>
          <w:lang w:val="en-US" w:eastAsia="zh-CN"/>
        </w:rPr>
        <w:t>针对事故调查报告中提出的事故防范和整改措施，友发第二分公司已整改落实。</w:t>
      </w:r>
    </w:p>
    <w:sectPr>
      <w:headerReference r:id="rId7" w:type="first"/>
      <w:footerReference r:id="rId10" w:type="first"/>
      <w:headerReference r:id="rId5" w:type="default"/>
      <w:footerReference r:id="rId8" w:type="default"/>
      <w:headerReference r:id="rId6" w:type="even"/>
      <w:footerReference r:id="rId9" w:type="even"/>
      <w:pgSz w:w="11906" w:h="16838"/>
      <w:pgMar w:top="2041" w:right="1559" w:bottom="1701" w:left="1559"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方正小标宋_GBK">
    <w:altName w:val="微软雅黑"/>
    <w:panose1 w:val="02000000000000000000"/>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66566921"/>
    </w:sdtPr>
    <w:sdtContent>
      <w:p w14:paraId="7B77FC3A">
        <w:pPr>
          <w:pStyle w:val="10"/>
          <w:jc w:val="center"/>
        </w:pPr>
        <w:r>
          <w:fldChar w:fldCharType="begin"/>
        </w:r>
        <w:r>
          <w:instrText xml:space="preserve">PAGE   \* MERGEFORMAT</w:instrText>
        </w:r>
        <w:r>
          <w:fldChar w:fldCharType="separate"/>
        </w:r>
        <w:r>
          <w:rPr>
            <w:lang w:val="zh-CN"/>
          </w:rPr>
          <w:t>2</w:t>
        </w:r>
        <w:r>
          <w:fldChar w:fldCharType="end"/>
        </w:r>
      </w:p>
    </w:sdtContent>
  </w:sdt>
  <w:p w14:paraId="21F23408">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062808">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703D45">
    <w:pPr>
      <w:pStyle w:val="1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footnote>
  <w:footnote w:type="continuationSeparator" w:id="1">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054D56">
    <w:pPr>
      <w:pStyle w:val="11"/>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CFBB2">
    <w:pPr>
      <w:pStyle w:val="11"/>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D4EB98">
    <w:pPr>
      <w:pStyle w:val="11"/>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QyNzJiYzdlMjEwYmE1MjhlNmJhYjc5MTcxYjJjYzIifQ=="/>
    <w:docVar w:name="KSO_WPS_MARK_KEY" w:val="4d6690ce-842e-42de-9784-4bb53753cf0b"/>
  </w:docVars>
  <w:rsids>
    <w:rsidRoot w:val="00FE44CA"/>
    <w:rsid w:val="00017AD2"/>
    <w:rsid w:val="00035858"/>
    <w:rsid w:val="000B61B5"/>
    <w:rsid w:val="000C65A7"/>
    <w:rsid w:val="000F2706"/>
    <w:rsid w:val="00120B17"/>
    <w:rsid w:val="00140A49"/>
    <w:rsid w:val="001458B5"/>
    <w:rsid w:val="00156C9C"/>
    <w:rsid w:val="00176CEA"/>
    <w:rsid w:val="001B4C6F"/>
    <w:rsid w:val="001B682C"/>
    <w:rsid w:val="001E63C2"/>
    <w:rsid w:val="001E70D5"/>
    <w:rsid w:val="001F2786"/>
    <w:rsid w:val="00212B55"/>
    <w:rsid w:val="00254965"/>
    <w:rsid w:val="00292703"/>
    <w:rsid w:val="002B10CB"/>
    <w:rsid w:val="002D39D1"/>
    <w:rsid w:val="002E648D"/>
    <w:rsid w:val="002F2725"/>
    <w:rsid w:val="002F2FAB"/>
    <w:rsid w:val="00311FFE"/>
    <w:rsid w:val="0031344D"/>
    <w:rsid w:val="00321F23"/>
    <w:rsid w:val="00336233"/>
    <w:rsid w:val="003543E7"/>
    <w:rsid w:val="0036517D"/>
    <w:rsid w:val="0037042D"/>
    <w:rsid w:val="003725C5"/>
    <w:rsid w:val="003A504B"/>
    <w:rsid w:val="003C7E46"/>
    <w:rsid w:val="003D1585"/>
    <w:rsid w:val="003E073B"/>
    <w:rsid w:val="003E7E75"/>
    <w:rsid w:val="003F33D9"/>
    <w:rsid w:val="003F65E6"/>
    <w:rsid w:val="004462BC"/>
    <w:rsid w:val="00480520"/>
    <w:rsid w:val="004B05F3"/>
    <w:rsid w:val="004D4FDA"/>
    <w:rsid w:val="004F2C99"/>
    <w:rsid w:val="004F419F"/>
    <w:rsid w:val="005005E3"/>
    <w:rsid w:val="00516F30"/>
    <w:rsid w:val="005876F1"/>
    <w:rsid w:val="005E2F77"/>
    <w:rsid w:val="00610F47"/>
    <w:rsid w:val="00677178"/>
    <w:rsid w:val="006D057E"/>
    <w:rsid w:val="006D6FCB"/>
    <w:rsid w:val="006E5FE0"/>
    <w:rsid w:val="006F6C98"/>
    <w:rsid w:val="00717ACA"/>
    <w:rsid w:val="00740F52"/>
    <w:rsid w:val="007867F9"/>
    <w:rsid w:val="0079034E"/>
    <w:rsid w:val="00797A5C"/>
    <w:rsid w:val="007A2D1E"/>
    <w:rsid w:val="007A607D"/>
    <w:rsid w:val="007B23C2"/>
    <w:rsid w:val="007D0E8C"/>
    <w:rsid w:val="007D5BA2"/>
    <w:rsid w:val="007E27D9"/>
    <w:rsid w:val="007E3E2C"/>
    <w:rsid w:val="00812165"/>
    <w:rsid w:val="008251CA"/>
    <w:rsid w:val="008259AC"/>
    <w:rsid w:val="00825BE7"/>
    <w:rsid w:val="008618F3"/>
    <w:rsid w:val="00871521"/>
    <w:rsid w:val="00882DE6"/>
    <w:rsid w:val="00892181"/>
    <w:rsid w:val="008C1914"/>
    <w:rsid w:val="008C73AF"/>
    <w:rsid w:val="008D617C"/>
    <w:rsid w:val="008E01C8"/>
    <w:rsid w:val="00915313"/>
    <w:rsid w:val="0098107E"/>
    <w:rsid w:val="009917A0"/>
    <w:rsid w:val="009F33FA"/>
    <w:rsid w:val="00A06BCC"/>
    <w:rsid w:val="00A22722"/>
    <w:rsid w:val="00A669BE"/>
    <w:rsid w:val="00A91B0D"/>
    <w:rsid w:val="00A94E8E"/>
    <w:rsid w:val="00AC5073"/>
    <w:rsid w:val="00AD0708"/>
    <w:rsid w:val="00AD477D"/>
    <w:rsid w:val="00B42C0A"/>
    <w:rsid w:val="00B45998"/>
    <w:rsid w:val="00B667CC"/>
    <w:rsid w:val="00BC2374"/>
    <w:rsid w:val="00BD57FB"/>
    <w:rsid w:val="00BF385F"/>
    <w:rsid w:val="00BF4584"/>
    <w:rsid w:val="00C2080F"/>
    <w:rsid w:val="00C3463E"/>
    <w:rsid w:val="00C53C8A"/>
    <w:rsid w:val="00C7418C"/>
    <w:rsid w:val="00C9050C"/>
    <w:rsid w:val="00C9543F"/>
    <w:rsid w:val="00CB2439"/>
    <w:rsid w:val="00CC7886"/>
    <w:rsid w:val="00CD1EF5"/>
    <w:rsid w:val="00CF36C4"/>
    <w:rsid w:val="00D51112"/>
    <w:rsid w:val="00D62FDE"/>
    <w:rsid w:val="00D6790E"/>
    <w:rsid w:val="00D70C0C"/>
    <w:rsid w:val="00DB1CDF"/>
    <w:rsid w:val="00DB20F7"/>
    <w:rsid w:val="00DB5F8B"/>
    <w:rsid w:val="00DD7C7D"/>
    <w:rsid w:val="00DF2451"/>
    <w:rsid w:val="00E00B19"/>
    <w:rsid w:val="00E62432"/>
    <w:rsid w:val="00E800EC"/>
    <w:rsid w:val="00E85898"/>
    <w:rsid w:val="00EA5251"/>
    <w:rsid w:val="00EB2DA8"/>
    <w:rsid w:val="00EB339C"/>
    <w:rsid w:val="00EC0B9E"/>
    <w:rsid w:val="00EF1626"/>
    <w:rsid w:val="00F02B87"/>
    <w:rsid w:val="00F11F48"/>
    <w:rsid w:val="00F16EB7"/>
    <w:rsid w:val="00F523F9"/>
    <w:rsid w:val="00F561B9"/>
    <w:rsid w:val="00F61FA8"/>
    <w:rsid w:val="00F72F43"/>
    <w:rsid w:val="00F90025"/>
    <w:rsid w:val="00FE44CA"/>
    <w:rsid w:val="01B82438"/>
    <w:rsid w:val="02044084"/>
    <w:rsid w:val="02493090"/>
    <w:rsid w:val="0287536B"/>
    <w:rsid w:val="02D7AC9B"/>
    <w:rsid w:val="03DB240E"/>
    <w:rsid w:val="04E84DE3"/>
    <w:rsid w:val="06B55198"/>
    <w:rsid w:val="072B4668"/>
    <w:rsid w:val="081303C8"/>
    <w:rsid w:val="08907C6B"/>
    <w:rsid w:val="0ACC485F"/>
    <w:rsid w:val="0AE01076"/>
    <w:rsid w:val="0B1701D0"/>
    <w:rsid w:val="0B7E1CB6"/>
    <w:rsid w:val="0BF978D5"/>
    <w:rsid w:val="0C36409E"/>
    <w:rsid w:val="0D004C93"/>
    <w:rsid w:val="0E372937"/>
    <w:rsid w:val="0E3F750F"/>
    <w:rsid w:val="0EF6634E"/>
    <w:rsid w:val="0F7DD50E"/>
    <w:rsid w:val="108F1E71"/>
    <w:rsid w:val="109B71AD"/>
    <w:rsid w:val="11A91E81"/>
    <w:rsid w:val="11B2452F"/>
    <w:rsid w:val="12780EEF"/>
    <w:rsid w:val="13CC5C48"/>
    <w:rsid w:val="15231522"/>
    <w:rsid w:val="15A84DC0"/>
    <w:rsid w:val="17F74FD0"/>
    <w:rsid w:val="18251A52"/>
    <w:rsid w:val="18C474BD"/>
    <w:rsid w:val="19B94B48"/>
    <w:rsid w:val="1A4A0F3F"/>
    <w:rsid w:val="1AA30A57"/>
    <w:rsid w:val="1BF170D3"/>
    <w:rsid w:val="1C9A47BD"/>
    <w:rsid w:val="1E1A3B08"/>
    <w:rsid w:val="1F3D58D3"/>
    <w:rsid w:val="2079277E"/>
    <w:rsid w:val="20B578F7"/>
    <w:rsid w:val="210E35BE"/>
    <w:rsid w:val="22C2681B"/>
    <w:rsid w:val="22CA7D42"/>
    <w:rsid w:val="234B4A63"/>
    <w:rsid w:val="237C10C0"/>
    <w:rsid w:val="254E1C27"/>
    <w:rsid w:val="258C292B"/>
    <w:rsid w:val="26F15921"/>
    <w:rsid w:val="277771ED"/>
    <w:rsid w:val="27B82B23"/>
    <w:rsid w:val="27CE7A10"/>
    <w:rsid w:val="283830DC"/>
    <w:rsid w:val="29641CFC"/>
    <w:rsid w:val="29746395"/>
    <w:rsid w:val="29B11398"/>
    <w:rsid w:val="2B4F3221"/>
    <w:rsid w:val="2B577D1D"/>
    <w:rsid w:val="2C7D1A05"/>
    <w:rsid w:val="2C970D19"/>
    <w:rsid w:val="2D4B2FDC"/>
    <w:rsid w:val="2D9214E0"/>
    <w:rsid w:val="2E945802"/>
    <w:rsid w:val="2EF20488"/>
    <w:rsid w:val="2FBC1655"/>
    <w:rsid w:val="301B57BD"/>
    <w:rsid w:val="30921342"/>
    <w:rsid w:val="32296CFF"/>
    <w:rsid w:val="32BC7069"/>
    <w:rsid w:val="32CB3733"/>
    <w:rsid w:val="33355F1C"/>
    <w:rsid w:val="33863895"/>
    <w:rsid w:val="33955886"/>
    <w:rsid w:val="33CF0D98"/>
    <w:rsid w:val="348953EB"/>
    <w:rsid w:val="348C4EDB"/>
    <w:rsid w:val="35457782"/>
    <w:rsid w:val="35472BB0"/>
    <w:rsid w:val="35492FCE"/>
    <w:rsid w:val="35AF114F"/>
    <w:rsid w:val="35BF9DF3"/>
    <w:rsid w:val="36DFA1E1"/>
    <w:rsid w:val="379245B6"/>
    <w:rsid w:val="37A72A7F"/>
    <w:rsid w:val="37CC517A"/>
    <w:rsid w:val="37D47B5E"/>
    <w:rsid w:val="38F640E2"/>
    <w:rsid w:val="39074B30"/>
    <w:rsid w:val="39783C80"/>
    <w:rsid w:val="39E9692C"/>
    <w:rsid w:val="3ACBE586"/>
    <w:rsid w:val="3CE21E78"/>
    <w:rsid w:val="3D766728"/>
    <w:rsid w:val="3E047676"/>
    <w:rsid w:val="3E151A9D"/>
    <w:rsid w:val="3E3F2FBE"/>
    <w:rsid w:val="3E5F486D"/>
    <w:rsid w:val="3E995855"/>
    <w:rsid w:val="3EF23B8C"/>
    <w:rsid w:val="3F6BBFB2"/>
    <w:rsid w:val="3F9BA76F"/>
    <w:rsid w:val="3FD339BE"/>
    <w:rsid w:val="3FF1B0B6"/>
    <w:rsid w:val="3FFC4D21"/>
    <w:rsid w:val="40A2448B"/>
    <w:rsid w:val="40C21036"/>
    <w:rsid w:val="41742F7F"/>
    <w:rsid w:val="419378A9"/>
    <w:rsid w:val="41A35612"/>
    <w:rsid w:val="42204EB5"/>
    <w:rsid w:val="42552B58"/>
    <w:rsid w:val="42E17B48"/>
    <w:rsid w:val="43364990"/>
    <w:rsid w:val="434D7A2D"/>
    <w:rsid w:val="43607C5E"/>
    <w:rsid w:val="44F6117F"/>
    <w:rsid w:val="45330427"/>
    <w:rsid w:val="46FE338C"/>
    <w:rsid w:val="473E09A3"/>
    <w:rsid w:val="47971775"/>
    <w:rsid w:val="4A282771"/>
    <w:rsid w:val="4B280462"/>
    <w:rsid w:val="4CCE5C39"/>
    <w:rsid w:val="4CE27E15"/>
    <w:rsid w:val="4DD51249"/>
    <w:rsid w:val="4E1EFC53"/>
    <w:rsid w:val="51A94280"/>
    <w:rsid w:val="51ACA49C"/>
    <w:rsid w:val="53401FAF"/>
    <w:rsid w:val="538F119C"/>
    <w:rsid w:val="53EA75C5"/>
    <w:rsid w:val="54925926"/>
    <w:rsid w:val="552B02EF"/>
    <w:rsid w:val="554910BB"/>
    <w:rsid w:val="55FD57F0"/>
    <w:rsid w:val="565F5B54"/>
    <w:rsid w:val="56CF0F2B"/>
    <w:rsid w:val="57835EB2"/>
    <w:rsid w:val="57DFCEFF"/>
    <w:rsid w:val="58B3387C"/>
    <w:rsid w:val="58CA3A18"/>
    <w:rsid w:val="59B30690"/>
    <w:rsid w:val="59C56616"/>
    <w:rsid w:val="59FE04A9"/>
    <w:rsid w:val="5A53777D"/>
    <w:rsid w:val="5AB1C548"/>
    <w:rsid w:val="5AB32912"/>
    <w:rsid w:val="5ACC12DE"/>
    <w:rsid w:val="5AE26D53"/>
    <w:rsid w:val="5B4517BC"/>
    <w:rsid w:val="5CA249EC"/>
    <w:rsid w:val="5CBA3AE4"/>
    <w:rsid w:val="5D42488D"/>
    <w:rsid w:val="5DFF6DE9"/>
    <w:rsid w:val="5DFF9917"/>
    <w:rsid w:val="5E1E40A4"/>
    <w:rsid w:val="5F1BC5F2"/>
    <w:rsid w:val="5F7C754B"/>
    <w:rsid w:val="5F7E19D6"/>
    <w:rsid w:val="60C2740B"/>
    <w:rsid w:val="60D95790"/>
    <w:rsid w:val="61277654"/>
    <w:rsid w:val="61926DDD"/>
    <w:rsid w:val="62EE44E7"/>
    <w:rsid w:val="62F164A7"/>
    <w:rsid w:val="637328AD"/>
    <w:rsid w:val="63DF02D4"/>
    <w:rsid w:val="643E324C"/>
    <w:rsid w:val="65EE377D"/>
    <w:rsid w:val="67660D4B"/>
    <w:rsid w:val="68833A8F"/>
    <w:rsid w:val="68A37B22"/>
    <w:rsid w:val="69E20B1E"/>
    <w:rsid w:val="6A072332"/>
    <w:rsid w:val="6A802C05"/>
    <w:rsid w:val="6AB9187F"/>
    <w:rsid w:val="6AC63F9C"/>
    <w:rsid w:val="6AF65C49"/>
    <w:rsid w:val="6B7C3C4C"/>
    <w:rsid w:val="6D394EF9"/>
    <w:rsid w:val="6D7F1AB7"/>
    <w:rsid w:val="6DF66946"/>
    <w:rsid w:val="6E3F209B"/>
    <w:rsid w:val="6F9FEB90"/>
    <w:rsid w:val="6FFFB834"/>
    <w:rsid w:val="704D618B"/>
    <w:rsid w:val="71571C91"/>
    <w:rsid w:val="71900B20"/>
    <w:rsid w:val="71BC1D0D"/>
    <w:rsid w:val="71E2790D"/>
    <w:rsid w:val="737F2EE4"/>
    <w:rsid w:val="73D56D61"/>
    <w:rsid w:val="73F3BC63"/>
    <w:rsid w:val="73FC7708"/>
    <w:rsid w:val="74390912"/>
    <w:rsid w:val="74FA31C0"/>
    <w:rsid w:val="77980A6E"/>
    <w:rsid w:val="78063C29"/>
    <w:rsid w:val="78E73A5B"/>
    <w:rsid w:val="795EE47A"/>
    <w:rsid w:val="797057FE"/>
    <w:rsid w:val="79D95838"/>
    <w:rsid w:val="7A416D33"/>
    <w:rsid w:val="7AFBD1F5"/>
    <w:rsid w:val="7BDE8257"/>
    <w:rsid w:val="7C213E9C"/>
    <w:rsid w:val="7C4ED2CF"/>
    <w:rsid w:val="7C861236"/>
    <w:rsid w:val="7CB59A12"/>
    <w:rsid w:val="7CC52305"/>
    <w:rsid w:val="7E176B90"/>
    <w:rsid w:val="7E2000B4"/>
    <w:rsid w:val="7E381600"/>
    <w:rsid w:val="7EAD18E2"/>
    <w:rsid w:val="7ED29686"/>
    <w:rsid w:val="7F2E2003"/>
    <w:rsid w:val="7F517E80"/>
    <w:rsid w:val="7FBD2FCD"/>
    <w:rsid w:val="7FD650CB"/>
    <w:rsid w:val="7FE30DC9"/>
    <w:rsid w:val="7FE7AA2B"/>
    <w:rsid w:val="7FF72ECD"/>
    <w:rsid w:val="8DFFBC3D"/>
    <w:rsid w:val="925D24EC"/>
    <w:rsid w:val="956BF4B5"/>
    <w:rsid w:val="9D6DBEB0"/>
    <w:rsid w:val="ABD74F92"/>
    <w:rsid w:val="B79E19E3"/>
    <w:rsid w:val="BA7B23C6"/>
    <w:rsid w:val="BCFC34E2"/>
    <w:rsid w:val="BEFF8D3F"/>
    <w:rsid w:val="BF388C0E"/>
    <w:rsid w:val="BFDE7FDC"/>
    <w:rsid w:val="DDFF1AB2"/>
    <w:rsid w:val="DFBFC31E"/>
    <w:rsid w:val="DFF777B1"/>
    <w:rsid w:val="E77FD600"/>
    <w:rsid w:val="ED2FC227"/>
    <w:rsid w:val="ED7ECA61"/>
    <w:rsid w:val="F2EFC7BA"/>
    <w:rsid w:val="F3F763E2"/>
    <w:rsid w:val="F42B52B6"/>
    <w:rsid w:val="F7B5D789"/>
    <w:rsid w:val="F7F9BBE1"/>
    <w:rsid w:val="F9FD202B"/>
    <w:rsid w:val="FACF466D"/>
    <w:rsid w:val="FBFF61CA"/>
    <w:rsid w:val="FCFFB603"/>
    <w:rsid w:val="FD774BC1"/>
    <w:rsid w:val="FDBD2A8B"/>
    <w:rsid w:val="FDD77B6A"/>
    <w:rsid w:val="FE317A1A"/>
    <w:rsid w:val="FEFDDA56"/>
    <w:rsid w:val="FF3103A6"/>
    <w:rsid w:val="FF5E1B85"/>
    <w:rsid w:val="FF7ED1DF"/>
    <w:rsid w:val="FF8F1EB8"/>
    <w:rsid w:val="FFE13370"/>
    <w:rsid w:val="FFF9B2EB"/>
    <w:rsid w:val="FFFF38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9" w:name="heading 3"/>
    <w:lsdException w:qFormat="1"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仿宋_GB2312" w:hAnsi="Times New Roman" w:eastAsia="仿宋_GB2312" w:cs="Times New Roman"/>
      <w:sz w:val="32"/>
      <w:szCs w:val="32"/>
      <w:lang w:val="en-US" w:eastAsia="zh-CN" w:bidi="ar-SA"/>
    </w:rPr>
  </w:style>
  <w:style w:type="paragraph" w:styleId="3">
    <w:name w:val="heading 1"/>
    <w:basedOn w:val="1"/>
    <w:next w:val="1"/>
    <w:qFormat/>
    <w:uiPriority w:val="0"/>
    <w:pPr>
      <w:keepNext/>
      <w:keepLines/>
      <w:spacing w:before="40" w:after="40" w:line="360" w:lineRule="auto"/>
      <w:outlineLvl w:val="0"/>
    </w:pPr>
    <w:rPr>
      <w:rFonts w:ascii="Times New Roman" w:hAnsi="Times New Roman"/>
      <w:b/>
      <w:bCs/>
      <w:kern w:val="44"/>
      <w:sz w:val="30"/>
      <w:szCs w:val="44"/>
    </w:rPr>
  </w:style>
  <w:style w:type="paragraph" w:styleId="4">
    <w:name w:val="heading 2"/>
    <w:basedOn w:val="1"/>
    <w:next w:val="1"/>
    <w:unhideWhenUsed/>
    <w:qFormat/>
    <w:uiPriority w:val="0"/>
    <w:pPr>
      <w:keepNext/>
      <w:keepLines/>
      <w:spacing w:beforeLines="0" w:beforeAutospacing="0" w:afterLines="0" w:afterAutospacing="0" w:line="560" w:lineRule="exact"/>
      <w:ind w:firstLine="672" w:firstLineChars="200"/>
      <w:jc w:val="left"/>
      <w:outlineLvl w:val="1"/>
    </w:pPr>
    <w:rPr>
      <w:rFonts w:ascii="Times New Roman" w:hAnsi="Times New Roman" w:eastAsia="楷体_GB2312"/>
      <w:sz w:val="32"/>
    </w:rPr>
  </w:style>
  <w:style w:type="paragraph" w:styleId="5">
    <w:name w:val="heading 4"/>
    <w:basedOn w:val="1"/>
    <w:next w:val="1"/>
    <w:unhideWhenUsed/>
    <w:qFormat/>
    <w:uiPriority w:val="0"/>
    <w:pPr>
      <w:widowControl/>
      <w:spacing w:before="100" w:beforeAutospacing="1" w:after="100" w:afterAutospacing="1"/>
      <w:jc w:val="left"/>
      <w:outlineLvl w:val="3"/>
    </w:pPr>
    <w:rPr>
      <w:rFonts w:ascii="宋体" w:hAnsi="宋体" w:eastAsia="宋体" w:cs="宋体"/>
      <w:b/>
      <w:bCs/>
      <w:kern w:val="0"/>
      <w:sz w:val="24"/>
      <w:szCs w:val="24"/>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6">
    <w:name w:val="Body Text"/>
    <w:basedOn w:val="1"/>
    <w:semiHidden/>
    <w:qFormat/>
    <w:uiPriority w:val="0"/>
    <w:rPr>
      <w:rFonts w:ascii="仿宋" w:hAnsi="仿宋" w:eastAsia="仿宋" w:cs="仿宋"/>
      <w:sz w:val="31"/>
      <w:szCs w:val="31"/>
      <w:lang w:val="en-US" w:eastAsia="en-US" w:bidi="ar-SA"/>
    </w:rPr>
  </w:style>
  <w:style w:type="paragraph" w:styleId="7">
    <w:name w:val="Body Text Indent"/>
    <w:basedOn w:val="1"/>
    <w:semiHidden/>
    <w:unhideWhenUsed/>
    <w:qFormat/>
    <w:uiPriority w:val="99"/>
    <w:pPr>
      <w:spacing w:after="120"/>
      <w:ind w:left="420" w:leftChars="200"/>
    </w:pPr>
  </w:style>
  <w:style w:type="paragraph" w:styleId="8">
    <w:name w:val="Date"/>
    <w:basedOn w:val="1"/>
    <w:next w:val="1"/>
    <w:link w:val="20"/>
    <w:semiHidden/>
    <w:unhideWhenUsed/>
    <w:qFormat/>
    <w:uiPriority w:val="99"/>
    <w:pPr>
      <w:ind w:left="100" w:leftChars="2500"/>
    </w:pPr>
  </w:style>
  <w:style w:type="paragraph" w:styleId="9">
    <w:name w:val="Balloon Text"/>
    <w:basedOn w:val="1"/>
    <w:link w:val="19"/>
    <w:semiHidden/>
    <w:unhideWhenUsed/>
    <w:qFormat/>
    <w:uiPriority w:val="99"/>
    <w:rPr>
      <w:sz w:val="18"/>
      <w:szCs w:val="18"/>
    </w:rPr>
  </w:style>
  <w:style w:type="paragraph" w:styleId="10">
    <w:name w:val="footer"/>
    <w:basedOn w:val="1"/>
    <w:link w:val="18"/>
    <w:unhideWhenUsed/>
    <w:qFormat/>
    <w:uiPriority w:val="99"/>
    <w:pPr>
      <w:tabs>
        <w:tab w:val="center" w:pos="4153"/>
        <w:tab w:val="right" w:pos="8306"/>
      </w:tabs>
      <w:snapToGrid w:val="0"/>
    </w:pPr>
    <w:rPr>
      <w:sz w:val="18"/>
      <w:szCs w:val="18"/>
    </w:rPr>
  </w:style>
  <w:style w:type="paragraph" w:styleId="11">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footnote text"/>
    <w:basedOn w:val="1"/>
    <w:semiHidden/>
    <w:unhideWhenUsed/>
    <w:qFormat/>
    <w:uiPriority w:val="99"/>
    <w:pPr>
      <w:snapToGrid w:val="0"/>
      <w:jc w:val="left"/>
    </w:pPr>
    <w:rPr>
      <w:sz w:val="18"/>
      <w:szCs w:val="18"/>
    </w:rPr>
  </w:style>
  <w:style w:type="paragraph" w:styleId="13">
    <w:name w:val="Body Text First Indent 2"/>
    <w:basedOn w:val="7"/>
    <w:unhideWhenUsed/>
    <w:qFormat/>
    <w:uiPriority w:val="0"/>
    <w:pPr>
      <w:widowControl w:val="0"/>
      <w:ind w:firstLine="420" w:firstLineChars="200"/>
      <w:jc w:val="both"/>
    </w:pPr>
    <w:rPr>
      <w:rFonts w:ascii="Calibri" w:hAnsi="Calibri" w:eastAsia="宋体" w:cs="Calibri"/>
      <w:szCs w:val="24"/>
    </w:rPr>
  </w:style>
  <w:style w:type="character" w:styleId="16">
    <w:name w:val="footnote reference"/>
    <w:basedOn w:val="15"/>
    <w:unhideWhenUsed/>
    <w:qFormat/>
    <w:uiPriority w:val="99"/>
    <w:rPr>
      <w:vertAlign w:val="superscript"/>
    </w:rPr>
  </w:style>
  <w:style w:type="character" w:customStyle="1" w:styleId="17">
    <w:name w:val="页眉 字符"/>
    <w:basedOn w:val="15"/>
    <w:link w:val="11"/>
    <w:qFormat/>
    <w:uiPriority w:val="99"/>
    <w:rPr>
      <w:sz w:val="18"/>
      <w:szCs w:val="18"/>
    </w:rPr>
  </w:style>
  <w:style w:type="character" w:customStyle="1" w:styleId="18">
    <w:name w:val="页脚 字符"/>
    <w:basedOn w:val="15"/>
    <w:link w:val="10"/>
    <w:qFormat/>
    <w:uiPriority w:val="99"/>
    <w:rPr>
      <w:sz w:val="18"/>
      <w:szCs w:val="18"/>
    </w:rPr>
  </w:style>
  <w:style w:type="character" w:customStyle="1" w:styleId="19">
    <w:name w:val="批注框文本 字符"/>
    <w:basedOn w:val="15"/>
    <w:link w:val="9"/>
    <w:semiHidden/>
    <w:qFormat/>
    <w:uiPriority w:val="99"/>
    <w:rPr>
      <w:sz w:val="18"/>
      <w:szCs w:val="18"/>
    </w:rPr>
  </w:style>
  <w:style w:type="character" w:customStyle="1" w:styleId="20">
    <w:name w:val="日期 字符"/>
    <w:basedOn w:val="15"/>
    <w:link w:val="8"/>
    <w:semiHidden/>
    <w:qFormat/>
    <w:uiPriority w:val="99"/>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9</Pages>
  <Words>4311</Words>
  <Characters>4493</Characters>
  <Lines>19</Lines>
  <Paragraphs>5</Paragraphs>
  <TotalTime>6</TotalTime>
  <ScaleCrop>false</ScaleCrop>
  <LinksUpToDate>false</LinksUpToDate>
  <CharactersWithSpaces>4502</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2022-03-23T06:29:00Z</dcterms:created>
  <dc:creator>Windows</dc:creator>
  <cp:lastModifiedBy>嘉树</cp:lastModifiedBy>
  <cp:lastPrinted>2024-08-13T22:03:00Z</cp:lastPrinted>
  <dcterms:modified xsi:type="dcterms:W3CDTF">2024-09-25T02:59:51Z</dcterms:modified>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F31C7D2EE07144738CCA138D21C157D7_13</vt:lpwstr>
  </property>
</Properties>
</file>