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C72B1">
      <w:pPr>
        <w:jc w:val="both"/>
        <w:rPr>
          <w:rFonts w:ascii="仿宋_GB2312" w:eastAsia="仿宋_GB2312"/>
          <w:sz w:val="32"/>
        </w:rPr>
      </w:pPr>
      <w:bookmarkStart w:id="0" w:name="_GoBack"/>
      <w:bookmarkEnd w:id="0"/>
    </w:p>
    <w:p w14:paraId="7F3D0A40">
      <w:pPr>
        <w:widowControl/>
        <w:spacing w:line="560" w:lineRule="exact"/>
        <w:jc w:val="center"/>
        <w:rPr>
          <w:rFonts w:hint="eastAsia" w:ascii="方正小标宋简体" w:eastAsia="方正小标宋简体"/>
          <w:kern w:val="0"/>
          <w:sz w:val="44"/>
          <w:szCs w:val="44"/>
        </w:rPr>
      </w:pPr>
      <w:r>
        <w:rPr>
          <w:rFonts w:hint="eastAsia" w:ascii="方正小标宋简体" w:hAnsi="宋体" w:eastAsia="方正小标宋简体"/>
          <w:kern w:val="0"/>
          <w:sz w:val="44"/>
          <w:szCs w:val="44"/>
        </w:rPr>
        <w:t>天津渤海新能源科技有限公司“2024·3·19”厂内专用机动车辆</w:t>
      </w:r>
      <w:r>
        <w:rPr>
          <w:rFonts w:hint="eastAsia" w:ascii="方正小标宋简体" w:hAnsi="宋体" w:eastAsia="方正小标宋简体"/>
          <w:kern w:val="0"/>
          <w:sz w:val="44"/>
          <w:szCs w:val="44"/>
          <w:lang w:eastAsia="zh-CN"/>
        </w:rPr>
        <w:t>相关</w:t>
      </w:r>
      <w:r>
        <w:rPr>
          <w:rFonts w:hint="eastAsia" w:ascii="方正小标宋简体" w:hAnsi="宋体" w:eastAsia="方正小标宋简体"/>
          <w:kern w:val="0"/>
          <w:sz w:val="44"/>
          <w:szCs w:val="44"/>
        </w:rPr>
        <w:t>事故评估</w:t>
      </w:r>
      <w:r>
        <w:rPr>
          <w:rFonts w:hint="eastAsia" w:ascii="方正小标宋简体" w:eastAsia="方正小标宋简体"/>
          <w:kern w:val="0"/>
          <w:sz w:val="44"/>
          <w:szCs w:val="44"/>
        </w:rPr>
        <w:t>报告</w:t>
      </w:r>
    </w:p>
    <w:p w14:paraId="4DD18BF3">
      <w:pPr>
        <w:pStyle w:val="17"/>
        <w:rPr>
          <w:rFonts w:hint="eastAsia" w:ascii="仿宋_GB2312" w:hAnsi="仿宋" w:eastAsia="仿宋_GB2312" w:cs="Times New Roman"/>
          <w:color w:val="auto"/>
          <w:kern w:val="0"/>
          <w:sz w:val="32"/>
          <w:szCs w:val="32"/>
          <w:lang w:val="en-US" w:eastAsia="zh-CN" w:bidi="ar-SA"/>
        </w:rPr>
      </w:pPr>
    </w:p>
    <w:p w14:paraId="59EA8561">
      <w:pPr>
        <w:widowControl/>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202</w:t>
      </w:r>
      <w:r>
        <w:rPr>
          <w:rFonts w:hint="eastAsia" w:ascii="仿宋_GB2312" w:eastAsia="仿宋_GB2312"/>
          <w:sz w:val="32"/>
          <w:szCs w:val="32"/>
          <w:lang w:val="en-US" w:eastAsia="zh-CN"/>
        </w:rPr>
        <w:t>4</w:t>
      </w:r>
      <w:r>
        <w:rPr>
          <w:rFonts w:hint="eastAsia" w:ascii="仿宋_GB2312" w:eastAsia="仿宋_GB2312"/>
          <w:sz w:val="32"/>
          <w:szCs w:val="32"/>
          <w:lang w:eastAsia="zh-CN"/>
        </w:rPr>
        <w:t>年</w:t>
      </w:r>
      <w:r>
        <w:rPr>
          <w:rFonts w:hint="eastAsia" w:ascii="仿宋_GB2312" w:eastAsia="仿宋_GB2312"/>
          <w:sz w:val="32"/>
          <w:szCs w:val="32"/>
          <w:lang w:val="en-US" w:eastAsia="zh-CN"/>
        </w:rPr>
        <w:t>3</w:t>
      </w:r>
      <w:r>
        <w:rPr>
          <w:rFonts w:hint="eastAsia" w:ascii="仿宋_GB2312" w:eastAsia="仿宋_GB2312"/>
          <w:sz w:val="32"/>
          <w:szCs w:val="32"/>
          <w:lang w:eastAsia="zh-CN"/>
        </w:rPr>
        <w:t>月</w:t>
      </w:r>
      <w:r>
        <w:rPr>
          <w:rFonts w:hint="eastAsia" w:ascii="仿宋_GB2312" w:eastAsia="仿宋_GB2312"/>
          <w:sz w:val="32"/>
          <w:szCs w:val="32"/>
          <w:lang w:val="en-US" w:eastAsia="zh-CN"/>
        </w:rPr>
        <w:t>19</w:t>
      </w:r>
      <w:r>
        <w:rPr>
          <w:rFonts w:hint="eastAsia" w:ascii="仿宋_GB2312" w:eastAsia="仿宋_GB2312"/>
          <w:sz w:val="32"/>
          <w:szCs w:val="32"/>
          <w:lang w:eastAsia="zh-CN"/>
        </w:rPr>
        <w:t>日</w:t>
      </w:r>
      <w:r>
        <w:rPr>
          <w:rFonts w:hint="eastAsia" w:ascii="仿宋_GB2312" w:eastAsia="仿宋_GB2312"/>
          <w:sz w:val="32"/>
          <w:szCs w:val="32"/>
        </w:rPr>
        <w:t>，</w:t>
      </w:r>
      <w:r>
        <w:rPr>
          <w:rFonts w:hint="eastAsia" w:ascii="仿宋_GB2312" w:eastAsia="仿宋_GB2312"/>
          <w:sz w:val="32"/>
          <w:szCs w:val="32"/>
          <w:lang w:eastAsia="zh-CN"/>
        </w:rPr>
        <w:t>位于天津市静海经济开发区南区爱玛路8号</w:t>
      </w:r>
      <w:r>
        <w:rPr>
          <w:rFonts w:hint="eastAsia" w:ascii="仿宋_GB2312" w:eastAsia="仿宋_GB2312"/>
          <w:b w:val="0"/>
          <w:bCs/>
          <w:sz w:val="32"/>
          <w:szCs w:val="32"/>
          <w:lang w:eastAsia="zh-CN"/>
        </w:rPr>
        <w:t>的天津渤海新能源科技有限公司</w:t>
      </w:r>
      <w:r>
        <w:rPr>
          <w:rFonts w:hint="eastAsia" w:ascii="仿宋_GB2312" w:eastAsia="仿宋_GB2312"/>
          <w:sz w:val="32"/>
          <w:szCs w:val="32"/>
        </w:rPr>
        <w:t>发生1起</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sz w:val="32"/>
          <w:szCs w:val="32"/>
        </w:rPr>
        <w:t>事故，造成1人死亡。</w:t>
      </w:r>
    </w:p>
    <w:p w14:paraId="0F2D9509">
      <w:pPr>
        <w:widowControl/>
        <w:spacing w:line="560" w:lineRule="exact"/>
        <w:ind w:firstLine="640" w:firstLineChars="200"/>
        <w:rPr>
          <w:rFonts w:hint="eastAsia" w:ascii="仿宋_GB2312" w:eastAsia="仿宋_GB2312"/>
          <w:kern w:val="0"/>
          <w:sz w:val="32"/>
          <w:szCs w:val="32"/>
        </w:rPr>
      </w:pPr>
      <w:r>
        <w:rPr>
          <w:rFonts w:hint="eastAsia" w:ascii="仿宋_GB2312" w:hAnsi="仿宋" w:eastAsia="仿宋_GB2312"/>
          <w:kern w:val="0"/>
          <w:sz w:val="32"/>
          <w:szCs w:val="32"/>
        </w:rPr>
        <w:t>事故发生后，</w:t>
      </w:r>
      <w:r>
        <w:rPr>
          <w:rFonts w:hint="eastAsia" w:ascii="仿宋_GB2312" w:eastAsia="仿宋_GB2312"/>
          <w:kern w:val="0"/>
          <w:sz w:val="32"/>
          <w:szCs w:val="32"/>
        </w:rPr>
        <w:t>静海区人民政府成</w:t>
      </w:r>
      <w:r>
        <w:rPr>
          <w:rFonts w:hint="eastAsia" w:ascii="仿宋_GB2312" w:eastAsia="仿宋_GB2312"/>
          <w:sz w:val="32"/>
          <w:szCs w:val="32"/>
        </w:rPr>
        <w:t>立了天津渤海新能源科技有限公司“2024·3·19”</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b w:val="0"/>
          <w:bCs/>
          <w:sz w:val="32"/>
          <w:szCs w:val="32"/>
        </w:rPr>
        <w:t>事故调查组</w:t>
      </w:r>
      <w:r>
        <w:rPr>
          <w:rFonts w:hint="eastAsia" w:ascii="仿宋_GB2312" w:hAnsi="仿宋" w:eastAsia="仿宋_GB2312"/>
          <w:kern w:val="0"/>
          <w:sz w:val="32"/>
          <w:szCs w:val="32"/>
        </w:rPr>
        <w:t>。</w:t>
      </w:r>
      <w:r>
        <w:rPr>
          <w:rFonts w:hint="eastAsia" w:ascii="仿宋_GB2312" w:eastAsia="仿宋_GB2312"/>
          <w:sz w:val="32"/>
          <w:szCs w:val="32"/>
          <w:lang w:val="en-US" w:eastAsia="zh-CN"/>
        </w:rPr>
        <w:t>2024年7</w:t>
      </w:r>
      <w:r>
        <w:rPr>
          <w:rFonts w:hint="eastAsia" w:ascii="仿宋_GB2312" w:eastAsia="仿宋_GB2312"/>
          <w:sz w:val="32"/>
          <w:szCs w:val="32"/>
        </w:rPr>
        <w:t>月</w:t>
      </w:r>
      <w:r>
        <w:rPr>
          <w:rFonts w:hint="eastAsia" w:ascii="仿宋_GB2312" w:eastAsia="仿宋_GB2312"/>
          <w:sz w:val="32"/>
          <w:szCs w:val="32"/>
          <w:lang w:val="en-US" w:eastAsia="zh-CN"/>
        </w:rPr>
        <w:t>31</w:t>
      </w:r>
      <w:r>
        <w:rPr>
          <w:rFonts w:hint="eastAsia" w:ascii="仿宋_GB2312" w:eastAsia="仿宋_GB2312"/>
          <w:sz w:val="32"/>
          <w:szCs w:val="32"/>
        </w:rPr>
        <w:t>日</w:t>
      </w:r>
      <w:r>
        <w:rPr>
          <w:rFonts w:hint="eastAsia" w:ascii="仿宋_GB2312" w:hAnsi="仿宋_GB2312" w:eastAsia="仿宋_GB2312" w:cs="仿宋_GB2312"/>
          <w:sz w:val="32"/>
          <w:szCs w:val="32"/>
        </w:rPr>
        <w:t>，静海</w:t>
      </w:r>
      <w:r>
        <w:rPr>
          <w:rFonts w:hint="eastAsia" w:ascii="仿宋_GB2312" w:hAnsi="仿宋_GB2312" w:eastAsia="仿宋_GB2312" w:cs="仿宋_GB2312"/>
          <w:kern w:val="0"/>
          <w:sz w:val="32"/>
          <w:szCs w:val="32"/>
          <w:lang w:val="en"/>
        </w:rPr>
        <w:t>区人民政府批复同意了《</w:t>
      </w:r>
      <w:r>
        <w:rPr>
          <w:rFonts w:hint="eastAsia" w:ascii="仿宋_GB2312" w:eastAsia="仿宋_GB2312"/>
          <w:sz w:val="32"/>
          <w:szCs w:val="32"/>
        </w:rPr>
        <w:t>天津渤海新能源科技有限公司“2024·3·19”</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b w:val="0"/>
          <w:bCs/>
          <w:sz w:val="32"/>
          <w:szCs w:val="32"/>
        </w:rPr>
        <w:t>事故</w:t>
      </w:r>
      <w:r>
        <w:rPr>
          <w:rFonts w:hint="eastAsia" w:ascii="仿宋_GB2312" w:eastAsia="仿宋_GB2312"/>
          <w:b w:val="0"/>
          <w:bCs/>
          <w:sz w:val="32"/>
          <w:szCs w:val="32"/>
          <w:lang w:eastAsia="zh-CN"/>
        </w:rPr>
        <w:t>调查报告</w:t>
      </w:r>
      <w:r>
        <w:rPr>
          <w:rFonts w:hint="eastAsia" w:ascii="仿宋_GB2312" w:hAnsi="仿宋_GB2312" w:eastAsia="仿宋_GB2312" w:cs="仿宋_GB2312"/>
          <w:kern w:val="0"/>
          <w:sz w:val="32"/>
          <w:szCs w:val="32"/>
          <w:lang w:val="en"/>
        </w:rPr>
        <w:t>》。依据《生产安全事故防范和整改措施落实情况评估办法》</w:t>
      </w:r>
      <w:r>
        <w:rPr>
          <w:rFonts w:hint="eastAsia" w:ascii="仿宋_GB2312" w:hAnsi="仿宋_GB2312" w:eastAsia="仿宋_GB2312" w:cs="仿宋_GB2312"/>
          <w:kern w:val="0"/>
          <w:sz w:val="32"/>
          <w:szCs w:val="32"/>
          <w:lang w:val="en" w:eastAsia="zh-CN"/>
        </w:rPr>
        <w:t>、《天津市生产安全事故防范和整改措施落实情况评估办法》</w:t>
      </w:r>
      <w:r>
        <w:rPr>
          <w:rFonts w:hint="eastAsia" w:ascii="仿宋_GB2312" w:hAnsi="仿宋_GB2312" w:eastAsia="仿宋_GB2312" w:cs="仿宋_GB2312"/>
          <w:kern w:val="0"/>
          <w:sz w:val="32"/>
          <w:szCs w:val="32"/>
          <w:lang w:val="en"/>
        </w:rPr>
        <w:t>规定，202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val="en"/>
        </w:rPr>
        <w:t>年</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val="en"/>
        </w:rPr>
        <w:t>月</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lang w:val="en"/>
        </w:rPr>
        <w:t>日，区</w:t>
      </w:r>
      <w:r>
        <w:rPr>
          <w:rFonts w:hint="eastAsia" w:ascii="仿宋_GB2312" w:hAnsi="仿宋_GB2312" w:eastAsia="仿宋_GB2312" w:cs="仿宋_GB2312"/>
          <w:kern w:val="0"/>
          <w:sz w:val="32"/>
          <w:szCs w:val="32"/>
          <w:lang w:val="en" w:eastAsia="zh-CN"/>
        </w:rPr>
        <w:t>市场监管局</w:t>
      </w:r>
      <w:r>
        <w:rPr>
          <w:rFonts w:hint="eastAsia" w:ascii="仿宋_GB2312" w:hAnsi="仿宋_GB2312" w:eastAsia="仿宋_GB2312" w:cs="仿宋_GB2312"/>
          <w:kern w:val="0"/>
          <w:sz w:val="32"/>
          <w:szCs w:val="32"/>
          <w:lang w:val="en"/>
        </w:rPr>
        <w:t>牵头</w:t>
      </w:r>
      <w:r>
        <w:rPr>
          <w:rFonts w:hint="eastAsia" w:ascii="仿宋_GB2312" w:hAnsi="仿宋_GB2312" w:eastAsia="仿宋_GB2312" w:cs="仿宋_GB2312"/>
          <w:kern w:val="0"/>
          <w:sz w:val="32"/>
          <w:szCs w:val="32"/>
          <w:lang w:val="en" w:eastAsia="zh-CN"/>
        </w:rPr>
        <w:t>，组织</w:t>
      </w:r>
      <w:r>
        <w:rPr>
          <w:rFonts w:hint="eastAsia" w:ascii="仿宋_GB2312" w:eastAsia="仿宋_GB2312"/>
          <w:b w:val="0"/>
          <w:bCs/>
          <w:sz w:val="32"/>
          <w:szCs w:val="32"/>
          <w:lang w:eastAsia="zh-CN"/>
        </w:rPr>
        <w:t>区</w:t>
      </w:r>
      <w:r>
        <w:rPr>
          <w:rFonts w:hint="eastAsia" w:ascii="仿宋_GB2312" w:eastAsia="仿宋_GB2312"/>
          <w:b w:val="0"/>
          <w:bCs/>
          <w:sz w:val="32"/>
          <w:szCs w:val="32"/>
        </w:rPr>
        <w:t>应急管理局、</w:t>
      </w:r>
      <w:r>
        <w:rPr>
          <w:rFonts w:hint="eastAsia" w:ascii="仿宋_GB2312" w:eastAsia="仿宋_GB2312"/>
          <w:b w:val="0"/>
          <w:bCs/>
          <w:sz w:val="32"/>
          <w:szCs w:val="32"/>
          <w:lang w:eastAsia="zh-CN"/>
        </w:rPr>
        <w:t>天津子牙经济技术开发区高新产业园发展有限公司</w:t>
      </w:r>
      <w:r>
        <w:rPr>
          <w:rFonts w:hint="eastAsia" w:ascii="仿宋_GB2312" w:eastAsia="仿宋_GB2312"/>
          <w:kern w:val="0"/>
          <w:sz w:val="32"/>
          <w:szCs w:val="32"/>
        </w:rPr>
        <w:t>成立了</w:t>
      </w:r>
      <w:r>
        <w:rPr>
          <w:rFonts w:hint="eastAsia" w:ascii="仿宋_GB2312" w:eastAsia="仿宋_GB2312"/>
          <w:sz w:val="32"/>
          <w:szCs w:val="32"/>
        </w:rPr>
        <w:t>天津渤海新能源科技有限公司“2024·3·19”</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b w:val="0"/>
          <w:bCs/>
          <w:sz w:val="32"/>
          <w:szCs w:val="32"/>
        </w:rPr>
        <w:t>事故</w:t>
      </w:r>
      <w:r>
        <w:rPr>
          <w:rFonts w:hint="eastAsia" w:ascii="仿宋_GB2312" w:eastAsia="仿宋_GB2312"/>
          <w:kern w:val="0"/>
          <w:sz w:val="32"/>
          <w:szCs w:val="32"/>
        </w:rPr>
        <w:t>评估组</w:t>
      </w:r>
      <w:r>
        <w:rPr>
          <w:rFonts w:ascii="仿宋_GB2312" w:eastAsia="仿宋_GB2312"/>
          <w:kern w:val="0"/>
          <w:sz w:val="32"/>
          <w:szCs w:val="32"/>
        </w:rPr>
        <w:t>开展评估</w:t>
      </w:r>
      <w:r>
        <w:rPr>
          <w:rFonts w:hint="eastAsia" w:ascii="仿宋_GB2312" w:eastAsia="仿宋_GB2312"/>
          <w:kern w:val="0"/>
          <w:sz w:val="32"/>
          <w:szCs w:val="32"/>
        </w:rPr>
        <w:t>工作，现将评估情况报告如下：</w:t>
      </w:r>
    </w:p>
    <w:p w14:paraId="08AF763A">
      <w:pPr>
        <w:widowControl/>
        <w:spacing w:line="560" w:lineRule="exact"/>
        <w:ind w:firstLine="640" w:firstLineChars="200"/>
        <w:outlineLvl w:val="0"/>
        <w:rPr>
          <w:rFonts w:ascii="黑体" w:hAnsi="黑体" w:eastAsia="黑体"/>
          <w:kern w:val="0"/>
          <w:sz w:val="32"/>
          <w:szCs w:val="32"/>
        </w:rPr>
      </w:pPr>
      <w:r>
        <w:rPr>
          <w:rFonts w:hint="eastAsia" w:ascii="黑体" w:hAnsi="黑体" w:eastAsia="黑体"/>
          <w:kern w:val="0"/>
          <w:sz w:val="32"/>
          <w:szCs w:val="32"/>
        </w:rPr>
        <w:t>一</w:t>
      </w:r>
      <w:r>
        <w:rPr>
          <w:rFonts w:ascii="黑体" w:hAnsi="黑体" w:eastAsia="黑体"/>
          <w:kern w:val="0"/>
          <w:sz w:val="32"/>
          <w:szCs w:val="32"/>
        </w:rPr>
        <w:t>、评估目的</w:t>
      </w:r>
    </w:p>
    <w:p w14:paraId="6509453F">
      <w:pPr>
        <w:widowControl/>
        <w:spacing w:line="560" w:lineRule="exact"/>
        <w:ind w:firstLine="640" w:firstLineChars="200"/>
        <w:rPr>
          <w:rFonts w:hint="eastAsia" w:ascii="仿宋_GB2312" w:eastAsia="仿宋_GB2312"/>
          <w:bCs/>
          <w:kern w:val="0"/>
          <w:sz w:val="32"/>
          <w:szCs w:val="32"/>
        </w:rPr>
      </w:pPr>
      <w:r>
        <w:rPr>
          <w:rFonts w:hint="eastAsia" w:ascii="仿宋_GB2312" w:eastAsia="仿宋_GB2312"/>
          <w:bCs/>
          <w:kern w:val="0"/>
          <w:sz w:val="32"/>
          <w:szCs w:val="32"/>
        </w:rPr>
        <w:t>为贯彻落实《中共中央国务院关于推进安全生产领域改革发展的意见》</w:t>
      </w:r>
      <w:r>
        <w:rPr>
          <w:rFonts w:hint="eastAsia" w:ascii="仿宋_GB2312" w:eastAsia="仿宋_GB2312"/>
          <w:bCs/>
          <w:kern w:val="0"/>
          <w:sz w:val="32"/>
          <w:szCs w:val="32"/>
          <w:lang w:eastAsia="zh-CN"/>
        </w:rPr>
        <w:t>、</w:t>
      </w:r>
      <w:r>
        <w:rPr>
          <w:rFonts w:hint="eastAsia" w:ascii="仿宋_GB2312" w:eastAsia="仿宋_GB2312"/>
          <w:bCs/>
          <w:kern w:val="0"/>
          <w:sz w:val="32"/>
          <w:szCs w:val="32"/>
        </w:rPr>
        <w:t>《中共天津市委天津市人民政府关于推进安全生产领域改革发展的意见》，推动生产安全事故责任追究和整改措施的落实，特开展此次事故评估工作。</w:t>
      </w:r>
    </w:p>
    <w:p w14:paraId="4FFC94A4">
      <w:pPr>
        <w:widowControl/>
        <w:spacing w:line="560" w:lineRule="exact"/>
        <w:ind w:firstLine="640" w:firstLineChars="200"/>
        <w:outlineLvl w:val="0"/>
        <w:rPr>
          <w:rFonts w:ascii="黑体" w:hAnsi="黑体" w:eastAsia="黑体"/>
          <w:bCs/>
          <w:kern w:val="0"/>
          <w:sz w:val="32"/>
          <w:szCs w:val="32"/>
        </w:rPr>
      </w:pPr>
      <w:r>
        <w:rPr>
          <w:rFonts w:hint="eastAsia" w:ascii="黑体" w:hAnsi="黑体" w:eastAsia="黑体"/>
          <w:kern w:val="0"/>
          <w:sz w:val="32"/>
          <w:szCs w:val="32"/>
        </w:rPr>
        <w:t>二</w:t>
      </w:r>
      <w:r>
        <w:rPr>
          <w:rFonts w:ascii="黑体" w:hAnsi="黑体" w:eastAsia="黑体"/>
          <w:kern w:val="0"/>
          <w:sz w:val="32"/>
          <w:szCs w:val="32"/>
        </w:rPr>
        <w:t>、</w:t>
      </w:r>
      <w:r>
        <w:rPr>
          <w:rFonts w:ascii="黑体" w:hAnsi="黑体" w:eastAsia="黑体"/>
          <w:bCs/>
          <w:kern w:val="0"/>
          <w:sz w:val="32"/>
          <w:szCs w:val="32"/>
        </w:rPr>
        <w:t>评估依据及</w:t>
      </w:r>
      <w:r>
        <w:rPr>
          <w:rFonts w:hint="eastAsia" w:ascii="黑体" w:hAnsi="黑体" w:eastAsia="黑体"/>
          <w:bCs/>
          <w:kern w:val="0"/>
          <w:sz w:val="32"/>
          <w:szCs w:val="32"/>
        </w:rPr>
        <w:t>职责分工</w:t>
      </w:r>
    </w:p>
    <w:p w14:paraId="23F85E4F">
      <w:pPr>
        <w:widowControl/>
        <w:spacing w:line="560" w:lineRule="exact"/>
        <w:ind w:firstLine="640" w:firstLineChars="200"/>
        <w:rPr>
          <w:rFonts w:hint="eastAsia" w:ascii="仿宋_GB2312" w:eastAsia="仿宋_GB2312"/>
          <w:bCs/>
          <w:kern w:val="0"/>
          <w:sz w:val="32"/>
          <w:szCs w:val="32"/>
        </w:rPr>
      </w:pPr>
      <w:r>
        <w:rPr>
          <w:rFonts w:hint="eastAsia" w:ascii="仿宋_GB2312" w:eastAsia="仿宋_GB2312"/>
          <w:bCs/>
          <w:kern w:val="0"/>
          <w:sz w:val="32"/>
          <w:szCs w:val="32"/>
        </w:rPr>
        <w:t>依据</w:t>
      </w:r>
      <w:r>
        <w:rPr>
          <w:rFonts w:hint="eastAsia" w:ascii="仿宋_GB2312" w:eastAsia="仿宋_GB2312"/>
          <w:kern w:val="0"/>
          <w:sz w:val="32"/>
          <w:szCs w:val="32"/>
        </w:rPr>
        <w:t>《生产安全事故防范和整改措施落实情况评估办法》</w:t>
      </w:r>
      <w:r>
        <w:rPr>
          <w:rFonts w:hint="eastAsia" w:ascii="仿宋_GB2312" w:eastAsia="仿宋_GB2312"/>
          <w:kern w:val="0"/>
          <w:sz w:val="32"/>
          <w:szCs w:val="32"/>
          <w:lang w:eastAsia="zh-CN"/>
        </w:rPr>
        <w:t>、</w:t>
      </w:r>
      <w:r>
        <w:rPr>
          <w:rFonts w:hint="eastAsia" w:ascii="仿宋_GB2312" w:hAnsi="仿宋_GB2312" w:eastAsia="仿宋_GB2312" w:cs="仿宋_GB2312"/>
          <w:kern w:val="0"/>
          <w:sz w:val="32"/>
          <w:szCs w:val="32"/>
          <w:lang w:val="en" w:eastAsia="zh-CN"/>
        </w:rPr>
        <w:t>《天津市生产安全事故防范和整改措施落实情况评估办法》</w:t>
      </w:r>
      <w:r>
        <w:rPr>
          <w:rFonts w:hint="eastAsia" w:ascii="仿宋_GB2312" w:hAnsi="仿宋_GB2312" w:eastAsia="仿宋_GB2312" w:cs="仿宋_GB2312"/>
          <w:kern w:val="0"/>
          <w:sz w:val="32"/>
          <w:szCs w:val="32"/>
          <w:lang w:val="en"/>
        </w:rPr>
        <w:t>规定，区</w:t>
      </w:r>
      <w:r>
        <w:rPr>
          <w:rFonts w:hint="eastAsia" w:ascii="仿宋_GB2312" w:hAnsi="仿宋_GB2312" w:eastAsia="仿宋_GB2312" w:cs="仿宋_GB2312"/>
          <w:kern w:val="0"/>
          <w:sz w:val="32"/>
          <w:szCs w:val="32"/>
          <w:lang w:val="en" w:eastAsia="zh-CN"/>
        </w:rPr>
        <w:t>市场监管局</w:t>
      </w:r>
      <w:r>
        <w:rPr>
          <w:rFonts w:hint="eastAsia" w:ascii="仿宋_GB2312" w:hAnsi="仿宋_GB2312" w:eastAsia="仿宋_GB2312" w:cs="仿宋_GB2312"/>
          <w:kern w:val="0"/>
          <w:sz w:val="32"/>
          <w:szCs w:val="32"/>
          <w:lang w:val="en"/>
        </w:rPr>
        <w:t>于202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val="en"/>
        </w:rPr>
        <w:t>年</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val="en"/>
        </w:rPr>
        <w:t>月</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lang w:val="en"/>
        </w:rPr>
        <w:t>日牵头成立了</w:t>
      </w:r>
      <w:r>
        <w:rPr>
          <w:rFonts w:hint="eastAsia" w:ascii="仿宋_GB2312" w:eastAsia="仿宋_GB2312"/>
          <w:sz w:val="32"/>
          <w:szCs w:val="32"/>
        </w:rPr>
        <w:t>天津渤海新能源科技有限公司“2024·3·19”</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b w:val="0"/>
          <w:bCs/>
          <w:sz w:val="32"/>
          <w:szCs w:val="32"/>
        </w:rPr>
        <w:t>事故</w:t>
      </w:r>
      <w:r>
        <w:rPr>
          <w:rFonts w:hint="eastAsia" w:ascii="仿宋_GB2312" w:hAnsi="仿宋_GB2312" w:eastAsia="仿宋_GB2312" w:cs="仿宋_GB2312"/>
          <w:kern w:val="0"/>
          <w:sz w:val="32"/>
          <w:szCs w:val="32"/>
          <w:lang w:val="en"/>
        </w:rPr>
        <w:t>评估组。评估组按照“四不放过”和“科学严谨、依法依规、实事求是</w:t>
      </w:r>
      <w:r>
        <w:rPr>
          <w:rFonts w:hint="eastAsia" w:ascii="仿宋_GB2312" w:eastAsia="仿宋_GB2312"/>
          <w:bCs/>
          <w:kern w:val="0"/>
          <w:sz w:val="32"/>
          <w:szCs w:val="32"/>
        </w:rPr>
        <w:t>、注重实效”的原则，通过会议推动、现场检查、综合分析，对事故责任追究及整改措施落实情况开展了全面评估。</w:t>
      </w:r>
    </w:p>
    <w:p w14:paraId="2BD7534C">
      <w:pPr>
        <w:widowControl/>
        <w:spacing w:line="560" w:lineRule="exact"/>
        <w:ind w:firstLine="640" w:firstLineChars="200"/>
        <w:rPr>
          <w:rFonts w:hint="eastAsia" w:ascii="仿宋_GB2312" w:eastAsia="仿宋_GB2312"/>
          <w:bCs/>
          <w:kern w:val="0"/>
          <w:sz w:val="32"/>
          <w:szCs w:val="32"/>
          <w:lang w:eastAsia="zh-CN"/>
        </w:rPr>
      </w:pPr>
      <w:r>
        <w:rPr>
          <w:rFonts w:hint="eastAsia" w:ascii="仿宋_GB2312" w:eastAsia="仿宋_GB2312"/>
          <w:bCs/>
          <w:kern w:val="0"/>
          <w:sz w:val="32"/>
          <w:szCs w:val="32"/>
          <w:lang w:eastAsia="zh-CN"/>
        </w:rPr>
        <w:t>区市场监管局</w:t>
      </w:r>
      <w:r>
        <w:rPr>
          <w:rFonts w:hint="eastAsia" w:ascii="仿宋_GB2312" w:eastAsia="仿宋_GB2312"/>
          <w:bCs/>
          <w:kern w:val="0"/>
          <w:sz w:val="32"/>
          <w:szCs w:val="32"/>
        </w:rPr>
        <w:t>：组织、协调事故评估组成员单位做好评估工作；按照事故调查报告中对事故单位和责任人员行政处罚建议等落实情况进行评估，对事故单位整改措施建议落实情况进行评估，形成事故相关单位行政处罚及整改措施落实情况报告；汇总事故评估工作情况，形成总体评估报告。</w:t>
      </w:r>
      <w:r>
        <w:rPr>
          <w:rFonts w:hint="eastAsia" w:ascii="仿宋_GB2312" w:eastAsia="仿宋_GB2312"/>
          <w:bCs/>
          <w:kern w:val="0"/>
          <w:sz w:val="32"/>
          <w:szCs w:val="32"/>
          <w:lang w:eastAsia="zh-CN"/>
        </w:rPr>
        <w:t>按照事故调查报告中整改措施意见，对事故调查报告中提及的有关的特种设备使用、操作、管理等方面的整改措施落实情况进行评估，形成事故防范和整改措施落实情况的评估报告。</w:t>
      </w:r>
    </w:p>
    <w:p w14:paraId="7D003F5A">
      <w:pPr>
        <w:widowControl/>
        <w:spacing w:line="560" w:lineRule="exact"/>
        <w:ind w:firstLine="640" w:firstLineChars="200"/>
        <w:rPr>
          <w:rFonts w:ascii="仿宋_GB2312" w:eastAsia="仿宋_GB2312"/>
          <w:bCs/>
          <w:kern w:val="0"/>
          <w:sz w:val="32"/>
          <w:szCs w:val="32"/>
        </w:rPr>
      </w:pPr>
      <w:r>
        <w:rPr>
          <w:rFonts w:hint="eastAsia" w:ascii="仿宋_GB2312" w:eastAsia="仿宋_GB2312"/>
          <w:bCs/>
          <w:kern w:val="0"/>
          <w:sz w:val="32"/>
          <w:szCs w:val="32"/>
          <w:lang w:eastAsia="zh-CN"/>
        </w:rPr>
        <w:t>天津子牙经济技术开发区高新产业园发展有限公司</w:t>
      </w:r>
      <w:r>
        <w:rPr>
          <w:rFonts w:hint="eastAsia" w:ascii="仿宋_GB2312" w:eastAsia="仿宋_GB2312"/>
          <w:bCs/>
          <w:kern w:val="0"/>
          <w:sz w:val="32"/>
          <w:szCs w:val="32"/>
        </w:rPr>
        <w:t>：落实属地责任，配合区市场监管局做好此次事故评估工作。</w:t>
      </w:r>
    </w:p>
    <w:p w14:paraId="75A82701">
      <w:pPr>
        <w:widowControl/>
        <w:spacing w:line="560" w:lineRule="exact"/>
        <w:ind w:firstLine="640" w:firstLineChars="200"/>
        <w:outlineLvl w:val="0"/>
        <w:rPr>
          <w:rFonts w:ascii="黑体" w:hAnsi="黑体" w:eastAsia="黑体"/>
          <w:kern w:val="0"/>
          <w:sz w:val="32"/>
          <w:szCs w:val="32"/>
        </w:rPr>
      </w:pPr>
      <w:r>
        <w:rPr>
          <w:rFonts w:hint="eastAsia" w:ascii="黑体" w:hAnsi="黑体" w:eastAsia="黑体"/>
          <w:kern w:val="0"/>
          <w:sz w:val="32"/>
          <w:szCs w:val="32"/>
        </w:rPr>
        <w:t>三、事故调查处理情况</w:t>
      </w:r>
    </w:p>
    <w:p w14:paraId="3C2FEF76">
      <w:pPr>
        <w:widowControl/>
        <w:spacing w:line="560" w:lineRule="exact"/>
        <w:ind w:firstLine="640" w:firstLineChars="200"/>
        <w:rPr>
          <w:rFonts w:hint="eastAsia" w:ascii="仿宋_GB2312" w:hAnsi="仿宋_GB2312" w:eastAsia="仿宋_GB2312" w:cs="仿宋_GB2312"/>
          <w:kern w:val="0"/>
          <w:sz w:val="32"/>
          <w:szCs w:val="32"/>
          <w:lang w:val="en"/>
        </w:rPr>
      </w:pPr>
      <w:r>
        <w:rPr>
          <w:rFonts w:hint="eastAsia" w:ascii="仿宋_GB2312" w:hAnsi="仿宋" w:eastAsia="仿宋_GB2312"/>
          <w:kern w:val="0"/>
          <w:sz w:val="32"/>
          <w:szCs w:val="32"/>
        </w:rPr>
        <w:t>202</w:t>
      </w:r>
      <w:r>
        <w:rPr>
          <w:rFonts w:hint="eastAsia" w:ascii="仿宋_GB2312" w:hAnsi="仿宋" w:eastAsia="仿宋_GB2312"/>
          <w:kern w:val="0"/>
          <w:sz w:val="32"/>
          <w:szCs w:val="32"/>
          <w:lang w:val="en-US" w:eastAsia="zh-CN"/>
        </w:rPr>
        <w:t>4</w:t>
      </w:r>
      <w:r>
        <w:rPr>
          <w:rFonts w:hint="eastAsia" w:ascii="仿宋_GB2312" w:hAnsi="仿宋_GB2312" w:eastAsia="仿宋_GB2312" w:cs="仿宋_GB2312"/>
          <w:kern w:val="0"/>
          <w:sz w:val="32"/>
          <w:szCs w:val="32"/>
          <w:lang w:val="en"/>
        </w:rPr>
        <w:t>年</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val="en"/>
        </w:rPr>
        <w:t>月</w:t>
      </w:r>
      <w:r>
        <w:rPr>
          <w:rFonts w:hint="eastAsia" w:ascii="仿宋_GB2312" w:hAnsi="仿宋_GB2312" w:eastAsia="仿宋_GB2312" w:cs="仿宋_GB2312"/>
          <w:kern w:val="0"/>
          <w:sz w:val="32"/>
          <w:szCs w:val="32"/>
          <w:lang w:val="en-US" w:eastAsia="zh-CN"/>
        </w:rPr>
        <w:t>19</w:t>
      </w:r>
      <w:r>
        <w:rPr>
          <w:rFonts w:hint="eastAsia" w:ascii="仿宋_GB2312" w:hAnsi="仿宋_GB2312" w:eastAsia="仿宋_GB2312" w:cs="仿宋_GB2312"/>
          <w:kern w:val="0"/>
          <w:sz w:val="32"/>
          <w:szCs w:val="32"/>
          <w:lang w:val="en"/>
        </w:rPr>
        <w:t>日，</w:t>
      </w:r>
      <w:r>
        <w:rPr>
          <w:rFonts w:hint="eastAsia" w:ascii="仿宋_GB2312" w:eastAsia="仿宋_GB2312"/>
          <w:b w:val="0"/>
          <w:bCs/>
          <w:sz w:val="32"/>
          <w:szCs w:val="32"/>
          <w:lang w:eastAsia="zh-CN"/>
        </w:rPr>
        <w:t>天津渤海新能源科技有限公司</w:t>
      </w:r>
      <w:r>
        <w:rPr>
          <w:rFonts w:hint="eastAsia" w:ascii="仿宋_GB2312" w:eastAsia="仿宋_GB2312"/>
          <w:sz w:val="32"/>
          <w:szCs w:val="32"/>
        </w:rPr>
        <w:t>发生1起</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sz w:val="32"/>
          <w:szCs w:val="32"/>
        </w:rPr>
        <w:t>事故，造成1人死亡</w:t>
      </w:r>
      <w:r>
        <w:rPr>
          <w:rFonts w:hint="eastAsia" w:ascii="仿宋_GB2312" w:hAnsi="仿宋_GB2312" w:eastAsia="仿宋_GB2312" w:cs="仿宋_GB2312"/>
          <w:kern w:val="0"/>
          <w:sz w:val="32"/>
          <w:szCs w:val="32"/>
          <w:lang w:val="en" w:eastAsia="zh-CN"/>
        </w:rPr>
        <w:t>，直接经济损失约</w:t>
      </w:r>
      <w:r>
        <w:rPr>
          <w:rFonts w:hint="eastAsia" w:ascii="仿宋_GB2312" w:hAnsi="仿宋_GB2312" w:eastAsia="仿宋_GB2312" w:cs="仿宋_GB2312"/>
          <w:kern w:val="0"/>
          <w:sz w:val="32"/>
          <w:szCs w:val="32"/>
          <w:lang w:val="en-US" w:eastAsia="zh-CN"/>
        </w:rPr>
        <w:t>161.57</w:t>
      </w:r>
      <w:r>
        <w:rPr>
          <w:rFonts w:hint="eastAsia" w:ascii="仿宋_GB2312" w:hAnsi="仿宋_GB2312" w:eastAsia="仿宋_GB2312" w:cs="仿宋_GB2312"/>
          <w:kern w:val="0"/>
          <w:sz w:val="32"/>
          <w:szCs w:val="32"/>
          <w:lang w:val="en" w:eastAsia="zh-CN"/>
        </w:rPr>
        <w:t>万</w:t>
      </w:r>
      <w:r>
        <w:rPr>
          <w:rFonts w:hint="eastAsia" w:ascii="仿宋_GB2312" w:hAnsi="仿宋_GB2312" w:eastAsia="仿宋_GB2312" w:cs="仿宋_GB2312"/>
          <w:kern w:val="0"/>
          <w:sz w:val="32"/>
          <w:szCs w:val="32"/>
          <w:lang w:val="en-US" w:eastAsia="zh-CN"/>
        </w:rPr>
        <w:t>元</w:t>
      </w:r>
      <w:r>
        <w:rPr>
          <w:rFonts w:hint="eastAsia" w:ascii="仿宋_GB2312" w:hAnsi="仿宋_GB2312" w:eastAsia="仿宋_GB2312" w:cs="仿宋_GB2312"/>
          <w:kern w:val="0"/>
          <w:sz w:val="32"/>
          <w:szCs w:val="32"/>
          <w:lang w:val="en"/>
        </w:rPr>
        <w:t>。</w:t>
      </w:r>
    </w:p>
    <w:p w14:paraId="60E57CAC">
      <w:pPr>
        <w:widowControl/>
        <w:spacing w:line="560" w:lineRule="exact"/>
        <w:ind w:firstLine="640" w:firstLineChars="200"/>
        <w:rPr>
          <w:rFonts w:ascii="仿宋_GB2312" w:eastAsia="仿宋_GB2312"/>
          <w:kern w:val="0"/>
          <w:sz w:val="32"/>
          <w:szCs w:val="32"/>
        </w:rPr>
      </w:pPr>
      <w:r>
        <w:rPr>
          <w:rFonts w:hint="eastAsia" w:ascii="仿宋_GB2312" w:hAnsi="仿宋_GB2312" w:eastAsia="仿宋_GB2312" w:cs="仿宋_GB2312"/>
          <w:kern w:val="0"/>
          <w:sz w:val="32"/>
          <w:szCs w:val="32"/>
          <w:lang w:val="en"/>
        </w:rPr>
        <w:t>事故发生后，依据</w:t>
      </w:r>
      <w:r>
        <w:rPr>
          <w:rFonts w:hint="eastAsia" w:ascii="仿宋_GB2312" w:eastAsia="仿宋_GB2312"/>
          <w:b w:val="0"/>
          <w:bCs/>
          <w:color w:val="000000"/>
          <w:sz w:val="32"/>
          <w:szCs w:val="32"/>
        </w:rPr>
        <w:t>《中华人民共和国特种设备安全法》、《特种设备安全监察条例》、《</w:t>
      </w:r>
      <w:r>
        <w:rPr>
          <w:rFonts w:hint="eastAsia" w:ascii="仿宋_GB2312" w:eastAsia="仿宋_GB2312"/>
          <w:b w:val="0"/>
          <w:bCs/>
          <w:sz w:val="32"/>
          <w:szCs w:val="32"/>
        </w:rPr>
        <w:t>特种设备事故报告和调查处理规定》等</w:t>
      </w:r>
      <w:r>
        <w:rPr>
          <w:rFonts w:hint="eastAsia" w:ascii="仿宋_GB2312" w:eastAsia="仿宋_GB2312"/>
          <w:b w:val="0"/>
          <w:bCs/>
          <w:color w:val="auto"/>
          <w:sz w:val="32"/>
          <w:szCs w:val="32"/>
          <w:lang w:eastAsia="zh-CN"/>
        </w:rPr>
        <w:t>法律</w:t>
      </w:r>
      <w:r>
        <w:rPr>
          <w:rFonts w:hint="eastAsia" w:ascii="仿宋_GB2312" w:eastAsia="仿宋_GB2312"/>
          <w:b w:val="0"/>
          <w:bCs/>
          <w:sz w:val="32"/>
          <w:szCs w:val="32"/>
        </w:rPr>
        <w:t>法规</w:t>
      </w:r>
      <w:r>
        <w:rPr>
          <w:rFonts w:hint="eastAsia" w:ascii="仿宋_GB2312" w:hAnsi="仿宋_GB2312" w:eastAsia="仿宋_GB2312" w:cs="仿宋_GB2312"/>
          <w:kern w:val="0"/>
          <w:sz w:val="32"/>
          <w:szCs w:val="32"/>
          <w:lang w:val="en"/>
        </w:rPr>
        <w:t>，静海区人民政府成立了</w:t>
      </w:r>
      <w:r>
        <w:rPr>
          <w:rFonts w:hint="eastAsia" w:ascii="仿宋_GB2312" w:eastAsia="仿宋_GB2312"/>
          <w:b w:val="0"/>
          <w:bCs/>
          <w:sz w:val="32"/>
          <w:szCs w:val="32"/>
          <w:lang w:eastAsia="zh-CN"/>
        </w:rPr>
        <w:t>天津渤海新能源科技有限公司</w:t>
      </w:r>
      <w:r>
        <w:rPr>
          <w:rFonts w:hint="eastAsia" w:ascii="仿宋_GB2312" w:eastAsia="仿宋_GB2312"/>
          <w:sz w:val="32"/>
          <w:szCs w:val="32"/>
        </w:rPr>
        <w:t>发生1起</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sz w:val="32"/>
          <w:szCs w:val="32"/>
        </w:rPr>
        <w:t>事故</w:t>
      </w:r>
      <w:r>
        <w:rPr>
          <w:rFonts w:hint="eastAsia" w:ascii="仿宋_GB2312" w:hAnsi="仿宋_GB2312" w:eastAsia="仿宋_GB2312" w:cs="仿宋_GB2312"/>
          <w:kern w:val="0"/>
          <w:sz w:val="32"/>
          <w:szCs w:val="32"/>
          <w:lang w:val="en"/>
        </w:rPr>
        <w:t>调查组</w:t>
      </w:r>
      <w:r>
        <w:rPr>
          <w:rFonts w:hint="eastAsia" w:ascii="仿宋_GB2312" w:hAnsi="仿宋_GB2312" w:eastAsia="仿宋_GB2312" w:cs="仿宋_GB2312"/>
          <w:kern w:val="0"/>
          <w:sz w:val="32"/>
          <w:szCs w:val="32"/>
          <w:lang w:val="en" w:eastAsia="zh-CN"/>
        </w:rPr>
        <w:t>；</w:t>
      </w:r>
      <w:r>
        <w:rPr>
          <w:rFonts w:hint="eastAsia" w:ascii="仿宋_GB2312" w:eastAsia="仿宋_GB2312"/>
          <w:sz w:val="32"/>
          <w:szCs w:val="32"/>
          <w:lang w:val="en-US" w:eastAsia="zh-CN"/>
        </w:rPr>
        <w:t>2024年7</w:t>
      </w:r>
      <w:r>
        <w:rPr>
          <w:rFonts w:hint="eastAsia" w:ascii="仿宋_GB2312" w:eastAsia="仿宋_GB2312"/>
          <w:sz w:val="32"/>
          <w:szCs w:val="32"/>
        </w:rPr>
        <w:t>月</w:t>
      </w:r>
      <w:r>
        <w:rPr>
          <w:rFonts w:hint="eastAsia" w:ascii="仿宋_GB2312" w:eastAsia="仿宋_GB2312"/>
          <w:sz w:val="32"/>
          <w:szCs w:val="32"/>
          <w:lang w:val="en-US" w:eastAsia="zh-CN"/>
        </w:rPr>
        <w:t>23</w:t>
      </w:r>
      <w:r>
        <w:rPr>
          <w:rFonts w:hint="eastAsia" w:ascii="仿宋_GB2312" w:eastAsia="仿宋_GB2312"/>
          <w:sz w:val="32"/>
          <w:szCs w:val="32"/>
        </w:rPr>
        <w:t>日</w:t>
      </w:r>
      <w:r>
        <w:rPr>
          <w:rFonts w:hint="eastAsia" w:ascii="仿宋_GB2312" w:hAnsi="仿宋_GB2312" w:eastAsia="仿宋_GB2312" w:cs="仿宋_GB2312"/>
          <w:kern w:val="0"/>
          <w:sz w:val="32"/>
          <w:szCs w:val="32"/>
          <w:lang w:val="en"/>
        </w:rPr>
        <w:t>，事故调查组向静海区人民政府提交《</w:t>
      </w:r>
      <w:r>
        <w:rPr>
          <w:rFonts w:hint="eastAsia" w:ascii="仿宋_GB2312" w:eastAsia="仿宋_GB2312"/>
          <w:b w:val="0"/>
          <w:bCs/>
          <w:sz w:val="32"/>
          <w:szCs w:val="32"/>
          <w:lang w:eastAsia="zh-CN"/>
        </w:rPr>
        <w:t>天津渤海新能源科技有限公司</w:t>
      </w:r>
      <w:r>
        <w:rPr>
          <w:rFonts w:hint="eastAsia" w:ascii="仿宋_GB2312" w:eastAsia="仿宋_GB2312"/>
          <w:sz w:val="32"/>
          <w:szCs w:val="32"/>
        </w:rPr>
        <w:t>发生1起</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sz w:val="32"/>
          <w:szCs w:val="32"/>
        </w:rPr>
        <w:t>事故</w:t>
      </w:r>
      <w:r>
        <w:rPr>
          <w:rFonts w:hint="eastAsia" w:ascii="仿宋_GB2312" w:hAnsi="仿宋_GB2312" w:eastAsia="仿宋_GB2312" w:cs="仿宋_GB2312"/>
          <w:kern w:val="0"/>
          <w:sz w:val="32"/>
          <w:szCs w:val="32"/>
          <w:lang w:val="en"/>
        </w:rPr>
        <w:t>调查报告》</w:t>
      </w:r>
      <w:r>
        <w:rPr>
          <w:rFonts w:hint="eastAsia" w:ascii="仿宋_GB2312" w:hAnsi="仿宋_GB2312" w:eastAsia="仿宋_GB2312" w:cs="仿宋_GB2312"/>
          <w:kern w:val="0"/>
          <w:sz w:val="32"/>
          <w:szCs w:val="32"/>
          <w:lang w:val="en" w:eastAsia="zh-CN"/>
        </w:rPr>
        <w:t>；</w:t>
      </w:r>
      <w:r>
        <w:rPr>
          <w:rFonts w:hint="eastAsia" w:ascii="仿宋_GB2312" w:hAnsi="仿宋_GB2312" w:eastAsia="仿宋_GB2312" w:cs="仿宋_GB2312"/>
          <w:kern w:val="0"/>
          <w:sz w:val="32"/>
          <w:szCs w:val="32"/>
          <w:lang w:val="en"/>
        </w:rPr>
        <w:t>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val="en"/>
        </w:rPr>
        <w:t>年</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lang w:val="en"/>
        </w:rPr>
        <w:t>月</w:t>
      </w:r>
      <w:r>
        <w:rPr>
          <w:rFonts w:hint="eastAsia" w:ascii="仿宋_GB2312" w:hAnsi="仿宋_GB2312" w:eastAsia="仿宋_GB2312" w:cs="仿宋_GB2312"/>
          <w:kern w:val="0"/>
          <w:sz w:val="32"/>
          <w:szCs w:val="32"/>
          <w:lang w:val="en-US" w:eastAsia="zh-CN"/>
        </w:rPr>
        <w:t>31</w:t>
      </w:r>
      <w:r>
        <w:rPr>
          <w:rFonts w:hint="eastAsia" w:ascii="仿宋_GB2312" w:hAnsi="仿宋_GB2312" w:eastAsia="仿宋_GB2312" w:cs="仿宋_GB2312"/>
          <w:kern w:val="0"/>
          <w:sz w:val="32"/>
          <w:szCs w:val="32"/>
          <w:lang w:val="en"/>
        </w:rPr>
        <w:t>日</w:t>
      </w:r>
      <w:r>
        <w:rPr>
          <w:rFonts w:ascii="仿宋_GB2312" w:eastAsia="仿宋_GB2312"/>
          <w:kern w:val="0"/>
          <w:sz w:val="32"/>
          <w:szCs w:val="32"/>
        </w:rPr>
        <w:t>，静海区</w:t>
      </w:r>
      <w:r>
        <w:rPr>
          <w:rFonts w:hint="eastAsia" w:ascii="仿宋_GB2312" w:eastAsia="仿宋_GB2312"/>
          <w:kern w:val="0"/>
          <w:sz w:val="32"/>
          <w:szCs w:val="32"/>
        </w:rPr>
        <w:t>人民</w:t>
      </w:r>
      <w:r>
        <w:rPr>
          <w:rFonts w:ascii="仿宋_GB2312" w:eastAsia="仿宋_GB2312"/>
          <w:kern w:val="0"/>
          <w:sz w:val="32"/>
          <w:szCs w:val="32"/>
        </w:rPr>
        <w:t>政府批复同意</w:t>
      </w:r>
      <w:r>
        <w:rPr>
          <w:rFonts w:hint="eastAsia" w:ascii="仿宋_GB2312" w:eastAsia="仿宋_GB2312"/>
          <w:kern w:val="0"/>
          <w:sz w:val="32"/>
          <w:szCs w:val="32"/>
        </w:rPr>
        <w:t>事故调查</w:t>
      </w:r>
      <w:r>
        <w:rPr>
          <w:rFonts w:ascii="仿宋_GB2312" w:eastAsia="仿宋_GB2312"/>
          <w:kern w:val="0"/>
          <w:sz w:val="32"/>
          <w:szCs w:val="32"/>
        </w:rPr>
        <w:t>报告，事故调查结案。</w:t>
      </w:r>
    </w:p>
    <w:p w14:paraId="156F8CD5">
      <w:pPr>
        <w:widowControl/>
        <w:spacing w:line="560" w:lineRule="exact"/>
        <w:ind w:firstLine="640" w:firstLineChars="200"/>
        <w:jc w:val="left"/>
        <w:outlineLvl w:val="0"/>
        <w:rPr>
          <w:rFonts w:ascii="黑体" w:hAnsi="黑体" w:eastAsia="黑体"/>
          <w:kern w:val="0"/>
          <w:sz w:val="32"/>
          <w:szCs w:val="32"/>
        </w:rPr>
      </w:pPr>
      <w:r>
        <w:rPr>
          <w:rFonts w:hint="eastAsia" w:eastAsia="黑体"/>
          <w:color w:val="000000"/>
          <w:kern w:val="0"/>
          <w:sz w:val="32"/>
          <w:szCs w:val="32"/>
        </w:rPr>
        <w:t>四</w:t>
      </w:r>
      <w:r>
        <w:rPr>
          <w:rFonts w:eastAsia="黑体"/>
          <w:color w:val="000000"/>
          <w:kern w:val="0"/>
          <w:sz w:val="32"/>
          <w:szCs w:val="32"/>
        </w:rPr>
        <w:t>、</w:t>
      </w:r>
      <w:r>
        <w:rPr>
          <w:rFonts w:hint="eastAsia" w:eastAsia="黑体"/>
          <w:color w:val="000000"/>
          <w:kern w:val="0"/>
          <w:sz w:val="32"/>
          <w:szCs w:val="32"/>
        </w:rPr>
        <w:t>评估部署工作</w:t>
      </w:r>
    </w:p>
    <w:p w14:paraId="7632B501">
      <w:pPr>
        <w:widowControl/>
        <w:spacing w:line="560" w:lineRule="exact"/>
        <w:ind w:firstLine="640" w:firstLineChars="200"/>
        <w:rPr>
          <w:rFonts w:hint="eastAsia" w:ascii="仿宋_GB2312" w:hAnsi="仿宋_GB2312" w:eastAsia="仿宋_GB2312" w:cs="仿宋_GB2312"/>
          <w:kern w:val="0"/>
          <w:sz w:val="32"/>
          <w:szCs w:val="32"/>
          <w:lang w:val="en"/>
        </w:rPr>
      </w:pPr>
      <w:r>
        <w:rPr>
          <w:rFonts w:hint="eastAsia" w:ascii="仿宋_GB2312" w:eastAsia="仿宋_GB2312"/>
          <w:kern w:val="0"/>
          <w:sz w:val="32"/>
          <w:szCs w:val="32"/>
        </w:rPr>
        <w:t>2</w:t>
      </w:r>
      <w:r>
        <w:rPr>
          <w:rFonts w:hint="eastAsia" w:ascii="仿宋_GB2312" w:hAnsi="仿宋_GB2312" w:eastAsia="仿宋_GB2312" w:cs="仿宋_GB2312"/>
          <w:kern w:val="0"/>
          <w:sz w:val="32"/>
          <w:szCs w:val="32"/>
          <w:lang w:val="en"/>
        </w:rPr>
        <w:t>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val="en"/>
        </w:rPr>
        <w:t>年</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val="en"/>
        </w:rPr>
        <w:t>月</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lang w:val="en"/>
        </w:rPr>
        <w:t>日，召开了</w:t>
      </w:r>
      <w:r>
        <w:rPr>
          <w:rFonts w:hint="eastAsia" w:ascii="仿宋_GB2312" w:eastAsia="仿宋_GB2312"/>
          <w:b w:val="0"/>
          <w:bCs/>
          <w:sz w:val="32"/>
          <w:szCs w:val="32"/>
          <w:lang w:eastAsia="zh-CN"/>
        </w:rPr>
        <w:t>天津渤海新能源科技有限公司</w:t>
      </w:r>
      <w:r>
        <w:rPr>
          <w:rFonts w:hint="eastAsia" w:ascii="仿宋_GB2312" w:eastAsia="仿宋_GB2312"/>
          <w:sz w:val="32"/>
          <w:szCs w:val="32"/>
        </w:rPr>
        <w:t>发生1起</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sz w:val="32"/>
          <w:szCs w:val="32"/>
        </w:rPr>
        <w:t>事故</w:t>
      </w:r>
      <w:r>
        <w:rPr>
          <w:rFonts w:hint="eastAsia" w:ascii="仿宋_GB2312" w:hAnsi="仿宋_GB2312" w:eastAsia="仿宋_GB2312" w:cs="仿宋_GB2312"/>
          <w:kern w:val="0"/>
          <w:sz w:val="32"/>
          <w:szCs w:val="32"/>
          <w:lang w:val="en"/>
        </w:rPr>
        <w:t>评估组会议，制定</w:t>
      </w:r>
      <w:r>
        <w:rPr>
          <w:rFonts w:hint="eastAsia" w:ascii="仿宋_GB2312" w:hAnsi="仿宋_GB2312" w:eastAsia="仿宋_GB2312" w:cs="仿宋_GB2312"/>
          <w:kern w:val="0"/>
          <w:sz w:val="32"/>
          <w:szCs w:val="32"/>
          <w:lang w:val="en" w:eastAsia="zh-CN"/>
        </w:rPr>
        <w:t>了</w:t>
      </w:r>
      <w:r>
        <w:rPr>
          <w:rFonts w:hint="eastAsia" w:ascii="仿宋_GB2312" w:eastAsia="仿宋_GB2312"/>
          <w:b w:val="0"/>
          <w:bCs/>
          <w:sz w:val="32"/>
          <w:szCs w:val="32"/>
          <w:lang w:eastAsia="zh-CN"/>
        </w:rPr>
        <w:t>天津渤海新能源科技有限公司</w:t>
      </w:r>
      <w:r>
        <w:rPr>
          <w:rFonts w:hint="eastAsia" w:ascii="仿宋_GB2312" w:eastAsia="仿宋_GB2312"/>
          <w:sz w:val="32"/>
          <w:szCs w:val="32"/>
        </w:rPr>
        <w:t>发生1起</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sz w:val="32"/>
          <w:szCs w:val="32"/>
        </w:rPr>
        <w:t>事故</w:t>
      </w:r>
      <w:r>
        <w:rPr>
          <w:rFonts w:hint="eastAsia" w:ascii="仿宋_GB2312" w:hAnsi="仿宋_GB2312" w:eastAsia="仿宋_GB2312" w:cs="仿宋_GB2312"/>
          <w:kern w:val="0"/>
          <w:sz w:val="32"/>
          <w:szCs w:val="32"/>
          <w:lang w:val="en"/>
        </w:rPr>
        <w:t>评估</w:t>
      </w:r>
      <w:r>
        <w:rPr>
          <w:rFonts w:hint="eastAsia" w:ascii="仿宋_GB2312" w:hAnsi="仿宋_GB2312" w:eastAsia="仿宋_GB2312" w:cs="仿宋_GB2312"/>
          <w:kern w:val="0"/>
          <w:sz w:val="32"/>
          <w:szCs w:val="32"/>
          <w:lang w:val="en" w:eastAsia="zh-CN"/>
        </w:rPr>
        <w:t>方案</w:t>
      </w:r>
      <w:r>
        <w:rPr>
          <w:rFonts w:hint="eastAsia" w:ascii="仿宋_GB2312" w:hAnsi="仿宋_GB2312" w:eastAsia="仿宋_GB2312" w:cs="仿宋_GB2312"/>
          <w:kern w:val="0"/>
          <w:sz w:val="32"/>
          <w:szCs w:val="32"/>
          <w:lang w:val="en"/>
        </w:rPr>
        <w:t>。</w:t>
      </w:r>
    </w:p>
    <w:p w14:paraId="28E79DFB">
      <w:pPr>
        <w:widowControl/>
        <w:spacing w:line="560" w:lineRule="exact"/>
        <w:ind w:firstLine="640" w:firstLineChars="200"/>
        <w:rPr>
          <w:rFonts w:ascii="仿宋_GB2312" w:eastAsia="仿宋_GB2312"/>
          <w:kern w:val="0"/>
          <w:sz w:val="32"/>
          <w:szCs w:val="32"/>
        </w:rPr>
      </w:pPr>
      <w:r>
        <w:rPr>
          <w:rFonts w:hint="eastAsia" w:ascii="仿宋_GB2312" w:hAnsi="仿宋_GB2312" w:eastAsia="仿宋_GB2312" w:cs="仿宋_GB2312"/>
          <w:kern w:val="0"/>
          <w:sz w:val="32"/>
          <w:szCs w:val="32"/>
          <w:lang w:val="en"/>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val="en"/>
        </w:rPr>
        <w:t>年</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val="en"/>
        </w:rPr>
        <w:t>月</w:t>
      </w:r>
      <w:r>
        <w:rPr>
          <w:rFonts w:hint="eastAsia" w:ascii="仿宋_GB2312" w:hAnsi="仿宋_GB2312" w:eastAsia="仿宋_GB2312" w:cs="仿宋_GB2312"/>
          <w:kern w:val="0"/>
          <w:sz w:val="32"/>
          <w:szCs w:val="32"/>
          <w:lang w:val="en-US" w:eastAsia="zh-CN"/>
        </w:rPr>
        <w:t>10日</w:t>
      </w:r>
      <w:r>
        <w:rPr>
          <w:rFonts w:hint="eastAsia" w:ascii="仿宋_GB2312" w:hAnsi="仿宋_GB2312" w:eastAsia="仿宋_GB2312" w:cs="仿宋_GB2312"/>
          <w:kern w:val="0"/>
          <w:sz w:val="32"/>
          <w:szCs w:val="32"/>
          <w:lang w:val="en" w:eastAsia="zh-CN"/>
        </w:rPr>
        <w:t>至</w:t>
      </w:r>
      <w:r>
        <w:rPr>
          <w:rFonts w:hint="eastAsia" w:ascii="仿宋_GB2312" w:hAnsi="仿宋_GB2312" w:eastAsia="仿宋_GB2312" w:cs="仿宋_GB2312"/>
          <w:kern w:val="0"/>
          <w:sz w:val="32"/>
          <w:szCs w:val="32"/>
          <w:lang w:val="en-US" w:eastAsia="zh-CN"/>
        </w:rPr>
        <w:t>6月20日期间</w:t>
      </w:r>
      <w:r>
        <w:rPr>
          <w:rFonts w:hint="eastAsia" w:ascii="仿宋_GB2312" w:hAnsi="仿宋_GB2312" w:eastAsia="仿宋_GB2312" w:cs="仿宋_GB2312"/>
          <w:kern w:val="0"/>
          <w:sz w:val="32"/>
          <w:szCs w:val="32"/>
          <w:lang w:val="en"/>
        </w:rPr>
        <w:t>，事故评估组对</w:t>
      </w:r>
      <w:r>
        <w:rPr>
          <w:rFonts w:hint="eastAsia" w:ascii="仿宋_GB2312" w:eastAsia="仿宋_GB2312"/>
          <w:b w:val="0"/>
          <w:bCs/>
          <w:sz w:val="32"/>
          <w:szCs w:val="32"/>
          <w:lang w:eastAsia="zh-CN"/>
        </w:rPr>
        <w:t>天津渤海新能源科技有限公司</w:t>
      </w:r>
      <w:r>
        <w:rPr>
          <w:rFonts w:hint="eastAsia" w:ascii="仿宋_GB2312" w:eastAsia="仿宋_GB2312"/>
          <w:sz w:val="32"/>
          <w:szCs w:val="32"/>
        </w:rPr>
        <w:t>发生1起</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sz w:val="32"/>
          <w:szCs w:val="32"/>
        </w:rPr>
        <w:t>事故</w:t>
      </w:r>
      <w:r>
        <w:rPr>
          <w:rFonts w:hint="eastAsia" w:ascii="仿宋_GB2312" w:hAnsi="仿宋_GB2312" w:eastAsia="仿宋_GB2312" w:cs="仿宋_GB2312"/>
          <w:kern w:val="0"/>
          <w:sz w:val="32"/>
          <w:szCs w:val="32"/>
          <w:lang w:val="en"/>
        </w:rPr>
        <w:t>调查报告中对事故单位、</w:t>
      </w:r>
      <w:r>
        <w:rPr>
          <w:rFonts w:hint="eastAsia" w:ascii="仿宋_GB2312" w:hAnsi="仿宋_GB2312" w:eastAsia="仿宋_GB2312" w:cs="仿宋_GB2312"/>
          <w:kern w:val="0"/>
          <w:sz w:val="32"/>
          <w:szCs w:val="32"/>
          <w:lang w:val="en" w:eastAsia="zh-CN"/>
        </w:rPr>
        <w:t>相关</w:t>
      </w:r>
      <w:r>
        <w:rPr>
          <w:rFonts w:hint="eastAsia" w:ascii="仿宋_GB2312" w:hAnsi="仿宋_GB2312" w:eastAsia="仿宋_GB2312" w:cs="仿宋_GB2312"/>
          <w:kern w:val="0"/>
          <w:sz w:val="32"/>
          <w:szCs w:val="32"/>
          <w:lang w:val="en"/>
        </w:rPr>
        <w:t>人员</w:t>
      </w:r>
      <w:r>
        <w:rPr>
          <w:rFonts w:hint="eastAsia" w:ascii="仿宋_GB2312" w:hAnsi="仿宋_GB2312" w:eastAsia="仿宋_GB2312" w:cs="仿宋_GB2312"/>
          <w:kern w:val="0"/>
          <w:sz w:val="32"/>
          <w:szCs w:val="32"/>
          <w:lang w:val="en" w:eastAsia="zh-CN"/>
        </w:rPr>
        <w:t>路金泳</w:t>
      </w:r>
      <w:r>
        <w:rPr>
          <w:rFonts w:hint="eastAsia" w:ascii="仿宋_GB2312" w:eastAsia="仿宋_GB2312"/>
          <w:kern w:val="0"/>
          <w:sz w:val="32"/>
          <w:szCs w:val="32"/>
          <w:lang w:val="en" w:eastAsia="zh-CN"/>
        </w:rPr>
        <w:t>、鹿卫国</w:t>
      </w:r>
      <w:r>
        <w:rPr>
          <w:rFonts w:hint="eastAsia" w:ascii="仿宋_GB2312" w:hAnsi="仿宋_GB2312" w:eastAsia="仿宋_GB2312" w:cs="仿宋_GB2312"/>
          <w:kern w:val="0"/>
          <w:sz w:val="32"/>
          <w:szCs w:val="32"/>
          <w:lang w:val="en"/>
        </w:rPr>
        <w:t>责任追究和整改措施的</w:t>
      </w:r>
      <w:r>
        <w:rPr>
          <w:rFonts w:ascii="仿宋_GB2312" w:eastAsia="仿宋_GB2312"/>
          <w:kern w:val="0"/>
          <w:sz w:val="32"/>
          <w:szCs w:val="32"/>
        </w:rPr>
        <w:t>落实情况</w:t>
      </w:r>
      <w:r>
        <w:rPr>
          <w:rFonts w:hint="eastAsia" w:ascii="仿宋_GB2312" w:eastAsia="仿宋_GB2312"/>
          <w:kern w:val="0"/>
          <w:sz w:val="32"/>
          <w:szCs w:val="32"/>
        </w:rPr>
        <w:t>进行了</w:t>
      </w:r>
      <w:r>
        <w:rPr>
          <w:rFonts w:hint="eastAsia" w:ascii="仿宋_GB2312" w:eastAsia="仿宋_GB2312"/>
          <w:kern w:val="0"/>
          <w:sz w:val="32"/>
          <w:szCs w:val="32"/>
          <w:lang w:eastAsia="zh-CN"/>
        </w:rPr>
        <w:t>查阅</w:t>
      </w:r>
      <w:r>
        <w:rPr>
          <w:rFonts w:hint="eastAsia" w:ascii="仿宋_GB2312" w:eastAsia="仿宋_GB2312"/>
          <w:kern w:val="0"/>
          <w:sz w:val="32"/>
          <w:szCs w:val="32"/>
        </w:rPr>
        <w:t>和评估</w:t>
      </w:r>
      <w:r>
        <w:rPr>
          <w:rFonts w:ascii="仿宋_GB2312" w:eastAsia="仿宋_GB2312"/>
          <w:kern w:val="0"/>
          <w:sz w:val="32"/>
          <w:szCs w:val="32"/>
        </w:rPr>
        <w:t>。</w:t>
      </w:r>
    </w:p>
    <w:p w14:paraId="6C3406DF">
      <w:pPr>
        <w:widowControl/>
        <w:spacing w:line="560" w:lineRule="exact"/>
        <w:ind w:firstLine="640" w:firstLineChars="200"/>
        <w:outlineLvl w:val="0"/>
        <w:rPr>
          <w:rFonts w:ascii="黑体" w:hAnsi="黑体" w:eastAsia="黑体"/>
          <w:kern w:val="0"/>
          <w:sz w:val="32"/>
          <w:szCs w:val="32"/>
        </w:rPr>
      </w:pPr>
      <w:r>
        <w:rPr>
          <w:rFonts w:hint="eastAsia" w:ascii="黑体" w:hAnsi="黑体" w:eastAsia="黑体"/>
          <w:kern w:val="0"/>
          <w:sz w:val="32"/>
          <w:szCs w:val="32"/>
        </w:rPr>
        <w:t>五</w:t>
      </w:r>
      <w:r>
        <w:rPr>
          <w:rFonts w:ascii="黑体" w:hAnsi="黑体" w:eastAsia="黑体"/>
          <w:kern w:val="0"/>
          <w:sz w:val="32"/>
          <w:szCs w:val="32"/>
        </w:rPr>
        <w:t>、</w:t>
      </w:r>
      <w:r>
        <w:rPr>
          <w:rFonts w:hint="eastAsia" w:ascii="黑体" w:hAnsi="黑体" w:eastAsia="黑体"/>
          <w:kern w:val="0"/>
          <w:sz w:val="32"/>
          <w:szCs w:val="32"/>
        </w:rPr>
        <w:t>事故责任</w:t>
      </w:r>
      <w:r>
        <w:rPr>
          <w:rFonts w:hint="eastAsia" w:ascii="黑体" w:hAnsi="黑体" w:eastAsia="黑体"/>
          <w:kern w:val="0"/>
          <w:sz w:val="32"/>
          <w:szCs w:val="32"/>
          <w:lang w:eastAsia="zh-CN"/>
        </w:rPr>
        <w:t>单位及人员</w:t>
      </w:r>
      <w:r>
        <w:rPr>
          <w:rFonts w:hint="eastAsia" w:ascii="黑体" w:hAnsi="黑体" w:eastAsia="黑体"/>
          <w:kern w:val="0"/>
          <w:sz w:val="32"/>
          <w:szCs w:val="32"/>
        </w:rPr>
        <w:t>责任追究落实情况</w:t>
      </w:r>
    </w:p>
    <w:p w14:paraId="01FA59FC">
      <w:pPr>
        <w:spacing w:line="560" w:lineRule="exact"/>
        <w:ind w:firstLine="640" w:firstLineChars="200"/>
        <w:rPr>
          <w:rFonts w:ascii="仿宋_GB2312" w:eastAsia="仿宋_GB2312"/>
          <w:sz w:val="32"/>
          <w:szCs w:val="32"/>
        </w:rPr>
      </w:pPr>
      <w:r>
        <w:rPr>
          <w:rFonts w:ascii="仿宋_GB2312" w:eastAsia="仿宋_GB2312"/>
          <w:sz w:val="32"/>
          <w:szCs w:val="32"/>
        </w:rPr>
        <w:t>区</w:t>
      </w:r>
      <w:r>
        <w:rPr>
          <w:rFonts w:hint="eastAsia" w:ascii="仿宋_GB2312" w:eastAsia="仿宋_GB2312"/>
          <w:sz w:val="32"/>
          <w:szCs w:val="32"/>
          <w:lang w:eastAsia="zh-CN"/>
        </w:rPr>
        <w:t>市场监管</w:t>
      </w:r>
      <w:r>
        <w:rPr>
          <w:rFonts w:ascii="仿宋_GB2312" w:eastAsia="仿宋_GB2312"/>
          <w:sz w:val="32"/>
          <w:szCs w:val="32"/>
        </w:rPr>
        <w:t>局按照事故调查报告及批复要求，于202</w:t>
      </w:r>
      <w:r>
        <w:rPr>
          <w:rFonts w:hint="eastAsia" w:ascii="仿宋_GB2312" w:eastAsia="仿宋_GB2312"/>
          <w:sz w:val="32"/>
          <w:szCs w:val="32"/>
          <w:lang w:val="en-US" w:eastAsia="zh-CN"/>
        </w:rPr>
        <w:t>1</w:t>
      </w:r>
      <w:r>
        <w:rPr>
          <w:rFonts w:ascii="仿宋_GB2312" w:eastAsia="仿宋_GB2312"/>
          <w:sz w:val="32"/>
          <w:szCs w:val="32"/>
        </w:rPr>
        <w:t>年</w:t>
      </w:r>
      <w:r>
        <w:rPr>
          <w:rFonts w:hint="eastAsia" w:ascii="仿宋_GB2312" w:eastAsia="仿宋_GB2312"/>
          <w:sz w:val="32"/>
          <w:szCs w:val="32"/>
          <w:lang w:val="en-US" w:eastAsia="zh-CN"/>
        </w:rPr>
        <w:t>6</w:t>
      </w:r>
      <w:r>
        <w:rPr>
          <w:rFonts w:ascii="仿宋_GB2312" w:eastAsia="仿宋_GB2312"/>
          <w:sz w:val="32"/>
          <w:szCs w:val="32"/>
        </w:rPr>
        <w:t>月</w:t>
      </w:r>
      <w:r>
        <w:rPr>
          <w:rFonts w:hint="eastAsia" w:ascii="仿宋_GB2312" w:eastAsia="仿宋_GB2312"/>
          <w:sz w:val="32"/>
          <w:szCs w:val="32"/>
          <w:lang w:val="en-US" w:eastAsia="zh-CN"/>
        </w:rPr>
        <w:t>8</w:t>
      </w:r>
      <w:r>
        <w:rPr>
          <w:rFonts w:ascii="仿宋_GB2312" w:eastAsia="仿宋_GB2312"/>
          <w:sz w:val="32"/>
          <w:szCs w:val="32"/>
        </w:rPr>
        <w:t>日分别向</w:t>
      </w:r>
      <w:r>
        <w:rPr>
          <w:rFonts w:hint="eastAsia" w:ascii="仿宋_GB2312" w:eastAsia="仿宋_GB2312"/>
          <w:b w:val="0"/>
          <w:bCs/>
          <w:sz w:val="32"/>
          <w:szCs w:val="32"/>
          <w:lang w:eastAsia="zh-CN"/>
        </w:rPr>
        <w:t>天津渤海新能源科技有限公司</w:t>
      </w:r>
      <w:r>
        <w:rPr>
          <w:rFonts w:ascii="仿宋_GB2312" w:eastAsia="仿宋_GB2312"/>
          <w:sz w:val="32"/>
          <w:szCs w:val="32"/>
        </w:rPr>
        <w:t>及</w:t>
      </w:r>
      <w:r>
        <w:rPr>
          <w:rFonts w:hint="eastAsia" w:ascii="仿宋_GB2312" w:eastAsia="仿宋_GB2312"/>
          <w:sz w:val="32"/>
          <w:szCs w:val="32"/>
          <w:lang w:eastAsia="zh-CN"/>
        </w:rPr>
        <w:t>相关负责人</w:t>
      </w:r>
      <w:r>
        <w:rPr>
          <w:rFonts w:ascii="仿宋_GB2312" w:eastAsia="仿宋_GB2312"/>
          <w:sz w:val="32"/>
          <w:szCs w:val="32"/>
        </w:rPr>
        <w:t>下达了</w:t>
      </w:r>
      <w:r>
        <w:rPr>
          <w:rFonts w:hint="eastAsia" w:ascii="仿宋_GB2312" w:eastAsia="仿宋_GB2312"/>
          <w:sz w:val="32"/>
          <w:szCs w:val="32"/>
        </w:rPr>
        <w:t>《行政处罚决定书》（</w:t>
      </w:r>
      <w:r>
        <w:rPr>
          <w:rFonts w:hint="eastAsia" w:ascii="仿宋_GB2312"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9525" t="9525" r="19685" b="14605"/>
                <wp:wrapNone/>
                <wp:docPr id="3" name="直接箭头连接符 3"/>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14omtoAAAALAQAADwAAAAAAAAABACAAAAAiAAAA&#10;ZHJzL2Rvd25yZXYueG1sUEsBAhQAFAAAAAgAh07iQBOLo+AFAgAA/AMAAA4AAAAAAAAAAQAgAAAA&#10;KQEAAGRycy9lMm9Eb2MueG1sUEsFBgAAAAAGAAYAWQEAAKAFAAAAAA==&#10;">
                <v:fill on="f" focussize="0,0"/>
                <v:stroke weight="1.5pt" color="#000000" joinstyle="round" endcap="square"/>
                <v:imagedata o:title=""/>
                <o:lock v:ext="edit" aspectratio="f"/>
              </v:shape>
            </w:pict>
          </mc:Fallback>
        </mc:AlternateContent>
      </w:r>
      <w:r>
        <w:rPr>
          <w:rFonts w:hint="eastAsia" w:ascii="仿宋_GB2312" w:eastAsia="仿宋_GB2312"/>
          <w:sz w:val="32"/>
          <w:szCs w:val="32"/>
        </w:rPr>
        <w:t>津市监静</w:t>
      </w:r>
      <w:r>
        <w:rPr>
          <w:rFonts w:hint="eastAsia" w:ascii="仿宋_GB2312" w:eastAsia="仿宋_GB2312"/>
          <w:sz w:val="32"/>
          <w:szCs w:val="32"/>
          <w:lang w:eastAsia="zh-CN"/>
        </w:rPr>
        <w:t>特处</w:t>
      </w:r>
      <w:r>
        <w:rPr>
          <w:rFonts w:hint="eastAsia" w:ascii="仿宋_GB2312" w:eastAsia="仿宋_GB2312"/>
          <w:sz w:val="32"/>
          <w:szCs w:val="32"/>
        </w:rPr>
        <w:t>罚〔202</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8</w:t>
      </w:r>
      <w:r>
        <w:rPr>
          <w:rFonts w:hint="eastAsia" w:ascii="仿宋_GB2312" w:eastAsia="仿宋_GB2312"/>
          <w:sz w:val="32"/>
          <w:szCs w:val="32"/>
        </w:rPr>
        <w:t>号）</w:t>
      </w:r>
      <w:r>
        <w:rPr>
          <w:rFonts w:ascii="仿宋_GB2312" w:eastAsia="仿宋_GB2312"/>
          <w:sz w:val="32"/>
          <w:szCs w:val="32"/>
        </w:rPr>
        <w:t>、</w:t>
      </w:r>
      <w:r>
        <w:rPr>
          <w:rFonts w:hint="eastAsia" w:ascii="仿宋_GB2312" w:eastAsia="仿宋_GB2312"/>
          <w:sz w:val="32"/>
          <w:szCs w:val="32"/>
        </w:rPr>
        <w:t>《行政处罚决定书》（</w:t>
      </w:r>
      <w:r>
        <w:rPr>
          <w:rFonts w:hint="eastAsia" w:ascii="仿宋_GB2312"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177800</wp:posOffset>
                </wp:positionH>
                <wp:positionV relativeFrom="paragraph">
                  <wp:posOffset>20955000</wp:posOffset>
                </wp:positionV>
                <wp:extent cx="5761990" cy="1270"/>
                <wp:effectExtent l="9525" t="9525" r="19685" b="14605"/>
                <wp:wrapNone/>
                <wp:docPr id="1" name="直接箭头连接符 1"/>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4pt;margin-top:1650pt;height:0.1pt;width:453.7pt;z-index:251660288;mso-width-relative:page;mso-height-relative:page;" filled="f" stroked="t" coordsize="21600,21600" o:gfxdata="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2V3G9sAAAAMAQAADwAAAAAAAAABACAAAAAiAAAA&#10;ZHJzL2Rvd25yZXYueG1sUEsBAhQAFAAAAAgAh07iQOYyUdwEAgAA/AMAAA4AAAAAAAAAAQAgAAAA&#10;KgEAAGRycy9lMm9Eb2MueG1sUEsFBgAAAAAGAAYAWQEAAKAFAAAAAA==&#10;">
                <v:fill on="f" focussize="0,0"/>
                <v:stroke weight="1.5pt" color="#000000" joinstyle="round" endcap="square"/>
                <v:imagedata o:title=""/>
                <o:lock v:ext="edit" aspectratio="f"/>
              </v:shape>
            </w:pict>
          </mc:Fallback>
        </mc:AlternateContent>
      </w:r>
      <w:r>
        <w:rPr>
          <w:rFonts w:hint="eastAsia" w:ascii="仿宋_GB2312" w:eastAsia="仿宋_GB2312"/>
          <w:sz w:val="32"/>
          <w:szCs w:val="32"/>
        </w:rPr>
        <w:t>津市监静</w:t>
      </w:r>
      <w:r>
        <w:rPr>
          <w:rFonts w:hint="eastAsia" w:ascii="仿宋_GB2312" w:eastAsia="仿宋_GB2312"/>
          <w:sz w:val="32"/>
          <w:szCs w:val="32"/>
          <w:lang w:eastAsia="zh-CN"/>
        </w:rPr>
        <w:t>特处</w:t>
      </w:r>
      <w:r>
        <w:rPr>
          <w:rFonts w:hint="eastAsia" w:ascii="仿宋_GB2312" w:eastAsia="仿宋_GB2312"/>
          <w:sz w:val="32"/>
          <w:szCs w:val="32"/>
        </w:rPr>
        <w:t>罚〔202</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8-1</w:t>
      </w:r>
      <w:r>
        <w:rPr>
          <w:rFonts w:hint="eastAsia" w:ascii="仿宋_GB2312" w:eastAsia="仿宋_GB2312"/>
          <w:sz w:val="32"/>
          <w:szCs w:val="32"/>
        </w:rPr>
        <w:t>号）</w:t>
      </w:r>
      <w:r>
        <w:rPr>
          <w:rFonts w:hint="eastAsia" w:ascii="仿宋_GB2312" w:eastAsia="仿宋_GB2312"/>
          <w:sz w:val="32"/>
          <w:szCs w:val="32"/>
          <w:lang w:eastAsia="zh-CN"/>
        </w:rPr>
        <w:t>、</w:t>
      </w:r>
      <w:r>
        <w:rPr>
          <w:rFonts w:hint="eastAsia" w:ascii="仿宋_GB2312" w:eastAsia="仿宋_GB2312"/>
          <w:sz w:val="32"/>
          <w:szCs w:val="32"/>
        </w:rPr>
        <w:t>《行政处罚决定书》（</w:t>
      </w:r>
      <w:r>
        <w:rPr>
          <w:rFonts w:hint="eastAsia" w:ascii="仿宋_GB2312" w:eastAsia="仿宋_GB2312"/>
          <w:sz w:val="32"/>
          <w:szCs w:val="32"/>
        </w:rPr>
        <mc:AlternateContent>
          <mc:Choice Requires="wps">
            <w:drawing>
              <wp:anchor distT="0" distB="0" distL="114300" distR="114300" simplePos="0" relativeHeight="251661312" behindDoc="0" locked="0" layoutInCell="1" allowOverlap="1">
                <wp:simplePos x="0" y="0"/>
                <wp:positionH relativeFrom="column">
                  <wp:posOffset>330200</wp:posOffset>
                </wp:positionH>
                <wp:positionV relativeFrom="paragraph">
                  <wp:posOffset>21107400</wp:posOffset>
                </wp:positionV>
                <wp:extent cx="5761990" cy="1270"/>
                <wp:effectExtent l="9525" t="9525" r="19685" b="14605"/>
                <wp:wrapNone/>
                <wp:docPr id="4" name="直接箭头连接符 4"/>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6pt;margin-top:1662pt;height:0.1pt;width:453.7pt;z-index:251661312;mso-width-relative:page;mso-height-relative:page;" filled="f" stroked="t" coordsize="21600,21600" o:gfxdata="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4RBXTbAAAADAEAAA8AAAAAAAAAAQAgAAAAIgAA&#10;AGRycy9kb3ducmV2LnhtbFBLAQIUABQAAAAIAIdO4kDWnnVWBQIAAPwDAAAOAAAAAAAAAAEAIAAA&#10;ACoBAABkcnMvZTJvRG9jLnhtbFBLBQYAAAAABgAGAFkBAAChBQAAAAA=&#10;">
                <v:fill on="f" focussize="0,0"/>
                <v:stroke weight="1.5pt" color="#000000" joinstyle="round" endcap="square"/>
                <v:imagedata o:title=""/>
                <o:lock v:ext="edit" aspectratio="f"/>
              </v:shape>
            </w:pict>
          </mc:Fallback>
        </mc:AlternateContent>
      </w:r>
      <w:r>
        <w:rPr>
          <w:rFonts w:hint="eastAsia" w:ascii="仿宋_GB2312" w:eastAsia="仿宋_GB2312"/>
          <w:sz w:val="32"/>
          <w:szCs w:val="32"/>
        </w:rPr>
        <w:t>津市监静</w:t>
      </w:r>
      <w:r>
        <w:rPr>
          <w:rFonts w:hint="eastAsia" w:ascii="仿宋_GB2312" w:eastAsia="仿宋_GB2312"/>
          <w:sz w:val="32"/>
          <w:szCs w:val="32"/>
          <w:lang w:eastAsia="zh-CN"/>
        </w:rPr>
        <w:t>特处</w:t>
      </w:r>
      <w:r>
        <w:rPr>
          <w:rFonts w:hint="eastAsia" w:ascii="仿宋_GB2312" w:eastAsia="仿宋_GB2312"/>
          <w:sz w:val="32"/>
          <w:szCs w:val="32"/>
        </w:rPr>
        <w:t>罚〔202</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8-2</w:t>
      </w:r>
      <w:r>
        <w:rPr>
          <w:rFonts w:hint="eastAsia" w:ascii="仿宋_GB2312" w:eastAsia="仿宋_GB2312"/>
          <w:sz w:val="32"/>
          <w:szCs w:val="32"/>
        </w:rPr>
        <w:t>号）。</w:t>
      </w:r>
      <w:r>
        <w:rPr>
          <w:rFonts w:hint="eastAsia" w:ascii="仿宋_GB2312" w:eastAsia="仿宋_GB2312"/>
          <w:sz w:val="32"/>
          <w:szCs w:val="32"/>
          <w:lang w:eastAsia="zh-CN"/>
        </w:rPr>
        <w:t>截至</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22</w:t>
      </w:r>
      <w:r>
        <w:rPr>
          <w:rFonts w:hint="eastAsia" w:ascii="仿宋_GB2312" w:eastAsia="仿宋_GB2312"/>
          <w:sz w:val="32"/>
          <w:szCs w:val="32"/>
        </w:rPr>
        <w:t>日</w:t>
      </w:r>
      <w:r>
        <w:rPr>
          <w:rFonts w:ascii="仿宋_GB2312" w:eastAsia="仿宋_GB2312"/>
          <w:sz w:val="32"/>
          <w:szCs w:val="32"/>
        </w:rPr>
        <w:t>，</w:t>
      </w:r>
      <w:r>
        <w:rPr>
          <w:rFonts w:hint="eastAsia" w:ascii="仿宋_GB2312" w:eastAsia="仿宋_GB2312"/>
          <w:b w:val="0"/>
          <w:bCs/>
          <w:sz w:val="32"/>
          <w:szCs w:val="32"/>
          <w:lang w:eastAsia="zh-CN"/>
        </w:rPr>
        <w:t>天津渤海新能源科技有限公司</w:t>
      </w:r>
      <w:r>
        <w:rPr>
          <w:rFonts w:ascii="仿宋_GB2312" w:eastAsia="仿宋_GB2312"/>
          <w:sz w:val="32"/>
          <w:szCs w:val="32"/>
        </w:rPr>
        <w:t>及其</w:t>
      </w:r>
      <w:r>
        <w:rPr>
          <w:rFonts w:hint="eastAsia" w:ascii="仿宋_GB2312" w:eastAsia="仿宋_GB2312"/>
          <w:sz w:val="32"/>
          <w:szCs w:val="32"/>
          <w:lang w:eastAsia="zh-CN"/>
        </w:rPr>
        <w:t>责任人员</w:t>
      </w:r>
      <w:r>
        <w:rPr>
          <w:rFonts w:hint="eastAsia" w:ascii="仿宋_GB2312" w:hAnsi="仿宋_GB2312" w:eastAsia="仿宋_GB2312" w:cs="仿宋_GB2312"/>
          <w:kern w:val="0"/>
          <w:sz w:val="32"/>
          <w:szCs w:val="32"/>
          <w:lang w:val="en" w:eastAsia="zh-CN"/>
        </w:rPr>
        <w:t>路金泳</w:t>
      </w:r>
      <w:r>
        <w:rPr>
          <w:rFonts w:hint="eastAsia" w:ascii="仿宋_GB2312" w:eastAsia="仿宋_GB2312"/>
          <w:kern w:val="0"/>
          <w:sz w:val="32"/>
          <w:szCs w:val="32"/>
          <w:lang w:val="en" w:eastAsia="zh-CN"/>
        </w:rPr>
        <w:t>、鹿卫国</w:t>
      </w:r>
      <w:r>
        <w:rPr>
          <w:rFonts w:ascii="仿宋_GB2312" w:eastAsia="仿宋_GB2312"/>
          <w:sz w:val="32"/>
          <w:szCs w:val="32"/>
        </w:rPr>
        <w:t>已</w:t>
      </w:r>
      <w:r>
        <w:rPr>
          <w:rFonts w:hint="eastAsia" w:ascii="仿宋_GB2312" w:eastAsia="仿宋_GB2312"/>
          <w:sz w:val="32"/>
          <w:szCs w:val="32"/>
        </w:rPr>
        <w:t>足额</w:t>
      </w:r>
      <w:r>
        <w:rPr>
          <w:rFonts w:ascii="仿宋_GB2312" w:eastAsia="仿宋_GB2312"/>
          <w:sz w:val="32"/>
          <w:szCs w:val="32"/>
        </w:rPr>
        <w:t>缴纳罚款。</w:t>
      </w:r>
    </w:p>
    <w:p w14:paraId="1855562D">
      <w:pPr>
        <w:spacing w:line="560" w:lineRule="exact"/>
        <w:ind w:firstLine="640" w:firstLineChars="200"/>
        <w:rPr>
          <w:rFonts w:hint="eastAsia" w:ascii="仿宋_GB2312" w:eastAsia="仿宋_GB2312"/>
          <w:kern w:val="0"/>
          <w:sz w:val="32"/>
          <w:szCs w:val="32"/>
          <w:lang w:eastAsia="zh-CN"/>
        </w:rPr>
      </w:pPr>
      <w:r>
        <w:rPr>
          <w:rFonts w:hint="eastAsia" w:ascii="仿宋_GB2312" w:eastAsia="仿宋_GB2312"/>
          <w:sz w:val="32"/>
          <w:szCs w:val="32"/>
        </w:rPr>
        <w:t>评估结论：该起事故的责任单位</w:t>
      </w:r>
      <w:r>
        <w:rPr>
          <w:rFonts w:hint="eastAsia" w:ascii="仿宋_GB2312" w:eastAsia="仿宋_GB2312"/>
          <w:b w:val="0"/>
          <w:bCs/>
          <w:sz w:val="32"/>
          <w:szCs w:val="32"/>
          <w:lang w:eastAsia="zh-CN"/>
        </w:rPr>
        <w:t>天津渤海新能源科技有限公司</w:t>
      </w:r>
      <w:r>
        <w:rPr>
          <w:rFonts w:hint="eastAsia" w:ascii="仿宋_GB2312" w:eastAsia="仿宋_GB2312"/>
          <w:kern w:val="0"/>
          <w:sz w:val="32"/>
          <w:szCs w:val="32"/>
          <w:lang w:val="en" w:eastAsia="zh-CN"/>
        </w:rPr>
        <w:t>，事故中的责任人员</w:t>
      </w:r>
      <w:r>
        <w:rPr>
          <w:rFonts w:hint="eastAsia" w:ascii="仿宋_GB2312" w:hAnsi="仿宋_GB2312" w:eastAsia="仿宋_GB2312" w:cs="仿宋_GB2312"/>
          <w:kern w:val="0"/>
          <w:sz w:val="32"/>
          <w:szCs w:val="32"/>
          <w:lang w:val="en" w:eastAsia="zh-CN"/>
        </w:rPr>
        <w:t>路金泳</w:t>
      </w:r>
      <w:r>
        <w:rPr>
          <w:rFonts w:hint="eastAsia" w:ascii="仿宋_GB2312" w:eastAsia="仿宋_GB2312"/>
          <w:kern w:val="0"/>
          <w:sz w:val="32"/>
          <w:szCs w:val="32"/>
          <w:lang w:val="en" w:eastAsia="zh-CN"/>
        </w:rPr>
        <w:t>、鹿卫国</w:t>
      </w:r>
      <w:r>
        <w:rPr>
          <w:rFonts w:hint="default" w:ascii="仿宋_GB2312" w:eastAsia="仿宋_GB2312"/>
          <w:kern w:val="0"/>
          <w:sz w:val="32"/>
          <w:szCs w:val="32"/>
          <w:lang w:val="en"/>
        </w:rPr>
        <w:t>均已缴纳了事故罚款，落实了事故调查报告中对其进行的事故责任追究</w:t>
      </w:r>
      <w:r>
        <w:rPr>
          <w:rFonts w:hint="eastAsia" w:ascii="仿宋_GB2312" w:eastAsia="仿宋_GB2312"/>
          <w:kern w:val="0"/>
          <w:sz w:val="32"/>
          <w:szCs w:val="32"/>
          <w:lang w:val="en" w:eastAsia="zh-CN"/>
        </w:rPr>
        <w:t>。</w:t>
      </w:r>
    </w:p>
    <w:p w14:paraId="688223E4">
      <w:pPr>
        <w:widowControl/>
        <w:spacing w:line="560" w:lineRule="exact"/>
        <w:ind w:firstLine="640" w:firstLineChars="200"/>
        <w:outlineLvl w:val="0"/>
        <w:rPr>
          <w:rFonts w:hint="eastAsia" w:ascii="黑体" w:hAnsi="黑体" w:eastAsia="黑体"/>
          <w:kern w:val="0"/>
          <w:sz w:val="32"/>
          <w:szCs w:val="32"/>
        </w:rPr>
      </w:pPr>
      <w:r>
        <w:rPr>
          <w:rFonts w:hint="eastAsia" w:ascii="黑体" w:hAnsi="黑体" w:eastAsia="黑体"/>
          <w:kern w:val="0"/>
          <w:sz w:val="32"/>
          <w:szCs w:val="32"/>
          <w:lang w:eastAsia="zh-CN"/>
        </w:rPr>
        <w:t>六、</w:t>
      </w:r>
      <w:r>
        <w:rPr>
          <w:rFonts w:hint="eastAsia" w:ascii="黑体" w:hAnsi="黑体" w:eastAsia="黑体"/>
          <w:kern w:val="0"/>
          <w:sz w:val="32"/>
          <w:szCs w:val="32"/>
        </w:rPr>
        <w:t>事故防范和整改措施落实情况</w:t>
      </w:r>
    </w:p>
    <w:p w14:paraId="1D84CC9F">
      <w:pPr>
        <w:tabs>
          <w:tab w:val="left" w:pos="2445"/>
        </w:tabs>
        <w:spacing w:line="560" w:lineRule="exact"/>
        <w:ind w:firstLine="640" w:firstLineChars="200"/>
        <w:jc w:val="both"/>
        <w:rPr>
          <w:rFonts w:hint="eastAsia" w:ascii="仿宋_GB2312" w:eastAsia="仿宋_GB2312"/>
          <w:kern w:val="0"/>
          <w:sz w:val="32"/>
          <w:szCs w:val="32"/>
          <w:lang w:eastAsia="zh-CN"/>
        </w:rPr>
      </w:pPr>
      <w:r>
        <w:rPr>
          <w:rFonts w:ascii="仿宋_GB2312" w:eastAsia="仿宋_GB2312"/>
          <w:kern w:val="0"/>
          <w:sz w:val="32"/>
          <w:szCs w:val="32"/>
        </w:rPr>
        <w:t>事故调查报告中对</w:t>
      </w:r>
      <w:r>
        <w:rPr>
          <w:rFonts w:hint="eastAsia" w:ascii="仿宋_GB2312" w:eastAsia="仿宋_GB2312"/>
          <w:b w:val="0"/>
          <w:bCs/>
          <w:sz w:val="32"/>
          <w:szCs w:val="32"/>
          <w:lang w:eastAsia="zh-CN"/>
        </w:rPr>
        <w:t>天津渤海新能源科技有限公司</w:t>
      </w:r>
      <w:r>
        <w:rPr>
          <w:rFonts w:ascii="仿宋_GB2312" w:eastAsia="仿宋_GB2312"/>
          <w:kern w:val="0"/>
          <w:sz w:val="32"/>
          <w:szCs w:val="32"/>
        </w:rPr>
        <w:t>的整改措施</w:t>
      </w:r>
      <w:r>
        <w:rPr>
          <w:rFonts w:hint="eastAsia" w:ascii="仿宋_GB2312" w:eastAsia="仿宋_GB2312"/>
          <w:kern w:val="0"/>
          <w:sz w:val="32"/>
          <w:szCs w:val="32"/>
          <w:lang w:eastAsia="zh-CN"/>
        </w:rPr>
        <w:t>建议：</w:t>
      </w:r>
    </w:p>
    <w:p w14:paraId="5AD87477">
      <w:pPr>
        <w:spacing w:line="560" w:lineRule="exact"/>
        <w:ind w:firstLine="640" w:firstLineChars="200"/>
        <w:jc w:val="left"/>
        <w:rPr>
          <w:rFonts w:hint="eastAsia" w:ascii="仿宋_GB2312" w:eastAsia="仿宋_GB2312"/>
          <w:b w:val="0"/>
          <w:bCs/>
          <w:sz w:val="32"/>
          <w:szCs w:val="32"/>
          <w:lang w:eastAsia="zh-CN"/>
        </w:rPr>
      </w:pPr>
      <w:r>
        <w:rPr>
          <w:rFonts w:hint="eastAsia" w:ascii="仿宋_GB2312" w:eastAsia="仿宋_GB2312"/>
          <w:b w:val="0"/>
          <w:bCs/>
          <w:sz w:val="32"/>
          <w:szCs w:val="32"/>
        </w:rPr>
        <w:t>（一）</w:t>
      </w:r>
      <w:r>
        <w:rPr>
          <w:rFonts w:hint="eastAsia" w:ascii="仿宋_GB2312" w:eastAsia="仿宋_GB2312"/>
          <w:b w:val="0"/>
          <w:bCs/>
          <w:sz w:val="32"/>
          <w:szCs w:val="32"/>
          <w:lang w:eastAsia="zh-CN"/>
        </w:rPr>
        <w:t>特种设备作业人员必须严格按照要求作业。</w:t>
      </w:r>
      <w:r>
        <w:rPr>
          <w:rFonts w:hint="eastAsia" w:ascii="仿宋_GB2312" w:eastAsia="仿宋_GB2312"/>
          <w:b w:val="0"/>
          <w:bCs/>
          <w:sz w:val="32"/>
          <w:szCs w:val="32"/>
        </w:rPr>
        <w:t>进一步落实安全生产主体责任，完善安全管理工作，各岗位员工严格按照相关技术规范及管理制度的要求做好厂内专用机动车辆的日常管理和使用工作</w:t>
      </w:r>
      <w:r>
        <w:rPr>
          <w:rFonts w:hint="eastAsia" w:ascii="仿宋_GB2312" w:eastAsia="仿宋_GB2312"/>
          <w:b w:val="0"/>
          <w:bCs/>
          <w:sz w:val="32"/>
          <w:szCs w:val="32"/>
          <w:lang w:eastAsia="zh-CN"/>
        </w:rPr>
        <w:t>。</w:t>
      </w:r>
    </w:p>
    <w:p w14:paraId="3D36848A">
      <w:pPr>
        <w:spacing w:line="560" w:lineRule="exact"/>
        <w:ind w:firstLine="640" w:firstLineChars="200"/>
        <w:jc w:val="left"/>
        <w:rPr>
          <w:rFonts w:hint="eastAsia" w:ascii="仿宋_GB2312" w:eastAsia="仿宋_GB2312"/>
          <w:b w:val="0"/>
          <w:bCs/>
          <w:sz w:val="32"/>
          <w:szCs w:val="32"/>
          <w:lang w:eastAsia="zh-CN"/>
        </w:rPr>
      </w:pPr>
      <w:r>
        <w:rPr>
          <w:rFonts w:hint="eastAsia" w:ascii="仿宋_GB2312" w:eastAsia="仿宋_GB2312"/>
          <w:b w:val="0"/>
          <w:bCs/>
          <w:sz w:val="32"/>
          <w:szCs w:val="32"/>
        </w:rPr>
        <w:t>（二）</w:t>
      </w:r>
      <w:r>
        <w:rPr>
          <w:rFonts w:hint="eastAsia" w:ascii="仿宋_GB2312" w:eastAsia="仿宋_GB2312"/>
          <w:b w:val="0"/>
          <w:bCs/>
          <w:sz w:val="32"/>
          <w:szCs w:val="32"/>
          <w:lang w:eastAsia="zh-CN"/>
        </w:rPr>
        <w:t>企业进一步加强对从业人员的安全培训力度。不断提高特种设备作业人员的安全意识和安全技能，提高全员自我保护、相互保护意识，作业时佩戴防护用具，杜绝违章作业坚决遏制事故发生。</w:t>
      </w:r>
    </w:p>
    <w:p w14:paraId="496AD3DD">
      <w:pPr>
        <w:spacing w:line="560" w:lineRule="exact"/>
        <w:ind w:firstLine="640" w:firstLineChars="200"/>
        <w:jc w:val="left"/>
        <w:rPr>
          <w:rFonts w:hint="eastAsia" w:ascii="仿宋_GB2312" w:eastAsia="仿宋_GB2312"/>
          <w:b w:val="0"/>
          <w:bCs/>
          <w:sz w:val="32"/>
          <w:szCs w:val="32"/>
          <w:lang w:eastAsia="zh-CN"/>
        </w:rPr>
      </w:pPr>
      <w:r>
        <w:rPr>
          <w:rFonts w:hint="eastAsia" w:ascii="仿宋_GB2312" w:eastAsia="仿宋_GB2312"/>
          <w:b w:val="0"/>
          <w:bCs/>
          <w:sz w:val="32"/>
          <w:szCs w:val="32"/>
          <w:lang w:eastAsia="zh-CN"/>
        </w:rPr>
        <w:t>（三）建立健全安全生产事故报告制度。在安全生产事故发生时,负责人须立即将事故情况向市场监督管理部门和有关部门报告。</w:t>
      </w:r>
    </w:p>
    <w:p w14:paraId="23AEF241">
      <w:pPr>
        <w:spacing w:line="560" w:lineRule="exact"/>
        <w:ind w:firstLine="640" w:firstLineChars="200"/>
        <w:jc w:val="left"/>
        <w:rPr>
          <w:rFonts w:hint="eastAsia" w:ascii="仿宋_GB2312" w:eastAsia="仿宋_GB2312"/>
          <w:b w:val="0"/>
          <w:bCs/>
          <w:sz w:val="32"/>
          <w:szCs w:val="32"/>
          <w:lang w:eastAsia="zh-CN"/>
        </w:rPr>
      </w:pPr>
      <w:r>
        <w:rPr>
          <w:rFonts w:hint="eastAsia" w:ascii="仿宋_GB2312" w:eastAsia="仿宋_GB2312"/>
          <w:b w:val="0"/>
          <w:bCs/>
          <w:sz w:val="32"/>
          <w:szCs w:val="32"/>
          <w:lang w:eastAsia="zh-CN"/>
        </w:rPr>
        <w:t>天津渤海新能源科技有限公司</w:t>
      </w:r>
      <w:r>
        <w:rPr>
          <w:rFonts w:hint="eastAsia" w:ascii="仿宋_GB2312" w:eastAsia="仿宋_GB2312"/>
          <w:kern w:val="0"/>
          <w:sz w:val="32"/>
          <w:szCs w:val="32"/>
          <w:lang w:val="en" w:eastAsia="zh-CN"/>
        </w:rPr>
        <w:t>深刻吸取事故教训。一是召开公司会议，</w:t>
      </w:r>
      <w:r>
        <w:rPr>
          <w:rFonts w:hint="eastAsia" w:ascii="仿宋_GB2312" w:eastAsia="仿宋_GB2312"/>
          <w:b w:val="0"/>
          <w:bCs/>
          <w:sz w:val="32"/>
          <w:szCs w:val="32"/>
        </w:rPr>
        <w:t>进一步落实安全生产主体责任，完善安全管理工作，</w:t>
      </w:r>
      <w:r>
        <w:rPr>
          <w:rFonts w:hint="eastAsia" w:ascii="仿宋_GB2312" w:eastAsia="仿宋_GB2312"/>
          <w:b w:val="0"/>
          <w:bCs/>
          <w:sz w:val="32"/>
          <w:szCs w:val="32"/>
          <w:lang w:eastAsia="zh-CN"/>
        </w:rPr>
        <w:t>督促公司内部</w:t>
      </w:r>
      <w:r>
        <w:rPr>
          <w:rFonts w:hint="eastAsia" w:ascii="仿宋_GB2312" w:eastAsia="仿宋_GB2312"/>
          <w:b w:val="0"/>
          <w:bCs/>
          <w:sz w:val="32"/>
          <w:szCs w:val="32"/>
        </w:rPr>
        <w:t>各岗位员工严格按照相关技术规范及管理制度的要求做好厂内专用机动车辆的日常管理和使用工作，做好厂内专用机动车辆的日常检查及维护保养。</w:t>
      </w:r>
      <w:r>
        <w:rPr>
          <w:rFonts w:hint="eastAsia" w:ascii="仿宋_GB2312" w:eastAsia="仿宋_GB2312"/>
          <w:b w:val="0"/>
          <w:bCs/>
          <w:sz w:val="32"/>
          <w:szCs w:val="32"/>
          <w:lang w:eastAsia="zh-CN"/>
        </w:rPr>
        <w:t>公司内部不定期开展抽查，及时发现并消除安全隐患。二是企业加大特种设备作业人员培训力度，定期开展安全培训，提高特种设备作业人员的安全意识和安全技能，开展特种设备事故应急演练，讲解设备注意事项、安全操作规程以及应急救援常识，提高操作人员自我保护、相互保护意识，杜绝违章作业，坚决遏制事故发生。</w:t>
      </w:r>
    </w:p>
    <w:p w14:paraId="5F59D15A">
      <w:pPr>
        <w:spacing w:line="560" w:lineRule="exact"/>
        <w:jc w:val="left"/>
        <w:rPr>
          <w:rFonts w:hint="eastAsia" w:ascii="仿宋_GB2312" w:eastAsia="仿宋_GB2312"/>
          <w:b w:val="0"/>
          <w:bCs/>
          <w:sz w:val="32"/>
          <w:szCs w:val="32"/>
          <w:lang w:eastAsia="zh-CN"/>
        </w:rPr>
      </w:pPr>
      <w:r>
        <w:rPr>
          <w:rFonts w:hint="eastAsia" w:ascii="仿宋_GB2312" w:eastAsia="仿宋_GB2312"/>
          <w:b w:val="0"/>
          <w:bCs/>
          <w:sz w:val="32"/>
          <w:szCs w:val="32"/>
          <w:lang w:eastAsia="zh-CN"/>
        </w:rPr>
        <w:t>三是建立健全安全生产事故报告制度。在安全生产事故发生时,立即将事故情况向市场监督管理部门和有关部门报告。</w:t>
      </w:r>
    </w:p>
    <w:p w14:paraId="3A53F19F">
      <w:pPr>
        <w:spacing w:line="560" w:lineRule="exact"/>
        <w:ind w:firstLine="640" w:firstLineChars="200"/>
        <w:jc w:val="left"/>
        <w:rPr>
          <w:rFonts w:hint="eastAsia" w:ascii="仿宋_GB2312" w:eastAsia="仿宋_GB2312"/>
          <w:kern w:val="0"/>
          <w:sz w:val="32"/>
          <w:szCs w:val="32"/>
        </w:rPr>
      </w:pPr>
      <w:r>
        <w:rPr>
          <w:rFonts w:hint="eastAsia" w:ascii="仿宋_GB2312" w:eastAsia="仿宋_GB2312"/>
          <w:kern w:val="0"/>
          <w:sz w:val="32"/>
          <w:szCs w:val="32"/>
        </w:rPr>
        <w:t>综上</w:t>
      </w:r>
      <w:r>
        <w:rPr>
          <w:rFonts w:hint="eastAsia" w:ascii="仿宋_GB2312" w:eastAsia="仿宋_GB2312"/>
          <w:kern w:val="0"/>
          <w:sz w:val="32"/>
          <w:szCs w:val="32"/>
          <w:lang w:eastAsia="zh-CN"/>
        </w:rPr>
        <w:t>所述</w:t>
      </w:r>
      <w:r>
        <w:rPr>
          <w:rFonts w:hint="eastAsia" w:ascii="仿宋_GB2312" w:eastAsia="仿宋_GB2312"/>
          <w:kern w:val="0"/>
          <w:sz w:val="32"/>
          <w:szCs w:val="32"/>
        </w:rPr>
        <w:t>，</w:t>
      </w:r>
      <w:r>
        <w:rPr>
          <w:rFonts w:hint="eastAsia" w:ascii="仿宋_GB2312" w:eastAsia="仿宋_GB2312"/>
          <w:kern w:val="0"/>
          <w:sz w:val="32"/>
          <w:szCs w:val="32"/>
          <w:lang w:eastAsia="zh-CN"/>
        </w:rPr>
        <w:t>《</w:t>
      </w:r>
      <w:r>
        <w:rPr>
          <w:rFonts w:hint="eastAsia" w:ascii="仿宋_GB2312" w:eastAsia="仿宋_GB2312"/>
          <w:sz w:val="32"/>
          <w:szCs w:val="32"/>
        </w:rPr>
        <w:t>天津渤海新能源科技有限公司“2024·3·19”</w:t>
      </w:r>
      <w:r>
        <w:rPr>
          <w:rFonts w:hint="eastAsia" w:ascii="仿宋_GB2312" w:eastAsia="仿宋_GB2312"/>
          <w:b w:val="0"/>
          <w:bCs/>
          <w:sz w:val="32"/>
          <w:szCs w:val="32"/>
        </w:rPr>
        <w:t>厂内专用机动车辆</w:t>
      </w:r>
      <w:r>
        <w:rPr>
          <w:rFonts w:hint="eastAsia" w:ascii="仿宋_GB2312" w:eastAsia="仿宋_GB2312"/>
          <w:b w:val="0"/>
          <w:bCs/>
          <w:sz w:val="32"/>
          <w:szCs w:val="32"/>
          <w:lang w:eastAsia="zh-CN"/>
        </w:rPr>
        <w:t>相关</w:t>
      </w:r>
      <w:r>
        <w:rPr>
          <w:rFonts w:hint="eastAsia" w:ascii="仿宋_GB2312" w:eastAsia="仿宋_GB2312"/>
          <w:b w:val="0"/>
          <w:bCs/>
          <w:sz w:val="32"/>
          <w:szCs w:val="32"/>
        </w:rPr>
        <w:t>事故</w:t>
      </w:r>
      <w:r>
        <w:rPr>
          <w:rFonts w:hint="eastAsia" w:ascii="仿宋_GB2312" w:eastAsia="仿宋_GB2312"/>
          <w:kern w:val="0"/>
          <w:sz w:val="32"/>
          <w:szCs w:val="32"/>
          <w:lang w:eastAsia="zh-CN"/>
        </w:rPr>
        <w:t>调查报告</w:t>
      </w:r>
      <w:r>
        <w:rPr>
          <w:rFonts w:hint="eastAsia" w:ascii="仿宋_GB2312" w:hAnsi="仿宋_GB2312" w:eastAsia="仿宋_GB2312" w:cs="仿宋_GB2312"/>
          <w:kern w:val="0"/>
          <w:sz w:val="32"/>
          <w:szCs w:val="32"/>
          <w:lang w:val="en" w:eastAsia="zh-CN"/>
        </w:rPr>
        <w:t>》中提及的</w:t>
      </w:r>
      <w:r>
        <w:rPr>
          <w:rFonts w:hint="eastAsia" w:ascii="仿宋_GB2312" w:eastAsia="仿宋_GB2312"/>
          <w:sz w:val="32"/>
          <w:szCs w:val="32"/>
        </w:rPr>
        <w:t>天津渤海新能源科技有限公司</w:t>
      </w:r>
      <w:r>
        <w:rPr>
          <w:rFonts w:hint="eastAsia" w:ascii="仿宋_GB2312" w:eastAsia="仿宋_GB2312"/>
          <w:kern w:val="0"/>
          <w:sz w:val="32"/>
          <w:szCs w:val="32"/>
          <w:lang w:eastAsia="zh-CN"/>
        </w:rPr>
        <w:t>的</w:t>
      </w:r>
      <w:r>
        <w:rPr>
          <w:rFonts w:hint="eastAsia" w:ascii="仿宋_GB2312" w:eastAsia="仿宋_GB2312"/>
          <w:kern w:val="0"/>
          <w:sz w:val="32"/>
          <w:szCs w:val="32"/>
        </w:rPr>
        <w:t>事故防范和整改措施</w:t>
      </w:r>
      <w:r>
        <w:rPr>
          <w:rFonts w:hint="eastAsia" w:ascii="仿宋_GB2312" w:eastAsia="仿宋_GB2312"/>
          <w:kern w:val="0"/>
          <w:sz w:val="32"/>
          <w:szCs w:val="32"/>
          <w:lang w:eastAsia="zh-CN"/>
        </w:rPr>
        <w:t>建议均</w:t>
      </w:r>
      <w:r>
        <w:rPr>
          <w:rFonts w:hint="eastAsia" w:ascii="仿宋_GB2312" w:eastAsia="仿宋_GB2312"/>
          <w:kern w:val="0"/>
          <w:sz w:val="32"/>
          <w:szCs w:val="32"/>
        </w:rPr>
        <w:t>已得到落实。</w:t>
      </w:r>
    </w:p>
    <w:p w14:paraId="159A1A3C">
      <w:pPr>
        <w:pStyle w:val="17"/>
        <w:rPr>
          <w:rFonts w:hint="eastAsia" w:ascii="仿宋_GB2312" w:eastAsia="仿宋_GB2312"/>
          <w:kern w:val="0"/>
          <w:sz w:val="32"/>
          <w:szCs w:val="32"/>
        </w:rPr>
      </w:pPr>
    </w:p>
    <w:p w14:paraId="1A798505">
      <w:pPr>
        <w:pStyle w:val="17"/>
      </w:pPr>
    </w:p>
    <w:sectPr>
      <w:footerReference r:id="rId3" w:type="default"/>
      <w:pgSz w:w="11906" w:h="16838"/>
      <w:pgMar w:top="1701" w:right="1588" w:bottom="1418" w:left="1588"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6D3D8">
    <w:pPr>
      <w:pStyle w:val="9"/>
      <w:jc w:val="center"/>
    </w:pPr>
    <w:r>
      <w:fldChar w:fldCharType="begin"/>
    </w:r>
    <w:r>
      <w:instrText xml:space="preserve"> PAGE   \* MERGEFORMAT </w:instrText>
    </w:r>
    <w:r>
      <w:fldChar w:fldCharType="separate"/>
    </w:r>
    <w:r>
      <w:rPr>
        <w:lang w:val="zh-CN"/>
      </w:rPr>
      <w:t>1</w:t>
    </w:r>
    <w:r>
      <w:rPr>
        <w:lang w:val="zh-CN"/>
      </w:rPr>
      <w:fldChar w:fldCharType="end"/>
    </w:r>
  </w:p>
  <w:p w14:paraId="3F39267C">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E07666"/>
    <w:multiLevelType w:val="multilevel"/>
    <w:tmpl w:val="75E07666"/>
    <w:lvl w:ilvl="0" w:tentative="0">
      <w:start w:val="1"/>
      <w:numFmt w:val="decimal"/>
      <w:pStyle w:val="26"/>
      <w:lvlText w:val="%1"/>
      <w:lvlJc w:val="left"/>
      <w:pPr>
        <w:ind w:left="0" w:firstLine="0"/>
      </w:pPr>
      <w:rPr>
        <w:rFonts w:hint="default" w:ascii="Times New Roman" w:hAnsi="Times New Roman" w:eastAsia="黑体"/>
        <w:b w:val="0"/>
        <w:i w:val="0"/>
        <w:sz w:val="24"/>
      </w:rPr>
    </w:lvl>
    <w:lvl w:ilvl="1" w:tentative="0">
      <w:start w:val="1"/>
      <w:numFmt w:val="decimal"/>
      <w:lvlText w:val="%1.%2"/>
      <w:lvlJc w:val="left"/>
      <w:pPr>
        <w:ind w:left="0" w:firstLine="0"/>
      </w:pPr>
      <w:rPr>
        <w:rFonts w:hint="default" w:ascii="Times New Roman" w:hAnsi="Times New Roman" w:eastAsia="黑体"/>
        <w:b w:val="0"/>
        <w:i w:val="0"/>
        <w:sz w:val="24"/>
      </w:rPr>
    </w:lvl>
    <w:lvl w:ilvl="2" w:tentative="0">
      <w:start w:val="1"/>
      <w:numFmt w:val="decimal"/>
      <w:lvlText w:val="%1.%2.%3"/>
      <w:lvlJc w:val="left"/>
      <w:pPr>
        <w:ind w:left="0" w:firstLine="0"/>
      </w:pPr>
      <w:rPr>
        <w:rFonts w:hint="default" w:ascii="Times New Roman" w:hAnsi="Times New Roman" w:eastAsia="黑体"/>
        <w:b w:val="0"/>
        <w:i w:val="0"/>
        <w:sz w:val="24"/>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2NjQyMzE5MmU4NmMzYmViNGI0ZGVlNmZiMGRiNjcifQ=="/>
  </w:docVars>
  <w:rsids>
    <w:rsidRoot w:val="005300A9"/>
    <w:rsid w:val="00013654"/>
    <w:rsid w:val="000279F0"/>
    <w:rsid w:val="00060B42"/>
    <w:rsid w:val="00065914"/>
    <w:rsid w:val="00071002"/>
    <w:rsid w:val="00093C99"/>
    <w:rsid w:val="0009795A"/>
    <w:rsid w:val="000C25EF"/>
    <w:rsid w:val="000D3575"/>
    <w:rsid w:val="00102C8F"/>
    <w:rsid w:val="001046F8"/>
    <w:rsid w:val="00111334"/>
    <w:rsid w:val="00134AE6"/>
    <w:rsid w:val="00184869"/>
    <w:rsid w:val="001A1219"/>
    <w:rsid w:val="001B26A9"/>
    <w:rsid w:val="001B2C0B"/>
    <w:rsid w:val="001C43F7"/>
    <w:rsid w:val="001D04E5"/>
    <w:rsid w:val="001E3B44"/>
    <w:rsid w:val="001E7B41"/>
    <w:rsid w:val="001F738A"/>
    <w:rsid w:val="002010C9"/>
    <w:rsid w:val="00210FAC"/>
    <w:rsid w:val="0021702B"/>
    <w:rsid w:val="00221C27"/>
    <w:rsid w:val="00221E23"/>
    <w:rsid w:val="0023168F"/>
    <w:rsid w:val="00237536"/>
    <w:rsid w:val="00237DDC"/>
    <w:rsid w:val="0026304A"/>
    <w:rsid w:val="002771F3"/>
    <w:rsid w:val="00277274"/>
    <w:rsid w:val="002815B2"/>
    <w:rsid w:val="002901A1"/>
    <w:rsid w:val="002A4E26"/>
    <w:rsid w:val="002C3ED7"/>
    <w:rsid w:val="002C430E"/>
    <w:rsid w:val="002C6CFC"/>
    <w:rsid w:val="002E7E79"/>
    <w:rsid w:val="002F2E60"/>
    <w:rsid w:val="00315B2C"/>
    <w:rsid w:val="003278FC"/>
    <w:rsid w:val="00330C80"/>
    <w:rsid w:val="0034137C"/>
    <w:rsid w:val="003560AB"/>
    <w:rsid w:val="003671AC"/>
    <w:rsid w:val="00381FCA"/>
    <w:rsid w:val="00382B3F"/>
    <w:rsid w:val="003C6AC2"/>
    <w:rsid w:val="003D4927"/>
    <w:rsid w:val="003F2765"/>
    <w:rsid w:val="00406D26"/>
    <w:rsid w:val="004453BE"/>
    <w:rsid w:val="004626A4"/>
    <w:rsid w:val="00463A9E"/>
    <w:rsid w:val="0047562E"/>
    <w:rsid w:val="004805AB"/>
    <w:rsid w:val="00485364"/>
    <w:rsid w:val="004924F7"/>
    <w:rsid w:val="0049492A"/>
    <w:rsid w:val="004B74B2"/>
    <w:rsid w:val="004C727A"/>
    <w:rsid w:val="004C7B08"/>
    <w:rsid w:val="004D6B80"/>
    <w:rsid w:val="005040B2"/>
    <w:rsid w:val="00516624"/>
    <w:rsid w:val="00520987"/>
    <w:rsid w:val="00520FA9"/>
    <w:rsid w:val="00521157"/>
    <w:rsid w:val="005300A9"/>
    <w:rsid w:val="00530879"/>
    <w:rsid w:val="00540076"/>
    <w:rsid w:val="00564C30"/>
    <w:rsid w:val="0058139F"/>
    <w:rsid w:val="005A24BB"/>
    <w:rsid w:val="005C2B5B"/>
    <w:rsid w:val="005C40F6"/>
    <w:rsid w:val="005D6AB5"/>
    <w:rsid w:val="005D7F7D"/>
    <w:rsid w:val="005F70A7"/>
    <w:rsid w:val="006037C4"/>
    <w:rsid w:val="0061099D"/>
    <w:rsid w:val="0064644C"/>
    <w:rsid w:val="00647FC8"/>
    <w:rsid w:val="00651E51"/>
    <w:rsid w:val="0065398A"/>
    <w:rsid w:val="00666587"/>
    <w:rsid w:val="006754DA"/>
    <w:rsid w:val="00680C90"/>
    <w:rsid w:val="00685842"/>
    <w:rsid w:val="006B1089"/>
    <w:rsid w:val="006B5942"/>
    <w:rsid w:val="006E6B74"/>
    <w:rsid w:val="006F2700"/>
    <w:rsid w:val="006F7FDC"/>
    <w:rsid w:val="007141CF"/>
    <w:rsid w:val="00752180"/>
    <w:rsid w:val="0076633F"/>
    <w:rsid w:val="00790E98"/>
    <w:rsid w:val="00791ACE"/>
    <w:rsid w:val="007A3AD3"/>
    <w:rsid w:val="007A560D"/>
    <w:rsid w:val="007A73D5"/>
    <w:rsid w:val="007B45A2"/>
    <w:rsid w:val="007E774C"/>
    <w:rsid w:val="007F48E1"/>
    <w:rsid w:val="007F4FB8"/>
    <w:rsid w:val="00826E94"/>
    <w:rsid w:val="00830C43"/>
    <w:rsid w:val="00841B06"/>
    <w:rsid w:val="00853806"/>
    <w:rsid w:val="00855795"/>
    <w:rsid w:val="00855AE9"/>
    <w:rsid w:val="00866D1A"/>
    <w:rsid w:val="00873C35"/>
    <w:rsid w:val="00886643"/>
    <w:rsid w:val="00890117"/>
    <w:rsid w:val="008A731A"/>
    <w:rsid w:val="008C31F4"/>
    <w:rsid w:val="008D639D"/>
    <w:rsid w:val="00914627"/>
    <w:rsid w:val="00942269"/>
    <w:rsid w:val="0094795A"/>
    <w:rsid w:val="00966657"/>
    <w:rsid w:val="009856C9"/>
    <w:rsid w:val="00987DD8"/>
    <w:rsid w:val="009F0243"/>
    <w:rsid w:val="009F648C"/>
    <w:rsid w:val="00A019DE"/>
    <w:rsid w:val="00A10683"/>
    <w:rsid w:val="00A133D1"/>
    <w:rsid w:val="00A3477B"/>
    <w:rsid w:val="00A46099"/>
    <w:rsid w:val="00A47F59"/>
    <w:rsid w:val="00A77ACC"/>
    <w:rsid w:val="00A84F9A"/>
    <w:rsid w:val="00AC508B"/>
    <w:rsid w:val="00AE1BD1"/>
    <w:rsid w:val="00B02831"/>
    <w:rsid w:val="00B06835"/>
    <w:rsid w:val="00B13C03"/>
    <w:rsid w:val="00B22EC9"/>
    <w:rsid w:val="00B26500"/>
    <w:rsid w:val="00B273C9"/>
    <w:rsid w:val="00B27500"/>
    <w:rsid w:val="00B36F0D"/>
    <w:rsid w:val="00B419C6"/>
    <w:rsid w:val="00B7508E"/>
    <w:rsid w:val="00B935C3"/>
    <w:rsid w:val="00B941A5"/>
    <w:rsid w:val="00BE074A"/>
    <w:rsid w:val="00C031AA"/>
    <w:rsid w:val="00C115B2"/>
    <w:rsid w:val="00C223B7"/>
    <w:rsid w:val="00C327C3"/>
    <w:rsid w:val="00C42560"/>
    <w:rsid w:val="00C5038A"/>
    <w:rsid w:val="00C95482"/>
    <w:rsid w:val="00CB09A7"/>
    <w:rsid w:val="00CF4D89"/>
    <w:rsid w:val="00CF5E69"/>
    <w:rsid w:val="00D20EBF"/>
    <w:rsid w:val="00D369C5"/>
    <w:rsid w:val="00D4553A"/>
    <w:rsid w:val="00D7164E"/>
    <w:rsid w:val="00D71DC3"/>
    <w:rsid w:val="00D866CF"/>
    <w:rsid w:val="00DA26CB"/>
    <w:rsid w:val="00DF0A6F"/>
    <w:rsid w:val="00E17E38"/>
    <w:rsid w:val="00E41758"/>
    <w:rsid w:val="00E518CD"/>
    <w:rsid w:val="00E7739C"/>
    <w:rsid w:val="00E84DBA"/>
    <w:rsid w:val="00E91174"/>
    <w:rsid w:val="00EB282E"/>
    <w:rsid w:val="00EC04B4"/>
    <w:rsid w:val="00ED1A50"/>
    <w:rsid w:val="00ED4FA9"/>
    <w:rsid w:val="00ED643A"/>
    <w:rsid w:val="00EF57CE"/>
    <w:rsid w:val="00F00D48"/>
    <w:rsid w:val="00F00E96"/>
    <w:rsid w:val="00F02925"/>
    <w:rsid w:val="00F2230A"/>
    <w:rsid w:val="00F41FCD"/>
    <w:rsid w:val="00F43968"/>
    <w:rsid w:val="00F47434"/>
    <w:rsid w:val="00F5073D"/>
    <w:rsid w:val="00F55D74"/>
    <w:rsid w:val="00F5623E"/>
    <w:rsid w:val="00F577F1"/>
    <w:rsid w:val="00F60647"/>
    <w:rsid w:val="00F852AE"/>
    <w:rsid w:val="00F935C2"/>
    <w:rsid w:val="00FA70DA"/>
    <w:rsid w:val="00FC162C"/>
    <w:rsid w:val="00FC6489"/>
    <w:rsid w:val="00FD5947"/>
    <w:rsid w:val="00FE6488"/>
    <w:rsid w:val="00FE7814"/>
    <w:rsid w:val="04FC088E"/>
    <w:rsid w:val="05595CE0"/>
    <w:rsid w:val="05740424"/>
    <w:rsid w:val="05853D5A"/>
    <w:rsid w:val="0C4D3C66"/>
    <w:rsid w:val="0DCD315E"/>
    <w:rsid w:val="0E0013EF"/>
    <w:rsid w:val="0FB3501C"/>
    <w:rsid w:val="107240FA"/>
    <w:rsid w:val="12C329EB"/>
    <w:rsid w:val="13094E01"/>
    <w:rsid w:val="13151ACD"/>
    <w:rsid w:val="137A336B"/>
    <w:rsid w:val="143C7C7F"/>
    <w:rsid w:val="145B17C5"/>
    <w:rsid w:val="15607F37"/>
    <w:rsid w:val="16302145"/>
    <w:rsid w:val="174F484D"/>
    <w:rsid w:val="17F02750"/>
    <w:rsid w:val="18D21E96"/>
    <w:rsid w:val="19B00850"/>
    <w:rsid w:val="1AA438B2"/>
    <w:rsid w:val="1D3F35B6"/>
    <w:rsid w:val="1F037238"/>
    <w:rsid w:val="218C669E"/>
    <w:rsid w:val="27027B2E"/>
    <w:rsid w:val="28034162"/>
    <w:rsid w:val="2829733C"/>
    <w:rsid w:val="2964062C"/>
    <w:rsid w:val="2B4B16F8"/>
    <w:rsid w:val="2D530DAC"/>
    <w:rsid w:val="2F1523C9"/>
    <w:rsid w:val="2F546A4D"/>
    <w:rsid w:val="2FD162F0"/>
    <w:rsid w:val="30DB6FA5"/>
    <w:rsid w:val="30ED51F6"/>
    <w:rsid w:val="31275587"/>
    <w:rsid w:val="319C6747"/>
    <w:rsid w:val="31D93AF9"/>
    <w:rsid w:val="32A87C19"/>
    <w:rsid w:val="3489363D"/>
    <w:rsid w:val="36483084"/>
    <w:rsid w:val="371177BA"/>
    <w:rsid w:val="38470BF3"/>
    <w:rsid w:val="3C063EAE"/>
    <w:rsid w:val="400473E2"/>
    <w:rsid w:val="41764F49"/>
    <w:rsid w:val="429D6505"/>
    <w:rsid w:val="42E83C24"/>
    <w:rsid w:val="45603F46"/>
    <w:rsid w:val="49711CFF"/>
    <w:rsid w:val="4BF93EA4"/>
    <w:rsid w:val="4C453E95"/>
    <w:rsid w:val="5012113E"/>
    <w:rsid w:val="51270FFE"/>
    <w:rsid w:val="530F0D59"/>
    <w:rsid w:val="53AD3873"/>
    <w:rsid w:val="56951605"/>
    <w:rsid w:val="57B91294"/>
    <w:rsid w:val="58DF2F7C"/>
    <w:rsid w:val="5AD45BE6"/>
    <w:rsid w:val="5B161655"/>
    <w:rsid w:val="5D953B1E"/>
    <w:rsid w:val="5DFB9733"/>
    <w:rsid w:val="5E6811DC"/>
    <w:rsid w:val="60734D1A"/>
    <w:rsid w:val="607C4B00"/>
    <w:rsid w:val="60C5764A"/>
    <w:rsid w:val="62613B60"/>
    <w:rsid w:val="632717A7"/>
    <w:rsid w:val="63453ABC"/>
    <w:rsid w:val="6384309D"/>
    <w:rsid w:val="63F87D22"/>
    <w:rsid w:val="64480AEA"/>
    <w:rsid w:val="64721148"/>
    <w:rsid w:val="67CC6DC1"/>
    <w:rsid w:val="694330B3"/>
    <w:rsid w:val="69FE1BA8"/>
    <w:rsid w:val="6B4E646B"/>
    <w:rsid w:val="6C2B5969"/>
    <w:rsid w:val="6CFF9F82"/>
    <w:rsid w:val="6E5534E6"/>
    <w:rsid w:val="70C572F7"/>
    <w:rsid w:val="729A312E"/>
    <w:rsid w:val="73010267"/>
    <w:rsid w:val="75AD38A2"/>
    <w:rsid w:val="75B55338"/>
    <w:rsid w:val="77261499"/>
    <w:rsid w:val="77AB254F"/>
    <w:rsid w:val="77FFD7D8"/>
    <w:rsid w:val="78B67B8F"/>
    <w:rsid w:val="78D83818"/>
    <w:rsid w:val="78E37167"/>
    <w:rsid w:val="79785774"/>
    <w:rsid w:val="79983356"/>
    <w:rsid w:val="7A223F59"/>
    <w:rsid w:val="7CC64647"/>
    <w:rsid w:val="7FBE245C"/>
    <w:rsid w:val="BFB8493F"/>
    <w:rsid w:val="BFF7EDE2"/>
    <w:rsid w:val="DEFB591F"/>
    <w:rsid w:val="F6BD1512"/>
    <w:rsid w:val="F6FBAEFB"/>
    <w:rsid w:val="FFFC4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keepNext/>
      <w:spacing w:before="240" w:after="60"/>
      <w:outlineLvl w:val="3"/>
    </w:pPr>
    <w:rPr>
      <w:rFonts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rPr>
      <w:rFonts w:asciiTheme="minorHAnsi" w:hAnsiTheme="minorHAnsi" w:eastAsiaTheme="minorEastAsia" w:cstheme="minorBidi"/>
      <w:szCs w:val="22"/>
    </w:rPr>
  </w:style>
  <w:style w:type="paragraph" w:styleId="5">
    <w:name w:val="Body Text"/>
    <w:basedOn w:val="1"/>
    <w:link w:val="25"/>
    <w:semiHidden/>
    <w:unhideWhenUsed/>
    <w:qFormat/>
    <w:uiPriority w:val="99"/>
    <w:pPr>
      <w:spacing w:after="120"/>
    </w:pPr>
  </w:style>
  <w:style w:type="paragraph" w:styleId="6">
    <w:name w:val="Body Text Indent"/>
    <w:basedOn w:val="1"/>
    <w:link w:val="23"/>
    <w:semiHidden/>
    <w:unhideWhenUsed/>
    <w:qFormat/>
    <w:uiPriority w:val="99"/>
    <w:pPr>
      <w:spacing w:after="120"/>
      <w:ind w:left="420" w:leftChars="200"/>
    </w:pPr>
  </w:style>
  <w:style w:type="paragraph" w:styleId="7">
    <w:name w:val="Date"/>
    <w:basedOn w:val="1"/>
    <w:next w:val="1"/>
    <w:link w:val="21"/>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next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spacing w:beforeAutospacing="1" w:afterAutospacing="1"/>
      <w:jc w:val="left"/>
    </w:pPr>
    <w:rPr>
      <w:rFonts w:ascii="Calibri" w:hAnsi="Calibri"/>
      <w:kern w:val="0"/>
      <w:sz w:val="24"/>
    </w:rPr>
  </w:style>
  <w:style w:type="paragraph" w:styleId="12">
    <w:name w:val="Body Text First Indent 2"/>
    <w:basedOn w:val="6"/>
    <w:next w:val="7"/>
    <w:link w:val="24"/>
    <w:unhideWhenUsed/>
    <w:qFormat/>
    <w:uiPriority w:val="99"/>
    <w:pPr>
      <w:ind w:firstLine="420" w:firstLineChars="200"/>
    </w:pPr>
    <w:rPr>
      <w:szCs w:val="21"/>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qFormat/>
    <w:uiPriority w:val="99"/>
    <w:rPr>
      <w:color w:val="0000FF"/>
      <w:u w:val="none"/>
    </w:rPr>
  </w:style>
  <w:style w:type="paragraph" w:customStyle="1" w:styleId="17">
    <w:name w:val="Default"/>
    <w:basedOn w:val="1"/>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eastAsia" w:ascii="宋体" w:hAnsi="Times New Roman" w:eastAsia="宋体" w:cs="宋体"/>
      <w:color w:val="000000"/>
      <w:kern w:val="0"/>
      <w:sz w:val="24"/>
      <w:szCs w:val="24"/>
      <w:lang w:val="en-US" w:eastAsia="zh-CN" w:bidi="ar"/>
    </w:rPr>
  </w:style>
  <w:style w:type="character" w:customStyle="1" w:styleId="18">
    <w:name w:val="页眉 Char"/>
    <w:basedOn w:val="15"/>
    <w:link w:val="10"/>
    <w:semiHidden/>
    <w:qFormat/>
    <w:uiPriority w:val="99"/>
    <w:rPr>
      <w:kern w:val="2"/>
      <w:sz w:val="18"/>
      <w:szCs w:val="18"/>
    </w:rPr>
  </w:style>
  <w:style w:type="character" w:customStyle="1" w:styleId="19">
    <w:name w:val="页脚 Char"/>
    <w:basedOn w:val="15"/>
    <w:link w:val="9"/>
    <w:qFormat/>
    <w:uiPriority w:val="99"/>
    <w:rPr>
      <w:kern w:val="2"/>
      <w:sz w:val="18"/>
      <w:szCs w:val="18"/>
    </w:rPr>
  </w:style>
  <w:style w:type="character" w:customStyle="1" w:styleId="20">
    <w:name w:val="批注框文本 Char"/>
    <w:basedOn w:val="15"/>
    <w:link w:val="8"/>
    <w:semiHidden/>
    <w:qFormat/>
    <w:uiPriority w:val="99"/>
    <w:rPr>
      <w:kern w:val="2"/>
      <w:sz w:val="18"/>
      <w:szCs w:val="18"/>
    </w:rPr>
  </w:style>
  <w:style w:type="character" w:customStyle="1" w:styleId="21">
    <w:name w:val="日期 Char"/>
    <w:basedOn w:val="15"/>
    <w:link w:val="7"/>
    <w:semiHidden/>
    <w:qFormat/>
    <w:uiPriority w:val="99"/>
    <w:rPr>
      <w:kern w:val="2"/>
      <w:sz w:val="21"/>
      <w:szCs w:val="24"/>
    </w:rPr>
  </w:style>
  <w:style w:type="paragraph" w:styleId="22">
    <w:name w:val="List Paragraph"/>
    <w:basedOn w:val="1"/>
    <w:qFormat/>
    <w:uiPriority w:val="1"/>
    <w:pPr>
      <w:ind w:firstLine="420" w:firstLineChars="200"/>
    </w:pPr>
  </w:style>
  <w:style w:type="character" w:customStyle="1" w:styleId="23">
    <w:name w:val="正文文本缩进 Char"/>
    <w:basedOn w:val="15"/>
    <w:link w:val="6"/>
    <w:semiHidden/>
    <w:qFormat/>
    <w:uiPriority w:val="99"/>
    <w:rPr>
      <w:kern w:val="2"/>
      <w:sz w:val="21"/>
      <w:szCs w:val="24"/>
    </w:rPr>
  </w:style>
  <w:style w:type="character" w:customStyle="1" w:styleId="24">
    <w:name w:val="正文首行缩进 2 Char"/>
    <w:basedOn w:val="23"/>
    <w:link w:val="12"/>
    <w:qFormat/>
    <w:uiPriority w:val="99"/>
    <w:rPr>
      <w:szCs w:val="21"/>
    </w:rPr>
  </w:style>
  <w:style w:type="character" w:customStyle="1" w:styleId="25">
    <w:name w:val="正文文本 Char"/>
    <w:basedOn w:val="15"/>
    <w:link w:val="5"/>
    <w:semiHidden/>
    <w:qFormat/>
    <w:uiPriority w:val="99"/>
    <w:rPr>
      <w:kern w:val="2"/>
      <w:sz w:val="21"/>
      <w:szCs w:val="24"/>
    </w:rPr>
  </w:style>
  <w:style w:type="paragraph" w:customStyle="1" w:styleId="26">
    <w:name w:val="1级标题"/>
    <w:basedOn w:val="2"/>
    <w:next w:val="1"/>
    <w:qFormat/>
    <w:uiPriority w:val="0"/>
    <w:pPr>
      <w:keepNext w:val="0"/>
      <w:keepLines w:val="0"/>
      <w:numPr>
        <w:ilvl w:val="0"/>
        <w:numId w:val="1"/>
      </w:numPr>
      <w:tabs>
        <w:tab w:val="left" w:pos="240"/>
      </w:tabs>
      <w:adjustRightInd w:val="0"/>
      <w:snapToGrid w:val="0"/>
      <w:spacing w:before="260" w:after="260" w:line="240" w:lineRule="auto"/>
      <w:jc w:val="left"/>
    </w:pPr>
    <w:rPr>
      <w:rFonts w:eastAsia="黑体"/>
      <w:b w:val="0"/>
      <w:bCs w:val="0"/>
      <w:snapToGrid w:val="0"/>
      <w:sz w:val="24"/>
      <w:szCs w:val="24"/>
    </w:rPr>
  </w:style>
  <w:style w:type="paragraph" w:customStyle="1" w:styleId="27">
    <w:name w:val="报告正文"/>
    <w:qFormat/>
    <w:uiPriority w:val="0"/>
    <w:pPr>
      <w:adjustRightInd w:val="0"/>
      <w:snapToGrid w:val="0"/>
      <w:spacing w:line="360" w:lineRule="auto"/>
      <w:ind w:firstLine="480" w:firstLineChars="200"/>
    </w:pPr>
    <w:rPr>
      <w:rFonts w:ascii="Times New Roman" w:hAnsi="宋体" w:eastAsia="宋体" w:cs="宋体"/>
      <w:bCs/>
      <w:snapToGrid w:val="0"/>
      <w:sz w:val="24"/>
      <w:szCs w:val="24"/>
      <w:lang w:val="en-US" w:eastAsia="zh-CN" w:bidi="ar-SA"/>
    </w:rPr>
  </w:style>
  <w:style w:type="character" w:customStyle="1" w:styleId="28">
    <w:name w:val="标题 1 Char"/>
    <w:basedOn w:val="15"/>
    <w:link w:val="2"/>
    <w:qFormat/>
    <w:uiPriority w:val="9"/>
    <w:rPr>
      <w:b/>
      <w:bCs/>
      <w:kern w:val="44"/>
      <w:sz w:val="44"/>
      <w:szCs w:val="44"/>
    </w:rPr>
  </w:style>
  <w:style w:type="character" w:customStyle="1" w:styleId="29">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aaa</Company>
  <Pages>5</Pages>
  <Words>2307</Words>
  <Characters>2394</Characters>
  <Lines>19</Lines>
  <Paragraphs>5</Paragraphs>
  <TotalTime>2</TotalTime>
  <ScaleCrop>false</ScaleCrop>
  <LinksUpToDate>false</LinksUpToDate>
  <CharactersWithSpaces>2394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2021-01-25T23:48:00Z</dcterms:created>
  <dc:creator>aa</dc:creator>
  <cp:lastModifiedBy>夏鑫</cp:lastModifiedBy>
  <cp:lastPrinted>2022-01-06T22:40:00Z</cp:lastPrinted>
  <dcterms:modified xsi:type="dcterms:W3CDTF">2025-11-05T09:04:30Z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EFFCE5226566445EA5910382839C2512_13</vt:lpwstr>
  </property>
  <property fmtid="{D5CDD505-2E9C-101B-9397-08002B2CF9AE}" pid="4" name="KSOTemplateDocerSaveRecord">
    <vt:lpwstr>eyJoZGlkIjoiZGQ0NDBkNjgxOGNlODQ4OWI0ZjUyYWQ4MjQyZmJjYzgifQ==</vt:lpwstr>
  </property>
</Properties>
</file>