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322CFF">
      <w:pPr>
        <w:rPr>
          <w:rFonts w:ascii="宋体" w:hAnsi="宋体"/>
          <w:b/>
          <w:color w:val="auto"/>
          <w:sz w:val="36"/>
          <w:szCs w:val="36"/>
        </w:rPr>
      </w:pPr>
    </w:p>
    <w:p w14:paraId="5A63FA78">
      <w:pPr>
        <w:jc w:val="center"/>
        <w:rPr>
          <w:rFonts w:ascii="宋体" w:hAnsi="宋体"/>
          <w:b/>
          <w:color w:val="auto"/>
          <w:sz w:val="36"/>
          <w:szCs w:val="36"/>
        </w:rPr>
      </w:pPr>
    </w:p>
    <w:p w14:paraId="01A687DA">
      <w:pPr>
        <w:jc w:val="center"/>
        <w:rPr>
          <w:rFonts w:ascii="宋体" w:hAnsi="宋体"/>
          <w:b/>
          <w:color w:val="auto"/>
          <w:sz w:val="36"/>
          <w:szCs w:val="36"/>
        </w:rPr>
      </w:pPr>
    </w:p>
    <w:p w14:paraId="2B1618F8">
      <w:pPr>
        <w:jc w:val="center"/>
        <w:rPr>
          <w:rFonts w:ascii="宋体" w:hAnsi="宋体"/>
          <w:b/>
          <w:color w:val="auto"/>
          <w:sz w:val="36"/>
          <w:szCs w:val="36"/>
        </w:rPr>
      </w:pPr>
    </w:p>
    <w:p w14:paraId="34B5407C">
      <w:pPr>
        <w:jc w:val="center"/>
        <w:rPr>
          <w:rFonts w:ascii="宋体" w:hAnsi="宋体"/>
          <w:b/>
          <w:color w:val="auto"/>
          <w:sz w:val="36"/>
          <w:szCs w:val="36"/>
        </w:rPr>
      </w:pPr>
      <w:r>
        <w:rPr>
          <w:rFonts w:hint="eastAsia" w:ascii="宋体" w:hAnsi="宋体"/>
          <w:b/>
          <w:color w:val="auto"/>
          <w:sz w:val="36"/>
          <w:szCs w:val="36"/>
        </w:rPr>
        <w:t>特种设备相关事故调查报告</w:t>
      </w:r>
    </w:p>
    <w:p w14:paraId="2F24BA8A">
      <w:pPr>
        <w:jc w:val="center"/>
        <w:rPr>
          <w:rFonts w:ascii="黑体" w:eastAsia="黑体"/>
          <w:color w:val="auto"/>
          <w:sz w:val="44"/>
          <w:szCs w:val="44"/>
        </w:rPr>
      </w:pPr>
    </w:p>
    <w:p w14:paraId="3F971A36">
      <w:pPr>
        <w:jc w:val="center"/>
        <w:rPr>
          <w:rFonts w:hint="eastAsia" w:ascii="黑体" w:hAnsi="黑体" w:eastAsia="黑体" w:cs="黑体"/>
          <w:color w:val="auto"/>
          <w:sz w:val="48"/>
          <w:szCs w:val="48"/>
        </w:rPr>
      </w:pPr>
      <w:r>
        <w:rPr>
          <w:rFonts w:hint="eastAsia" w:ascii="黑体" w:hAnsi="黑体" w:eastAsia="黑体" w:cs="黑体"/>
          <w:color w:val="auto"/>
          <w:sz w:val="48"/>
          <w:szCs w:val="48"/>
          <w:lang w:eastAsia="zh-CN"/>
        </w:rPr>
        <w:t>天津市龙腾信责钢结构工程有限公司“4·20”起重机械</w:t>
      </w:r>
      <w:r>
        <w:rPr>
          <w:rFonts w:hint="eastAsia" w:ascii="黑体" w:hAnsi="黑体" w:eastAsia="黑体" w:cs="黑体"/>
          <w:color w:val="auto"/>
          <w:sz w:val="48"/>
          <w:szCs w:val="48"/>
        </w:rPr>
        <w:t>物体滑落</w:t>
      </w:r>
    </w:p>
    <w:p w14:paraId="11209541">
      <w:pPr>
        <w:jc w:val="center"/>
        <w:rPr>
          <w:rFonts w:ascii="黑体" w:hAnsi="黑体" w:eastAsia="黑体" w:cs="黑体"/>
          <w:color w:val="auto"/>
          <w:sz w:val="48"/>
          <w:szCs w:val="48"/>
        </w:rPr>
      </w:pPr>
      <w:r>
        <w:rPr>
          <w:rFonts w:hint="eastAsia" w:ascii="黑体" w:hAnsi="黑体" w:eastAsia="黑体" w:cs="黑体"/>
          <w:color w:val="auto"/>
          <w:sz w:val="48"/>
          <w:szCs w:val="48"/>
        </w:rPr>
        <w:t>特种设备相关事故调查报告</w:t>
      </w:r>
    </w:p>
    <w:p w14:paraId="3B42ED69">
      <w:pPr>
        <w:rPr>
          <w:rFonts w:ascii="宋体" w:hAnsi="宋体"/>
          <w:b/>
          <w:color w:val="auto"/>
          <w:sz w:val="32"/>
          <w:szCs w:val="32"/>
        </w:rPr>
      </w:pPr>
    </w:p>
    <w:p w14:paraId="7237A247">
      <w:pPr>
        <w:rPr>
          <w:color w:val="auto"/>
          <w:sz w:val="32"/>
          <w:szCs w:val="32"/>
        </w:rPr>
      </w:pPr>
    </w:p>
    <w:p w14:paraId="43598B5C">
      <w:pPr>
        <w:rPr>
          <w:color w:val="auto"/>
          <w:sz w:val="32"/>
          <w:szCs w:val="32"/>
        </w:rPr>
      </w:pPr>
    </w:p>
    <w:p w14:paraId="54C711F5">
      <w:pPr>
        <w:rPr>
          <w:color w:val="auto"/>
          <w:sz w:val="32"/>
          <w:szCs w:val="32"/>
        </w:rPr>
      </w:pPr>
    </w:p>
    <w:p w14:paraId="7ACB2609">
      <w:pPr>
        <w:rPr>
          <w:color w:val="auto"/>
          <w:sz w:val="32"/>
          <w:szCs w:val="32"/>
        </w:rPr>
      </w:pPr>
    </w:p>
    <w:p w14:paraId="3C2765DF">
      <w:pPr>
        <w:rPr>
          <w:color w:val="auto"/>
          <w:sz w:val="32"/>
          <w:szCs w:val="32"/>
        </w:rPr>
      </w:pPr>
    </w:p>
    <w:p w14:paraId="092A6712">
      <w:pPr>
        <w:rPr>
          <w:color w:val="auto"/>
          <w:sz w:val="32"/>
          <w:szCs w:val="32"/>
        </w:rPr>
      </w:pPr>
    </w:p>
    <w:p w14:paraId="027A07E6">
      <w:pPr>
        <w:rPr>
          <w:color w:val="auto"/>
          <w:sz w:val="30"/>
          <w:szCs w:val="30"/>
        </w:rPr>
      </w:pPr>
    </w:p>
    <w:p w14:paraId="5E403C3B">
      <w:pPr>
        <w:rPr>
          <w:color w:val="auto"/>
          <w:sz w:val="32"/>
          <w:szCs w:val="32"/>
        </w:rPr>
      </w:pPr>
    </w:p>
    <w:p w14:paraId="40C4ECC5">
      <w:pPr>
        <w:rPr>
          <w:color w:val="auto"/>
          <w:sz w:val="32"/>
          <w:szCs w:val="32"/>
        </w:rPr>
      </w:pPr>
    </w:p>
    <w:p w14:paraId="614EC8C1">
      <w:pPr>
        <w:jc w:val="center"/>
        <w:rPr>
          <w:rFonts w:ascii="黑体" w:hAnsi="黑体" w:eastAsia="黑体" w:cs="黑体"/>
          <w:color w:val="auto"/>
          <w:sz w:val="32"/>
          <w:szCs w:val="32"/>
        </w:rPr>
      </w:pPr>
      <w:bookmarkStart w:id="0" w:name="_Hlk25395810"/>
      <w:r>
        <w:rPr>
          <w:rFonts w:hint="eastAsia" w:ascii="黑体" w:hAnsi="黑体" w:eastAsia="黑体" w:cs="黑体"/>
          <w:color w:val="auto"/>
          <w:sz w:val="32"/>
          <w:szCs w:val="32"/>
          <w:lang w:eastAsia="zh-CN"/>
        </w:rPr>
        <w:t>天津市龙腾信责钢结构工程有限公司“4·20”起重机械</w:t>
      </w:r>
      <w:r>
        <w:rPr>
          <w:rFonts w:hint="eastAsia" w:ascii="黑体" w:hAnsi="黑体" w:eastAsia="黑体" w:cs="黑体"/>
          <w:color w:val="auto"/>
          <w:sz w:val="32"/>
          <w:szCs w:val="32"/>
        </w:rPr>
        <w:t>物体滑落事故</w:t>
      </w:r>
      <w:bookmarkEnd w:id="0"/>
      <w:r>
        <w:rPr>
          <w:rFonts w:hint="eastAsia" w:ascii="黑体" w:hAnsi="黑体" w:eastAsia="黑体" w:cs="黑体"/>
          <w:color w:val="auto"/>
          <w:sz w:val="32"/>
          <w:szCs w:val="32"/>
        </w:rPr>
        <w:t>调查组</w:t>
      </w:r>
    </w:p>
    <w:p w14:paraId="7A32A8C0">
      <w:pPr>
        <w:jc w:val="center"/>
        <w:rPr>
          <w:b/>
          <w:color w:val="auto"/>
          <w:sz w:val="44"/>
          <w:szCs w:val="44"/>
        </w:rPr>
      </w:pPr>
      <w:r>
        <w:rPr>
          <w:rFonts w:hint="eastAsia"/>
          <w:b/>
          <w:color w:val="auto"/>
          <w:sz w:val="30"/>
          <w:szCs w:val="30"/>
        </w:rPr>
        <w:t>二〇</w:t>
      </w:r>
      <w:r>
        <w:rPr>
          <w:rFonts w:hint="eastAsia"/>
          <w:b/>
          <w:color w:val="auto"/>
          <w:sz w:val="30"/>
          <w:szCs w:val="30"/>
          <w:lang w:val="en-US" w:eastAsia="zh-CN"/>
        </w:rPr>
        <w:t>二五</w:t>
      </w:r>
      <w:r>
        <w:rPr>
          <w:rFonts w:hint="eastAsia"/>
          <w:b/>
          <w:color w:val="auto"/>
          <w:sz w:val="30"/>
          <w:szCs w:val="30"/>
        </w:rPr>
        <w:t>年</w:t>
      </w:r>
      <w:r>
        <w:rPr>
          <w:rFonts w:hint="eastAsia"/>
          <w:b/>
          <w:color w:val="auto"/>
          <w:sz w:val="30"/>
          <w:szCs w:val="30"/>
          <w:lang w:val="en-US" w:eastAsia="zh-CN"/>
        </w:rPr>
        <w:t>七</w:t>
      </w:r>
      <w:r>
        <w:rPr>
          <w:rFonts w:hint="eastAsia"/>
          <w:b/>
          <w:color w:val="auto"/>
          <w:sz w:val="30"/>
          <w:szCs w:val="30"/>
        </w:rPr>
        <w:t>月</w:t>
      </w:r>
      <w:r>
        <w:rPr>
          <w:rFonts w:hint="eastAsia"/>
          <w:b/>
          <w:color w:val="auto"/>
          <w:sz w:val="30"/>
          <w:szCs w:val="30"/>
          <w:lang w:val="en-US" w:eastAsia="zh-CN"/>
        </w:rPr>
        <w:t>三</w:t>
      </w:r>
      <w:r>
        <w:rPr>
          <w:rFonts w:hint="eastAsia"/>
          <w:b/>
          <w:color w:val="auto"/>
          <w:sz w:val="30"/>
          <w:szCs w:val="30"/>
        </w:rPr>
        <w:t>日</w:t>
      </w:r>
    </w:p>
    <w:p w14:paraId="078E0BF3">
      <w:pPr>
        <w:jc w:val="center"/>
        <w:rPr>
          <w:rFonts w:ascii="黑体" w:eastAsia="黑体"/>
          <w:b/>
          <w:color w:val="auto"/>
          <w:sz w:val="36"/>
          <w:szCs w:val="36"/>
        </w:rPr>
        <w:sectPr>
          <w:footerReference r:id="rId3" w:type="default"/>
          <w:pgSz w:w="11906" w:h="16838"/>
          <w:pgMar w:top="1440" w:right="1800" w:bottom="1440" w:left="1800" w:header="851" w:footer="992" w:gutter="0"/>
          <w:cols w:space="720" w:num="1"/>
          <w:docGrid w:type="lines" w:linePitch="312" w:charSpace="0"/>
        </w:sectPr>
      </w:pPr>
    </w:p>
    <w:p w14:paraId="20F9F285">
      <w:pPr>
        <w:spacing w:beforeLines="50" w:afterLines="50" w:line="360" w:lineRule="auto"/>
        <w:jc w:val="center"/>
        <w:rPr>
          <w:rFonts w:ascii="黑体" w:eastAsia="黑体"/>
          <w:bCs/>
          <w:color w:val="auto"/>
          <w:sz w:val="36"/>
          <w:szCs w:val="36"/>
        </w:rPr>
      </w:pPr>
      <w:r>
        <w:rPr>
          <w:rFonts w:ascii="黑体" w:eastAsia="黑体"/>
          <w:bCs/>
          <w:color w:val="auto"/>
          <w:sz w:val="36"/>
          <w:szCs w:val="36"/>
        </w:rPr>
        <w:t>目</w:t>
      </w:r>
      <w:r>
        <w:rPr>
          <w:rFonts w:hint="eastAsia" w:ascii="黑体" w:eastAsia="黑体"/>
          <w:bCs/>
          <w:color w:val="auto"/>
          <w:sz w:val="36"/>
          <w:szCs w:val="36"/>
        </w:rPr>
        <w:t xml:space="preserve"> </w:t>
      </w:r>
      <w:r>
        <w:rPr>
          <w:rFonts w:ascii="黑体" w:eastAsia="黑体"/>
          <w:bCs/>
          <w:color w:val="auto"/>
          <w:sz w:val="36"/>
          <w:szCs w:val="36"/>
        </w:rPr>
        <w:t>录</w:t>
      </w:r>
    </w:p>
    <w:p w14:paraId="27E9D12E">
      <w:pPr>
        <w:pStyle w:val="5"/>
        <w:tabs>
          <w:tab w:val="right" w:leader="dot" w:pos="8296"/>
        </w:tabs>
        <w:rPr>
          <w:color w:val="auto"/>
          <w:sz w:val="32"/>
          <w:szCs w:val="32"/>
        </w:rPr>
      </w:pPr>
      <w:r>
        <w:rPr>
          <w:color w:val="auto"/>
          <w:sz w:val="32"/>
          <w:szCs w:val="32"/>
        </w:rPr>
        <w:fldChar w:fldCharType="begin"/>
      </w:r>
      <w:r>
        <w:rPr>
          <w:color w:val="auto"/>
          <w:sz w:val="32"/>
          <w:szCs w:val="32"/>
        </w:rPr>
        <w:instrText xml:space="preserve"> TOC \o "1-3" \h \z \u </w:instrText>
      </w:r>
      <w:r>
        <w:rPr>
          <w:color w:val="auto"/>
          <w:sz w:val="32"/>
          <w:szCs w:val="32"/>
        </w:rPr>
        <w:fldChar w:fldCharType="separate"/>
      </w:r>
      <w:r>
        <w:rPr>
          <w:color w:val="auto"/>
        </w:rPr>
        <w:fldChar w:fldCharType="begin"/>
      </w:r>
      <w:r>
        <w:rPr>
          <w:color w:val="auto"/>
        </w:rPr>
        <w:instrText xml:space="preserve"> HYPERLINK \l "_Toc489608208" </w:instrText>
      </w:r>
      <w:r>
        <w:rPr>
          <w:color w:val="auto"/>
        </w:rPr>
        <w:fldChar w:fldCharType="separate"/>
      </w:r>
      <w:r>
        <w:rPr>
          <w:rStyle w:val="9"/>
          <w:rFonts w:hint="eastAsia" w:ascii="黑体" w:hAnsi="宋体" w:eastAsia="黑体"/>
          <w:color w:val="auto"/>
          <w:sz w:val="32"/>
          <w:szCs w:val="32"/>
        </w:rPr>
        <w:t>一、事故基本情况</w:t>
      </w:r>
      <w:r>
        <w:rPr>
          <w:color w:val="auto"/>
          <w:sz w:val="32"/>
          <w:szCs w:val="32"/>
        </w:rPr>
        <w:tab/>
      </w:r>
      <w:r>
        <w:rPr>
          <w:color w:val="auto"/>
          <w:sz w:val="32"/>
          <w:szCs w:val="32"/>
        </w:rPr>
        <w:fldChar w:fldCharType="end"/>
      </w:r>
      <w:r>
        <w:rPr>
          <w:rFonts w:hint="eastAsia"/>
          <w:color w:val="auto"/>
          <w:sz w:val="32"/>
          <w:szCs w:val="32"/>
        </w:rPr>
        <w:t>3</w:t>
      </w:r>
    </w:p>
    <w:p w14:paraId="56FF7E6F">
      <w:pPr>
        <w:pStyle w:val="5"/>
        <w:tabs>
          <w:tab w:val="right" w:leader="dot" w:pos="8296"/>
        </w:tabs>
        <w:rPr>
          <w:color w:val="auto"/>
          <w:sz w:val="32"/>
          <w:szCs w:val="32"/>
        </w:rPr>
      </w:pPr>
      <w:r>
        <w:rPr>
          <w:color w:val="auto"/>
        </w:rPr>
        <w:fldChar w:fldCharType="begin"/>
      </w:r>
      <w:r>
        <w:rPr>
          <w:color w:val="auto"/>
        </w:rPr>
        <w:instrText xml:space="preserve"> HYPERLINK \l "_Toc489608209" </w:instrText>
      </w:r>
      <w:r>
        <w:rPr>
          <w:color w:val="auto"/>
        </w:rPr>
        <w:fldChar w:fldCharType="separate"/>
      </w:r>
      <w:r>
        <w:rPr>
          <w:rStyle w:val="9"/>
          <w:rFonts w:hint="eastAsia" w:ascii="黑体" w:hAnsi="宋体" w:eastAsia="黑体"/>
          <w:color w:val="auto"/>
          <w:sz w:val="32"/>
          <w:szCs w:val="32"/>
        </w:rPr>
        <w:t>二、事故发生单位及设备概况</w:t>
      </w:r>
      <w:r>
        <w:rPr>
          <w:color w:val="auto"/>
          <w:sz w:val="32"/>
          <w:szCs w:val="32"/>
        </w:rPr>
        <w:tab/>
      </w:r>
      <w:r>
        <w:rPr>
          <w:color w:val="auto"/>
          <w:sz w:val="32"/>
          <w:szCs w:val="32"/>
        </w:rPr>
        <w:fldChar w:fldCharType="end"/>
      </w:r>
      <w:r>
        <w:rPr>
          <w:rFonts w:hint="default"/>
          <w:color w:val="auto"/>
          <w:sz w:val="32"/>
          <w:szCs w:val="32"/>
          <w:lang w:val="en-US"/>
        </w:rPr>
        <w:t>5</w:t>
      </w:r>
    </w:p>
    <w:p w14:paraId="500F59DC">
      <w:pPr>
        <w:pStyle w:val="5"/>
        <w:tabs>
          <w:tab w:val="right" w:leader="dot" w:pos="8296"/>
        </w:tabs>
        <w:rPr>
          <w:color w:val="auto"/>
          <w:sz w:val="32"/>
          <w:szCs w:val="32"/>
        </w:rPr>
      </w:pPr>
      <w:r>
        <w:rPr>
          <w:color w:val="auto"/>
        </w:rPr>
        <w:fldChar w:fldCharType="begin"/>
      </w:r>
      <w:r>
        <w:rPr>
          <w:color w:val="auto"/>
        </w:rPr>
        <w:instrText xml:space="preserve"> HYPERLINK \l "_Toc489608210" </w:instrText>
      </w:r>
      <w:r>
        <w:rPr>
          <w:color w:val="auto"/>
        </w:rPr>
        <w:fldChar w:fldCharType="separate"/>
      </w:r>
      <w:r>
        <w:rPr>
          <w:rStyle w:val="9"/>
          <w:rFonts w:hint="eastAsia" w:ascii="黑体" w:hAnsi="宋体" w:eastAsia="黑体"/>
          <w:color w:val="auto"/>
          <w:sz w:val="32"/>
          <w:szCs w:val="32"/>
        </w:rPr>
        <w:t>三、事故发生经过及应急救援情况</w:t>
      </w:r>
      <w:r>
        <w:rPr>
          <w:color w:val="auto"/>
          <w:sz w:val="32"/>
          <w:szCs w:val="32"/>
        </w:rPr>
        <w:tab/>
      </w:r>
      <w:r>
        <w:rPr>
          <w:color w:val="auto"/>
          <w:sz w:val="32"/>
          <w:szCs w:val="32"/>
        </w:rPr>
        <w:fldChar w:fldCharType="end"/>
      </w:r>
      <w:r>
        <w:rPr>
          <w:rFonts w:hint="eastAsia"/>
          <w:color w:val="auto"/>
          <w:sz w:val="32"/>
          <w:szCs w:val="32"/>
        </w:rPr>
        <w:t>7</w:t>
      </w:r>
    </w:p>
    <w:p w14:paraId="5014D7A6">
      <w:pPr>
        <w:pStyle w:val="5"/>
        <w:tabs>
          <w:tab w:val="right" w:leader="dot" w:pos="8296"/>
        </w:tabs>
        <w:rPr>
          <w:color w:val="auto"/>
          <w:sz w:val="32"/>
          <w:szCs w:val="32"/>
        </w:rPr>
      </w:pPr>
      <w:r>
        <w:rPr>
          <w:color w:val="auto"/>
        </w:rPr>
        <w:fldChar w:fldCharType="begin"/>
      </w:r>
      <w:r>
        <w:rPr>
          <w:color w:val="auto"/>
        </w:rPr>
        <w:instrText xml:space="preserve"> HYPERLINK \l "_Toc489608211" </w:instrText>
      </w:r>
      <w:r>
        <w:rPr>
          <w:color w:val="auto"/>
        </w:rPr>
        <w:fldChar w:fldCharType="separate"/>
      </w:r>
      <w:r>
        <w:rPr>
          <w:rStyle w:val="9"/>
          <w:rFonts w:hint="eastAsia" w:ascii="黑体" w:hAnsi="宋体" w:eastAsia="黑体"/>
          <w:color w:val="auto"/>
          <w:sz w:val="32"/>
          <w:szCs w:val="32"/>
        </w:rPr>
        <w:t>四、人员伤亡、设备损坏和直接经济损失情况</w:t>
      </w:r>
      <w:r>
        <w:rPr>
          <w:color w:val="auto"/>
          <w:sz w:val="32"/>
          <w:szCs w:val="32"/>
        </w:rPr>
        <w:tab/>
      </w:r>
      <w:r>
        <w:rPr>
          <w:color w:val="auto"/>
          <w:sz w:val="32"/>
          <w:szCs w:val="32"/>
        </w:rPr>
        <w:fldChar w:fldCharType="end"/>
      </w:r>
      <w:r>
        <w:rPr>
          <w:rFonts w:hint="default"/>
          <w:color w:val="auto"/>
          <w:sz w:val="32"/>
          <w:szCs w:val="32"/>
          <w:lang w:val="en-US"/>
        </w:rPr>
        <w:t>7</w:t>
      </w:r>
    </w:p>
    <w:p w14:paraId="733CCCD1">
      <w:pPr>
        <w:pStyle w:val="5"/>
        <w:tabs>
          <w:tab w:val="right" w:leader="dot" w:pos="8296"/>
        </w:tabs>
        <w:rPr>
          <w:color w:val="auto"/>
          <w:sz w:val="32"/>
          <w:szCs w:val="32"/>
        </w:rPr>
      </w:pPr>
      <w:r>
        <w:rPr>
          <w:color w:val="auto"/>
        </w:rPr>
        <w:fldChar w:fldCharType="begin"/>
      </w:r>
      <w:r>
        <w:rPr>
          <w:color w:val="auto"/>
        </w:rPr>
        <w:instrText xml:space="preserve"> HYPERLINK \l "_Toc489608212" </w:instrText>
      </w:r>
      <w:r>
        <w:rPr>
          <w:color w:val="auto"/>
        </w:rPr>
        <w:fldChar w:fldCharType="separate"/>
      </w:r>
      <w:r>
        <w:rPr>
          <w:rStyle w:val="9"/>
          <w:rFonts w:hint="eastAsia" w:ascii="黑体" w:hAnsi="宋体" w:eastAsia="黑体"/>
          <w:color w:val="auto"/>
          <w:sz w:val="32"/>
          <w:szCs w:val="32"/>
        </w:rPr>
        <w:t>五、事故发生原因及性质</w:t>
      </w:r>
      <w:r>
        <w:rPr>
          <w:color w:val="auto"/>
          <w:sz w:val="32"/>
          <w:szCs w:val="32"/>
        </w:rPr>
        <w:tab/>
      </w:r>
      <w:r>
        <w:rPr>
          <w:color w:val="auto"/>
          <w:sz w:val="32"/>
          <w:szCs w:val="32"/>
        </w:rPr>
        <w:fldChar w:fldCharType="end"/>
      </w:r>
      <w:r>
        <w:rPr>
          <w:rFonts w:hint="default"/>
          <w:color w:val="auto"/>
          <w:sz w:val="32"/>
          <w:szCs w:val="32"/>
          <w:lang w:val="en-US"/>
        </w:rPr>
        <w:t>8</w:t>
      </w:r>
    </w:p>
    <w:p w14:paraId="72D7721B">
      <w:pPr>
        <w:pStyle w:val="5"/>
        <w:tabs>
          <w:tab w:val="right" w:leader="dot" w:pos="8296"/>
        </w:tabs>
        <w:rPr>
          <w:color w:val="auto"/>
          <w:sz w:val="32"/>
          <w:szCs w:val="32"/>
        </w:rPr>
      </w:pPr>
      <w:r>
        <w:rPr>
          <w:color w:val="auto"/>
        </w:rPr>
        <w:fldChar w:fldCharType="begin"/>
      </w:r>
      <w:r>
        <w:rPr>
          <w:color w:val="auto"/>
        </w:rPr>
        <w:instrText xml:space="preserve"> HYPERLINK \l "_Toc489608213" </w:instrText>
      </w:r>
      <w:r>
        <w:rPr>
          <w:color w:val="auto"/>
        </w:rPr>
        <w:fldChar w:fldCharType="separate"/>
      </w:r>
      <w:r>
        <w:rPr>
          <w:rStyle w:val="9"/>
          <w:rFonts w:hint="eastAsia" w:ascii="黑体" w:hAnsi="宋体" w:eastAsia="黑体"/>
          <w:color w:val="auto"/>
          <w:sz w:val="32"/>
          <w:szCs w:val="32"/>
        </w:rPr>
        <w:t>六、责任认定及处理建议</w:t>
      </w:r>
      <w:r>
        <w:rPr>
          <w:color w:val="auto"/>
          <w:sz w:val="32"/>
          <w:szCs w:val="32"/>
        </w:rPr>
        <w:tab/>
      </w:r>
      <w:r>
        <w:rPr>
          <w:color w:val="auto"/>
          <w:sz w:val="32"/>
          <w:szCs w:val="32"/>
        </w:rPr>
        <w:fldChar w:fldCharType="end"/>
      </w:r>
      <w:r>
        <w:rPr>
          <w:rFonts w:hint="eastAsia"/>
          <w:color w:val="auto"/>
          <w:sz w:val="32"/>
          <w:szCs w:val="32"/>
        </w:rPr>
        <w:t>1</w:t>
      </w:r>
      <w:r>
        <w:rPr>
          <w:rFonts w:hint="default"/>
          <w:color w:val="auto"/>
          <w:sz w:val="32"/>
          <w:szCs w:val="32"/>
          <w:lang w:val="en-US"/>
        </w:rPr>
        <w:t>0</w:t>
      </w:r>
    </w:p>
    <w:p w14:paraId="3A954CB8">
      <w:pPr>
        <w:pStyle w:val="5"/>
        <w:tabs>
          <w:tab w:val="right" w:leader="dot" w:pos="8296"/>
        </w:tabs>
        <w:rPr>
          <w:color w:val="auto"/>
          <w:sz w:val="32"/>
          <w:szCs w:val="32"/>
        </w:rPr>
      </w:pPr>
      <w:r>
        <w:rPr>
          <w:color w:val="auto"/>
        </w:rPr>
        <w:fldChar w:fldCharType="begin"/>
      </w:r>
      <w:r>
        <w:rPr>
          <w:color w:val="auto"/>
        </w:rPr>
        <w:instrText xml:space="preserve"> HYPERLINK \l "_Toc489608214" </w:instrText>
      </w:r>
      <w:r>
        <w:rPr>
          <w:color w:val="auto"/>
        </w:rPr>
        <w:fldChar w:fldCharType="separate"/>
      </w:r>
      <w:r>
        <w:rPr>
          <w:rFonts w:hint="eastAsia" w:ascii="黑体" w:hAnsi="黑体" w:eastAsia="黑体" w:cs="黑体"/>
          <w:color w:val="auto"/>
          <w:sz w:val="32"/>
          <w:szCs w:val="32"/>
        </w:rPr>
        <w:t>七</w:t>
      </w:r>
      <w:r>
        <w:rPr>
          <w:rStyle w:val="9"/>
          <w:rFonts w:hint="eastAsia" w:ascii="黑体" w:hAnsi="宋体" w:eastAsia="黑体"/>
          <w:color w:val="auto"/>
          <w:sz w:val="32"/>
          <w:szCs w:val="32"/>
        </w:rPr>
        <w:t>、</w:t>
      </w:r>
      <w:bookmarkStart w:id="1" w:name="_Hlk25414093"/>
      <w:r>
        <w:rPr>
          <w:rStyle w:val="9"/>
          <w:rFonts w:hint="eastAsia" w:ascii="黑体" w:hAnsi="宋体" w:eastAsia="黑体"/>
          <w:color w:val="auto"/>
          <w:sz w:val="32"/>
          <w:szCs w:val="32"/>
        </w:rPr>
        <w:t>预防措施与整改建议</w:t>
      </w:r>
      <w:bookmarkEnd w:id="1"/>
      <w:r>
        <w:rPr>
          <w:color w:val="auto"/>
          <w:sz w:val="32"/>
          <w:szCs w:val="32"/>
        </w:rPr>
        <w:tab/>
      </w:r>
      <w:r>
        <w:rPr>
          <w:color w:val="auto"/>
          <w:sz w:val="32"/>
          <w:szCs w:val="32"/>
        </w:rPr>
        <w:fldChar w:fldCharType="end"/>
      </w:r>
      <w:r>
        <w:rPr>
          <w:rFonts w:hint="eastAsia"/>
          <w:color w:val="auto"/>
          <w:sz w:val="32"/>
          <w:szCs w:val="32"/>
        </w:rPr>
        <w:t>1</w:t>
      </w:r>
      <w:r>
        <w:rPr>
          <w:rFonts w:hint="default"/>
          <w:color w:val="auto"/>
          <w:sz w:val="32"/>
          <w:szCs w:val="32"/>
          <w:lang w:val="en-US"/>
        </w:rPr>
        <w:t>2</w:t>
      </w:r>
    </w:p>
    <w:p w14:paraId="565D390C">
      <w:pPr>
        <w:pStyle w:val="5"/>
        <w:tabs>
          <w:tab w:val="right" w:leader="dot" w:pos="8296"/>
        </w:tabs>
        <w:rPr>
          <w:rStyle w:val="9"/>
          <w:color w:val="auto"/>
          <w:sz w:val="32"/>
          <w:szCs w:val="32"/>
        </w:rPr>
      </w:pPr>
      <w:r>
        <w:rPr>
          <w:color w:val="auto"/>
        </w:rPr>
        <w:fldChar w:fldCharType="begin"/>
      </w:r>
      <w:r>
        <w:rPr>
          <w:color w:val="auto"/>
        </w:rPr>
        <w:instrText xml:space="preserve"> HYPERLINK \l "_Toc489608215" </w:instrText>
      </w:r>
      <w:r>
        <w:rPr>
          <w:color w:val="auto"/>
        </w:rPr>
        <w:fldChar w:fldCharType="separate"/>
      </w:r>
      <w:r>
        <w:rPr>
          <w:rFonts w:hint="eastAsia" w:ascii="黑体" w:hAnsi="黑体" w:eastAsia="黑体" w:cs="黑体"/>
          <w:color w:val="auto"/>
          <w:sz w:val="32"/>
          <w:szCs w:val="32"/>
        </w:rPr>
        <w:t>八</w:t>
      </w:r>
      <w:r>
        <w:rPr>
          <w:rStyle w:val="9"/>
          <w:rFonts w:hint="eastAsia" w:ascii="黑体" w:hAnsi="黑体" w:eastAsia="黑体" w:cs="黑体"/>
          <w:color w:val="auto"/>
          <w:sz w:val="32"/>
          <w:szCs w:val="32"/>
        </w:rPr>
        <w:t>、</w:t>
      </w:r>
      <w:r>
        <w:rPr>
          <w:rStyle w:val="9"/>
          <w:rFonts w:hint="eastAsia" w:ascii="黑体" w:hAnsi="黑体" w:eastAsia="黑体" w:cs="黑体"/>
          <w:color w:val="auto"/>
          <w:sz w:val="32"/>
          <w:szCs w:val="32"/>
          <w:u w:val="none"/>
        </w:rPr>
        <w:t>调查组人员签字</w:t>
      </w:r>
      <w:r>
        <w:rPr>
          <w:rStyle w:val="9"/>
          <w:rFonts w:hint="eastAsia" w:ascii="黑体" w:hAnsi="宋体" w:eastAsia="黑体"/>
          <w:color w:val="auto"/>
          <w:sz w:val="32"/>
          <w:szCs w:val="32"/>
        </w:rPr>
        <w:t>材料</w:t>
      </w:r>
      <w:r>
        <w:rPr>
          <w:color w:val="auto"/>
          <w:sz w:val="32"/>
          <w:szCs w:val="32"/>
        </w:rPr>
        <w:tab/>
      </w:r>
      <w:r>
        <w:rPr>
          <w:color w:val="auto"/>
          <w:sz w:val="32"/>
          <w:szCs w:val="32"/>
        </w:rPr>
        <w:fldChar w:fldCharType="end"/>
      </w:r>
      <w:r>
        <w:rPr>
          <w:rFonts w:hint="eastAsia"/>
          <w:color w:val="auto"/>
          <w:sz w:val="32"/>
          <w:szCs w:val="32"/>
        </w:rPr>
        <w:t>1</w:t>
      </w:r>
      <w:r>
        <w:rPr>
          <w:rFonts w:hint="default"/>
          <w:color w:val="auto"/>
          <w:sz w:val="32"/>
          <w:szCs w:val="32"/>
          <w:lang w:val="en-US"/>
        </w:rPr>
        <w:t>5</w:t>
      </w:r>
    </w:p>
    <w:p w14:paraId="750B1BA8">
      <w:pPr>
        <w:rPr>
          <w:color w:val="auto"/>
        </w:rPr>
      </w:pPr>
    </w:p>
    <w:p w14:paraId="6F731A3D">
      <w:pPr>
        <w:rPr>
          <w:b/>
          <w:bCs/>
          <w:color w:val="auto"/>
          <w:sz w:val="32"/>
          <w:szCs w:val="32"/>
          <w:lang w:val="zh-CN"/>
        </w:rPr>
      </w:pPr>
      <w:r>
        <w:rPr>
          <w:b/>
          <w:bCs/>
          <w:color w:val="auto"/>
          <w:sz w:val="32"/>
          <w:szCs w:val="32"/>
          <w:lang w:val="zh-CN"/>
        </w:rPr>
        <w:fldChar w:fldCharType="end"/>
      </w:r>
    </w:p>
    <w:p w14:paraId="33280091">
      <w:pPr>
        <w:rPr>
          <w:b/>
          <w:bCs/>
          <w:color w:val="auto"/>
          <w:sz w:val="32"/>
          <w:szCs w:val="32"/>
          <w:lang w:val="zh-CN"/>
        </w:rPr>
      </w:pPr>
    </w:p>
    <w:p w14:paraId="72CDF2BD">
      <w:pPr>
        <w:pStyle w:val="2"/>
        <w:rPr>
          <w:rFonts w:ascii="黑体" w:hAnsi="宋体" w:eastAsia="黑体"/>
          <w:b w:val="0"/>
          <w:bCs w:val="0"/>
          <w:color w:val="auto"/>
          <w:sz w:val="32"/>
          <w:szCs w:val="32"/>
        </w:rPr>
      </w:pPr>
      <w:bookmarkStart w:id="2" w:name="_Toc489608208"/>
    </w:p>
    <w:p w14:paraId="4C5E1D57">
      <w:pPr>
        <w:jc w:val="center"/>
        <w:rPr>
          <w:rFonts w:ascii="黑体" w:hAnsi="宋体" w:eastAsia="黑体"/>
          <w:color w:val="auto"/>
          <w:sz w:val="32"/>
          <w:szCs w:val="32"/>
        </w:rPr>
      </w:pPr>
    </w:p>
    <w:p w14:paraId="51518C86">
      <w:pPr>
        <w:jc w:val="center"/>
        <w:rPr>
          <w:rFonts w:ascii="黑体" w:hAnsi="宋体" w:eastAsia="黑体"/>
          <w:color w:val="auto"/>
          <w:sz w:val="32"/>
          <w:szCs w:val="32"/>
        </w:rPr>
      </w:pPr>
    </w:p>
    <w:p w14:paraId="3C4DFE0D">
      <w:pPr>
        <w:jc w:val="center"/>
        <w:rPr>
          <w:rFonts w:ascii="黑体" w:hAnsi="宋体" w:eastAsia="黑体"/>
          <w:color w:val="auto"/>
          <w:sz w:val="32"/>
          <w:szCs w:val="32"/>
        </w:rPr>
      </w:pPr>
    </w:p>
    <w:p w14:paraId="2BF53587">
      <w:pPr>
        <w:jc w:val="center"/>
        <w:rPr>
          <w:rFonts w:ascii="黑体" w:hAnsi="宋体" w:eastAsia="黑体"/>
          <w:color w:val="auto"/>
          <w:sz w:val="32"/>
          <w:szCs w:val="32"/>
        </w:rPr>
      </w:pPr>
    </w:p>
    <w:p w14:paraId="0E2B5AA6">
      <w:pPr>
        <w:jc w:val="center"/>
        <w:rPr>
          <w:rFonts w:ascii="黑体" w:hAnsi="宋体" w:eastAsia="黑体"/>
          <w:color w:val="auto"/>
          <w:sz w:val="32"/>
          <w:szCs w:val="32"/>
        </w:rPr>
      </w:pPr>
    </w:p>
    <w:p w14:paraId="69E50B8D">
      <w:pPr>
        <w:jc w:val="center"/>
        <w:rPr>
          <w:rFonts w:ascii="黑体" w:hAnsi="宋体" w:eastAsia="黑体"/>
          <w:color w:val="auto"/>
          <w:sz w:val="32"/>
          <w:szCs w:val="32"/>
        </w:rPr>
      </w:pPr>
    </w:p>
    <w:p w14:paraId="5498DD27">
      <w:pPr>
        <w:jc w:val="center"/>
        <w:rPr>
          <w:rFonts w:ascii="黑体" w:hAnsi="宋体" w:eastAsia="黑体"/>
          <w:color w:val="auto"/>
          <w:sz w:val="32"/>
          <w:szCs w:val="32"/>
        </w:rPr>
      </w:pPr>
    </w:p>
    <w:p w14:paraId="1D712717">
      <w:pPr>
        <w:jc w:val="both"/>
        <w:rPr>
          <w:rFonts w:ascii="黑体" w:hAnsi="宋体" w:eastAsia="黑体"/>
          <w:color w:val="auto"/>
          <w:sz w:val="32"/>
          <w:szCs w:val="32"/>
        </w:rPr>
      </w:pPr>
    </w:p>
    <w:p w14:paraId="60FB831F">
      <w:pPr>
        <w:pStyle w:val="2"/>
        <w:spacing w:before="0" w:after="0" w:line="240" w:lineRule="auto"/>
        <w:ind w:firstLine="640" w:firstLineChars="200"/>
        <w:jc w:val="left"/>
        <w:rPr>
          <w:rFonts w:ascii="黑体" w:hAnsi="黑体" w:eastAsia="黑体" w:cs="黑体"/>
          <w:b w:val="0"/>
          <w:bCs w:val="0"/>
          <w:color w:val="auto"/>
          <w:sz w:val="32"/>
          <w:szCs w:val="32"/>
        </w:rPr>
      </w:pPr>
      <w:r>
        <w:rPr>
          <w:rFonts w:hint="eastAsia" w:ascii="黑体" w:hAnsi="黑体" w:eastAsia="黑体" w:cs="黑体"/>
          <w:b w:val="0"/>
          <w:bCs w:val="0"/>
          <w:color w:val="auto"/>
          <w:sz w:val="32"/>
          <w:szCs w:val="32"/>
        </w:rPr>
        <w:t>一、事故基本情况</w:t>
      </w:r>
    </w:p>
    <w:tbl>
      <w:tblPr>
        <w:tblStyle w:val="6"/>
        <w:tblW w:w="8680" w:type="dxa"/>
        <w:tblInd w:w="108" w:type="dxa"/>
        <w:tblLayout w:type="autofit"/>
        <w:tblCellMar>
          <w:top w:w="0" w:type="dxa"/>
          <w:left w:w="108" w:type="dxa"/>
          <w:bottom w:w="0" w:type="dxa"/>
          <w:right w:w="108" w:type="dxa"/>
        </w:tblCellMar>
      </w:tblPr>
      <w:tblGrid>
        <w:gridCol w:w="1870"/>
        <w:gridCol w:w="2110"/>
        <w:gridCol w:w="1909"/>
        <w:gridCol w:w="91"/>
        <w:gridCol w:w="2700"/>
      </w:tblGrid>
      <w:tr w14:paraId="6A77A54C">
        <w:tblPrEx>
          <w:tblCellMar>
            <w:top w:w="0" w:type="dxa"/>
            <w:left w:w="108" w:type="dxa"/>
            <w:bottom w:w="0" w:type="dxa"/>
            <w:right w:w="108" w:type="dxa"/>
          </w:tblCellMar>
        </w:tblPrEx>
        <w:trPr>
          <w:trHeight w:val="369" w:hRule="atLeast"/>
        </w:trPr>
        <w:tc>
          <w:tcPr>
            <w:tcW w:w="8680" w:type="dxa"/>
            <w:gridSpan w:val="5"/>
            <w:tcBorders>
              <w:top w:val="single" w:color="auto" w:sz="4" w:space="0"/>
              <w:left w:val="single" w:color="auto" w:sz="4" w:space="0"/>
              <w:bottom w:val="single" w:color="auto" w:sz="4" w:space="0"/>
              <w:right w:val="single" w:color="auto" w:sz="4" w:space="0"/>
            </w:tcBorders>
            <w:noWrap w:val="0"/>
            <w:vAlign w:val="center"/>
          </w:tcPr>
          <w:p w14:paraId="078E715B">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事故基本情况表</w:t>
            </w:r>
          </w:p>
        </w:tc>
      </w:tr>
      <w:tr w14:paraId="09D1608E">
        <w:tblPrEx>
          <w:tblCellMar>
            <w:top w:w="0" w:type="dxa"/>
            <w:left w:w="108" w:type="dxa"/>
            <w:bottom w:w="0" w:type="dxa"/>
            <w:right w:w="108" w:type="dxa"/>
          </w:tblCellMar>
        </w:tblPrEx>
        <w:trPr>
          <w:trHeight w:val="357" w:hRule="atLeast"/>
        </w:trPr>
        <w:tc>
          <w:tcPr>
            <w:tcW w:w="1870" w:type="dxa"/>
            <w:tcBorders>
              <w:top w:val="nil"/>
              <w:left w:val="single" w:color="auto" w:sz="4" w:space="0"/>
              <w:bottom w:val="single" w:color="auto" w:sz="4" w:space="0"/>
              <w:right w:val="single" w:color="auto" w:sz="4" w:space="0"/>
            </w:tcBorders>
            <w:noWrap w:val="0"/>
            <w:vAlign w:val="center"/>
          </w:tcPr>
          <w:p w14:paraId="3F160A46">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事故发生单位</w:t>
            </w:r>
          </w:p>
        </w:tc>
        <w:tc>
          <w:tcPr>
            <w:tcW w:w="6810" w:type="dxa"/>
            <w:gridSpan w:val="4"/>
            <w:tcBorders>
              <w:top w:val="single" w:color="auto" w:sz="4" w:space="0"/>
              <w:left w:val="nil"/>
              <w:bottom w:val="single" w:color="auto" w:sz="4" w:space="0"/>
              <w:right w:val="single" w:color="auto" w:sz="4" w:space="0"/>
            </w:tcBorders>
            <w:noWrap w:val="0"/>
            <w:vAlign w:val="center"/>
          </w:tcPr>
          <w:p w14:paraId="4504A8CA">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lang w:val="en-US" w:eastAsia="zh-CN"/>
              </w:rPr>
              <w:t>天津市龙腾信责钢结构工程有限公司</w:t>
            </w:r>
          </w:p>
        </w:tc>
      </w:tr>
      <w:tr w14:paraId="2E5D9E12">
        <w:tblPrEx>
          <w:tblCellMar>
            <w:top w:w="0" w:type="dxa"/>
            <w:left w:w="108" w:type="dxa"/>
            <w:bottom w:w="0" w:type="dxa"/>
            <w:right w:w="108" w:type="dxa"/>
          </w:tblCellMar>
        </w:tblPrEx>
        <w:trPr>
          <w:trHeight w:val="703" w:hRule="atLeast"/>
        </w:trPr>
        <w:tc>
          <w:tcPr>
            <w:tcW w:w="1870" w:type="dxa"/>
            <w:tcBorders>
              <w:top w:val="nil"/>
              <w:left w:val="single" w:color="auto" w:sz="4" w:space="0"/>
              <w:bottom w:val="single" w:color="auto" w:sz="4" w:space="0"/>
              <w:right w:val="single" w:color="auto" w:sz="4" w:space="0"/>
            </w:tcBorders>
            <w:noWrap w:val="0"/>
            <w:vAlign w:val="center"/>
          </w:tcPr>
          <w:p w14:paraId="32624356">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事故发生单位地址</w:t>
            </w:r>
          </w:p>
        </w:tc>
        <w:tc>
          <w:tcPr>
            <w:tcW w:w="6810" w:type="dxa"/>
            <w:gridSpan w:val="4"/>
            <w:tcBorders>
              <w:top w:val="single" w:color="auto" w:sz="4" w:space="0"/>
              <w:left w:val="nil"/>
              <w:bottom w:val="single" w:color="auto" w:sz="4" w:space="0"/>
              <w:right w:val="single" w:color="auto" w:sz="4" w:space="0"/>
            </w:tcBorders>
            <w:noWrap w:val="0"/>
            <w:vAlign w:val="center"/>
          </w:tcPr>
          <w:p w14:paraId="2653F4C6">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天津市静海区双塘镇杨家园村崔杨路北100米</w:t>
            </w:r>
          </w:p>
        </w:tc>
      </w:tr>
      <w:tr w14:paraId="3D582021">
        <w:tblPrEx>
          <w:tblCellMar>
            <w:top w:w="0" w:type="dxa"/>
            <w:left w:w="108" w:type="dxa"/>
            <w:bottom w:w="0" w:type="dxa"/>
            <w:right w:w="108" w:type="dxa"/>
          </w:tblCellMar>
        </w:tblPrEx>
        <w:trPr>
          <w:trHeight w:val="1049" w:hRule="atLeast"/>
        </w:trPr>
        <w:tc>
          <w:tcPr>
            <w:tcW w:w="1870" w:type="dxa"/>
            <w:tcBorders>
              <w:top w:val="nil"/>
              <w:left w:val="single" w:color="auto" w:sz="4" w:space="0"/>
              <w:bottom w:val="single" w:color="auto" w:sz="4" w:space="0"/>
              <w:right w:val="single" w:color="auto" w:sz="4" w:space="0"/>
            </w:tcBorders>
            <w:noWrap w:val="0"/>
            <w:vAlign w:val="center"/>
          </w:tcPr>
          <w:p w14:paraId="7250F67F">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 xml:space="preserve">  法定代表人</w:t>
            </w:r>
            <w:r>
              <w:rPr>
                <w:rFonts w:hint="eastAsia" w:ascii="仿宋_GB2312" w:hAnsi="宋体" w:eastAsia="仿宋_GB2312" w:cs="宋体"/>
                <w:color w:val="auto"/>
                <w:kern w:val="0"/>
                <w:sz w:val="24"/>
              </w:rPr>
              <w:br w:type="textWrapping"/>
            </w:r>
            <w:r>
              <w:rPr>
                <w:rFonts w:hint="eastAsia" w:ascii="仿宋_GB2312" w:hAnsi="宋体" w:eastAsia="仿宋_GB2312" w:cs="宋体"/>
                <w:color w:val="auto"/>
                <w:kern w:val="0"/>
                <w:sz w:val="24"/>
              </w:rPr>
              <w:t>（主要负责人）</w:t>
            </w:r>
          </w:p>
        </w:tc>
        <w:tc>
          <w:tcPr>
            <w:tcW w:w="2110" w:type="dxa"/>
            <w:tcBorders>
              <w:top w:val="nil"/>
              <w:left w:val="nil"/>
              <w:bottom w:val="single" w:color="auto" w:sz="4" w:space="0"/>
              <w:right w:val="single" w:color="auto" w:sz="4" w:space="0"/>
            </w:tcBorders>
            <w:noWrap w:val="0"/>
            <w:vAlign w:val="center"/>
          </w:tcPr>
          <w:p w14:paraId="65CAEC4A">
            <w:pPr>
              <w:widowControl/>
              <w:jc w:val="left"/>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rPr>
              <w:t>　孙利红</w:t>
            </w:r>
          </w:p>
        </w:tc>
        <w:tc>
          <w:tcPr>
            <w:tcW w:w="1909" w:type="dxa"/>
            <w:tcBorders>
              <w:top w:val="nil"/>
              <w:left w:val="nil"/>
              <w:bottom w:val="single" w:color="auto" w:sz="4" w:space="0"/>
              <w:right w:val="single" w:color="auto" w:sz="4" w:space="0"/>
            </w:tcBorders>
            <w:noWrap w:val="0"/>
            <w:vAlign w:val="center"/>
          </w:tcPr>
          <w:p w14:paraId="3DFCE162">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安全（质量）</w:t>
            </w:r>
            <w:r>
              <w:rPr>
                <w:rFonts w:hint="eastAsia" w:ascii="仿宋_GB2312" w:hAnsi="宋体" w:eastAsia="仿宋_GB2312" w:cs="宋体"/>
                <w:color w:val="auto"/>
                <w:kern w:val="0"/>
                <w:sz w:val="24"/>
              </w:rPr>
              <w:br w:type="textWrapping"/>
            </w:r>
            <w:r>
              <w:rPr>
                <w:rFonts w:hint="eastAsia" w:ascii="仿宋_GB2312" w:hAnsi="宋体" w:eastAsia="仿宋_GB2312" w:cs="宋体"/>
                <w:color w:val="auto"/>
                <w:kern w:val="0"/>
                <w:sz w:val="24"/>
              </w:rPr>
              <w:t>管理负责人</w:t>
            </w:r>
          </w:p>
        </w:tc>
        <w:tc>
          <w:tcPr>
            <w:tcW w:w="2791" w:type="dxa"/>
            <w:gridSpan w:val="2"/>
            <w:tcBorders>
              <w:top w:val="nil"/>
              <w:left w:val="nil"/>
              <w:bottom w:val="single" w:color="auto" w:sz="4" w:space="0"/>
              <w:right w:val="single" w:color="auto" w:sz="4" w:space="0"/>
            </w:tcBorders>
            <w:noWrap w:val="0"/>
            <w:vAlign w:val="center"/>
          </w:tcPr>
          <w:p w14:paraId="6816503F">
            <w:pPr>
              <w:widowControl/>
              <w:jc w:val="left"/>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王喜刚</w:t>
            </w:r>
          </w:p>
        </w:tc>
      </w:tr>
      <w:tr w14:paraId="005CB6A2">
        <w:tblPrEx>
          <w:tblCellMar>
            <w:top w:w="0" w:type="dxa"/>
            <w:left w:w="108" w:type="dxa"/>
            <w:bottom w:w="0" w:type="dxa"/>
            <w:right w:w="108" w:type="dxa"/>
          </w:tblCellMar>
        </w:tblPrEx>
        <w:trPr>
          <w:trHeight w:val="364" w:hRule="atLeast"/>
        </w:trPr>
        <w:tc>
          <w:tcPr>
            <w:tcW w:w="1870" w:type="dxa"/>
            <w:tcBorders>
              <w:top w:val="nil"/>
              <w:left w:val="single" w:color="auto" w:sz="4" w:space="0"/>
              <w:bottom w:val="single" w:color="auto" w:sz="4" w:space="0"/>
              <w:right w:val="single" w:color="auto" w:sz="4" w:space="0"/>
            </w:tcBorders>
            <w:noWrap w:val="0"/>
            <w:vAlign w:val="center"/>
          </w:tcPr>
          <w:p w14:paraId="7E2CD0DC">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单位性质</w:t>
            </w:r>
          </w:p>
        </w:tc>
        <w:tc>
          <w:tcPr>
            <w:tcW w:w="2110" w:type="dxa"/>
            <w:tcBorders>
              <w:top w:val="nil"/>
              <w:left w:val="nil"/>
              <w:bottom w:val="single" w:color="auto" w:sz="4" w:space="0"/>
              <w:right w:val="single" w:color="auto" w:sz="4" w:space="0"/>
            </w:tcBorders>
            <w:noWrap w:val="0"/>
            <w:vAlign w:val="center"/>
          </w:tcPr>
          <w:p w14:paraId="778084E9">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　有限责任公司</w:t>
            </w:r>
          </w:p>
        </w:tc>
        <w:tc>
          <w:tcPr>
            <w:tcW w:w="1909" w:type="dxa"/>
            <w:tcBorders>
              <w:top w:val="nil"/>
              <w:left w:val="nil"/>
              <w:bottom w:val="single" w:color="auto" w:sz="4" w:space="0"/>
              <w:right w:val="single" w:color="auto" w:sz="4" w:space="0"/>
            </w:tcBorders>
            <w:noWrap w:val="0"/>
            <w:vAlign w:val="center"/>
          </w:tcPr>
          <w:p w14:paraId="4605E75A">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所属行业</w:t>
            </w:r>
          </w:p>
        </w:tc>
        <w:tc>
          <w:tcPr>
            <w:tcW w:w="2791" w:type="dxa"/>
            <w:gridSpan w:val="2"/>
            <w:tcBorders>
              <w:top w:val="nil"/>
              <w:left w:val="nil"/>
              <w:bottom w:val="single" w:color="auto" w:sz="4" w:space="0"/>
              <w:right w:val="single" w:color="auto" w:sz="4" w:space="0"/>
            </w:tcBorders>
            <w:noWrap w:val="0"/>
            <w:vAlign w:val="center"/>
          </w:tcPr>
          <w:p w14:paraId="0FF47920">
            <w:pPr>
              <w:widowControl/>
              <w:jc w:val="left"/>
              <w:rPr>
                <w:rFonts w:hint="eastAsia" w:ascii="仿宋_GB2312" w:hAnsi="宋体" w:eastAsia="仿宋_GB2312" w:cs="宋体"/>
                <w:color w:val="auto"/>
                <w:kern w:val="0"/>
                <w:sz w:val="24"/>
                <w:lang w:eastAsia="zh-CN"/>
              </w:rPr>
            </w:pPr>
            <w:r>
              <w:rPr>
                <w:rFonts w:hint="default" w:ascii="仿宋_GB2312" w:hAnsi="宋体" w:eastAsia="仿宋_GB2312" w:cs="宋体"/>
                <w:color w:val="auto"/>
                <w:kern w:val="0"/>
                <w:sz w:val="24"/>
                <w:lang w:val="en-US"/>
              </w:rPr>
              <w:t xml:space="preserve"> </w:t>
            </w:r>
          </w:p>
        </w:tc>
      </w:tr>
      <w:tr w14:paraId="72F78462">
        <w:tblPrEx>
          <w:tblCellMar>
            <w:top w:w="0" w:type="dxa"/>
            <w:left w:w="108" w:type="dxa"/>
            <w:bottom w:w="0" w:type="dxa"/>
            <w:right w:w="108" w:type="dxa"/>
          </w:tblCellMar>
        </w:tblPrEx>
        <w:trPr>
          <w:trHeight w:val="703" w:hRule="atLeast"/>
        </w:trPr>
        <w:tc>
          <w:tcPr>
            <w:tcW w:w="1870" w:type="dxa"/>
            <w:tcBorders>
              <w:top w:val="nil"/>
              <w:left w:val="single" w:color="auto" w:sz="4" w:space="0"/>
              <w:bottom w:val="single" w:color="auto" w:sz="4" w:space="0"/>
              <w:right w:val="single" w:color="auto" w:sz="4" w:space="0"/>
            </w:tcBorders>
            <w:noWrap w:val="0"/>
            <w:vAlign w:val="center"/>
          </w:tcPr>
          <w:p w14:paraId="3BBA788C">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单位类别</w:t>
            </w:r>
          </w:p>
        </w:tc>
        <w:tc>
          <w:tcPr>
            <w:tcW w:w="2110" w:type="dxa"/>
            <w:tcBorders>
              <w:top w:val="nil"/>
              <w:left w:val="nil"/>
              <w:bottom w:val="single" w:color="auto" w:sz="4" w:space="0"/>
              <w:right w:val="single" w:color="auto" w:sz="4" w:space="0"/>
            </w:tcBorders>
            <w:noWrap w:val="0"/>
            <w:vAlign w:val="center"/>
          </w:tcPr>
          <w:p w14:paraId="4068E502">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　使用</w:t>
            </w:r>
          </w:p>
        </w:tc>
        <w:tc>
          <w:tcPr>
            <w:tcW w:w="1909" w:type="dxa"/>
            <w:tcBorders>
              <w:top w:val="nil"/>
              <w:left w:val="nil"/>
              <w:bottom w:val="single" w:color="auto" w:sz="4" w:space="0"/>
              <w:right w:val="single" w:color="auto" w:sz="4" w:space="0"/>
            </w:tcBorders>
            <w:noWrap w:val="0"/>
            <w:vAlign w:val="center"/>
          </w:tcPr>
          <w:p w14:paraId="1357EE97">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统一社会信用码</w:t>
            </w:r>
          </w:p>
        </w:tc>
        <w:tc>
          <w:tcPr>
            <w:tcW w:w="2791" w:type="dxa"/>
            <w:gridSpan w:val="2"/>
            <w:tcBorders>
              <w:top w:val="nil"/>
              <w:left w:val="nil"/>
              <w:bottom w:val="single" w:color="auto" w:sz="4" w:space="0"/>
              <w:right w:val="single" w:color="auto" w:sz="4" w:space="0"/>
            </w:tcBorders>
            <w:noWrap w:val="0"/>
            <w:vAlign w:val="center"/>
          </w:tcPr>
          <w:p w14:paraId="58277B3A">
            <w:pPr>
              <w:widowControl/>
              <w:jc w:val="left"/>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rPr>
              <w:t>91120223MA06Q2DK62</w:t>
            </w:r>
          </w:p>
        </w:tc>
      </w:tr>
      <w:tr w14:paraId="599D8761">
        <w:tblPrEx>
          <w:tblCellMar>
            <w:top w:w="0" w:type="dxa"/>
            <w:left w:w="108" w:type="dxa"/>
            <w:bottom w:w="0" w:type="dxa"/>
            <w:right w:w="108" w:type="dxa"/>
          </w:tblCellMar>
        </w:tblPrEx>
        <w:trPr>
          <w:trHeight w:val="357" w:hRule="atLeast"/>
        </w:trPr>
        <w:tc>
          <w:tcPr>
            <w:tcW w:w="1870" w:type="dxa"/>
            <w:tcBorders>
              <w:top w:val="nil"/>
              <w:left w:val="single" w:color="auto" w:sz="4" w:space="0"/>
              <w:bottom w:val="single" w:color="auto" w:sz="4" w:space="0"/>
              <w:right w:val="single" w:color="auto" w:sz="4" w:space="0"/>
            </w:tcBorders>
            <w:noWrap w:val="0"/>
            <w:vAlign w:val="center"/>
          </w:tcPr>
          <w:p w14:paraId="32688499">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作业人员数量</w:t>
            </w:r>
          </w:p>
        </w:tc>
        <w:tc>
          <w:tcPr>
            <w:tcW w:w="2110" w:type="dxa"/>
            <w:tcBorders>
              <w:top w:val="nil"/>
              <w:left w:val="nil"/>
              <w:bottom w:val="single" w:color="auto" w:sz="4" w:space="0"/>
              <w:right w:val="single" w:color="auto" w:sz="4" w:space="0"/>
            </w:tcBorders>
            <w:noWrap w:val="0"/>
            <w:vAlign w:val="center"/>
          </w:tcPr>
          <w:p w14:paraId="499B138A">
            <w:pPr>
              <w:widowControl/>
              <w:jc w:val="left"/>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rPr>
              <w:t>　</w:t>
            </w:r>
            <w:r>
              <w:rPr>
                <w:rFonts w:hint="default" w:ascii="仿宋_GB2312" w:hAnsi="宋体" w:eastAsia="仿宋_GB2312" w:cs="宋体"/>
                <w:color w:val="auto"/>
                <w:kern w:val="0"/>
                <w:sz w:val="24"/>
                <w:lang w:val="en-US" w:eastAsia="zh-CN"/>
              </w:rPr>
              <w:t>1</w:t>
            </w:r>
            <w:r>
              <w:rPr>
                <w:rFonts w:hint="eastAsia" w:ascii="仿宋_GB2312" w:hAnsi="宋体" w:eastAsia="仿宋_GB2312" w:cs="宋体"/>
                <w:color w:val="auto"/>
                <w:kern w:val="0"/>
                <w:sz w:val="24"/>
                <w:lang w:val="en-US" w:eastAsia="zh-CN"/>
              </w:rPr>
              <w:t>人</w:t>
            </w:r>
          </w:p>
        </w:tc>
        <w:tc>
          <w:tcPr>
            <w:tcW w:w="1909" w:type="dxa"/>
            <w:tcBorders>
              <w:top w:val="nil"/>
              <w:left w:val="nil"/>
              <w:bottom w:val="single" w:color="auto" w:sz="4" w:space="0"/>
              <w:right w:val="single" w:color="auto" w:sz="4" w:space="0"/>
            </w:tcBorders>
            <w:noWrap w:val="0"/>
            <w:vAlign w:val="center"/>
          </w:tcPr>
          <w:p w14:paraId="1BC362DE">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持证人员数量</w:t>
            </w:r>
          </w:p>
        </w:tc>
        <w:tc>
          <w:tcPr>
            <w:tcW w:w="2791" w:type="dxa"/>
            <w:gridSpan w:val="2"/>
            <w:tcBorders>
              <w:top w:val="nil"/>
              <w:left w:val="nil"/>
              <w:bottom w:val="single" w:color="auto" w:sz="4" w:space="0"/>
              <w:right w:val="single" w:color="auto" w:sz="4" w:space="0"/>
            </w:tcBorders>
            <w:noWrap w:val="0"/>
            <w:vAlign w:val="center"/>
          </w:tcPr>
          <w:p w14:paraId="3ECC663F">
            <w:pPr>
              <w:widowControl/>
              <w:jc w:val="left"/>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rPr>
              <w:t>　</w:t>
            </w:r>
            <w:r>
              <w:rPr>
                <w:rFonts w:hint="default" w:ascii="仿宋_GB2312" w:hAnsi="宋体" w:eastAsia="仿宋_GB2312" w:cs="宋体"/>
                <w:color w:val="auto"/>
                <w:kern w:val="0"/>
                <w:sz w:val="24"/>
                <w:lang w:val="en-US" w:eastAsia="zh-CN"/>
              </w:rPr>
              <w:t>0</w:t>
            </w:r>
            <w:r>
              <w:rPr>
                <w:rFonts w:hint="eastAsia" w:ascii="仿宋_GB2312" w:hAnsi="宋体" w:eastAsia="仿宋_GB2312" w:cs="宋体"/>
                <w:color w:val="auto"/>
                <w:kern w:val="0"/>
                <w:sz w:val="24"/>
                <w:lang w:val="en-US" w:eastAsia="zh-CN"/>
              </w:rPr>
              <w:t>人（地操无需持证）</w:t>
            </w:r>
          </w:p>
        </w:tc>
      </w:tr>
      <w:tr w14:paraId="1C11A8D0">
        <w:tblPrEx>
          <w:tblCellMar>
            <w:top w:w="0" w:type="dxa"/>
            <w:left w:w="108" w:type="dxa"/>
            <w:bottom w:w="0" w:type="dxa"/>
            <w:right w:w="108" w:type="dxa"/>
          </w:tblCellMar>
        </w:tblPrEx>
        <w:trPr>
          <w:trHeight w:val="634" w:hRule="atLeast"/>
        </w:trPr>
        <w:tc>
          <w:tcPr>
            <w:tcW w:w="1870" w:type="dxa"/>
            <w:tcBorders>
              <w:top w:val="nil"/>
              <w:left w:val="single" w:color="auto" w:sz="4" w:space="0"/>
              <w:bottom w:val="single" w:color="auto" w:sz="4" w:space="0"/>
              <w:right w:val="single" w:color="auto" w:sz="4" w:space="0"/>
            </w:tcBorders>
            <w:noWrap w:val="0"/>
            <w:vAlign w:val="center"/>
          </w:tcPr>
          <w:p w14:paraId="4531F44D">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设备种类</w:t>
            </w:r>
          </w:p>
        </w:tc>
        <w:tc>
          <w:tcPr>
            <w:tcW w:w="2110" w:type="dxa"/>
            <w:tcBorders>
              <w:top w:val="nil"/>
              <w:left w:val="nil"/>
              <w:bottom w:val="single" w:color="auto" w:sz="4" w:space="0"/>
              <w:right w:val="single" w:color="auto" w:sz="4" w:space="0"/>
            </w:tcBorders>
            <w:noWrap w:val="0"/>
            <w:vAlign w:val="center"/>
          </w:tcPr>
          <w:p w14:paraId="2BF47402">
            <w:pPr>
              <w:widowControl/>
              <w:jc w:val="left"/>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起重机械</w:t>
            </w:r>
          </w:p>
        </w:tc>
        <w:tc>
          <w:tcPr>
            <w:tcW w:w="1909" w:type="dxa"/>
            <w:tcBorders>
              <w:top w:val="nil"/>
              <w:left w:val="nil"/>
              <w:bottom w:val="single" w:color="auto" w:sz="4" w:space="0"/>
              <w:right w:val="single" w:color="auto" w:sz="4" w:space="0"/>
            </w:tcBorders>
            <w:noWrap w:val="0"/>
            <w:vAlign w:val="center"/>
          </w:tcPr>
          <w:p w14:paraId="72C5D7F2">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设备类别</w:t>
            </w:r>
          </w:p>
        </w:tc>
        <w:tc>
          <w:tcPr>
            <w:tcW w:w="2791" w:type="dxa"/>
            <w:gridSpan w:val="2"/>
            <w:tcBorders>
              <w:top w:val="nil"/>
              <w:left w:val="nil"/>
              <w:bottom w:val="single" w:color="auto" w:sz="4" w:space="0"/>
              <w:right w:val="single" w:color="auto" w:sz="4" w:space="0"/>
            </w:tcBorders>
            <w:noWrap w:val="0"/>
            <w:vAlign w:val="center"/>
          </w:tcPr>
          <w:p w14:paraId="1C2C1817">
            <w:pPr>
              <w:widowControl/>
              <w:jc w:val="left"/>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桥式起重机械</w:t>
            </w:r>
          </w:p>
        </w:tc>
      </w:tr>
      <w:tr w14:paraId="6387CA61">
        <w:tblPrEx>
          <w:tblCellMar>
            <w:top w:w="0" w:type="dxa"/>
            <w:left w:w="108" w:type="dxa"/>
            <w:bottom w:w="0" w:type="dxa"/>
            <w:right w:w="108" w:type="dxa"/>
          </w:tblCellMar>
        </w:tblPrEx>
        <w:trPr>
          <w:trHeight w:val="703" w:hRule="atLeast"/>
        </w:trPr>
        <w:tc>
          <w:tcPr>
            <w:tcW w:w="1870" w:type="dxa"/>
            <w:tcBorders>
              <w:top w:val="nil"/>
              <w:left w:val="single" w:color="auto" w:sz="4" w:space="0"/>
              <w:bottom w:val="single" w:color="auto" w:sz="4" w:space="0"/>
              <w:right w:val="single" w:color="auto" w:sz="4" w:space="0"/>
            </w:tcBorders>
            <w:noWrap w:val="0"/>
            <w:vAlign w:val="center"/>
          </w:tcPr>
          <w:p w14:paraId="597ED946">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设备品种（名称）</w:t>
            </w:r>
          </w:p>
        </w:tc>
        <w:tc>
          <w:tcPr>
            <w:tcW w:w="2110" w:type="dxa"/>
            <w:tcBorders>
              <w:top w:val="nil"/>
              <w:left w:val="nil"/>
              <w:bottom w:val="single" w:color="auto" w:sz="4" w:space="0"/>
              <w:right w:val="single" w:color="auto" w:sz="4" w:space="0"/>
            </w:tcBorders>
            <w:noWrap w:val="0"/>
            <w:vAlign w:val="center"/>
          </w:tcPr>
          <w:p w14:paraId="6EF7FA72">
            <w:pPr>
              <w:widowControl/>
              <w:jc w:val="left"/>
              <w:rPr>
                <w:rFonts w:hint="default" w:ascii="仿宋_GB2312" w:hAnsi="宋体" w:eastAsia="仿宋_GB2312" w:cs="宋体"/>
                <w:color w:val="auto"/>
                <w:kern w:val="0"/>
                <w:sz w:val="24"/>
                <w:lang w:val="en-US" w:eastAsia="zh-CN"/>
              </w:rPr>
            </w:pPr>
            <w:r>
              <w:rPr>
                <w:rFonts w:hint="default" w:ascii="仿宋_GB2312" w:hAnsi="宋体" w:eastAsia="仿宋_GB2312" w:cs="宋体"/>
                <w:color w:val="auto"/>
                <w:kern w:val="0"/>
                <w:sz w:val="24"/>
                <w:lang w:val="en-US" w:eastAsia="zh-CN"/>
              </w:rPr>
              <w:t>电动单梁起重机</w:t>
            </w:r>
          </w:p>
        </w:tc>
        <w:tc>
          <w:tcPr>
            <w:tcW w:w="1909" w:type="dxa"/>
            <w:tcBorders>
              <w:top w:val="nil"/>
              <w:left w:val="nil"/>
              <w:bottom w:val="single" w:color="auto" w:sz="4" w:space="0"/>
              <w:right w:val="single" w:color="auto" w:sz="4" w:space="0"/>
            </w:tcBorders>
            <w:noWrap w:val="0"/>
            <w:vAlign w:val="center"/>
          </w:tcPr>
          <w:p w14:paraId="7812A634">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设备代码</w:t>
            </w:r>
          </w:p>
        </w:tc>
        <w:tc>
          <w:tcPr>
            <w:tcW w:w="2791" w:type="dxa"/>
            <w:gridSpan w:val="2"/>
            <w:tcBorders>
              <w:top w:val="nil"/>
              <w:left w:val="nil"/>
              <w:bottom w:val="single" w:color="auto" w:sz="4" w:space="0"/>
              <w:right w:val="single" w:color="auto" w:sz="4" w:space="0"/>
            </w:tcBorders>
            <w:noWrap w:val="0"/>
            <w:vAlign w:val="center"/>
          </w:tcPr>
          <w:p w14:paraId="3CE8DB39">
            <w:pPr>
              <w:widowControl/>
              <w:jc w:val="left"/>
              <w:rPr>
                <w:rFonts w:hint="default" w:ascii="仿宋_GB2312" w:hAnsi="宋体" w:eastAsia="仿宋_GB2312" w:cs="宋体"/>
                <w:color w:val="auto"/>
                <w:kern w:val="0"/>
                <w:sz w:val="24"/>
                <w:lang w:val="en-US" w:eastAsia="zh-CN"/>
              </w:rPr>
            </w:pPr>
            <w:r>
              <w:rPr>
                <w:rFonts w:hint="default" w:ascii="仿宋_GB2312" w:hAnsi="宋体" w:eastAsia="仿宋_GB2312" w:cs="宋体"/>
                <w:color w:val="auto"/>
                <w:kern w:val="0"/>
                <w:sz w:val="24"/>
                <w:lang w:val="en-US" w:eastAsia="zh-CN"/>
              </w:rPr>
              <w:t>41701201182023100030</w:t>
            </w:r>
          </w:p>
        </w:tc>
      </w:tr>
      <w:tr w14:paraId="669CD3CB">
        <w:tblPrEx>
          <w:tblCellMar>
            <w:top w:w="0" w:type="dxa"/>
            <w:left w:w="108" w:type="dxa"/>
            <w:bottom w:w="0" w:type="dxa"/>
            <w:right w:w="108" w:type="dxa"/>
          </w:tblCellMar>
        </w:tblPrEx>
        <w:trPr>
          <w:trHeight w:val="357" w:hRule="atLeast"/>
        </w:trPr>
        <w:tc>
          <w:tcPr>
            <w:tcW w:w="1870" w:type="dxa"/>
            <w:tcBorders>
              <w:top w:val="nil"/>
              <w:left w:val="single" w:color="auto" w:sz="4" w:space="0"/>
              <w:bottom w:val="single" w:color="auto" w:sz="4" w:space="0"/>
              <w:right w:val="single" w:color="auto" w:sz="4" w:space="0"/>
            </w:tcBorders>
            <w:noWrap w:val="0"/>
            <w:vAlign w:val="center"/>
          </w:tcPr>
          <w:p w14:paraId="1EDE0D1C">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产品编号</w:t>
            </w:r>
          </w:p>
        </w:tc>
        <w:tc>
          <w:tcPr>
            <w:tcW w:w="2110" w:type="dxa"/>
            <w:tcBorders>
              <w:top w:val="nil"/>
              <w:left w:val="nil"/>
              <w:bottom w:val="single" w:color="auto" w:sz="4" w:space="0"/>
              <w:right w:val="single" w:color="auto" w:sz="4" w:space="0"/>
            </w:tcBorders>
            <w:noWrap w:val="0"/>
            <w:vAlign w:val="center"/>
          </w:tcPr>
          <w:p w14:paraId="367C6637">
            <w:pPr>
              <w:widowControl/>
              <w:jc w:val="left"/>
              <w:rPr>
                <w:rFonts w:hint="default" w:ascii="仿宋_GB2312" w:hAnsi="宋体" w:eastAsia="仿宋_GB2312" w:cs="宋体"/>
                <w:color w:val="auto"/>
                <w:kern w:val="0"/>
                <w:sz w:val="24"/>
                <w:lang w:val="en-US" w:eastAsia="zh-CN"/>
              </w:rPr>
            </w:pPr>
            <w:r>
              <w:rPr>
                <w:rFonts w:hint="default" w:ascii="仿宋_GB2312" w:hAnsi="宋体" w:eastAsia="仿宋_GB2312" w:cs="宋体"/>
                <w:color w:val="auto"/>
                <w:kern w:val="0"/>
                <w:sz w:val="24"/>
                <w:lang w:val="en-US" w:eastAsia="zh-CN"/>
              </w:rPr>
              <w:t>2309100015</w:t>
            </w:r>
          </w:p>
        </w:tc>
        <w:tc>
          <w:tcPr>
            <w:tcW w:w="1909" w:type="dxa"/>
            <w:tcBorders>
              <w:top w:val="nil"/>
              <w:left w:val="nil"/>
              <w:bottom w:val="single" w:color="auto" w:sz="4" w:space="0"/>
              <w:right w:val="single" w:color="auto" w:sz="4" w:space="0"/>
            </w:tcBorders>
            <w:noWrap w:val="0"/>
            <w:vAlign w:val="center"/>
          </w:tcPr>
          <w:p w14:paraId="6EDFE9B9">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制造日期</w:t>
            </w:r>
          </w:p>
        </w:tc>
        <w:tc>
          <w:tcPr>
            <w:tcW w:w="2791" w:type="dxa"/>
            <w:gridSpan w:val="2"/>
            <w:tcBorders>
              <w:top w:val="nil"/>
              <w:left w:val="nil"/>
              <w:bottom w:val="single" w:color="auto" w:sz="4" w:space="0"/>
              <w:right w:val="single" w:color="auto" w:sz="4" w:space="0"/>
            </w:tcBorders>
            <w:noWrap w:val="0"/>
            <w:vAlign w:val="center"/>
          </w:tcPr>
          <w:p w14:paraId="722CA891">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20</w:t>
            </w:r>
            <w:r>
              <w:rPr>
                <w:rFonts w:hint="default" w:ascii="仿宋_GB2312" w:hAnsi="宋体" w:eastAsia="仿宋_GB2312" w:cs="宋体"/>
                <w:color w:val="auto"/>
                <w:kern w:val="0"/>
                <w:sz w:val="24"/>
                <w:lang w:val="en-US"/>
              </w:rPr>
              <w:t>23</w:t>
            </w:r>
            <w:r>
              <w:rPr>
                <w:rFonts w:hint="eastAsia" w:ascii="仿宋_GB2312" w:hAnsi="宋体" w:eastAsia="仿宋_GB2312" w:cs="宋体"/>
                <w:color w:val="auto"/>
                <w:kern w:val="0"/>
                <w:sz w:val="24"/>
              </w:rPr>
              <w:t>年</w:t>
            </w:r>
            <w:r>
              <w:rPr>
                <w:rFonts w:hint="default" w:ascii="仿宋_GB2312" w:hAnsi="宋体" w:eastAsia="仿宋_GB2312" w:cs="宋体"/>
                <w:color w:val="auto"/>
                <w:kern w:val="0"/>
                <w:sz w:val="24"/>
                <w:lang w:val="en-US"/>
              </w:rPr>
              <w:t>9</w:t>
            </w:r>
            <w:r>
              <w:rPr>
                <w:rFonts w:hint="eastAsia" w:ascii="仿宋_GB2312" w:hAnsi="宋体" w:eastAsia="仿宋_GB2312" w:cs="宋体"/>
                <w:color w:val="auto"/>
                <w:kern w:val="0"/>
                <w:sz w:val="24"/>
              </w:rPr>
              <w:t>月</w:t>
            </w:r>
            <w:r>
              <w:rPr>
                <w:rFonts w:hint="default" w:ascii="仿宋_GB2312" w:hAnsi="宋体" w:eastAsia="仿宋_GB2312" w:cs="宋体"/>
                <w:color w:val="auto"/>
                <w:kern w:val="0"/>
                <w:sz w:val="24"/>
                <w:lang w:val="en-US"/>
              </w:rPr>
              <w:t>1</w:t>
            </w:r>
            <w:r>
              <w:rPr>
                <w:rFonts w:hint="eastAsia" w:ascii="仿宋_GB2312" w:hAnsi="宋体" w:eastAsia="仿宋_GB2312" w:cs="宋体"/>
                <w:color w:val="auto"/>
                <w:kern w:val="0"/>
                <w:sz w:val="24"/>
              </w:rPr>
              <w:t>日</w:t>
            </w:r>
          </w:p>
        </w:tc>
      </w:tr>
      <w:tr w14:paraId="51F13F6F">
        <w:tblPrEx>
          <w:tblCellMar>
            <w:top w:w="0" w:type="dxa"/>
            <w:left w:w="108" w:type="dxa"/>
            <w:bottom w:w="0" w:type="dxa"/>
            <w:right w:w="108" w:type="dxa"/>
          </w:tblCellMar>
        </w:tblPrEx>
        <w:trPr>
          <w:trHeight w:val="357" w:hRule="atLeast"/>
        </w:trPr>
        <w:tc>
          <w:tcPr>
            <w:tcW w:w="1870" w:type="dxa"/>
            <w:tcBorders>
              <w:top w:val="nil"/>
              <w:left w:val="single" w:color="auto" w:sz="4" w:space="0"/>
              <w:bottom w:val="single" w:color="auto" w:sz="4" w:space="0"/>
              <w:right w:val="single" w:color="auto" w:sz="4" w:space="0"/>
            </w:tcBorders>
            <w:noWrap w:val="0"/>
            <w:vAlign w:val="center"/>
          </w:tcPr>
          <w:p w14:paraId="77754B95">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设备用途</w:t>
            </w:r>
          </w:p>
        </w:tc>
        <w:tc>
          <w:tcPr>
            <w:tcW w:w="2110" w:type="dxa"/>
            <w:tcBorders>
              <w:top w:val="nil"/>
              <w:left w:val="nil"/>
              <w:bottom w:val="single" w:color="auto" w:sz="4" w:space="0"/>
              <w:right w:val="single" w:color="auto" w:sz="4" w:space="0"/>
            </w:tcBorders>
            <w:noWrap w:val="0"/>
            <w:vAlign w:val="center"/>
          </w:tcPr>
          <w:p w14:paraId="2F63402F">
            <w:pPr>
              <w:widowControl/>
              <w:jc w:val="left"/>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rPr>
              <w:t>　</w:t>
            </w:r>
            <w:r>
              <w:rPr>
                <w:rFonts w:hint="eastAsia" w:ascii="仿宋_GB2312" w:hAnsi="宋体" w:eastAsia="仿宋_GB2312" w:cs="宋体"/>
                <w:color w:val="auto"/>
                <w:kern w:val="0"/>
                <w:sz w:val="24"/>
                <w:lang w:val="en-US" w:eastAsia="zh-CN"/>
              </w:rPr>
              <w:t>吊装</w:t>
            </w:r>
          </w:p>
        </w:tc>
        <w:tc>
          <w:tcPr>
            <w:tcW w:w="1909" w:type="dxa"/>
            <w:tcBorders>
              <w:top w:val="nil"/>
              <w:left w:val="nil"/>
              <w:bottom w:val="single" w:color="auto" w:sz="4" w:space="0"/>
              <w:right w:val="single" w:color="auto" w:sz="4" w:space="0"/>
            </w:tcBorders>
            <w:noWrap w:val="0"/>
            <w:vAlign w:val="center"/>
          </w:tcPr>
          <w:p w14:paraId="72C8B744">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施工日期</w:t>
            </w:r>
          </w:p>
        </w:tc>
        <w:tc>
          <w:tcPr>
            <w:tcW w:w="2791" w:type="dxa"/>
            <w:gridSpan w:val="2"/>
            <w:tcBorders>
              <w:top w:val="nil"/>
              <w:left w:val="nil"/>
              <w:bottom w:val="single" w:color="auto" w:sz="4" w:space="0"/>
              <w:right w:val="single" w:color="auto" w:sz="4" w:space="0"/>
            </w:tcBorders>
            <w:noWrap w:val="0"/>
            <w:vAlign w:val="center"/>
          </w:tcPr>
          <w:p w14:paraId="43DFEB26">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20</w:t>
            </w:r>
            <w:r>
              <w:rPr>
                <w:rFonts w:hint="default" w:ascii="仿宋_GB2312" w:hAnsi="宋体" w:eastAsia="仿宋_GB2312" w:cs="宋体"/>
                <w:color w:val="auto"/>
                <w:kern w:val="0"/>
                <w:sz w:val="24"/>
                <w:lang w:val="en-US"/>
              </w:rPr>
              <w:t>23</w:t>
            </w:r>
            <w:r>
              <w:rPr>
                <w:rFonts w:hint="eastAsia" w:ascii="仿宋_GB2312" w:hAnsi="宋体" w:eastAsia="仿宋_GB2312" w:cs="宋体"/>
                <w:color w:val="auto"/>
                <w:kern w:val="0"/>
                <w:sz w:val="24"/>
              </w:rPr>
              <w:t>年</w:t>
            </w:r>
            <w:r>
              <w:rPr>
                <w:rFonts w:hint="default" w:ascii="仿宋_GB2312" w:hAnsi="宋体" w:eastAsia="仿宋_GB2312" w:cs="宋体"/>
                <w:color w:val="auto"/>
                <w:kern w:val="0"/>
                <w:sz w:val="24"/>
                <w:lang w:val="en-US"/>
              </w:rPr>
              <w:t>9</w:t>
            </w:r>
            <w:r>
              <w:rPr>
                <w:rFonts w:hint="eastAsia" w:ascii="仿宋_GB2312" w:hAnsi="宋体" w:eastAsia="仿宋_GB2312" w:cs="宋体"/>
                <w:color w:val="auto"/>
                <w:kern w:val="0"/>
                <w:sz w:val="24"/>
              </w:rPr>
              <w:t>月</w:t>
            </w:r>
            <w:r>
              <w:rPr>
                <w:rFonts w:hint="default" w:ascii="仿宋_GB2312" w:hAnsi="宋体" w:eastAsia="仿宋_GB2312" w:cs="宋体"/>
                <w:color w:val="auto"/>
                <w:kern w:val="0"/>
                <w:sz w:val="24"/>
                <w:lang w:val="en-US"/>
              </w:rPr>
              <w:t>20</w:t>
            </w:r>
            <w:r>
              <w:rPr>
                <w:rFonts w:hint="eastAsia" w:ascii="仿宋_GB2312" w:hAnsi="宋体" w:eastAsia="仿宋_GB2312" w:cs="宋体"/>
                <w:color w:val="auto"/>
                <w:kern w:val="0"/>
                <w:sz w:val="24"/>
              </w:rPr>
              <w:t>日</w:t>
            </w:r>
          </w:p>
        </w:tc>
      </w:tr>
      <w:tr w14:paraId="48A5D4EC">
        <w:tblPrEx>
          <w:tblCellMar>
            <w:top w:w="0" w:type="dxa"/>
            <w:left w:w="108" w:type="dxa"/>
            <w:bottom w:w="0" w:type="dxa"/>
            <w:right w:w="108" w:type="dxa"/>
          </w:tblCellMar>
        </w:tblPrEx>
        <w:trPr>
          <w:trHeight w:val="703" w:hRule="atLeast"/>
        </w:trPr>
        <w:tc>
          <w:tcPr>
            <w:tcW w:w="1870" w:type="dxa"/>
            <w:tcBorders>
              <w:top w:val="nil"/>
              <w:left w:val="single" w:color="auto" w:sz="4" w:space="0"/>
              <w:bottom w:val="single" w:color="auto" w:sz="4" w:space="0"/>
              <w:right w:val="single" w:color="auto" w:sz="4" w:space="0"/>
            </w:tcBorders>
            <w:noWrap w:val="0"/>
            <w:vAlign w:val="center"/>
          </w:tcPr>
          <w:p w14:paraId="119D2AF0">
            <w:pPr>
              <w:widowControl/>
              <w:jc w:val="left"/>
              <w:rPr>
                <w:rFonts w:hint="eastAsia" w:ascii="仿宋_GB2312" w:hAnsi="宋体" w:eastAsia="仿宋_GB2312" w:cs="宋体"/>
                <w:color w:val="auto"/>
                <w:kern w:val="0"/>
                <w:sz w:val="24"/>
                <w:highlight w:val="yellow"/>
              </w:rPr>
            </w:pPr>
            <w:r>
              <w:rPr>
                <w:rFonts w:hint="eastAsia" w:ascii="仿宋_GB2312" w:hAnsi="宋体" w:eastAsia="仿宋_GB2312" w:cs="宋体"/>
                <w:color w:val="auto"/>
                <w:kern w:val="0"/>
                <w:sz w:val="24"/>
                <w:highlight w:val="none"/>
              </w:rPr>
              <w:t>投用运行日期</w:t>
            </w:r>
          </w:p>
        </w:tc>
        <w:tc>
          <w:tcPr>
            <w:tcW w:w="2110" w:type="dxa"/>
            <w:tcBorders>
              <w:top w:val="nil"/>
              <w:left w:val="nil"/>
              <w:bottom w:val="single" w:color="auto" w:sz="4" w:space="0"/>
              <w:right w:val="single" w:color="auto" w:sz="4" w:space="0"/>
            </w:tcBorders>
            <w:noWrap w:val="0"/>
            <w:vAlign w:val="center"/>
          </w:tcPr>
          <w:p w14:paraId="25E2B1BE">
            <w:pPr>
              <w:widowControl/>
              <w:jc w:val="left"/>
              <w:rPr>
                <w:rFonts w:hint="eastAsia" w:ascii="仿宋_GB2312" w:hAnsi="宋体" w:eastAsia="仿宋_GB2312" w:cs="宋体"/>
                <w:color w:val="auto"/>
                <w:kern w:val="0"/>
                <w:sz w:val="24"/>
                <w:highlight w:val="yellow"/>
              </w:rPr>
            </w:pPr>
            <w:r>
              <w:rPr>
                <w:rFonts w:hint="eastAsia" w:ascii="仿宋_GB2312" w:hAnsi="宋体" w:eastAsia="仿宋_GB2312" w:cs="宋体"/>
                <w:color w:val="auto"/>
                <w:kern w:val="0"/>
                <w:sz w:val="24"/>
              </w:rPr>
              <w:t>20</w:t>
            </w:r>
            <w:r>
              <w:rPr>
                <w:rFonts w:hint="default" w:ascii="仿宋_GB2312" w:hAnsi="宋体" w:eastAsia="仿宋_GB2312" w:cs="宋体"/>
                <w:color w:val="auto"/>
                <w:kern w:val="0"/>
                <w:sz w:val="24"/>
                <w:lang w:val="en-US"/>
              </w:rPr>
              <w:t>23</w:t>
            </w:r>
            <w:r>
              <w:rPr>
                <w:rFonts w:hint="eastAsia" w:ascii="仿宋_GB2312" w:hAnsi="宋体" w:eastAsia="仿宋_GB2312" w:cs="宋体"/>
                <w:color w:val="auto"/>
                <w:kern w:val="0"/>
                <w:sz w:val="24"/>
              </w:rPr>
              <w:t>年</w:t>
            </w:r>
            <w:r>
              <w:rPr>
                <w:rFonts w:hint="default" w:ascii="仿宋_GB2312" w:hAnsi="宋体" w:eastAsia="仿宋_GB2312" w:cs="宋体"/>
                <w:color w:val="auto"/>
                <w:kern w:val="0"/>
                <w:sz w:val="24"/>
                <w:lang w:val="en-US"/>
              </w:rPr>
              <w:t>11</w:t>
            </w:r>
            <w:r>
              <w:rPr>
                <w:rFonts w:hint="eastAsia" w:ascii="仿宋_GB2312" w:hAnsi="宋体" w:eastAsia="仿宋_GB2312" w:cs="宋体"/>
                <w:color w:val="auto"/>
                <w:kern w:val="0"/>
                <w:sz w:val="24"/>
              </w:rPr>
              <w:t>月</w:t>
            </w:r>
            <w:r>
              <w:rPr>
                <w:rFonts w:hint="default" w:ascii="仿宋_GB2312" w:hAnsi="宋体" w:eastAsia="仿宋_GB2312" w:cs="宋体"/>
                <w:color w:val="auto"/>
                <w:kern w:val="0"/>
                <w:sz w:val="24"/>
                <w:lang w:val="en-US"/>
              </w:rPr>
              <w:t>10</w:t>
            </w:r>
            <w:r>
              <w:rPr>
                <w:rFonts w:hint="eastAsia" w:ascii="仿宋_GB2312" w:hAnsi="宋体" w:eastAsia="仿宋_GB2312" w:cs="宋体"/>
                <w:color w:val="auto"/>
                <w:kern w:val="0"/>
                <w:sz w:val="24"/>
              </w:rPr>
              <w:t>日</w:t>
            </w:r>
          </w:p>
        </w:tc>
        <w:tc>
          <w:tcPr>
            <w:tcW w:w="1909" w:type="dxa"/>
            <w:tcBorders>
              <w:top w:val="nil"/>
              <w:left w:val="nil"/>
              <w:bottom w:val="single" w:color="auto" w:sz="4" w:space="0"/>
              <w:right w:val="single" w:color="auto" w:sz="4" w:space="0"/>
            </w:tcBorders>
            <w:noWrap w:val="0"/>
            <w:vAlign w:val="center"/>
          </w:tcPr>
          <w:p w14:paraId="20988813">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使用登记日期</w:t>
            </w:r>
          </w:p>
        </w:tc>
        <w:tc>
          <w:tcPr>
            <w:tcW w:w="2791" w:type="dxa"/>
            <w:gridSpan w:val="2"/>
            <w:tcBorders>
              <w:top w:val="nil"/>
              <w:left w:val="nil"/>
              <w:bottom w:val="single" w:color="auto" w:sz="4" w:space="0"/>
              <w:right w:val="single" w:color="auto" w:sz="4" w:space="0"/>
            </w:tcBorders>
            <w:noWrap w:val="0"/>
            <w:vAlign w:val="center"/>
          </w:tcPr>
          <w:p w14:paraId="2678F780">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20</w:t>
            </w:r>
            <w:r>
              <w:rPr>
                <w:rFonts w:hint="default" w:ascii="仿宋_GB2312" w:hAnsi="宋体" w:eastAsia="仿宋_GB2312" w:cs="宋体"/>
                <w:color w:val="auto"/>
                <w:kern w:val="0"/>
                <w:sz w:val="24"/>
                <w:lang w:val="en-US"/>
              </w:rPr>
              <w:t>23</w:t>
            </w:r>
            <w:r>
              <w:rPr>
                <w:rFonts w:hint="eastAsia" w:ascii="仿宋_GB2312" w:hAnsi="宋体" w:eastAsia="仿宋_GB2312" w:cs="宋体"/>
                <w:color w:val="auto"/>
                <w:kern w:val="0"/>
                <w:sz w:val="24"/>
              </w:rPr>
              <w:t>年</w:t>
            </w:r>
            <w:r>
              <w:rPr>
                <w:rFonts w:hint="default" w:ascii="仿宋_GB2312" w:hAnsi="宋体" w:eastAsia="仿宋_GB2312" w:cs="宋体"/>
                <w:color w:val="auto"/>
                <w:kern w:val="0"/>
                <w:sz w:val="24"/>
                <w:lang w:val="en-US"/>
              </w:rPr>
              <w:t>10</w:t>
            </w:r>
            <w:r>
              <w:rPr>
                <w:rFonts w:hint="eastAsia" w:ascii="仿宋_GB2312" w:hAnsi="宋体" w:eastAsia="仿宋_GB2312" w:cs="宋体"/>
                <w:color w:val="auto"/>
                <w:kern w:val="0"/>
                <w:sz w:val="24"/>
              </w:rPr>
              <w:t>月</w:t>
            </w:r>
            <w:r>
              <w:rPr>
                <w:rFonts w:hint="default" w:ascii="仿宋_GB2312" w:hAnsi="宋体" w:eastAsia="仿宋_GB2312" w:cs="宋体"/>
                <w:color w:val="auto"/>
                <w:kern w:val="0"/>
                <w:sz w:val="24"/>
                <w:lang w:val="en-US"/>
              </w:rPr>
              <w:t>25</w:t>
            </w:r>
            <w:r>
              <w:rPr>
                <w:rFonts w:hint="eastAsia" w:ascii="仿宋_GB2312" w:hAnsi="宋体" w:eastAsia="仿宋_GB2312" w:cs="宋体"/>
                <w:color w:val="auto"/>
                <w:kern w:val="0"/>
                <w:sz w:val="24"/>
              </w:rPr>
              <w:t>日</w:t>
            </w:r>
          </w:p>
        </w:tc>
      </w:tr>
      <w:tr w14:paraId="0F1B1F56">
        <w:tblPrEx>
          <w:tblCellMar>
            <w:top w:w="0" w:type="dxa"/>
            <w:left w:w="108" w:type="dxa"/>
            <w:bottom w:w="0" w:type="dxa"/>
            <w:right w:w="108" w:type="dxa"/>
          </w:tblCellMar>
        </w:tblPrEx>
        <w:trPr>
          <w:trHeight w:val="703" w:hRule="atLeast"/>
        </w:trPr>
        <w:tc>
          <w:tcPr>
            <w:tcW w:w="1870" w:type="dxa"/>
            <w:tcBorders>
              <w:top w:val="nil"/>
              <w:left w:val="single" w:color="auto" w:sz="4" w:space="0"/>
              <w:bottom w:val="single" w:color="auto" w:sz="4" w:space="0"/>
              <w:right w:val="single" w:color="auto" w:sz="4" w:space="0"/>
            </w:tcBorders>
            <w:noWrap w:val="0"/>
            <w:vAlign w:val="center"/>
          </w:tcPr>
          <w:p w14:paraId="076D2E3A">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使用登记证编号</w:t>
            </w:r>
          </w:p>
        </w:tc>
        <w:tc>
          <w:tcPr>
            <w:tcW w:w="2110" w:type="dxa"/>
            <w:tcBorders>
              <w:top w:val="nil"/>
              <w:left w:val="nil"/>
              <w:bottom w:val="single" w:color="auto" w:sz="4" w:space="0"/>
              <w:right w:val="single" w:color="auto" w:sz="4" w:space="0"/>
            </w:tcBorders>
            <w:noWrap w:val="0"/>
            <w:vAlign w:val="center"/>
          </w:tcPr>
          <w:p w14:paraId="2BF8D43B">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起17津R06029(23)</w:t>
            </w:r>
          </w:p>
        </w:tc>
        <w:tc>
          <w:tcPr>
            <w:tcW w:w="1909" w:type="dxa"/>
            <w:tcBorders>
              <w:top w:val="nil"/>
              <w:left w:val="nil"/>
              <w:bottom w:val="single" w:color="auto" w:sz="4" w:space="0"/>
              <w:right w:val="single" w:color="auto" w:sz="4" w:space="0"/>
            </w:tcBorders>
            <w:noWrap w:val="0"/>
            <w:vAlign w:val="center"/>
          </w:tcPr>
          <w:p w14:paraId="07B9CD3C">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检验类别</w:t>
            </w:r>
          </w:p>
        </w:tc>
        <w:tc>
          <w:tcPr>
            <w:tcW w:w="2791" w:type="dxa"/>
            <w:gridSpan w:val="2"/>
            <w:tcBorders>
              <w:top w:val="nil"/>
              <w:left w:val="nil"/>
              <w:bottom w:val="single" w:color="auto" w:sz="4" w:space="0"/>
              <w:right w:val="single" w:color="auto" w:sz="4" w:space="0"/>
            </w:tcBorders>
            <w:noWrap w:val="0"/>
            <w:vAlign w:val="center"/>
          </w:tcPr>
          <w:p w14:paraId="47CF52CE">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　定期检验</w:t>
            </w:r>
          </w:p>
        </w:tc>
      </w:tr>
      <w:tr w14:paraId="3E162923">
        <w:tblPrEx>
          <w:tblCellMar>
            <w:top w:w="0" w:type="dxa"/>
            <w:left w:w="108" w:type="dxa"/>
            <w:bottom w:w="0" w:type="dxa"/>
            <w:right w:w="108" w:type="dxa"/>
          </w:tblCellMar>
        </w:tblPrEx>
        <w:trPr>
          <w:trHeight w:val="357" w:hRule="atLeast"/>
        </w:trPr>
        <w:tc>
          <w:tcPr>
            <w:tcW w:w="1870" w:type="dxa"/>
            <w:tcBorders>
              <w:top w:val="nil"/>
              <w:left w:val="single" w:color="auto" w:sz="4" w:space="0"/>
              <w:bottom w:val="single" w:color="auto" w:sz="4" w:space="0"/>
              <w:right w:val="single" w:color="auto" w:sz="4" w:space="0"/>
            </w:tcBorders>
            <w:noWrap w:val="0"/>
            <w:vAlign w:val="center"/>
          </w:tcPr>
          <w:p w14:paraId="33AEC0E9">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检验日期</w:t>
            </w:r>
          </w:p>
        </w:tc>
        <w:tc>
          <w:tcPr>
            <w:tcW w:w="2110" w:type="dxa"/>
            <w:tcBorders>
              <w:top w:val="nil"/>
              <w:left w:val="nil"/>
              <w:bottom w:val="single" w:color="auto" w:sz="4" w:space="0"/>
              <w:right w:val="single" w:color="auto" w:sz="4" w:space="0"/>
            </w:tcBorders>
            <w:noWrap w:val="0"/>
            <w:vAlign w:val="center"/>
          </w:tcPr>
          <w:p w14:paraId="5A7904CF">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20</w:t>
            </w:r>
            <w:r>
              <w:rPr>
                <w:rFonts w:hint="eastAsia" w:ascii="仿宋_GB2312" w:hAnsi="宋体" w:eastAsia="仿宋_GB2312" w:cs="宋体"/>
                <w:color w:val="auto"/>
                <w:kern w:val="0"/>
                <w:sz w:val="24"/>
                <w:lang w:val="en-US" w:eastAsia="zh-CN"/>
              </w:rPr>
              <w:t>2</w:t>
            </w:r>
            <w:r>
              <w:rPr>
                <w:rFonts w:hint="default" w:ascii="仿宋_GB2312" w:hAnsi="宋体" w:eastAsia="仿宋_GB2312" w:cs="宋体"/>
                <w:color w:val="auto"/>
                <w:kern w:val="0"/>
                <w:sz w:val="24"/>
                <w:lang w:val="en-US" w:eastAsia="zh-CN"/>
              </w:rPr>
              <w:t>3</w:t>
            </w:r>
            <w:r>
              <w:rPr>
                <w:rFonts w:hint="eastAsia" w:ascii="仿宋_GB2312" w:hAnsi="宋体" w:eastAsia="仿宋_GB2312" w:cs="宋体"/>
                <w:color w:val="auto"/>
                <w:kern w:val="0"/>
                <w:sz w:val="24"/>
              </w:rPr>
              <w:t>年</w:t>
            </w:r>
            <w:r>
              <w:rPr>
                <w:rFonts w:hint="default" w:ascii="仿宋_GB2312" w:hAnsi="宋体" w:eastAsia="仿宋_GB2312" w:cs="宋体"/>
                <w:color w:val="auto"/>
                <w:kern w:val="0"/>
                <w:sz w:val="24"/>
                <w:lang w:val="en-US" w:eastAsia="zh-CN"/>
              </w:rPr>
              <w:t>9</w:t>
            </w:r>
            <w:r>
              <w:rPr>
                <w:rFonts w:hint="eastAsia" w:ascii="仿宋_GB2312" w:hAnsi="宋体" w:eastAsia="仿宋_GB2312" w:cs="宋体"/>
                <w:color w:val="auto"/>
                <w:kern w:val="0"/>
                <w:sz w:val="24"/>
              </w:rPr>
              <w:t>月</w:t>
            </w:r>
            <w:r>
              <w:rPr>
                <w:rFonts w:hint="default" w:ascii="仿宋_GB2312" w:hAnsi="宋体" w:eastAsia="仿宋_GB2312" w:cs="宋体"/>
                <w:color w:val="auto"/>
                <w:kern w:val="0"/>
                <w:sz w:val="24"/>
                <w:lang w:val="en-US" w:eastAsia="zh-CN"/>
              </w:rPr>
              <w:t>18</w:t>
            </w:r>
            <w:r>
              <w:rPr>
                <w:rFonts w:hint="eastAsia" w:ascii="仿宋_GB2312" w:hAnsi="宋体" w:eastAsia="仿宋_GB2312" w:cs="宋体"/>
                <w:color w:val="auto"/>
                <w:kern w:val="0"/>
                <w:sz w:val="24"/>
              </w:rPr>
              <w:t>日</w:t>
            </w:r>
          </w:p>
        </w:tc>
        <w:tc>
          <w:tcPr>
            <w:tcW w:w="1909" w:type="dxa"/>
            <w:tcBorders>
              <w:top w:val="nil"/>
              <w:left w:val="nil"/>
              <w:bottom w:val="single" w:color="auto" w:sz="4" w:space="0"/>
              <w:right w:val="single" w:color="auto" w:sz="4" w:space="0"/>
            </w:tcBorders>
            <w:noWrap w:val="0"/>
            <w:vAlign w:val="center"/>
          </w:tcPr>
          <w:p w14:paraId="05527E24">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检验结论意见</w:t>
            </w:r>
          </w:p>
        </w:tc>
        <w:tc>
          <w:tcPr>
            <w:tcW w:w="2791" w:type="dxa"/>
            <w:gridSpan w:val="2"/>
            <w:tcBorders>
              <w:top w:val="nil"/>
              <w:left w:val="nil"/>
              <w:bottom w:val="single" w:color="auto" w:sz="4" w:space="0"/>
              <w:right w:val="single" w:color="auto" w:sz="4" w:space="0"/>
            </w:tcBorders>
            <w:noWrap w:val="0"/>
            <w:vAlign w:val="center"/>
          </w:tcPr>
          <w:p w14:paraId="18507C18">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　</w:t>
            </w:r>
            <w:r>
              <w:rPr>
                <w:rFonts w:hint="eastAsia" w:ascii="仿宋_GB2312" w:hAnsi="宋体" w:eastAsia="仿宋_GB2312" w:cs="宋体"/>
                <w:color w:val="auto"/>
                <w:kern w:val="0"/>
                <w:sz w:val="24"/>
                <w:lang w:eastAsia="zh-CN"/>
              </w:rPr>
              <w:t>检验</w:t>
            </w:r>
            <w:r>
              <w:rPr>
                <w:rFonts w:hint="eastAsia" w:ascii="仿宋_GB2312" w:hAnsi="宋体" w:eastAsia="仿宋_GB2312" w:cs="宋体"/>
                <w:color w:val="auto"/>
                <w:kern w:val="0"/>
                <w:sz w:val="24"/>
              </w:rPr>
              <w:t>合格</w:t>
            </w:r>
          </w:p>
        </w:tc>
      </w:tr>
      <w:tr w14:paraId="146A5534">
        <w:tblPrEx>
          <w:tblCellMar>
            <w:top w:w="0" w:type="dxa"/>
            <w:left w:w="108" w:type="dxa"/>
            <w:bottom w:w="0" w:type="dxa"/>
            <w:right w:w="108" w:type="dxa"/>
          </w:tblCellMar>
        </w:tblPrEx>
        <w:trPr>
          <w:trHeight w:val="357" w:hRule="atLeast"/>
        </w:trPr>
        <w:tc>
          <w:tcPr>
            <w:tcW w:w="1870" w:type="dxa"/>
            <w:tcBorders>
              <w:top w:val="nil"/>
              <w:left w:val="single" w:color="auto" w:sz="4" w:space="0"/>
              <w:bottom w:val="single" w:color="auto" w:sz="4" w:space="0"/>
              <w:right w:val="single" w:color="auto" w:sz="4" w:space="0"/>
            </w:tcBorders>
            <w:noWrap w:val="0"/>
            <w:vAlign w:val="center"/>
          </w:tcPr>
          <w:p w14:paraId="202DB9E9">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事故发生时间</w:t>
            </w:r>
          </w:p>
        </w:tc>
        <w:tc>
          <w:tcPr>
            <w:tcW w:w="6810" w:type="dxa"/>
            <w:gridSpan w:val="4"/>
            <w:tcBorders>
              <w:top w:val="single" w:color="auto" w:sz="4" w:space="0"/>
              <w:left w:val="nil"/>
              <w:bottom w:val="single" w:color="auto" w:sz="4" w:space="0"/>
              <w:right w:val="single" w:color="auto" w:sz="4" w:space="0"/>
            </w:tcBorders>
            <w:noWrap w:val="0"/>
            <w:vAlign w:val="center"/>
          </w:tcPr>
          <w:p w14:paraId="74DAEF7E">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2025年4月20日15时55分左右</w:t>
            </w:r>
          </w:p>
        </w:tc>
      </w:tr>
      <w:tr w14:paraId="606C403B">
        <w:tblPrEx>
          <w:tblCellMar>
            <w:top w:w="0" w:type="dxa"/>
            <w:left w:w="108" w:type="dxa"/>
            <w:bottom w:w="0" w:type="dxa"/>
            <w:right w:w="108" w:type="dxa"/>
          </w:tblCellMar>
        </w:tblPrEx>
        <w:trPr>
          <w:trHeight w:val="357" w:hRule="atLeast"/>
        </w:trPr>
        <w:tc>
          <w:tcPr>
            <w:tcW w:w="1870" w:type="dxa"/>
            <w:tcBorders>
              <w:top w:val="nil"/>
              <w:left w:val="single" w:color="auto" w:sz="4" w:space="0"/>
              <w:bottom w:val="single" w:color="auto" w:sz="4" w:space="0"/>
              <w:right w:val="single" w:color="auto" w:sz="4" w:space="0"/>
            </w:tcBorders>
            <w:noWrap w:val="0"/>
            <w:vAlign w:val="center"/>
          </w:tcPr>
          <w:p w14:paraId="15AD7283">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事故特征</w:t>
            </w:r>
          </w:p>
        </w:tc>
        <w:tc>
          <w:tcPr>
            <w:tcW w:w="6810" w:type="dxa"/>
            <w:gridSpan w:val="4"/>
            <w:tcBorders>
              <w:top w:val="single" w:color="auto" w:sz="4" w:space="0"/>
              <w:left w:val="nil"/>
              <w:bottom w:val="single" w:color="auto" w:sz="4" w:space="0"/>
              <w:right w:val="single" w:color="auto" w:sz="4" w:space="0"/>
            </w:tcBorders>
            <w:noWrap w:val="0"/>
            <w:vAlign w:val="center"/>
          </w:tcPr>
          <w:p w14:paraId="3AE304E8">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lang w:val="en-US" w:eastAsia="zh-CN"/>
              </w:rPr>
              <w:t>吊装物体滑落</w:t>
            </w:r>
            <w:r>
              <w:rPr>
                <w:rFonts w:hint="eastAsia" w:ascii="仿宋_GB2312" w:hAnsi="宋体" w:eastAsia="仿宋_GB2312" w:cs="宋体"/>
                <w:color w:val="auto"/>
                <w:kern w:val="0"/>
                <w:sz w:val="24"/>
              </w:rPr>
              <w:t>　</w:t>
            </w:r>
          </w:p>
        </w:tc>
      </w:tr>
      <w:tr w14:paraId="224280A4">
        <w:tblPrEx>
          <w:tblCellMar>
            <w:top w:w="0" w:type="dxa"/>
            <w:left w:w="108" w:type="dxa"/>
            <w:bottom w:w="0" w:type="dxa"/>
            <w:right w:w="108" w:type="dxa"/>
          </w:tblCellMar>
        </w:tblPrEx>
        <w:trPr>
          <w:trHeight w:val="357" w:hRule="atLeast"/>
        </w:trPr>
        <w:tc>
          <w:tcPr>
            <w:tcW w:w="1870" w:type="dxa"/>
            <w:tcBorders>
              <w:top w:val="nil"/>
              <w:left w:val="single" w:color="auto" w:sz="4" w:space="0"/>
              <w:bottom w:val="single" w:color="auto" w:sz="4" w:space="0"/>
              <w:right w:val="single" w:color="auto" w:sz="4" w:space="0"/>
            </w:tcBorders>
            <w:noWrap w:val="0"/>
            <w:vAlign w:val="center"/>
          </w:tcPr>
          <w:p w14:paraId="567294DA">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事故发生地点</w:t>
            </w:r>
          </w:p>
        </w:tc>
        <w:tc>
          <w:tcPr>
            <w:tcW w:w="6810" w:type="dxa"/>
            <w:gridSpan w:val="4"/>
            <w:tcBorders>
              <w:top w:val="single" w:color="auto" w:sz="4" w:space="0"/>
              <w:left w:val="nil"/>
              <w:bottom w:val="single" w:color="auto" w:sz="4" w:space="0"/>
              <w:right w:val="single" w:color="auto" w:sz="4" w:space="0"/>
            </w:tcBorders>
            <w:noWrap w:val="0"/>
            <w:vAlign w:val="center"/>
          </w:tcPr>
          <w:p w14:paraId="60E7C7F8">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江苏振江新能源装备股份有限公司</w:t>
            </w:r>
            <w:r>
              <w:rPr>
                <w:rFonts w:hint="eastAsia" w:ascii="仿宋_GB2312" w:hAnsi="宋体" w:eastAsia="仿宋_GB2312" w:cs="宋体"/>
                <w:color w:val="auto"/>
                <w:kern w:val="0"/>
                <w:sz w:val="24"/>
                <w:lang w:val="en-US" w:eastAsia="zh-CN"/>
              </w:rPr>
              <w:t>租赁的厂房</w:t>
            </w:r>
            <w:r>
              <w:rPr>
                <w:rFonts w:hint="eastAsia" w:ascii="仿宋_GB2312" w:hAnsi="宋体" w:eastAsia="仿宋_GB2312" w:cs="宋体"/>
                <w:color w:val="auto"/>
                <w:kern w:val="0"/>
                <w:sz w:val="24"/>
              </w:rPr>
              <w:t>　</w:t>
            </w:r>
          </w:p>
        </w:tc>
      </w:tr>
      <w:tr w14:paraId="01651B54">
        <w:tblPrEx>
          <w:tblCellMar>
            <w:top w:w="0" w:type="dxa"/>
            <w:left w:w="108" w:type="dxa"/>
            <w:bottom w:w="0" w:type="dxa"/>
            <w:right w:w="108" w:type="dxa"/>
          </w:tblCellMar>
        </w:tblPrEx>
        <w:trPr>
          <w:trHeight w:val="357" w:hRule="atLeast"/>
        </w:trPr>
        <w:tc>
          <w:tcPr>
            <w:tcW w:w="1870" w:type="dxa"/>
            <w:tcBorders>
              <w:top w:val="nil"/>
              <w:left w:val="single" w:color="auto" w:sz="4" w:space="0"/>
              <w:bottom w:val="single" w:color="auto" w:sz="4" w:space="0"/>
              <w:right w:val="single" w:color="auto" w:sz="4" w:space="0"/>
            </w:tcBorders>
            <w:noWrap w:val="0"/>
            <w:vAlign w:val="center"/>
          </w:tcPr>
          <w:p w14:paraId="3223BA58">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事故等级</w:t>
            </w:r>
          </w:p>
        </w:tc>
        <w:tc>
          <w:tcPr>
            <w:tcW w:w="2110" w:type="dxa"/>
            <w:tcBorders>
              <w:top w:val="nil"/>
              <w:left w:val="nil"/>
              <w:bottom w:val="single" w:color="auto" w:sz="4" w:space="0"/>
              <w:right w:val="single" w:color="auto" w:sz="4" w:space="0"/>
            </w:tcBorders>
            <w:noWrap w:val="0"/>
            <w:vAlign w:val="center"/>
          </w:tcPr>
          <w:p w14:paraId="6AAE5FD2">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　一般</w:t>
            </w:r>
          </w:p>
        </w:tc>
        <w:tc>
          <w:tcPr>
            <w:tcW w:w="2000" w:type="dxa"/>
            <w:gridSpan w:val="2"/>
            <w:tcBorders>
              <w:top w:val="nil"/>
              <w:left w:val="nil"/>
              <w:bottom w:val="single" w:color="auto" w:sz="4" w:space="0"/>
              <w:right w:val="single" w:color="auto" w:sz="4" w:space="0"/>
            </w:tcBorders>
            <w:noWrap w:val="0"/>
            <w:vAlign w:val="center"/>
          </w:tcPr>
          <w:p w14:paraId="30B9B702">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事故性质</w:t>
            </w:r>
          </w:p>
        </w:tc>
        <w:tc>
          <w:tcPr>
            <w:tcW w:w="2700" w:type="dxa"/>
            <w:tcBorders>
              <w:top w:val="nil"/>
              <w:left w:val="nil"/>
              <w:bottom w:val="single" w:color="auto" w:sz="4" w:space="0"/>
              <w:right w:val="single" w:color="auto" w:sz="4" w:space="0"/>
            </w:tcBorders>
            <w:noWrap w:val="0"/>
            <w:vAlign w:val="center"/>
          </w:tcPr>
          <w:p w14:paraId="2728AA20">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生产安全责任事故</w:t>
            </w:r>
          </w:p>
        </w:tc>
      </w:tr>
      <w:tr w14:paraId="2920CEC9">
        <w:tblPrEx>
          <w:tblCellMar>
            <w:top w:w="0" w:type="dxa"/>
            <w:left w:w="108" w:type="dxa"/>
            <w:bottom w:w="0" w:type="dxa"/>
            <w:right w:w="108" w:type="dxa"/>
          </w:tblCellMar>
        </w:tblPrEx>
        <w:trPr>
          <w:trHeight w:val="357" w:hRule="atLeast"/>
        </w:trPr>
        <w:tc>
          <w:tcPr>
            <w:tcW w:w="1870" w:type="dxa"/>
            <w:tcBorders>
              <w:top w:val="nil"/>
              <w:left w:val="single" w:color="auto" w:sz="4" w:space="0"/>
              <w:bottom w:val="single" w:color="auto" w:sz="4" w:space="0"/>
              <w:right w:val="single" w:color="auto" w:sz="4" w:space="0"/>
            </w:tcBorders>
            <w:noWrap w:val="0"/>
            <w:vAlign w:val="center"/>
          </w:tcPr>
          <w:p w14:paraId="75757183">
            <w:pPr>
              <w:widowControl/>
              <w:jc w:val="left"/>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损坏程度</w:t>
            </w:r>
          </w:p>
        </w:tc>
        <w:tc>
          <w:tcPr>
            <w:tcW w:w="2110" w:type="dxa"/>
            <w:tcBorders>
              <w:top w:val="nil"/>
              <w:left w:val="nil"/>
              <w:bottom w:val="single" w:color="auto" w:sz="4" w:space="0"/>
              <w:right w:val="single" w:color="auto" w:sz="4" w:space="0"/>
            </w:tcBorders>
            <w:noWrap w:val="0"/>
            <w:vAlign w:val="center"/>
          </w:tcPr>
          <w:p w14:paraId="33542B93">
            <w:pPr>
              <w:widowControl/>
              <w:jc w:val="left"/>
              <w:rPr>
                <w:rFonts w:hint="eastAsia" w:ascii="仿宋_GB2312" w:hAnsi="宋体" w:eastAsia="仿宋_GB2312" w:cs="宋体"/>
                <w:color w:val="auto"/>
                <w:kern w:val="0"/>
                <w:sz w:val="24"/>
                <w:highlight w:val="none"/>
              </w:rPr>
            </w:pPr>
          </w:p>
        </w:tc>
        <w:tc>
          <w:tcPr>
            <w:tcW w:w="2000" w:type="dxa"/>
            <w:gridSpan w:val="2"/>
            <w:tcBorders>
              <w:top w:val="nil"/>
              <w:left w:val="nil"/>
              <w:bottom w:val="single" w:color="auto" w:sz="4" w:space="0"/>
              <w:right w:val="single" w:color="auto" w:sz="4" w:space="0"/>
            </w:tcBorders>
            <w:noWrap w:val="0"/>
            <w:vAlign w:val="center"/>
          </w:tcPr>
          <w:p w14:paraId="40C421F1">
            <w:pPr>
              <w:widowControl/>
              <w:jc w:val="left"/>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事故直接原因</w:t>
            </w:r>
          </w:p>
        </w:tc>
        <w:tc>
          <w:tcPr>
            <w:tcW w:w="2700" w:type="dxa"/>
            <w:tcBorders>
              <w:top w:val="nil"/>
              <w:left w:val="nil"/>
              <w:bottom w:val="single" w:color="auto" w:sz="4" w:space="0"/>
              <w:right w:val="single" w:color="auto" w:sz="4" w:space="0"/>
            </w:tcBorders>
            <w:noWrap w:val="0"/>
            <w:vAlign w:val="center"/>
          </w:tcPr>
          <w:p w14:paraId="3A677447">
            <w:pPr>
              <w:widowControl/>
              <w:jc w:val="left"/>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物体滑落</w:t>
            </w:r>
          </w:p>
        </w:tc>
      </w:tr>
      <w:tr w14:paraId="4102FC57">
        <w:tblPrEx>
          <w:tblCellMar>
            <w:top w:w="0" w:type="dxa"/>
            <w:left w:w="108" w:type="dxa"/>
            <w:bottom w:w="0" w:type="dxa"/>
            <w:right w:w="108" w:type="dxa"/>
          </w:tblCellMar>
        </w:tblPrEx>
        <w:trPr>
          <w:trHeight w:val="357" w:hRule="atLeast"/>
        </w:trPr>
        <w:tc>
          <w:tcPr>
            <w:tcW w:w="1870" w:type="dxa"/>
            <w:tcBorders>
              <w:top w:val="nil"/>
              <w:left w:val="single" w:color="auto" w:sz="4" w:space="0"/>
              <w:bottom w:val="single" w:color="auto" w:sz="4" w:space="0"/>
              <w:right w:val="single" w:color="auto" w:sz="4" w:space="0"/>
            </w:tcBorders>
            <w:noWrap w:val="0"/>
            <w:vAlign w:val="center"/>
          </w:tcPr>
          <w:p w14:paraId="399CD222">
            <w:pPr>
              <w:widowControl/>
              <w:jc w:val="left"/>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事故主要原因</w:t>
            </w:r>
          </w:p>
        </w:tc>
        <w:tc>
          <w:tcPr>
            <w:tcW w:w="2110" w:type="dxa"/>
            <w:tcBorders>
              <w:top w:val="nil"/>
              <w:left w:val="nil"/>
              <w:bottom w:val="single" w:color="auto" w:sz="4" w:space="0"/>
              <w:right w:val="single" w:color="auto" w:sz="4" w:space="0"/>
            </w:tcBorders>
            <w:noWrap w:val="0"/>
            <w:vAlign w:val="center"/>
          </w:tcPr>
          <w:p w14:paraId="7C1FBFB3">
            <w:pPr>
              <w:widowControl/>
              <w:jc w:val="left"/>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rPr>
              <w:t>　</w:t>
            </w:r>
            <w:r>
              <w:rPr>
                <w:rFonts w:hint="eastAsia" w:ascii="仿宋_GB2312" w:hAnsi="宋体" w:eastAsia="仿宋_GB2312" w:cs="宋体"/>
                <w:color w:val="auto"/>
                <w:kern w:val="0"/>
                <w:sz w:val="24"/>
                <w:highlight w:val="none"/>
                <w:lang w:val="en-US" w:eastAsia="zh-CN"/>
              </w:rPr>
              <w:t>违章作业</w:t>
            </w:r>
          </w:p>
        </w:tc>
        <w:tc>
          <w:tcPr>
            <w:tcW w:w="2000" w:type="dxa"/>
            <w:gridSpan w:val="2"/>
            <w:tcBorders>
              <w:top w:val="nil"/>
              <w:left w:val="nil"/>
              <w:bottom w:val="single" w:color="auto" w:sz="4" w:space="0"/>
              <w:right w:val="single" w:color="auto" w:sz="4" w:space="0"/>
            </w:tcBorders>
            <w:noWrap w:val="0"/>
            <w:vAlign w:val="center"/>
          </w:tcPr>
          <w:p w14:paraId="0DA20F9D">
            <w:pPr>
              <w:widowControl/>
              <w:jc w:val="left"/>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直接经济损失</w:t>
            </w:r>
          </w:p>
        </w:tc>
        <w:tc>
          <w:tcPr>
            <w:tcW w:w="2700" w:type="dxa"/>
            <w:tcBorders>
              <w:top w:val="nil"/>
              <w:left w:val="nil"/>
              <w:bottom w:val="single" w:color="auto" w:sz="4" w:space="0"/>
              <w:right w:val="single" w:color="auto" w:sz="4" w:space="0"/>
            </w:tcBorders>
            <w:noWrap w:val="0"/>
            <w:vAlign w:val="center"/>
          </w:tcPr>
          <w:p w14:paraId="2F9B042A">
            <w:pPr>
              <w:widowControl/>
              <w:jc w:val="left"/>
              <w:rPr>
                <w:rFonts w:hint="eastAsia" w:ascii="仿宋_GB2312" w:hAnsi="宋体" w:eastAsia="仿宋_GB2312" w:cs="宋体"/>
                <w:color w:val="auto"/>
                <w:kern w:val="0"/>
                <w:sz w:val="24"/>
                <w:lang w:val="en-US" w:eastAsia="zh-CN"/>
              </w:rPr>
            </w:pPr>
            <w:r>
              <w:rPr>
                <w:rFonts w:hint="default" w:ascii="仿宋_GB2312" w:hAnsi="宋体" w:eastAsia="仿宋_GB2312" w:cs="宋体"/>
                <w:color w:val="auto"/>
                <w:kern w:val="0"/>
                <w:sz w:val="24"/>
                <w:lang w:val="en-US"/>
              </w:rPr>
              <w:t>80.2</w:t>
            </w:r>
            <w:r>
              <w:rPr>
                <w:rFonts w:hint="eastAsia" w:ascii="仿宋_GB2312" w:hAnsi="宋体" w:eastAsia="仿宋_GB2312" w:cs="宋体"/>
                <w:color w:val="auto"/>
                <w:kern w:val="0"/>
                <w:sz w:val="24"/>
                <w:lang w:val="en-US" w:eastAsia="zh-CN"/>
              </w:rPr>
              <w:t>万元</w:t>
            </w:r>
          </w:p>
        </w:tc>
      </w:tr>
      <w:tr w14:paraId="6E160440">
        <w:tblPrEx>
          <w:tblCellMar>
            <w:top w:w="0" w:type="dxa"/>
            <w:left w:w="108" w:type="dxa"/>
            <w:bottom w:w="0" w:type="dxa"/>
            <w:right w:w="108" w:type="dxa"/>
          </w:tblCellMar>
        </w:tblPrEx>
        <w:trPr>
          <w:trHeight w:val="357" w:hRule="atLeast"/>
        </w:trPr>
        <w:tc>
          <w:tcPr>
            <w:tcW w:w="1870" w:type="dxa"/>
            <w:tcBorders>
              <w:top w:val="nil"/>
              <w:left w:val="single" w:color="auto" w:sz="4" w:space="0"/>
              <w:bottom w:val="single" w:color="auto" w:sz="4" w:space="0"/>
              <w:right w:val="single" w:color="auto" w:sz="4" w:space="0"/>
            </w:tcBorders>
            <w:noWrap w:val="0"/>
            <w:vAlign w:val="center"/>
          </w:tcPr>
          <w:p w14:paraId="7C546C9A">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死亡人数</w:t>
            </w:r>
          </w:p>
        </w:tc>
        <w:tc>
          <w:tcPr>
            <w:tcW w:w="2110" w:type="dxa"/>
            <w:tcBorders>
              <w:top w:val="nil"/>
              <w:left w:val="nil"/>
              <w:bottom w:val="single" w:color="auto" w:sz="4" w:space="0"/>
              <w:right w:val="single" w:color="auto" w:sz="4" w:space="0"/>
            </w:tcBorders>
            <w:noWrap w:val="0"/>
            <w:vAlign w:val="center"/>
          </w:tcPr>
          <w:p w14:paraId="6ACBCFBC">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　1人</w:t>
            </w:r>
          </w:p>
        </w:tc>
        <w:tc>
          <w:tcPr>
            <w:tcW w:w="2000" w:type="dxa"/>
            <w:gridSpan w:val="2"/>
            <w:tcBorders>
              <w:top w:val="nil"/>
              <w:left w:val="nil"/>
              <w:bottom w:val="single" w:color="auto" w:sz="4" w:space="0"/>
              <w:right w:val="single" w:color="auto" w:sz="4" w:space="0"/>
            </w:tcBorders>
            <w:noWrap w:val="0"/>
            <w:vAlign w:val="center"/>
          </w:tcPr>
          <w:p w14:paraId="53A86D47">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受伤人数</w:t>
            </w:r>
          </w:p>
        </w:tc>
        <w:tc>
          <w:tcPr>
            <w:tcW w:w="2700" w:type="dxa"/>
            <w:tcBorders>
              <w:top w:val="nil"/>
              <w:left w:val="nil"/>
              <w:bottom w:val="single" w:color="auto" w:sz="4" w:space="0"/>
              <w:right w:val="single" w:color="auto" w:sz="4" w:space="0"/>
            </w:tcBorders>
            <w:noWrap w:val="0"/>
            <w:vAlign w:val="center"/>
          </w:tcPr>
          <w:p w14:paraId="02E1BAAB">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　无</w:t>
            </w:r>
          </w:p>
        </w:tc>
      </w:tr>
      <w:tr w14:paraId="44F180D6">
        <w:tblPrEx>
          <w:tblCellMar>
            <w:top w:w="0" w:type="dxa"/>
            <w:left w:w="108" w:type="dxa"/>
            <w:bottom w:w="0" w:type="dxa"/>
            <w:right w:w="108" w:type="dxa"/>
          </w:tblCellMar>
        </w:tblPrEx>
        <w:trPr>
          <w:trHeight w:val="703" w:hRule="atLeast"/>
        </w:trPr>
        <w:tc>
          <w:tcPr>
            <w:tcW w:w="1870" w:type="dxa"/>
            <w:tcBorders>
              <w:top w:val="nil"/>
              <w:left w:val="single" w:color="auto" w:sz="4" w:space="0"/>
              <w:bottom w:val="single" w:color="auto" w:sz="4" w:space="0"/>
              <w:right w:val="single" w:color="auto" w:sz="4" w:space="0"/>
            </w:tcBorders>
            <w:noWrap w:val="0"/>
            <w:vAlign w:val="center"/>
          </w:tcPr>
          <w:p w14:paraId="7C3B2FE7">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负责组织事故调查部门</w:t>
            </w:r>
          </w:p>
        </w:tc>
        <w:tc>
          <w:tcPr>
            <w:tcW w:w="6810" w:type="dxa"/>
            <w:gridSpan w:val="4"/>
            <w:tcBorders>
              <w:top w:val="single" w:color="auto" w:sz="4" w:space="0"/>
              <w:left w:val="nil"/>
              <w:bottom w:val="single" w:color="auto" w:sz="4" w:space="0"/>
              <w:right w:val="single" w:color="auto" w:sz="4" w:space="0"/>
            </w:tcBorders>
            <w:noWrap w:val="0"/>
            <w:vAlign w:val="center"/>
          </w:tcPr>
          <w:p w14:paraId="1F29FE96">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天津市静海区市场监督管理局　</w:t>
            </w:r>
          </w:p>
        </w:tc>
      </w:tr>
      <w:tr w14:paraId="2860000B">
        <w:tblPrEx>
          <w:tblCellMar>
            <w:top w:w="0" w:type="dxa"/>
            <w:left w:w="108" w:type="dxa"/>
            <w:bottom w:w="0" w:type="dxa"/>
            <w:right w:w="108" w:type="dxa"/>
          </w:tblCellMar>
        </w:tblPrEx>
        <w:trPr>
          <w:trHeight w:val="357" w:hRule="atLeast"/>
        </w:trPr>
        <w:tc>
          <w:tcPr>
            <w:tcW w:w="1870" w:type="dxa"/>
            <w:tcBorders>
              <w:top w:val="nil"/>
              <w:left w:val="single" w:color="auto" w:sz="4" w:space="0"/>
              <w:bottom w:val="single" w:color="auto" w:sz="4" w:space="0"/>
              <w:right w:val="single" w:color="auto" w:sz="4" w:space="0"/>
            </w:tcBorders>
            <w:noWrap w:val="0"/>
            <w:vAlign w:val="center"/>
          </w:tcPr>
          <w:p w14:paraId="053A285E">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技术鉴定机构</w:t>
            </w:r>
          </w:p>
        </w:tc>
        <w:tc>
          <w:tcPr>
            <w:tcW w:w="6810" w:type="dxa"/>
            <w:gridSpan w:val="4"/>
            <w:tcBorders>
              <w:top w:val="single" w:color="auto" w:sz="4" w:space="0"/>
              <w:left w:val="nil"/>
              <w:bottom w:val="single" w:color="auto" w:sz="4" w:space="0"/>
              <w:right w:val="single" w:color="auto" w:sz="4" w:space="0"/>
            </w:tcBorders>
            <w:noWrap w:val="0"/>
            <w:vAlign w:val="center"/>
          </w:tcPr>
          <w:p w14:paraId="02B0D16A">
            <w:pPr>
              <w:tabs>
                <w:tab w:val="left" w:pos="2445"/>
              </w:tabs>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　</w:t>
            </w:r>
          </w:p>
        </w:tc>
      </w:tr>
      <w:tr w14:paraId="67227D23">
        <w:tblPrEx>
          <w:tblCellMar>
            <w:top w:w="0" w:type="dxa"/>
            <w:left w:w="108" w:type="dxa"/>
            <w:bottom w:w="0" w:type="dxa"/>
            <w:right w:w="108" w:type="dxa"/>
          </w:tblCellMar>
        </w:tblPrEx>
        <w:trPr>
          <w:trHeight w:val="357" w:hRule="atLeast"/>
        </w:trPr>
        <w:tc>
          <w:tcPr>
            <w:tcW w:w="1870" w:type="dxa"/>
            <w:tcBorders>
              <w:top w:val="nil"/>
              <w:left w:val="single" w:color="auto" w:sz="4" w:space="0"/>
              <w:bottom w:val="single" w:color="auto" w:sz="4" w:space="0"/>
              <w:right w:val="single" w:color="auto" w:sz="4" w:space="0"/>
            </w:tcBorders>
            <w:noWrap w:val="0"/>
            <w:vAlign w:val="center"/>
          </w:tcPr>
          <w:p w14:paraId="6243321D">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损失评估机构</w:t>
            </w:r>
          </w:p>
        </w:tc>
        <w:tc>
          <w:tcPr>
            <w:tcW w:w="6810" w:type="dxa"/>
            <w:gridSpan w:val="4"/>
            <w:tcBorders>
              <w:top w:val="single" w:color="auto" w:sz="4" w:space="0"/>
              <w:left w:val="nil"/>
              <w:bottom w:val="single" w:color="auto" w:sz="4" w:space="0"/>
              <w:right w:val="single" w:color="auto" w:sz="4" w:space="0"/>
            </w:tcBorders>
            <w:noWrap w:val="0"/>
            <w:vAlign w:val="center"/>
          </w:tcPr>
          <w:p w14:paraId="0973B10B">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　</w:t>
            </w:r>
          </w:p>
        </w:tc>
      </w:tr>
      <w:tr w14:paraId="2C7F4AF3">
        <w:tblPrEx>
          <w:tblCellMar>
            <w:top w:w="0" w:type="dxa"/>
            <w:left w:w="108" w:type="dxa"/>
            <w:bottom w:w="0" w:type="dxa"/>
            <w:right w:w="108" w:type="dxa"/>
          </w:tblCellMar>
        </w:tblPrEx>
        <w:trPr>
          <w:trHeight w:val="1338" w:hRule="atLeast"/>
        </w:trPr>
        <w:tc>
          <w:tcPr>
            <w:tcW w:w="8680" w:type="dxa"/>
            <w:gridSpan w:val="5"/>
            <w:tcBorders>
              <w:top w:val="single" w:color="auto" w:sz="4" w:space="0"/>
              <w:left w:val="single" w:color="auto" w:sz="4" w:space="0"/>
              <w:bottom w:val="single" w:color="auto" w:sz="4" w:space="0"/>
              <w:right w:val="single" w:color="auto" w:sz="4" w:space="0"/>
            </w:tcBorders>
            <w:noWrap w:val="0"/>
            <w:vAlign w:val="center"/>
          </w:tcPr>
          <w:p w14:paraId="080F9351">
            <w:pPr>
              <w:widowControl/>
              <w:jc w:val="left"/>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说明：</w:t>
            </w:r>
            <w:r>
              <w:rPr>
                <w:rFonts w:hint="eastAsia" w:ascii="仿宋_GB2312" w:hAnsi="宋体" w:eastAsia="仿宋_GB2312" w:cs="宋体"/>
                <w:color w:val="auto"/>
                <w:kern w:val="0"/>
                <w:sz w:val="24"/>
              </w:rPr>
              <w:br w:type="textWrapping"/>
            </w:r>
            <w:r>
              <w:rPr>
                <w:rFonts w:hint="eastAsia" w:ascii="仿宋_GB2312" w:hAnsi="宋体" w:eastAsia="仿宋_GB2312" w:cs="宋体"/>
                <w:color w:val="auto"/>
                <w:kern w:val="0"/>
                <w:sz w:val="24"/>
              </w:rPr>
              <w:t xml:space="preserve">   </w:t>
            </w:r>
            <w:r>
              <w:rPr>
                <w:rFonts w:hint="eastAsia" w:ascii="仿宋_GB2312" w:hAnsi="宋体" w:eastAsia="仿宋_GB2312" w:cs="宋体"/>
                <w:color w:val="auto"/>
                <w:kern w:val="0"/>
                <w:sz w:val="24"/>
              </w:rPr>
              <w:br w:type="textWrapping"/>
            </w:r>
            <w:r>
              <w:rPr>
                <w:rFonts w:hint="eastAsia" w:ascii="仿宋_GB2312" w:hAnsi="宋体" w:eastAsia="仿宋_GB2312" w:cs="宋体"/>
                <w:color w:val="auto"/>
                <w:kern w:val="0"/>
                <w:sz w:val="24"/>
              </w:rPr>
              <w:t xml:space="preserve">                  调查组组长（签名）：            日期：</w:t>
            </w:r>
          </w:p>
        </w:tc>
      </w:tr>
    </w:tbl>
    <w:p w14:paraId="6BE23B0F">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依据《中华人民共和国安全生产法》《中华人民共和国特种设备安全法》《特种设备安全监察条例》《特种设备事故报告和调查处理规定》等有关法律法规规定，经报</w:t>
      </w:r>
      <w:r>
        <w:rPr>
          <w:rFonts w:hint="eastAsia" w:ascii="仿宋_GB2312" w:hAnsi="仿宋_GB2312" w:eastAsia="仿宋_GB2312" w:cs="仿宋_GB2312"/>
          <w:color w:val="auto"/>
          <w:sz w:val="32"/>
          <w:szCs w:val="32"/>
          <w:lang w:eastAsia="zh-CN"/>
        </w:rPr>
        <w:t>天津市静海区人民政府</w:t>
      </w:r>
      <w:r>
        <w:rPr>
          <w:rFonts w:hint="eastAsia" w:ascii="仿宋_GB2312" w:hAnsi="仿宋_GB2312" w:eastAsia="仿宋_GB2312" w:cs="仿宋_GB2312"/>
          <w:color w:val="auto"/>
          <w:sz w:val="32"/>
          <w:szCs w:val="32"/>
        </w:rPr>
        <w:t>批准，成立了由</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rPr>
        <w:t>市场监管局、</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rPr>
        <w:t>应急管理局、公安</w:t>
      </w:r>
      <w:r>
        <w:rPr>
          <w:rFonts w:hint="eastAsia" w:ascii="仿宋_GB2312" w:hAnsi="仿宋_GB2312" w:eastAsia="仿宋_GB2312" w:cs="仿宋_GB2312"/>
          <w:color w:val="auto"/>
          <w:sz w:val="32"/>
          <w:szCs w:val="32"/>
          <w:lang w:val="en-US" w:eastAsia="zh-CN"/>
        </w:rPr>
        <w:t>静海分</w:t>
      </w:r>
      <w:r>
        <w:rPr>
          <w:rFonts w:hint="eastAsia" w:ascii="仿宋_GB2312" w:hAnsi="仿宋_GB2312" w:eastAsia="仿宋_GB2312" w:cs="仿宋_GB2312"/>
          <w:color w:val="auto"/>
          <w:sz w:val="32"/>
          <w:szCs w:val="32"/>
        </w:rPr>
        <w:t>局、</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rPr>
        <w:t>纪委</w:t>
      </w:r>
      <w:r>
        <w:rPr>
          <w:rFonts w:hint="eastAsia" w:ascii="仿宋_GB2312" w:hAnsi="仿宋_GB2312" w:eastAsia="仿宋_GB2312" w:cs="仿宋_GB2312"/>
          <w:color w:val="auto"/>
          <w:sz w:val="32"/>
          <w:szCs w:val="32"/>
          <w:lang w:val="en-US" w:eastAsia="zh-CN"/>
        </w:rPr>
        <w:t>监委</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区总</w:t>
      </w:r>
      <w:r>
        <w:rPr>
          <w:rFonts w:hint="eastAsia" w:ascii="仿宋_GB2312" w:hAnsi="仿宋_GB2312" w:eastAsia="仿宋_GB2312" w:cs="仿宋_GB2312"/>
          <w:color w:val="auto"/>
          <w:sz w:val="32"/>
          <w:szCs w:val="32"/>
        </w:rPr>
        <w:t>工会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双塘镇人民政府、区工业和信息化局</w:t>
      </w:r>
      <w:r>
        <w:rPr>
          <w:rFonts w:hint="eastAsia" w:ascii="仿宋_GB2312" w:hAnsi="仿宋_GB2312" w:eastAsia="仿宋_GB2312" w:cs="仿宋_GB2312"/>
          <w:color w:val="auto"/>
          <w:sz w:val="32"/>
          <w:szCs w:val="32"/>
        </w:rPr>
        <w:t>等部门组成的</w:t>
      </w:r>
      <w:r>
        <w:rPr>
          <w:rFonts w:hint="eastAsia" w:ascii="仿宋_GB2312" w:hAnsi="仿宋_GB2312" w:eastAsia="仿宋_GB2312" w:cs="仿宋_GB2312"/>
          <w:color w:val="auto"/>
          <w:sz w:val="32"/>
          <w:szCs w:val="32"/>
          <w:lang w:eastAsia="zh-CN"/>
        </w:rPr>
        <w:t>天津市龙腾信责钢结构工程有限公司“4·20”起重机械</w:t>
      </w:r>
      <w:r>
        <w:rPr>
          <w:rFonts w:hint="eastAsia" w:ascii="仿宋_GB2312" w:hAnsi="仿宋_GB2312" w:eastAsia="仿宋_GB2312" w:cs="仿宋_GB2312"/>
          <w:color w:val="auto"/>
          <w:sz w:val="32"/>
          <w:szCs w:val="32"/>
        </w:rPr>
        <w:t>物体滑落事故调查组（以下简称事故调查组），组织开展事故调查工作。</w:t>
      </w:r>
    </w:p>
    <w:p w14:paraId="62CCF131">
      <w:pPr>
        <w:tabs>
          <w:tab w:val="left" w:pos="360"/>
        </w:tabs>
        <w:ind w:firstLine="640" w:firstLineChars="20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事故调查组按照“四不放过”和“科学严谨、依法依规、实事求是、注重实效”的原则，通过现场勘验、调查取证、综合分析，查明了事故发生的经过和原因，认定了事故的性质和责任，提出了对事故单位和责任人员的处理意见和建议，并</w:t>
      </w:r>
      <w:r>
        <w:rPr>
          <w:rFonts w:hint="eastAsia" w:ascii="仿宋_GB2312" w:hAnsi="仿宋_GB2312" w:eastAsia="仿宋_GB2312" w:cs="仿宋_GB2312"/>
          <w:bCs/>
          <w:color w:val="auto"/>
          <w:sz w:val="32"/>
          <w:szCs w:val="32"/>
          <w:lang w:val="zh-CN"/>
        </w:rPr>
        <w:t>针对事故原因及暴露出的突出问题，提出了</w:t>
      </w:r>
      <w:r>
        <w:rPr>
          <w:rFonts w:hint="eastAsia" w:ascii="仿宋_GB2312" w:hAnsi="仿宋_GB2312" w:eastAsia="仿宋_GB2312" w:cs="仿宋_GB2312"/>
          <w:bCs/>
          <w:color w:val="auto"/>
          <w:sz w:val="32"/>
          <w:szCs w:val="32"/>
        </w:rPr>
        <w:t>事故防范措施建议。现将有关情况报告如下：</w:t>
      </w:r>
    </w:p>
    <w:bookmarkEnd w:id="2"/>
    <w:p w14:paraId="71447D55">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2025年4月20日15时55分左右，位于天津</w:t>
      </w:r>
      <w:r>
        <w:rPr>
          <w:rFonts w:hint="eastAsia" w:ascii="仿宋_GB2312" w:hAnsi="仿宋_GB2312" w:eastAsia="仿宋_GB2312" w:cs="仿宋_GB2312"/>
          <w:color w:val="auto"/>
          <w:sz w:val="32"/>
          <w:szCs w:val="32"/>
          <w:lang w:val="en-US" w:eastAsia="zh-CN"/>
        </w:rPr>
        <w:t>市静海区双塘镇江苏振江新能源装备股份有限公司</w:t>
      </w:r>
      <w:r>
        <w:rPr>
          <w:rFonts w:hint="eastAsia" w:ascii="仿宋_GB2312" w:hAnsi="仿宋_GB2312" w:eastAsia="仿宋_GB2312" w:cs="仿宋_GB2312"/>
          <w:color w:val="auto"/>
          <w:sz w:val="32"/>
          <w:szCs w:val="32"/>
        </w:rPr>
        <w:t>租赁厂房内，</w:t>
      </w:r>
      <w:r>
        <w:rPr>
          <w:rFonts w:hint="eastAsia" w:ascii="仿宋_GB2312" w:hAnsi="仿宋_GB2312" w:eastAsia="仿宋_GB2312" w:cs="仿宋_GB2312"/>
          <w:color w:val="auto"/>
          <w:sz w:val="32"/>
          <w:szCs w:val="32"/>
          <w:lang w:val="en-US" w:eastAsia="zh-CN"/>
        </w:rPr>
        <w:t>外包企业天津市龙腾信责钢结构工程有限公司的</w:t>
      </w:r>
      <w:r>
        <w:rPr>
          <w:rFonts w:hint="eastAsia" w:ascii="仿宋_GB2312" w:hAnsi="仿宋_GB2312" w:eastAsia="仿宋_GB2312" w:cs="仿宋_GB2312"/>
          <w:color w:val="auto"/>
          <w:sz w:val="32"/>
          <w:szCs w:val="32"/>
        </w:rPr>
        <w:t>劳务人员</w:t>
      </w:r>
      <w:r>
        <w:rPr>
          <w:rFonts w:hint="eastAsia" w:ascii="仿宋_GB2312" w:hAnsi="仿宋_GB2312" w:eastAsia="仿宋_GB2312" w:cs="仿宋_GB2312"/>
          <w:color w:val="auto"/>
          <w:sz w:val="32"/>
          <w:szCs w:val="32"/>
          <w:lang w:eastAsia="zh-CN"/>
        </w:rPr>
        <w:t>蒋德水在吊装</w:t>
      </w:r>
      <w:r>
        <w:rPr>
          <w:rFonts w:hint="eastAsia" w:ascii="仿宋_GB2312" w:hAnsi="仿宋_GB2312" w:eastAsia="仿宋_GB2312" w:cs="仿宋_GB2312"/>
          <w:color w:val="auto"/>
          <w:sz w:val="32"/>
          <w:szCs w:val="32"/>
          <w:lang w:val="en-US" w:eastAsia="zh-CN"/>
        </w:rPr>
        <w:t>作业</w:t>
      </w:r>
      <w:r>
        <w:rPr>
          <w:rFonts w:hint="eastAsia" w:ascii="仿宋_GB2312" w:hAnsi="仿宋_GB2312" w:eastAsia="仿宋_GB2312" w:cs="仿宋_GB2312"/>
          <w:color w:val="auto"/>
          <w:sz w:val="32"/>
          <w:szCs w:val="32"/>
          <w:lang w:eastAsia="zh-CN"/>
        </w:rPr>
        <w:t>中的方管发生侧倾，</w:t>
      </w:r>
      <w:r>
        <w:rPr>
          <w:rFonts w:hint="eastAsia" w:ascii="仿宋_GB2312" w:hAnsi="仿宋_GB2312" w:eastAsia="仿宋_GB2312" w:cs="仿宋_GB2312"/>
          <w:color w:val="auto"/>
          <w:sz w:val="32"/>
          <w:szCs w:val="32"/>
          <w:lang w:val="en-US" w:eastAsia="zh-CN"/>
        </w:rPr>
        <w:t>其</w:t>
      </w:r>
      <w:r>
        <w:rPr>
          <w:rFonts w:hint="eastAsia" w:ascii="仿宋_GB2312" w:hAnsi="仿宋_GB2312" w:eastAsia="仿宋_GB2312" w:cs="仿宋_GB2312"/>
          <w:color w:val="auto"/>
          <w:sz w:val="32"/>
          <w:szCs w:val="32"/>
          <w:lang w:eastAsia="zh-CN"/>
        </w:rPr>
        <w:t>停止吊装作业，上前接触方管时，方管从吊装带中滑落，将未佩戴安全帽的蒋德水砸伤致死。</w:t>
      </w:r>
      <w:r>
        <w:rPr>
          <w:rFonts w:hint="eastAsia" w:ascii="仿宋_GB2312" w:hAnsi="仿宋_GB2312" w:eastAsia="仿宋_GB2312" w:cs="仿宋_GB2312"/>
          <w:color w:val="auto"/>
          <w:sz w:val="32"/>
          <w:szCs w:val="32"/>
        </w:rPr>
        <w:t>该起事故，致1人死亡，直接经济损失</w:t>
      </w:r>
      <w:r>
        <w:rPr>
          <w:rFonts w:hint="default" w:ascii="仿宋_GB2312" w:hAnsi="仿宋_GB2312" w:eastAsia="仿宋_GB2312" w:cs="仿宋_GB2312"/>
          <w:color w:val="auto"/>
          <w:sz w:val="32"/>
          <w:szCs w:val="32"/>
          <w:lang w:val="en-US"/>
        </w:rPr>
        <w:t>80</w:t>
      </w:r>
      <w:r>
        <w:rPr>
          <w:rFonts w:hint="eastAsia" w:ascii="仿宋_GB2312" w:hAnsi="仿宋_GB2312" w:eastAsia="仿宋_GB2312" w:cs="仿宋_GB2312"/>
          <w:color w:val="auto"/>
          <w:sz w:val="32"/>
          <w:szCs w:val="32"/>
        </w:rPr>
        <w:t>.2万元。</w:t>
      </w:r>
    </w:p>
    <w:p w14:paraId="45508B0D">
      <w:pPr>
        <w:ind w:firstLine="640" w:firstLineChars="200"/>
        <w:rPr>
          <w:rFonts w:hint="eastAsia" w:ascii="仿宋_GB2312" w:hAnsi="仿宋_GB2312" w:eastAsia="仿宋_GB2312" w:cs="仿宋_GB2312"/>
          <w:color w:val="auto"/>
          <w:sz w:val="32"/>
          <w:szCs w:val="32"/>
        </w:rPr>
        <w:sectPr>
          <w:footerReference r:id="rId4" w:type="default"/>
          <w:pgSz w:w="11906" w:h="16838"/>
          <w:pgMar w:top="1440" w:right="1800" w:bottom="1440" w:left="1973" w:header="851" w:footer="992" w:gutter="0"/>
          <w:cols w:space="425" w:num="1"/>
          <w:docGrid w:type="lines" w:linePitch="312" w:charSpace="0"/>
        </w:sectPr>
      </w:pPr>
    </w:p>
    <w:p w14:paraId="1D2216B5">
      <w:pPr>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二、事故发生单位及设备概况</w:t>
      </w:r>
    </w:p>
    <w:p w14:paraId="09EB3226">
      <w:pPr>
        <w:ind w:firstLine="640" w:firstLineChars="200"/>
        <w:jc w:val="lef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（一）事故发生单位概况</w:t>
      </w:r>
    </w:p>
    <w:p w14:paraId="20D934EE">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天津市龙腾信责钢结构工程有限公司</w:t>
      </w:r>
      <w:r>
        <w:rPr>
          <w:rFonts w:hint="eastAsia" w:ascii="仿宋_GB2312" w:hAnsi="仿宋_GB2312" w:eastAsia="仿宋_GB2312" w:cs="仿宋_GB2312"/>
          <w:color w:val="auto"/>
          <w:sz w:val="32"/>
          <w:szCs w:val="32"/>
        </w:rPr>
        <w:t>（以下简称“</w:t>
      </w: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rPr>
        <w:t>”）：</w:t>
      </w:r>
    </w:p>
    <w:p w14:paraId="4A1227A8">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成立日期：</w:t>
      </w:r>
      <w:r>
        <w:rPr>
          <w:rFonts w:ascii="仿宋_GB2312" w:hAnsi="仿宋_GB2312" w:eastAsia="仿宋_GB2312" w:cs="仿宋_GB2312"/>
          <w:color w:val="auto"/>
          <w:sz w:val="32"/>
          <w:szCs w:val="32"/>
        </w:rPr>
        <w:t>2019年06月20日，</w:t>
      </w:r>
      <w:r>
        <w:rPr>
          <w:rFonts w:hint="eastAsia" w:ascii="仿宋_GB2312" w:hAnsi="仿宋_GB2312" w:eastAsia="仿宋_GB2312" w:cs="仿宋_GB2312"/>
          <w:color w:val="auto"/>
          <w:sz w:val="32"/>
          <w:szCs w:val="32"/>
          <w:lang w:val="en-US" w:eastAsia="zh-CN"/>
        </w:rPr>
        <w:t>统一社会信用代码：</w:t>
      </w:r>
      <w:r>
        <w:rPr>
          <w:rFonts w:hint="eastAsia" w:ascii="仿宋_GB2312" w:hAnsi="仿宋_GB2312" w:eastAsia="仿宋_GB2312" w:cs="仿宋_GB2312"/>
          <w:color w:val="auto"/>
          <w:sz w:val="32"/>
          <w:szCs w:val="32"/>
        </w:rPr>
        <w:t>91120223MA06Q2DK62</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rPr>
        <w:t>注册地位于天津市静海区双塘镇杨家园村崔杨路北100米，法定代表人为孙利红。经营范围包括一般项目：金属结构制造；运输货物打包服务；金属材料销售；建筑材料销售；金属制品销售；劳务服务（不含劳务派遣）。（除依法须经批准的项目外，凭营业执照依法自主开展经营活动）。</w:t>
      </w:r>
    </w:p>
    <w:p w14:paraId="399A5F89">
      <w:pPr>
        <w:spacing w:line="52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（二）事故发生相关单位和个人概况</w:t>
      </w:r>
    </w:p>
    <w:p w14:paraId="2DCFD128">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1.江苏振江新能源装备股份有限公司（以下简称“</w:t>
      </w:r>
      <w:r>
        <w:rPr>
          <w:rFonts w:hint="eastAsia" w:ascii="仿宋_GB2312" w:hAnsi="仿宋_GB2312" w:eastAsia="仿宋_GB2312" w:cs="仿宋_GB2312"/>
          <w:color w:val="auto"/>
          <w:sz w:val="32"/>
          <w:szCs w:val="32"/>
          <w:lang w:eastAsia="zh-CN"/>
        </w:rPr>
        <w:t>江苏振江公司</w:t>
      </w:r>
      <w:r>
        <w:rPr>
          <w:rFonts w:hint="eastAsia" w:ascii="仿宋_GB2312" w:hAnsi="仿宋_GB2312" w:eastAsia="仿宋_GB2312" w:cs="仿宋_GB2312"/>
          <w:color w:val="auto"/>
          <w:sz w:val="32"/>
          <w:szCs w:val="32"/>
        </w:rPr>
        <w:t>”）</w:t>
      </w:r>
    </w:p>
    <w:p w14:paraId="7AE16615">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成立日期：</w:t>
      </w:r>
      <w:r>
        <w:rPr>
          <w:rFonts w:hint="default" w:ascii="仿宋_GB2312" w:hAnsi="仿宋_GB2312" w:eastAsia="仿宋_GB2312" w:cs="仿宋_GB2312"/>
          <w:color w:val="auto"/>
          <w:sz w:val="32"/>
          <w:szCs w:val="32"/>
          <w:lang w:val="en-US"/>
        </w:rPr>
        <w:t>2004</w:t>
      </w:r>
      <w:r>
        <w:rPr>
          <w:rFonts w:hint="eastAsia" w:ascii="仿宋_GB2312" w:hAnsi="仿宋_GB2312" w:eastAsia="仿宋_GB2312" w:cs="仿宋_GB2312"/>
          <w:color w:val="auto"/>
          <w:sz w:val="32"/>
          <w:szCs w:val="32"/>
        </w:rPr>
        <w:t>年</w:t>
      </w:r>
      <w:r>
        <w:rPr>
          <w:rFonts w:hint="default" w:ascii="仿宋_GB2312" w:hAnsi="仿宋_GB2312" w:eastAsia="仿宋_GB2312" w:cs="仿宋_GB2312"/>
          <w:color w:val="auto"/>
          <w:sz w:val="32"/>
          <w:szCs w:val="32"/>
          <w:lang w:val="en-US"/>
        </w:rPr>
        <w:t>3</w:t>
      </w:r>
      <w:r>
        <w:rPr>
          <w:rFonts w:hint="eastAsia" w:ascii="仿宋_GB2312" w:hAnsi="仿宋_GB2312" w:eastAsia="仿宋_GB2312" w:cs="仿宋_GB2312"/>
          <w:color w:val="auto"/>
          <w:sz w:val="32"/>
          <w:szCs w:val="32"/>
        </w:rPr>
        <w:t>月</w:t>
      </w:r>
      <w:r>
        <w:rPr>
          <w:rFonts w:hint="default" w:ascii="仿宋_GB2312" w:hAnsi="仿宋_GB2312" w:eastAsia="仿宋_GB2312" w:cs="仿宋_GB2312"/>
          <w:color w:val="auto"/>
          <w:sz w:val="32"/>
          <w:szCs w:val="32"/>
          <w:lang w:val="en-US"/>
        </w:rPr>
        <w:t>1</w:t>
      </w:r>
      <w:r>
        <w:rPr>
          <w:rFonts w:hint="eastAsia" w:ascii="仿宋_GB2312" w:hAnsi="仿宋_GB2312" w:eastAsia="仿宋_GB2312" w:cs="仿宋_GB2312"/>
          <w:color w:val="auto"/>
          <w:sz w:val="32"/>
          <w:szCs w:val="32"/>
        </w:rPr>
        <w:t>日；统一社会信用代码：91320200758486753F；</w:t>
      </w:r>
      <w:r>
        <w:rPr>
          <w:rFonts w:hint="eastAsia" w:ascii="仿宋_GB2312" w:hAnsi="仿宋_GB2312" w:eastAsia="仿宋_GB2312" w:cs="仿宋_GB2312"/>
          <w:color w:val="auto"/>
          <w:sz w:val="32"/>
          <w:szCs w:val="32"/>
          <w:lang w:val="en-US" w:eastAsia="zh-CN"/>
        </w:rPr>
        <w:t>注册地址：江阴市镇澄路2608号；</w:t>
      </w:r>
      <w:r>
        <w:rPr>
          <w:rFonts w:hint="eastAsia" w:ascii="仿宋_GB2312" w:hAnsi="仿宋_GB2312" w:eastAsia="仿宋_GB2312" w:cs="仿宋_GB2312"/>
          <w:color w:val="auto"/>
          <w:sz w:val="32"/>
          <w:szCs w:val="32"/>
        </w:rPr>
        <w:t>法定代表人：</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HYPERLINK "https://aiqicha.baidu.com/person?personId=11b19a507b9e971c2e0364bff08b36ea" \t "https://aiqicha.baidu.com/detail/_blank"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胡震</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rPr>
        <w:t>；经营范围：钢结构件、通用设备的制造、加工、销售；钣金加工；自营和代理各类商品及技术的进出口业务，但国家限定企业经营或禁止进出口的商品和技术除外。（依法须经批准的项目，经相关部门批准后方可开展经营活动）</w:t>
      </w:r>
    </w:p>
    <w:p w14:paraId="13448420">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蒋德水</w:t>
      </w:r>
      <w:r>
        <w:rPr>
          <w:rFonts w:hint="eastAsia" w:ascii="仿宋_GB2312" w:hAnsi="仿宋_GB2312" w:eastAsia="仿宋_GB2312" w:cs="仿宋_GB2312"/>
          <w:color w:val="auto"/>
          <w:sz w:val="32"/>
          <w:szCs w:val="32"/>
        </w:rPr>
        <w:t>，男，</w:t>
      </w:r>
      <w:r>
        <w:rPr>
          <w:rFonts w:hint="eastAsia" w:ascii="仿宋_GB2312" w:hAnsi="仿宋_GB2312" w:eastAsia="仿宋_GB2312" w:cs="仿宋_GB2312"/>
          <w:color w:val="auto"/>
          <w:sz w:val="32"/>
          <w:szCs w:val="32"/>
          <w:lang w:val="en-US" w:eastAsia="zh-CN"/>
        </w:rPr>
        <w:t>身份证号：********，黑龙江省富裕县龙安桥镇东风村1组人。</w:t>
      </w:r>
    </w:p>
    <w:p w14:paraId="4DEE7434">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（三）业务承包和安全协议情况</w:t>
      </w:r>
    </w:p>
    <w:p w14:paraId="4080E1B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江苏振江公司</w:t>
      </w:r>
      <w:r>
        <w:rPr>
          <w:rFonts w:hint="eastAsia" w:ascii="仿宋_GB2312" w:hAnsi="仿宋_GB2312" w:eastAsia="仿宋_GB2312" w:cs="仿宋_GB2312"/>
          <w:color w:val="auto"/>
          <w:sz w:val="32"/>
          <w:szCs w:val="32"/>
        </w:rPr>
        <w:t>与</w:t>
      </w: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rPr>
        <w:t>于</w:t>
      </w:r>
      <w:r>
        <w:rPr>
          <w:rFonts w:hint="default"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w:t>
      </w:r>
      <w:r>
        <w:rPr>
          <w:rFonts w:hint="default" w:ascii="仿宋_GB2312" w:hAnsi="仿宋_GB2312" w:eastAsia="仿宋_GB2312" w:cs="仿宋_GB2312"/>
          <w:color w:val="auto"/>
          <w:sz w:val="32"/>
          <w:szCs w:val="32"/>
          <w:lang w:val="en-US"/>
        </w:rPr>
        <w:t>1</w:t>
      </w:r>
      <w:r>
        <w:rPr>
          <w:rFonts w:hint="eastAsia" w:ascii="仿宋_GB2312" w:hAnsi="仿宋_GB2312" w:eastAsia="仿宋_GB2312" w:cs="仿宋_GB2312"/>
          <w:color w:val="auto"/>
          <w:sz w:val="32"/>
          <w:szCs w:val="32"/>
        </w:rPr>
        <w:t>月</w:t>
      </w:r>
      <w:r>
        <w:rPr>
          <w:rFonts w:hint="default" w:ascii="仿宋_GB2312" w:hAnsi="仿宋_GB2312" w:eastAsia="仿宋_GB2312" w:cs="仿宋_GB2312"/>
          <w:color w:val="auto"/>
          <w:sz w:val="32"/>
          <w:szCs w:val="32"/>
          <w:lang w:val="en-US"/>
        </w:rPr>
        <w:t>21</w:t>
      </w:r>
      <w:r>
        <w:rPr>
          <w:rFonts w:hint="eastAsia" w:ascii="仿宋_GB2312" w:hAnsi="仿宋_GB2312" w:eastAsia="仿宋_GB2312" w:cs="仿宋_GB2312"/>
          <w:color w:val="auto"/>
          <w:sz w:val="32"/>
          <w:szCs w:val="32"/>
        </w:rPr>
        <w:t>日签订了《</w:t>
      </w:r>
      <w:r>
        <w:rPr>
          <w:rFonts w:hint="eastAsia" w:ascii="仿宋_GB2312" w:hAnsi="仿宋_GB2312" w:eastAsia="仿宋_GB2312" w:cs="仿宋_GB2312"/>
          <w:color w:val="auto"/>
          <w:sz w:val="32"/>
          <w:szCs w:val="32"/>
          <w:lang w:val="en-US" w:eastAsia="zh-CN"/>
        </w:rPr>
        <w:t>委托加工框架合同</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委托龙腾公司进行打包发运</w:t>
      </w:r>
      <w:r>
        <w:rPr>
          <w:rFonts w:hint="eastAsia" w:ascii="仿宋_GB2312" w:hAnsi="仿宋_GB2312" w:eastAsia="仿宋_GB2312" w:cs="仿宋_GB2312"/>
          <w:color w:val="auto"/>
          <w:sz w:val="32"/>
          <w:szCs w:val="32"/>
        </w:rPr>
        <w:t>。双方</w:t>
      </w:r>
      <w:r>
        <w:rPr>
          <w:rFonts w:hint="eastAsia" w:ascii="仿宋_GB2312" w:hAnsi="仿宋_GB2312" w:eastAsia="仿宋_GB2312" w:cs="仿宋_GB2312"/>
          <w:color w:val="auto"/>
          <w:sz w:val="32"/>
          <w:szCs w:val="32"/>
          <w:lang w:val="en-US" w:eastAsia="zh-CN"/>
        </w:rPr>
        <w:t>通过《项目施工安全管理协议》《天车无偿使用协议》约定了</w:t>
      </w:r>
      <w:r>
        <w:rPr>
          <w:rFonts w:hint="eastAsia" w:ascii="仿宋_GB2312" w:hAnsi="仿宋_GB2312" w:eastAsia="仿宋_GB2312" w:cs="仿宋_GB2312"/>
          <w:color w:val="auto"/>
          <w:sz w:val="32"/>
          <w:szCs w:val="32"/>
        </w:rPr>
        <w:t>安全生产责任。</w:t>
      </w:r>
      <w:r>
        <w:rPr>
          <w:rFonts w:hint="eastAsia" w:ascii="仿宋_GB2312" w:hAnsi="仿宋_GB2312" w:eastAsia="仿宋_GB2312" w:cs="仿宋_GB2312"/>
          <w:color w:val="auto"/>
          <w:sz w:val="32"/>
          <w:szCs w:val="32"/>
          <w:lang w:val="en-US" w:eastAsia="zh-CN"/>
        </w:rPr>
        <w:t>在《项目施工安全管理协议》第20条约定出现安全事故，由龙腾公司承担经济责任和法律责任，在《天车无偿使用协议》中约定龙腾公司承担天车使用过程中的安全责任及安全事故处理和承担全部责任（第四条乙方权利与义务第3条，第五条安全责任第2条）。</w:t>
      </w:r>
    </w:p>
    <w:p w14:paraId="2B87120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（四）事故设备及操作人员情况</w:t>
      </w:r>
    </w:p>
    <w:p w14:paraId="4751D562">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1.事故设备情况</w:t>
      </w:r>
    </w:p>
    <w:p w14:paraId="51A080D8">
      <w:pPr>
        <w:spacing w:line="520" w:lineRule="exact"/>
        <w:ind w:firstLine="640" w:firstLineChars="200"/>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事故起重机名称为电动</w:t>
      </w:r>
      <w:r>
        <w:rPr>
          <w:rFonts w:hint="eastAsia" w:ascii="仿宋_GB2312" w:hAnsi="仿宋_GB2312" w:eastAsia="仿宋_GB2312" w:cs="仿宋_GB2312"/>
          <w:color w:val="auto"/>
          <w:sz w:val="32"/>
          <w:szCs w:val="32"/>
          <w:lang w:val="en-US" w:eastAsia="zh-CN"/>
        </w:rPr>
        <w:t>单梁</w:t>
      </w:r>
      <w:r>
        <w:rPr>
          <w:rFonts w:hint="eastAsia" w:ascii="仿宋_GB2312" w:hAnsi="仿宋_GB2312" w:eastAsia="仿宋_GB2312" w:cs="仿宋_GB2312"/>
          <w:color w:val="auto"/>
          <w:sz w:val="32"/>
          <w:szCs w:val="32"/>
        </w:rPr>
        <w:t>起重机，系</w:t>
      </w: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lang w:val="en-US" w:eastAsia="zh-CN"/>
        </w:rPr>
        <w:t>使用的</w:t>
      </w:r>
      <w:r>
        <w:rPr>
          <w:rFonts w:hint="eastAsia" w:ascii="仿宋_GB2312" w:hAnsi="仿宋_GB2312" w:eastAsia="仿宋_GB2312" w:cs="仿宋_GB2312"/>
          <w:color w:val="auto"/>
          <w:sz w:val="32"/>
          <w:szCs w:val="32"/>
          <w:lang w:eastAsia="zh-CN"/>
        </w:rPr>
        <w:t>江苏振江公司</w:t>
      </w:r>
      <w:r>
        <w:rPr>
          <w:rFonts w:hint="eastAsia" w:ascii="仿宋_GB2312" w:hAnsi="仿宋_GB2312" w:eastAsia="仿宋_GB2312" w:cs="仿宋_GB2312"/>
          <w:color w:val="auto"/>
          <w:sz w:val="32"/>
          <w:szCs w:val="32"/>
          <w:lang w:val="en-US" w:eastAsia="zh-CN"/>
        </w:rPr>
        <w:t>所租赁</w:t>
      </w:r>
      <w:r>
        <w:rPr>
          <w:rFonts w:hint="eastAsia" w:ascii="仿宋_GB2312" w:hAnsi="仿宋_GB2312" w:eastAsia="仿宋_GB2312" w:cs="仿宋_GB2312"/>
          <w:color w:val="auto"/>
          <w:sz w:val="32"/>
          <w:szCs w:val="32"/>
        </w:rPr>
        <w:t>场地中的设备，该起重设备在天津市特种设备动态信息监管系统中注册登记在</w:t>
      </w:r>
      <w:r>
        <w:rPr>
          <w:rFonts w:hint="eastAsia" w:ascii="仿宋_GB2312" w:hAnsi="仿宋_GB2312" w:eastAsia="仿宋_GB2312" w:cs="仿宋_GB2312"/>
          <w:color w:val="auto"/>
          <w:sz w:val="32"/>
          <w:szCs w:val="32"/>
          <w:lang w:eastAsia="zh-CN"/>
        </w:rPr>
        <w:t>天津福恒钢管有限公司</w:t>
      </w:r>
      <w:r>
        <w:rPr>
          <w:rFonts w:hint="eastAsia" w:ascii="仿宋_GB2312" w:hAnsi="仿宋_GB2312" w:eastAsia="仿宋_GB2312" w:cs="仿宋_GB2312"/>
          <w:color w:val="auto"/>
          <w:sz w:val="32"/>
          <w:szCs w:val="32"/>
        </w:rPr>
        <w:t>名下。设备型号：LDA10-22.5A4；产品编号：2309100015；制造单位：河南省矿山起重机有限公司；操纵方式：无线遥控操纵；注册代码：41701201182023100030；</w:t>
      </w:r>
      <w:r>
        <w:rPr>
          <w:rFonts w:hint="eastAsia" w:ascii="仿宋_GB2312" w:hAnsi="仿宋_GB2312" w:eastAsia="仿宋_GB2312" w:cs="仿宋_GB2312"/>
          <w:color w:val="auto"/>
          <w:sz w:val="32"/>
          <w:szCs w:val="32"/>
          <w:lang w:val="en-US" w:eastAsia="zh-CN"/>
        </w:rPr>
        <w:t>该起重机由</w:t>
      </w:r>
      <w:r>
        <w:rPr>
          <w:rFonts w:hint="eastAsia" w:ascii="仿宋_GB2312" w:hAnsi="仿宋_GB2312" w:eastAsia="仿宋_GB2312" w:cs="仿宋_GB2312"/>
          <w:color w:val="auto"/>
          <w:sz w:val="32"/>
          <w:szCs w:val="32"/>
        </w:rPr>
        <w:t>天津市特种设备监督检验技术研究院检验，检验结论为合格，报告编号津起定检2023-11487号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下次应检日期为</w:t>
      </w:r>
      <w:r>
        <w:rPr>
          <w:rFonts w:hint="default" w:ascii="仿宋_GB2312" w:hAnsi="仿宋_GB2312" w:eastAsia="仿宋_GB2312" w:cs="仿宋_GB2312"/>
          <w:color w:val="auto"/>
          <w:sz w:val="32"/>
          <w:szCs w:val="32"/>
          <w:lang w:val="en-US" w:eastAsia="zh-CN"/>
        </w:rPr>
        <w:t>2025年9月</w:t>
      </w:r>
      <w:r>
        <w:rPr>
          <w:rFonts w:hint="eastAsia" w:ascii="仿宋_GB2312" w:hAnsi="仿宋_GB2312" w:eastAsia="仿宋_GB2312" w:cs="仿宋_GB2312"/>
          <w:color w:val="auto"/>
          <w:sz w:val="32"/>
          <w:szCs w:val="32"/>
          <w:lang w:val="en-US" w:eastAsia="zh-CN"/>
        </w:rPr>
        <w:t>，在检验有效期内。</w:t>
      </w:r>
    </w:p>
    <w:p w14:paraId="2F327296">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2.操作人员情况</w:t>
      </w:r>
    </w:p>
    <w:p w14:paraId="1454E2D2">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起重机操作人员</w:t>
      </w:r>
      <w:r>
        <w:rPr>
          <w:rFonts w:hint="eastAsia" w:ascii="仿宋_GB2312" w:hAnsi="仿宋_GB2312" w:eastAsia="仿宋_GB2312" w:cs="仿宋_GB2312"/>
          <w:color w:val="auto"/>
          <w:sz w:val="32"/>
          <w:szCs w:val="32"/>
          <w:lang w:eastAsia="zh-CN"/>
        </w:rPr>
        <w:t>蒋德水</w:t>
      </w:r>
      <w:r>
        <w:rPr>
          <w:rFonts w:hint="eastAsia" w:ascii="仿宋_GB2312" w:hAnsi="仿宋_GB2312" w:eastAsia="仿宋_GB2312" w:cs="仿宋_GB2312"/>
          <w:color w:val="auto"/>
          <w:sz w:val="32"/>
          <w:szCs w:val="32"/>
        </w:rPr>
        <w:t>，男，</w:t>
      </w:r>
      <w:r>
        <w:rPr>
          <w:rFonts w:hint="eastAsia" w:ascii="仿宋_GB2312" w:hAnsi="仿宋_GB2312" w:eastAsia="仿宋_GB2312" w:cs="仿宋_GB2312"/>
          <w:color w:val="auto"/>
          <w:sz w:val="32"/>
          <w:szCs w:val="32"/>
          <w:lang w:val="en-US" w:eastAsia="zh-CN"/>
        </w:rPr>
        <w:t>身份证号：********，黑龙江省富裕县龙安桥镇东风村1组人。</w:t>
      </w:r>
    </w:p>
    <w:p w14:paraId="0A2A0217">
      <w:pPr>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三、事故发生经过及</w:t>
      </w:r>
      <w:r>
        <w:rPr>
          <w:rFonts w:hint="eastAsia" w:ascii="黑体" w:hAnsi="黑体" w:eastAsia="黑体" w:cs="黑体"/>
          <w:color w:val="auto"/>
          <w:sz w:val="32"/>
          <w:szCs w:val="32"/>
          <w:lang w:val="en-US" w:eastAsia="zh-CN"/>
        </w:rPr>
        <w:t>应急</w:t>
      </w:r>
      <w:r>
        <w:rPr>
          <w:rFonts w:hint="eastAsia" w:ascii="黑体" w:hAnsi="黑体" w:eastAsia="黑体" w:cs="黑体"/>
          <w:color w:val="auto"/>
          <w:sz w:val="32"/>
          <w:szCs w:val="32"/>
        </w:rPr>
        <w:t>救援情况</w:t>
      </w:r>
    </w:p>
    <w:p w14:paraId="3150F8A4">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(一）事故发生经过</w:t>
      </w:r>
    </w:p>
    <w:p w14:paraId="57F6B7A2">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2025年4月20日15时55分左右，位于天津</w:t>
      </w:r>
      <w:r>
        <w:rPr>
          <w:rFonts w:hint="eastAsia" w:ascii="仿宋_GB2312" w:hAnsi="仿宋_GB2312" w:eastAsia="仿宋_GB2312" w:cs="仿宋_GB2312"/>
          <w:color w:val="auto"/>
          <w:sz w:val="32"/>
          <w:szCs w:val="32"/>
          <w:lang w:val="en-US" w:eastAsia="zh-CN"/>
        </w:rPr>
        <w:t>市静海区双塘镇江苏振江公司</w:t>
      </w:r>
      <w:r>
        <w:rPr>
          <w:rFonts w:hint="eastAsia" w:ascii="仿宋_GB2312" w:hAnsi="仿宋_GB2312" w:eastAsia="仿宋_GB2312" w:cs="仿宋_GB2312"/>
          <w:color w:val="auto"/>
          <w:sz w:val="32"/>
          <w:szCs w:val="32"/>
        </w:rPr>
        <w:t>租赁厂房内，</w:t>
      </w:r>
      <w:r>
        <w:rPr>
          <w:rFonts w:hint="eastAsia" w:ascii="仿宋_GB2312" w:hAnsi="仿宋_GB2312" w:eastAsia="仿宋_GB2312" w:cs="仿宋_GB2312"/>
          <w:color w:val="auto"/>
          <w:sz w:val="32"/>
          <w:szCs w:val="32"/>
          <w:lang w:val="en-US" w:eastAsia="zh-CN"/>
        </w:rPr>
        <w:t>外包企业龙腾公司的</w:t>
      </w:r>
      <w:r>
        <w:rPr>
          <w:rFonts w:hint="eastAsia" w:ascii="仿宋_GB2312" w:hAnsi="仿宋_GB2312" w:eastAsia="仿宋_GB2312" w:cs="仿宋_GB2312"/>
          <w:color w:val="auto"/>
          <w:sz w:val="32"/>
          <w:szCs w:val="32"/>
        </w:rPr>
        <w:t>劳务人员</w:t>
      </w:r>
      <w:r>
        <w:rPr>
          <w:rFonts w:hint="eastAsia" w:ascii="仿宋_GB2312" w:hAnsi="仿宋_GB2312" w:eastAsia="仿宋_GB2312" w:cs="仿宋_GB2312"/>
          <w:color w:val="auto"/>
          <w:sz w:val="32"/>
          <w:szCs w:val="32"/>
          <w:lang w:eastAsia="zh-CN"/>
        </w:rPr>
        <w:t>蒋德水在吊装</w:t>
      </w:r>
      <w:r>
        <w:rPr>
          <w:rFonts w:hint="eastAsia" w:ascii="仿宋_GB2312" w:hAnsi="仿宋_GB2312" w:eastAsia="仿宋_GB2312" w:cs="仿宋_GB2312"/>
          <w:color w:val="auto"/>
          <w:sz w:val="32"/>
          <w:szCs w:val="32"/>
          <w:lang w:val="en-US" w:eastAsia="zh-CN"/>
        </w:rPr>
        <w:t>作业</w:t>
      </w:r>
      <w:r>
        <w:rPr>
          <w:rFonts w:hint="eastAsia" w:ascii="仿宋_GB2312" w:hAnsi="仿宋_GB2312" w:eastAsia="仿宋_GB2312" w:cs="仿宋_GB2312"/>
          <w:color w:val="auto"/>
          <w:sz w:val="32"/>
          <w:szCs w:val="32"/>
          <w:lang w:eastAsia="zh-CN"/>
        </w:rPr>
        <w:t>中的方管发生侧倾，</w:t>
      </w:r>
      <w:r>
        <w:rPr>
          <w:rFonts w:hint="eastAsia" w:ascii="仿宋_GB2312" w:hAnsi="仿宋_GB2312" w:eastAsia="仿宋_GB2312" w:cs="仿宋_GB2312"/>
          <w:color w:val="auto"/>
          <w:sz w:val="32"/>
          <w:szCs w:val="32"/>
          <w:lang w:val="en-US" w:eastAsia="zh-CN"/>
        </w:rPr>
        <w:t>其</w:t>
      </w:r>
      <w:r>
        <w:rPr>
          <w:rFonts w:hint="eastAsia" w:ascii="仿宋_GB2312" w:hAnsi="仿宋_GB2312" w:eastAsia="仿宋_GB2312" w:cs="仿宋_GB2312"/>
          <w:color w:val="auto"/>
          <w:sz w:val="32"/>
          <w:szCs w:val="32"/>
          <w:lang w:eastAsia="zh-CN"/>
        </w:rPr>
        <w:t>停止吊装作业，上前接触方管时，方管从吊装带中滑落，将未佩戴安全帽的蒋德水砸伤致死。</w:t>
      </w:r>
      <w:r>
        <w:rPr>
          <w:rFonts w:hint="eastAsia" w:ascii="仿宋_GB2312" w:hAnsi="仿宋_GB2312" w:eastAsia="仿宋_GB2312" w:cs="仿宋_GB2312"/>
          <w:color w:val="auto"/>
          <w:sz w:val="32"/>
          <w:szCs w:val="32"/>
        </w:rPr>
        <w:t>该起事故，致1人死亡，直接经济损失</w:t>
      </w:r>
      <w:r>
        <w:rPr>
          <w:rFonts w:hint="default" w:ascii="仿宋_GB2312" w:hAnsi="仿宋_GB2312" w:eastAsia="仿宋_GB2312" w:cs="仿宋_GB2312"/>
          <w:color w:val="auto"/>
          <w:sz w:val="32"/>
          <w:szCs w:val="32"/>
          <w:lang w:val="en-US"/>
        </w:rPr>
        <w:t>80</w:t>
      </w:r>
      <w:r>
        <w:rPr>
          <w:rFonts w:hint="eastAsia" w:ascii="仿宋_GB2312" w:hAnsi="仿宋_GB2312" w:eastAsia="仿宋_GB2312" w:cs="仿宋_GB2312"/>
          <w:color w:val="auto"/>
          <w:sz w:val="32"/>
          <w:szCs w:val="32"/>
        </w:rPr>
        <w:t>.2万元。</w:t>
      </w:r>
    </w:p>
    <w:p w14:paraId="53756A7A">
      <w:pPr>
        <w:numPr>
          <w:ilvl w:val="0"/>
          <w:numId w:val="1"/>
        </w:num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事故报告情况</w:t>
      </w:r>
    </w:p>
    <w:p w14:paraId="4528500A">
      <w:pPr>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事故发生单位未按照规定向安全生产监管部门报告。</w:t>
      </w:r>
    </w:p>
    <w:p w14:paraId="61B48504">
      <w:pPr>
        <w:numPr>
          <w:ilvl w:val="0"/>
          <w:numId w:val="1"/>
        </w:num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应急</w:t>
      </w:r>
      <w:r>
        <w:rPr>
          <w:rFonts w:hint="eastAsia" w:ascii="仿宋_GB2312" w:hAnsi="仿宋_GB2312" w:eastAsia="仿宋_GB2312" w:cs="仿宋_GB2312"/>
          <w:color w:val="auto"/>
          <w:sz w:val="32"/>
          <w:szCs w:val="32"/>
        </w:rPr>
        <w:t>救援</w:t>
      </w:r>
      <w:r>
        <w:rPr>
          <w:rFonts w:hint="eastAsia" w:ascii="仿宋_GB2312" w:hAnsi="仿宋_GB2312" w:eastAsia="仿宋_GB2312" w:cs="仿宋_GB2312"/>
          <w:color w:val="auto"/>
          <w:sz w:val="32"/>
          <w:szCs w:val="32"/>
          <w:lang w:val="en-US" w:eastAsia="zh-CN"/>
        </w:rPr>
        <w:t>及善后处置</w:t>
      </w:r>
      <w:r>
        <w:rPr>
          <w:rFonts w:hint="eastAsia" w:ascii="仿宋_GB2312" w:hAnsi="仿宋_GB2312" w:eastAsia="仿宋_GB2312" w:cs="仿宋_GB2312"/>
          <w:color w:val="auto"/>
          <w:sz w:val="32"/>
          <w:szCs w:val="32"/>
        </w:rPr>
        <w:t>情况</w:t>
      </w:r>
    </w:p>
    <w:p w14:paraId="3BDBBE92">
      <w:pPr>
        <w:ind w:firstLine="640"/>
        <w:rPr>
          <w:rFonts w:ascii="黑体" w:hAnsi="黑体" w:eastAsia="黑体" w:cs="黑体"/>
          <w:color w:val="auto"/>
          <w:sz w:val="32"/>
          <w:szCs w:val="32"/>
        </w:rPr>
      </w:pP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lang w:val="en-US" w:eastAsia="zh-CN"/>
        </w:rPr>
        <w:t>现场人员在事故发生后立即组织了救援，将</w:t>
      </w:r>
      <w:r>
        <w:rPr>
          <w:rFonts w:hint="eastAsia" w:ascii="仿宋_GB2312" w:hAnsi="仿宋_GB2312" w:eastAsia="仿宋_GB2312" w:cs="仿宋_GB2312"/>
          <w:color w:val="auto"/>
          <w:sz w:val="32"/>
          <w:szCs w:val="32"/>
          <w:lang w:eastAsia="zh-CN"/>
        </w:rPr>
        <w:t>蒋德水</w:t>
      </w:r>
      <w:r>
        <w:rPr>
          <w:rFonts w:hint="eastAsia" w:ascii="仿宋_GB2312" w:hAnsi="仿宋_GB2312" w:eastAsia="仿宋_GB2312" w:cs="仿宋_GB2312"/>
          <w:color w:val="auto"/>
          <w:sz w:val="32"/>
          <w:szCs w:val="32"/>
          <w:lang w:val="en-US" w:eastAsia="zh-CN"/>
        </w:rPr>
        <w:t>送至静海区医院进行救治。蒋德水</w:t>
      </w:r>
      <w:r>
        <w:rPr>
          <w:rFonts w:hint="eastAsia" w:ascii="仿宋_GB2312" w:hAnsi="仿宋_GB2312" w:eastAsia="仿宋_GB2312" w:cs="仿宋_GB2312"/>
          <w:color w:val="auto"/>
          <w:sz w:val="32"/>
          <w:szCs w:val="32"/>
        </w:rPr>
        <w:t>因伤情严重，经抢救无效于当天死亡。</w:t>
      </w: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rPr>
        <w:t>支付家属赔偿金</w:t>
      </w:r>
      <w:r>
        <w:rPr>
          <w:rFonts w:hint="default" w:ascii="仿宋_GB2312" w:hAnsi="仿宋_GB2312" w:eastAsia="仿宋_GB2312" w:cs="仿宋_GB2312"/>
          <w:color w:val="auto"/>
          <w:sz w:val="32"/>
          <w:szCs w:val="32"/>
          <w:lang w:val="en-US"/>
        </w:rPr>
        <w:t>80</w:t>
      </w:r>
      <w:r>
        <w:rPr>
          <w:rFonts w:hint="eastAsia" w:ascii="仿宋_GB2312" w:hAnsi="仿宋_GB2312" w:eastAsia="仿宋_GB2312" w:cs="仿宋_GB2312"/>
          <w:color w:val="auto"/>
          <w:sz w:val="32"/>
          <w:szCs w:val="32"/>
        </w:rPr>
        <w:t>万元；赔偿和抚恤等善后工作已完成，未对社会稳定造成影响。</w:t>
      </w:r>
      <w:r>
        <w:rPr>
          <w:rFonts w:hint="eastAsia" w:ascii="仿宋_GB2312" w:hAnsi="仿宋_GB2312" w:eastAsia="仿宋_GB2312" w:cs="仿宋_GB2312"/>
          <w:color w:val="auto"/>
          <w:sz w:val="32"/>
          <w:szCs w:val="32"/>
        </w:rPr>
        <w:tab/>
      </w:r>
      <w:r>
        <w:rPr>
          <w:rFonts w:hint="eastAsia" w:ascii="黑体" w:hAnsi="黑体" w:eastAsia="黑体" w:cs="黑体"/>
          <w:color w:val="auto"/>
          <w:sz w:val="32"/>
          <w:szCs w:val="32"/>
        </w:rPr>
        <w:t>四、人员伤亡、设备损坏和直接经济损失情况</w:t>
      </w:r>
    </w:p>
    <w:p w14:paraId="62612AFD">
      <w:pPr>
        <w:ind w:firstLine="645"/>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（一）人员伤亡情况</w:t>
      </w:r>
    </w:p>
    <w:p w14:paraId="67D0BB3E">
      <w:pPr>
        <w:ind w:firstLine="645"/>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该起事故造成1人死亡。</w:t>
      </w:r>
    </w:p>
    <w:p w14:paraId="5472CC71">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死亡人员：</w:t>
      </w:r>
      <w:r>
        <w:rPr>
          <w:rFonts w:hint="eastAsia" w:ascii="仿宋_GB2312" w:hAnsi="仿宋_GB2312" w:eastAsia="仿宋_GB2312" w:cs="仿宋_GB2312"/>
          <w:color w:val="auto"/>
          <w:sz w:val="32"/>
          <w:szCs w:val="32"/>
          <w:lang w:eastAsia="zh-CN"/>
        </w:rPr>
        <w:t>蒋德水</w:t>
      </w:r>
      <w:r>
        <w:rPr>
          <w:rFonts w:hint="eastAsia" w:ascii="仿宋_GB2312" w:hAnsi="仿宋_GB2312" w:eastAsia="仿宋_GB2312" w:cs="仿宋_GB2312"/>
          <w:color w:val="auto"/>
          <w:sz w:val="32"/>
          <w:szCs w:val="32"/>
        </w:rPr>
        <w:t>，男，</w:t>
      </w:r>
      <w:r>
        <w:rPr>
          <w:rFonts w:hint="eastAsia" w:ascii="仿宋_GB2312" w:hAnsi="仿宋_GB2312" w:eastAsia="仿宋_GB2312" w:cs="仿宋_GB2312"/>
          <w:color w:val="auto"/>
          <w:sz w:val="32"/>
          <w:szCs w:val="32"/>
          <w:lang w:val="en-US" w:eastAsia="zh-CN"/>
        </w:rPr>
        <w:t>身份证号：**********</w:t>
      </w:r>
      <w:bookmarkStart w:id="5" w:name="_GoBack"/>
      <w:bookmarkEnd w:id="5"/>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事故当天是起重机的操作人员。</w:t>
      </w:r>
    </w:p>
    <w:p w14:paraId="42C95960">
      <w:pPr>
        <w:ind w:firstLine="645"/>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（二）设备损坏情况</w:t>
      </w:r>
    </w:p>
    <w:p w14:paraId="3E57C621">
      <w:pPr>
        <w:ind w:firstLine="645"/>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经现场勘察，</w:t>
      </w:r>
      <w:r>
        <w:rPr>
          <w:rFonts w:hint="eastAsia" w:ascii="仿宋_GB2312" w:hAnsi="仿宋_GB2312" w:eastAsia="仿宋_GB2312" w:cs="仿宋_GB2312"/>
          <w:color w:val="auto"/>
          <w:sz w:val="32"/>
          <w:szCs w:val="32"/>
        </w:rPr>
        <w:t>设备</w:t>
      </w:r>
      <w:r>
        <w:rPr>
          <w:rFonts w:hint="eastAsia" w:ascii="仿宋_GB2312" w:hAnsi="仿宋_GB2312" w:eastAsia="仿宋_GB2312" w:cs="仿宋_GB2312"/>
          <w:color w:val="auto"/>
          <w:sz w:val="32"/>
          <w:szCs w:val="32"/>
          <w:lang w:val="en-US" w:eastAsia="zh-CN"/>
        </w:rPr>
        <w:t>无损坏情况</w:t>
      </w:r>
      <w:r>
        <w:rPr>
          <w:rFonts w:hint="eastAsia" w:ascii="仿宋_GB2312" w:hAnsi="仿宋_GB2312" w:eastAsia="仿宋_GB2312" w:cs="仿宋_GB2312"/>
          <w:color w:val="auto"/>
          <w:sz w:val="32"/>
          <w:szCs w:val="32"/>
        </w:rPr>
        <w:t>。</w:t>
      </w:r>
    </w:p>
    <w:p w14:paraId="31119E48">
      <w:pPr>
        <w:ind w:firstLine="645"/>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（三）直接经济损失</w:t>
      </w:r>
    </w:p>
    <w:p w14:paraId="14BBFA33">
      <w:pPr>
        <w:ind w:firstLine="645"/>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事故调查组依据《企业职工伤亡事故经济损失统计标准》（GB6721-86）的有关规定，核定事故造成直接经济损失为</w:t>
      </w:r>
      <w:r>
        <w:rPr>
          <w:rFonts w:hint="default" w:ascii="仿宋_GB2312" w:hAnsi="仿宋_GB2312" w:eastAsia="仿宋_GB2312" w:cs="仿宋_GB2312"/>
          <w:color w:val="auto"/>
          <w:sz w:val="32"/>
          <w:szCs w:val="32"/>
          <w:lang w:val="en-US"/>
        </w:rPr>
        <w:t>80</w:t>
      </w:r>
      <w:r>
        <w:rPr>
          <w:rFonts w:hint="eastAsia" w:ascii="仿宋_GB2312" w:hAnsi="仿宋_GB2312" w:eastAsia="仿宋_GB2312" w:cs="仿宋_GB2312"/>
          <w:color w:val="auto"/>
          <w:sz w:val="32"/>
          <w:szCs w:val="32"/>
        </w:rPr>
        <w:t>.2万元。</w:t>
      </w:r>
    </w:p>
    <w:p w14:paraId="36AFA371">
      <w:pPr>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五、事故发生原因及性质</w:t>
      </w:r>
    </w:p>
    <w:p w14:paraId="07475C5F">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（一）直接原因</w:t>
      </w:r>
    </w:p>
    <w:p w14:paraId="53D92D37">
      <w:pPr>
        <w:ind w:firstLine="64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起重机操作人员</w:t>
      </w:r>
      <w:r>
        <w:rPr>
          <w:rFonts w:hint="eastAsia" w:ascii="仿宋_GB2312" w:hAnsi="仿宋_GB2312" w:eastAsia="仿宋_GB2312" w:cs="仿宋_GB2312"/>
          <w:color w:val="auto"/>
          <w:sz w:val="32"/>
          <w:szCs w:val="32"/>
          <w:lang w:eastAsia="zh-CN"/>
        </w:rPr>
        <w:t>蒋德水</w:t>
      </w:r>
      <w:r>
        <w:rPr>
          <w:rFonts w:hint="eastAsia" w:ascii="仿宋_GB2312" w:hAnsi="仿宋_GB2312" w:eastAsia="仿宋_GB2312" w:cs="仿宋_GB2312"/>
          <w:color w:val="auto"/>
          <w:sz w:val="32"/>
          <w:szCs w:val="32"/>
        </w:rPr>
        <w:t>在用遥控器操作起重机械</w:t>
      </w:r>
      <w:r>
        <w:rPr>
          <w:rFonts w:hint="eastAsia" w:ascii="仿宋_GB2312" w:hAnsi="仿宋_GB2312" w:eastAsia="仿宋_GB2312" w:cs="仿宋_GB2312"/>
          <w:color w:val="auto"/>
          <w:sz w:val="32"/>
          <w:szCs w:val="32"/>
          <w:lang w:val="en-US" w:eastAsia="zh-CN"/>
        </w:rPr>
        <w:t>吊装</w:t>
      </w:r>
      <w:r>
        <w:rPr>
          <w:rFonts w:hint="eastAsia" w:ascii="仿宋_GB2312" w:hAnsi="仿宋_GB2312" w:eastAsia="仿宋_GB2312" w:cs="仿宋_GB2312"/>
          <w:color w:val="auto"/>
          <w:sz w:val="32"/>
          <w:szCs w:val="32"/>
          <w:lang w:eastAsia="zh-CN"/>
        </w:rPr>
        <w:t>方管</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作业</w:t>
      </w:r>
      <w:r>
        <w:rPr>
          <w:rFonts w:hint="eastAsia" w:ascii="仿宋_GB2312" w:hAnsi="仿宋_GB2312" w:eastAsia="仿宋_GB2312" w:cs="仿宋_GB2312"/>
          <w:color w:val="auto"/>
          <w:sz w:val="32"/>
          <w:szCs w:val="32"/>
        </w:rPr>
        <w:t>中，</w:t>
      </w:r>
      <w:r>
        <w:rPr>
          <w:rFonts w:hint="eastAsia" w:ascii="仿宋_GB2312" w:hAnsi="仿宋_GB2312" w:eastAsia="仿宋_GB2312" w:cs="仿宋_GB2312"/>
          <w:color w:val="auto"/>
          <w:sz w:val="32"/>
          <w:szCs w:val="32"/>
          <w:lang w:eastAsia="zh-CN"/>
        </w:rPr>
        <w:t>方管发生侧倾，</w:t>
      </w:r>
      <w:r>
        <w:rPr>
          <w:rFonts w:hint="eastAsia" w:ascii="仿宋_GB2312" w:hAnsi="仿宋_GB2312" w:eastAsia="仿宋_GB2312" w:cs="仿宋_GB2312"/>
          <w:color w:val="auto"/>
          <w:sz w:val="32"/>
          <w:szCs w:val="32"/>
          <w:lang w:val="en-US" w:eastAsia="zh-CN"/>
        </w:rPr>
        <w:t>其</w:t>
      </w:r>
      <w:r>
        <w:rPr>
          <w:rFonts w:hint="eastAsia" w:ascii="仿宋_GB2312" w:hAnsi="仿宋_GB2312" w:eastAsia="仿宋_GB2312" w:cs="仿宋_GB2312"/>
          <w:color w:val="auto"/>
          <w:sz w:val="32"/>
          <w:szCs w:val="32"/>
          <w:lang w:eastAsia="zh-CN"/>
        </w:rPr>
        <w:t>停止吊装作业，上前接触方管时，</w:t>
      </w:r>
      <w:r>
        <w:rPr>
          <w:rFonts w:hint="eastAsia" w:ascii="仿宋_GB2312" w:hAnsi="仿宋_GB2312" w:eastAsia="仿宋_GB2312" w:cs="仿宋_GB2312"/>
          <w:color w:val="auto"/>
          <w:sz w:val="32"/>
          <w:szCs w:val="32"/>
          <w:lang w:val="en-US" w:eastAsia="zh-CN"/>
        </w:rPr>
        <w:t>处于吊装物下方，</w:t>
      </w:r>
      <w:r>
        <w:rPr>
          <w:rFonts w:hint="eastAsia" w:ascii="仿宋_GB2312" w:hAnsi="仿宋_GB2312" w:eastAsia="仿宋_GB2312" w:cs="仿宋_GB2312"/>
          <w:color w:val="auto"/>
          <w:sz w:val="32"/>
          <w:szCs w:val="32"/>
          <w:lang w:eastAsia="zh-CN"/>
        </w:rPr>
        <w:t>方管从吊装带中滑落，</w:t>
      </w:r>
      <w:r>
        <w:rPr>
          <w:rFonts w:hint="eastAsia" w:ascii="仿宋_GB2312" w:hAnsi="仿宋_GB2312" w:eastAsia="仿宋_GB2312" w:cs="仿宋_GB2312"/>
          <w:color w:val="auto"/>
          <w:sz w:val="32"/>
          <w:szCs w:val="32"/>
          <w:lang w:val="en-US" w:eastAsia="zh-CN"/>
        </w:rPr>
        <w:t>砸中自身</w:t>
      </w:r>
      <w:r>
        <w:rPr>
          <w:rFonts w:hint="eastAsia" w:ascii="仿宋_GB2312" w:hAnsi="仿宋_GB2312" w:eastAsia="仿宋_GB2312" w:cs="仿宋_GB2312"/>
          <w:color w:val="auto"/>
          <w:sz w:val="32"/>
          <w:szCs w:val="32"/>
        </w:rPr>
        <w:t>后</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经抢救无效死亡。</w:t>
      </w:r>
    </w:p>
    <w:p w14:paraId="45AA335F">
      <w:pPr>
        <w:ind w:firstLine="64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蒋德水</w:t>
      </w:r>
      <w:r>
        <w:rPr>
          <w:rFonts w:hint="eastAsia" w:ascii="仿宋_GB2312" w:hAnsi="仿宋_GB2312" w:eastAsia="仿宋_GB2312" w:cs="仿宋_GB2312"/>
          <w:color w:val="auto"/>
          <w:sz w:val="32"/>
          <w:szCs w:val="32"/>
          <w:lang w:val="en-US" w:eastAsia="zh-CN"/>
        </w:rPr>
        <w:t>安全意识不足，未佩戴安全防护用具，在吊装物体下方</w:t>
      </w:r>
      <w:r>
        <w:rPr>
          <w:rFonts w:hint="eastAsia" w:ascii="仿宋_GB2312" w:hAnsi="仿宋_GB2312" w:eastAsia="仿宋_GB2312" w:cs="仿宋_GB2312"/>
          <w:color w:val="auto"/>
          <w:sz w:val="32"/>
          <w:szCs w:val="32"/>
        </w:rPr>
        <w:t>违章作业，</w:t>
      </w:r>
      <w:r>
        <w:rPr>
          <w:rFonts w:hint="eastAsia" w:ascii="仿宋_GB2312" w:hAnsi="仿宋_GB2312" w:eastAsia="仿宋_GB2312" w:cs="仿宋_GB2312"/>
          <w:color w:val="auto"/>
          <w:sz w:val="32"/>
          <w:szCs w:val="32"/>
          <w:lang w:val="en-US" w:eastAsia="zh-CN"/>
        </w:rPr>
        <w:t>方管</w:t>
      </w:r>
      <w:r>
        <w:rPr>
          <w:rFonts w:hint="eastAsia" w:ascii="仿宋_GB2312" w:hAnsi="仿宋_GB2312" w:eastAsia="仿宋_GB2312" w:cs="仿宋_GB2312"/>
          <w:color w:val="auto"/>
          <w:sz w:val="32"/>
          <w:szCs w:val="32"/>
        </w:rPr>
        <w:t>从索具中滑落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将其砸伤致死</w:t>
      </w:r>
      <w:r>
        <w:rPr>
          <w:rFonts w:hint="eastAsia" w:ascii="仿宋_GB2312" w:hAnsi="仿宋_GB2312" w:eastAsia="仿宋_GB2312" w:cs="仿宋_GB2312"/>
          <w:color w:val="auto"/>
          <w:sz w:val="32"/>
          <w:szCs w:val="32"/>
        </w:rPr>
        <w:t>，是导致</w:t>
      </w:r>
      <w:r>
        <w:rPr>
          <w:rFonts w:hint="eastAsia" w:ascii="仿宋_GB2312" w:hAnsi="仿宋_GB2312" w:eastAsia="仿宋_GB2312" w:cs="仿宋_GB2312"/>
          <w:color w:val="auto"/>
          <w:sz w:val="32"/>
          <w:szCs w:val="32"/>
          <w:lang w:val="en-US" w:eastAsia="zh-CN"/>
        </w:rPr>
        <w:t>事故</w:t>
      </w:r>
      <w:r>
        <w:rPr>
          <w:rFonts w:hint="eastAsia" w:ascii="仿宋_GB2312" w:hAnsi="仿宋_GB2312" w:eastAsia="仿宋_GB2312" w:cs="仿宋_GB2312"/>
          <w:color w:val="auto"/>
          <w:sz w:val="32"/>
          <w:szCs w:val="32"/>
        </w:rPr>
        <w:t>的直接原因。</w:t>
      </w:r>
    </w:p>
    <w:p w14:paraId="5F4A7DA3">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（二）间接原因</w:t>
      </w:r>
    </w:p>
    <w:p w14:paraId="7F662A08">
      <w:pPr>
        <w:widowControl/>
        <w:shd w:val="clear" w:color="auto" w:fill="FFFFFF"/>
        <w:adjustRightInd w:val="0"/>
        <w:spacing w:line="360" w:lineRule="auto"/>
        <w:ind w:firstLine="640" w:firstLine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lang w:val="en-US" w:eastAsia="zh-CN"/>
        </w:rPr>
        <w:t>一是违反《中华人民共和国特种设备安全法》第十三条第二款</w:t>
      </w:r>
      <w:r>
        <w:rPr>
          <w:rFonts w:hint="default" w:ascii="仿宋_GB2312" w:hAnsi="仿宋_GB2312" w:eastAsia="仿宋_GB2312" w:cs="仿宋_GB2312"/>
          <w:color w:val="auto"/>
          <w:sz w:val="32"/>
          <w:szCs w:val="32"/>
          <w:vertAlign w:val="superscript"/>
          <w:lang w:val="en-US" w:eastAsia="zh-CN"/>
        </w:rPr>
        <w:t>1</w:t>
      </w:r>
      <w:r>
        <w:rPr>
          <w:rFonts w:hint="eastAsia" w:ascii="仿宋_GB2312" w:hAnsi="仿宋_GB2312" w:eastAsia="仿宋_GB2312" w:cs="仿宋_GB2312"/>
          <w:color w:val="auto"/>
          <w:sz w:val="32"/>
          <w:szCs w:val="32"/>
          <w:lang w:val="en-US" w:eastAsia="zh-CN"/>
        </w:rPr>
        <w:t>、《中华人民共和国安全生产法》第二十八条第一款、第二款</w:t>
      </w:r>
      <w:r>
        <w:rPr>
          <w:rFonts w:hint="default" w:ascii="仿宋_GB2312" w:hAnsi="仿宋_GB2312" w:eastAsia="仿宋_GB2312" w:cs="仿宋_GB2312"/>
          <w:color w:val="auto"/>
          <w:sz w:val="32"/>
          <w:szCs w:val="32"/>
          <w:vertAlign w:val="superscript"/>
          <w:lang w:val="en-US" w:eastAsia="zh-CN"/>
        </w:rPr>
        <w:t>2</w:t>
      </w:r>
      <w:r>
        <w:rPr>
          <w:rFonts w:hint="eastAsia" w:ascii="仿宋_GB2312" w:hAnsi="仿宋_GB2312" w:eastAsia="仿宋_GB2312" w:cs="仿宋_GB2312"/>
          <w:color w:val="auto"/>
          <w:sz w:val="32"/>
          <w:szCs w:val="32"/>
          <w:lang w:val="en-US" w:eastAsia="zh-CN"/>
        </w:rPr>
        <w:t>的规定，</w:t>
      </w:r>
      <w:r>
        <w:rPr>
          <w:rFonts w:hint="eastAsia" w:ascii="仿宋_GB2312" w:hAnsi="仿宋_GB2312" w:eastAsia="仿宋_GB2312" w:cs="仿宋_GB2312"/>
          <w:color w:val="auto"/>
          <w:sz w:val="32"/>
          <w:szCs w:val="32"/>
          <w:lang w:eastAsia="zh-CN"/>
        </w:rPr>
        <w:t>安全生产主体责任落实不到位，</w:t>
      </w:r>
      <w:r>
        <w:rPr>
          <w:rFonts w:hint="eastAsia" w:ascii="仿宋_GB2312" w:hAnsi="仿宋_GB2312" w:eastAsia="仿宋_GB2312" w:cs="仿宋_GB2312"/>
          <w:color w:val="auto"/>
          <w:sz w:val="32"/>
          <w:szCs w:val="32"/>
          <w:lang w:val="en-US" w:eastAsia="zh-CN"/>
        </w:rPr>
        <w:t>未有效开展</w:t>
      </w:r>
      <w:r>
        <w:rPr>
          <w:rFonts w:hint="eastAsia" w:ascii="仿宋_GB2312" w:hAnsi="仿宋_GB2312" w:eastAsia="仿宋_GB2312" w:cs="仿宋_GB2312"/>
          <w:color w:val="auto"/>
          <w:sz w:val="32"/>
          <w:szCs w:val="32"/>
          <w:lang w:eastAsia="zh-CN"/>
        </w:rPr>
        <w:t>安全教育和</w:t>
      </w:r>
      <w:r>
        <w:rPr>
          <w:rFonts w:hint="default" w:ascii="仿宋_GB2312" w:hAnsi="仿宋_GB2312" w:eastAsia="仿宋_GB2312" w:cs="仿宋_GB2312"/>
          <w:color w:val="auto"/>
          <w:sz w:val="32"/>
          <w:szCs w:val="32"/>
          <w:lang w:eastAsia="zh-CN"/>
        </w:rPr>
        <w:t>技能培训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二是违反《中华人民共和国安全生产法》第四十五条</w:t>
      </w:r>
      <w:r>
        <w:rPr>
          <w:rFonts w:hint="default" w:ascii="仿宋_GB2312" w:hAnsi="仿宋_GB2312" w:eastAsia="仿宋_GB2312" w:cs="仿宋_GB2312"/>
          <w:color w:val="auto"/>
          <w:sz w:val="32"/>
          <w:szCs w:val="32"/>
          <w:vertAlign w:val="superscript"/>
          <w:lang w:val="en-US" w:eastAsia="zh-CN"/>
        </w:rPr>
        <w:t>3</w:t>
      </w:r>
      <w:r>
        <w:rPr>
          <w:rFonts w:hint="eastAsia" w:ascii="仿宋_GB2312" w:hAnsi="仿宋_GB2312" w:eastAsia="仿宋_GB2312" w:cs="仿宋_GB2312"/>
          <w:color w:val="auto"/>
          <w:sz w:val="32"/>
          <w:szCs w:val="32"/>
          <w:lang w:val="en-US" w:eastAsia="zh-CN"/>
        </w:rPr>
        <w:t>的规定，未配备安全防</w:t>
      </w:r>
    </w:p>
    <w:p w14:paraId="591D5DF4">
      <w:pPr>
        <w:widowControl/>
        <w:shd w:val="clear" w:color="auto" w:fill="FFFFFF"/>
        <w:adjustRightInd w:val="0"/>
        <w:spacing w:line="360" w:lineRule="auto"/>
        <w:jc w:val="left"/>
        <w:rPr>
          <w:rFonts w:hint="default" w:ascii="仿宋_GB2312" w:hAnsi="仿宋_GB2312" w:eastAsia="仿宋_GB2312" w:cs="仿宋_GB2312"/>
          <w:color w:val="auto"/>
          <w:sz w:val="32"/>
          <w:szCs w:val="32"/>
          <w:u w:val="single"/>
          <w:lang w:val="en-US" w:eastAsia="zh-CN"/>
        </w:rPr>
      </w:pPr>
      <w:r>
        <w:rPr>
          <w:rFonts w:hint="default" w:ascii="仿宋_GB2312" w:hAnsi="仿宋_GB2312" w:eastAsia="仿宋_GB2312" w:cs="仿宋_GB2312"/>
          <w:color w:val="auto"/>
          <w:sz w:val="32"/>
          <w:szCs w:val="32"/>
          <w:u w:val="single"/>
          <w:lang w:val="en-US" w:eastAsia="zh-CN"/>
        </w:rPr>
        <w:t xml:space="preserve">              </w:t>
      </w:r>
    </w:p>
    <w:p w14:paraId="58D541A8">
      <w:pPr>
        <w:widowControl/>
        <w:shd w:val="clear" w:color="auto" w:fill="FFFFFF"/>
        <w:adjustRightInd w:val="0"/>
        <w:spacing w:line="360" w:lineRule="auto"/>
        <w:ind w:firstLine="420" w:firstLineChars="200"/>
        <w:jc w:val="left"/>
        <w:rPr>
          <w:rFonts w:hint="default" w:ascii="仿宋_GB2312" w:hAnsi="仿宋_GB2312" w:eastAsia="仿宋_GB2312" w:cs="仿宋_GB2312"/>
          <w:color w:val="auto"/>
          <w:sz w:val="21"/>
          <w:szCs w:val="21"/>
          <w:lang w:val="en-US" w:eastAsia="zh-CN"/>
        </w:rPr>
      </w:pPr>
      <w:r>
        <w:rPr>
          <w:rFonts w:hint="default" w:ascii="仿宋_GB2312" w:hAnsi="仿宋_GB2312" w:eastAsia="仿宋_GB2312" w:cs="仿宋_GB2312"/>
          <w:color w:val="auto"/>
          <w:sz w:val="21"/>
          <w:szCs w:val="21"/>
          <w:lang w:val="en-US" w:eastAsia="zh-CN"/>
        </w:rPr>
        <w:t xml:space="preserve">1 </w:t>
      </w:r>
      <w:r>
        <w:rPr>
          <w:rFonts w:hint="eastAsia" w:ascii="仿宋_GB2312" w:hAnsi="仿宋_GB2312" w:eastAsia="仿宋_GB2312" w:cs="仿宋_GB2312"/>
          <w:color w:val="auto"/>
          <w:sz w:val="21"/>
          <w:szCs w:val="21"/>
          <w:lang w:val="en-US" w:eastAsia="zh-CN"/>
        </w:rPr>
        <w:t>《中华人民共和国特种设备安全法》第十三条第二款</w:t>
      </w:r>
      <w:r>
        <w:rPr>
          <w:rFonts w:hint="default" w:ascii="仿宋_GB2312" w:hAnsi="仿宋_GB2312" w:eastAsia="仿宋_GB2312" w:cs="仿宋_GB2312"/>
          <w:color w:val="auto"/>
          <w:sz w:val="21"/>
          <w:szCs w:val="21"/>
          <w:lang w:val="en-US" w:eastAsia="zh-CN"/>
        </w:rPr>
        <w:t xml:space="preserve"> 特种设备生产、经营、使用单位应当按照国家有关规定配备特种设备安全管理人员、检测人员和作业人员，并对其进行必要的安全教育和技能培训。</w:t>
      </w:r>
    </w:p>
    <w:p w14:paraId="4587AB81">
      <w:pPr>
        <w:widowControl/>
        <w:shd w:val="clear" w:color="auto" w:fill="FFFFFF"/>
        <w:adjustRightInd w:val="0"/>
        <w:spacing w:line="360" w:lineRule="auto"/>
        <w:jc w:val="left"/>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护用具。</w:t>
      </w:r>
    </w:p>
    <w:p w14:paraId="4D9CBABA">
      <w:pPr>
        <w:widowControl/>
        <w:shd w:val="clear" w:color="auto" w:fill="FFFFFF"/>
        <w:adjustRightInd w:val="0"/>
        <w:spacing w:line="360" w:lineRule="auto"/>
        <w:ind w:firstLine="640" w:firstLineChars="200"/>
        <w:jc w:val="lef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lang w:val="en-US" w:eastAsia="zh-CN"/>
        </w:rPr>
        <w:t>对员工安全教育培训</w:t>
      </w:r>
      <w:r>
        <w:rPr>
          <w:rFonts w:hint="eastAsia" w:ascii="仿宋_GB2312" w:hAnsi="仿宋_GB2312" w:eastAsia="仿宋_GB2312" w:cs="仿宋_GB2312"/>
          <w:color w:val="auto"/>
          <w:sz w:val="32"/>
          <w:szCs w:val="32"/>
        </w:rPr>
        <w:t>流于形式，安全隐患排查不力，未及时发现并制止操作人员的违章操作行为，是导致该事故的间接原因。</w:t>
      </w:r>
    </w:p>
    <w:p w14:paraId="691704C7">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（三）主要原因</w:t>
      </w:r>
    </w:p>
    <w:p w14:paraId="33D02349">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蒋德水</w:t>
      </w:r>
      <w:r>
        <w:rPr>
          <w:rFonts w:hint="eastAsia" w:ascii="仿宋_GB2312" w:hAnsi="仿宋_GB2312" w:eastAsia="仿宋_GB2312" w:cs="仿宋_GB2312"/>
          <w:color w:val="auto"/>
          <w:sz w:val="32"/>
          <w:szCs w:val="32"/>
        </w:rPr>
        <w:t>吊装作业安全意识淡薄，操作时</w:t>
      </w:r>
      <w:r>
        <w:rPr>
          <w:rFonts w:hint="eastAsia" w:ascii="仿宋_GB2312" w:hAnsi="仿宋_GB2312" w:eastAsia="仿宋_GB2312" w:cs="仿宋_GB2312"/>
          <w:color w:val="auto"/>
          <w:sz w:val="32"/>
          <w:szCs w:val="32"/>
          <w:lang w:val="en-US" w:eastAsia="zh-CN"/>
        </w:rPr>
        <w:t>未保持安全距离</w:t>
      </w:r>
      <w:r>
        <w:rPr>
          <w:rFonts w:hint="eastAsia" w:ascii="仿宋_GB2312" w:hAnsi="仿宋_GB2312" w:eastAsia="仿宋_GB2312" w:cs="仿宋_GB2312"/>
          <w:color w:val="auto"/>
          <w:sz w:val="32"/>
          <w:szCs w:val="32"/>
        </w:rPr>
        <w:t>，对索具使用不当，是导致事故发生的主要原因。</w:t>
      </w:r>
    </w:p>
    <w:p w14:paraId="0FE540FB">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（四）次要原因</w:t>
      </w:r>
    </w:p>
    <w:p w14:paraId="3ECCE367">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rPr>
        <w:t>安全主体责任落实不到位，对</w:t>
      </w:r>
      <w:r>
        <w:rPr>
          <w:rFonts w:hint="eastAsia" w:ascii="仿宋_GB2312" w:hAnsi="仿宋_GB2312" w:eastAsia="仿宋_GB2312" w:cs="仿宋_GB2312"/>
          <w:color w:val="auto"/>
          <w:sz w:val="32"/>
          <w:szCs w:val="32"/>
          <w:lang w:val="en-US" w:eastAsia="zh-CN"/>
        </w:rPr>
        <w:t>吊装作业</w:t>
      </w:r>
      <w:r>
        <w:rPr>
          <w:rFonts w:hint="eastAsia" w:ascii="仿宋_GB2312" w:hAnsi="仿宋_GB2312" w:eastAsia="仿宋_GB2312" w:cs="仿宋_GB2312"/>
          <w:color w:val="auto"/>
          <w:sz w:val="32"/>
          <w:szCs w:val="32"/>
        </w:rPr>
        <w:t>落实监管不到位，对现场安全</w:t>
      </w:r>
      <w:r>
        <w:rPr>
          <w:rFonts w:hint="eastAsia" w:ascii="仿宋_GB2312" w:hAnsi="仿宋_GB2312" w:eastAsia="仿宋_GB2312" w:cs="仿宋_GB2312"/>
          <w:color w:val="auto"/>
          <w:sz w:val="32"/>
          <w:szCs w:val="32"/>
          <w:lang w:val="en-US" w:eastAsia="zh-CN"/>
        </w:rPr>
        <w:t>缺乏有效</w:t>
      </w:r>
      <w:r>
        <w:rPr>
          <w:rFonts w:hint="eastAsia" w:ascii="仿宋_GB2312" w:hAnsi="仿宋_GB2312" w:eastAsia="仿宋_GB2312" w:cs="仿宋_GB2312"/>
          <w:color w:val="auto"/>
          <w:sz w:val="32"/>
          <w:szCs w:val="32"/>
        </w:rPr>
        <w:t>管理，对隐患排查、及时排除安全隐患不到位，是事故的次要原因。</w:t>
      </w:r>
    </w:p>
    <w:p w14:paraId="3AA69BFD">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（五）事故性质</w:t>
      </w:r>
    </w:p>
    <w:p w14:paraId="78A06975">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天津市龙腾信责钢结构工程有限公司“4·20”起重机械</w:t>
      </w:r>
      <w:r>
        <w:rPr>
          <w:rFonts w:hint="eastAsia" w:ascii="仿宋_GB2312" w:hAnsi="仿宋_GB2312" w:eastAsia="仿宋_GB2312" w:cs="仿宋_GB2312"/>
          <w:color w:val="auto"/>
          <w:sz w:val="32"/>
          <w:szCs w:val="32"/>
        </w:rPr>
        <w:t>物体滑落事故是一起生产安全责任事故。</w:t>
      </w:r>
      <w:r>
        <w:rPr>
          <w:rFonts w:hint="eastAsia" w:ascii="仿宋_GB2312" w:hAnsi="仿宋_GB2312" w:eastAsia="仿宋_GB2312" w:cs="仿宋_GB2312"/>
          <w:color w:val="auto"/>
          <w:sz w:val="32"/>
          <w:szCs w:val="32"/>
          <w:lang w:val="en-US" w:eastAsia="zh-CN"/>
        </w:rPr>
        <w:t>经查明</w:t>
      </w:r>
      <w:r>
        <w:rPr>
          <w:rFonts w:hint="eastAsia" w:ascii="仿宋_GB2312" w:hAnsi="仿宋_GB2312" w:eastAsia="仿宋_GB2312" w:cs="仿宋_GB2312"/>
          <w:color w:val="auto"/>
          <w:sz w:val="32"/>
          <w:szCs w:val="32"/>
        </w:rPr>
        <w:t>，该事</w:t>
      </w:r>
    </w:p>
    <w:p w14:paraId="5A306DEE">
      <w:pPr>
        <w:widowControl/>
        <w:shd w:val="clear" w:color="auto" w:fill="FFFFFF"/>
        <w:adjustRightInd w:val="0"/>
        <w:spacing w:line="360" w:lineRule="auto"/>
        <w:jc w:val="left"/>
        <w:rPr>
          <w:rFonts w:hint="default" w:ascii="仿宋_GB2312" w:hAnsi="仿宋_GB2312" w:eastAsia="仿宋_GB2312" w:cs="仿宋_GB2312"/>
          <w:color w:val="auto"/>
          <w:sz w:val="32"/>
          <w:szCs w:val="32"/>
          <w:u w:val="single"/>
          <w:lang w:val="en-US" w:eastAsia="zh-CN"/>
        </w:rPr>
      </w:pPr>
      <w:r>
        <w:rPr>
          <w:rFonts w:hint="default" w:ascii="仿宋_GB2312" w:hAnsi="仿宋_GB2312" w:eastAsia="仿宋_GB2312" w:cs="仿宋_GB2312"/>
          <w:color w:val="auto"/>
          <w:sz w:val="32"/>
          <w:szCs w:val="32"/>
          <w:u w:val="single"/>
          <w:lang w:val="en-US" w:eastAsia="zh-CN"/>
        </w:rPr>
        <w:t xml:space="preserve">              </w:t>
      </w:r>
    </w:p>
    <w:p w14:paraId="48D27E39">
      <w:pPr>
        <w:widowControl/>
        <w:shd w:val="clear" w:color="auto" w:fill="FFFFFF"/>
        <w:adjustRightInd w:val="0"/>
        <w:spacing w:line="360" w:lineRule="auto"/>
        <w:ind w:firstLine="420" w:firstLineChars="200"/>
        <w:jc w:val="left"/>
        <w:rPr>
          <w:rFonts w:hint="eastAsia" w:ascii="仿宋_GB2312" w:hAnsi="仿宋_GB2312" w:eastAsia="仿宋_GB2312" w:cs="仿宋_GB2312"/>
          <w:color w:val="auto"/>
          <w:sz w:val="21"/>
          <w:szCs w:val="21"/>
          <w:lang w:val="en-US" w:eastAsia="zh-CN"/>
        </w:rPr>
      </w:pPr>
      <w:r>
        <w:rPr>
          <w:rFonts w:hint="default" w:ascii="仿宋_GB2312" w:hAnsi="仿宋_GB2312" w:eastAsia="仿宋_GB2312" w:cs="仿宋_GB2312"/>
          <w:color w:val="auto"/>
          <w:sz w:val="21"/>
          <w:szCs w:val="21"/>
          <w:lang w:val="en-US" w:eastAsia="zh-CN"/>
        </w:rPr>
        <w:t xml:space="preserve">2 </w:t>
      </w:r>
      <w:r>
        <w:rPr>
          <w:rFonts w:hint="eastAsia" w:ascii="仿宋_GB2312" w:hAnsi="仿宋_GB2312" w:eastAsia="仿宋_GB2312" w:cs="仿宋_GB2312"/>
          <w:color w:val="auto"/>
          <w:sz w:val="21"/>
          <w:szCs w:val="21"/>
          <w:lang w:val="en-US" w:eastAsia="zh-CN"/>
        </w:rPr>
        <w:t>《中华人民共和国安全生产法》</w:t>
      </w:r>
      <w:r>
        <w:rPr>
          <w:rFonts w:hint="default" w:ascii="仿宋_GB2312" w:hAnsi="仿宋_GB2312" w:eastAsia="仿宋_GB2312" w:cs="仿宋_GB2312"/>
          <w:color w:val="auto"/>
          <w:sz w:val="21"/>
          <w:szCs w:val="21"/>
          <w:lang w:val="en-US" w:eastAsia="zh-CN"/>
        </w:rPr>
        <w:t>第二十八条 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14:paraId="6923E365">
      <w:pPr>
        <w:widowControl/>
        <w:shd w:val="clear" w:color="auto" w:fill="FFFFFF"/>
        <w:adjustRightInd w:val="0"/>
        <w:spacing w:line="360" w:lineRule="auto"/>
        <w:ind w:firstLine="420" w:firstLineChars="200"/>
        <w:jc w:val="left"/>
        <w:rPr>
          <w:rFonts w:hint="default" w:ascii="仿宋_GB2312" w:hAnsi="仿宋_GB2312" w:eastAsia="仿宋_GB2312" w:cs="仿宋_GB2312"/>
          <w:color w:val="auto"/>
          <w:sz w:val="21"/>
          <w:szCs w:val="21"/>
          <w:lang w:val="en-US" w:eastAsia="zh-CN"/>
        </w:rPr>
      </w:pPr>
      <w:r>
        <w:rPr>
          <w:rFonts w:hint="default" w:ascii="仿宋_GB2312" w:hAnsi="仿宋_GB2312" w:eastAsia="仿宋_GB2312" w:cs="仿宋_GB2312"/>
          <w:color w:val="auto"/>
          <w:sz w:val="21"/>
          <w:szCs w:val="21"/>
          <w:lang w:val="en-US" w:eastAsia="zh-CN"/>
        </w:rPr>
        <w:t xml:space="preserve"> 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1B5857DF">
      <w:pPr>
        <w:widowControl/>
        <w:shd w:val="clear" w:color="auto" w:fill="FFFFFF"/>
        <w:adjustRightInd w:val="0"/>
        <w:spacing w:line="360" w:lineRule="auto"/>
        <w:ind w:firstLine="420" w:firstLineChars="200"/>
        <w:jc w:val="left"/>
        <w:rPr>
          <w:rFonts w:hint="eastAsia" w:ascii="仿宋_GB2312" w:hAnsi="仿宋_GB2312" w:eastAsia="仿宋_GB2312" w:cs="仿宋_GB2312"/>
          <w:color w:val="auto"/>
          <w:sz w:val="21"/>
          <w:szCs w:val="21"/>
          <w:lang w:val="en-US" w:eastAsia="zh-CN"/>
        </w:rPr>
      </w:pPr>
      <w:r>
        <w:rPr>
          <w:rFonts w:hint="default" w:ascii="仿宋_GB2312" w:hAnsi="仿宋_GB2312" w:eastAsia="仿宋_GB2312" w:cs="仿宋_GB2312"/>
          <w:color w:val="auto"/>
          <w:sz w:val="21"/>
          <w:szCs w:val="21"/>
          <w:lang w:val="en-US" w:eastAsia="zh-CN"/>
        </w:rPr>
        <w:t xml:space="preserve">3 </w:t>
      </w:r>
      <w:r>
        <w:rPr>
          <w:rFonts w:hint="eastAsia" w:ascii="仿宋_GB2312" w:hAnsi="仿宋_GB2312" w:eastAsia="仿宋_GB2312" w:cs="仿宋_GB2312"/>
          <w:color w:val="auto"/>
          <w:sz w:val="21"/>
          <w:szCs w:val="21"/>
          <w:lang w:val="en-US" w:eastAsia="zh-CN"/>
        </w:rPr>
        <w:t>《中华人民共和国安全生产法》</w:t>
      </w:r>
      <w:r>
        <w:rPr>
          <w:rFonts w:hint="default" w:ascii="仿宋_GB2312" w:hAnsi="仿宋_GB2312" w:eastAsia="仿宋_GB2312" w:cs="仿宋_GB2312"/>
          <w:color w:val="auto"/>
          <w:sz w:val="21"/>
          <w:szCs w:val="21"/>
          <w:lang w:val="en-US" w:eastAsia="zh-CN"/>
        </w:rPr>
        <w:t>第四十五条  生产经营单位必须为从业人员提供符合国家标准或者行业标准的劳动防护用品，并监督、教育从业人员按照使用规则佩戴、使用</w:t>
      </w:r>
      <w:r>
        <w:rPr>
          <w:rFonts w:hint="eastAsia" w:ascii="仿宋_GB2312" w:hAnsi="仿宋_GB2312" w:eastAsia="仿宋_GB2312" w:cs="仿宋_GB2312"/>
          <w:color w:val="auto"/>
          <w:sz w:val="21"/>
          <w:szCs w:val="21"/>
          <w:lang w:val="en-US" w:eastAsia="zh-CN"/>
        </w:rPr>
        <w:t>。</w:t>
      </w:r>
    </w:p>
    <w:p w14:paraId="7157CDA9">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故是一起因起重索具原因引发被起吊物品滑落导致人员伤亡的事故。根据TSG 03-</w:t>
      </w:r>
      <w:r>
        <w:rPr>
          <w:rFonts w:hint="default"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 xml:space="preserve"> 《特种设备事故报告和调查处理导则》第1</w:t>
      </w:r>
      <w:r>
        <w:rPr>
          <w:rFonts w:hint="default" w:ascii="仿宋_GB2312" w:hAnsi="仿宋_GB2312" w:eastAsia="仿宋_GB2312" w:cs="仿宋_GB2312"/>
          <w:color w:val="auto"/>
          <w:sz w:val="32"/>
          <w:szCs w:val="32"/>
          <w:lang w:val="en-US"/>
        </w:rPr>
        <w:t>.7</w:t>
      </w:r>
      <w:r>
        <w:rPr>
          <w:rFonts w:hint="eastAsia" w:ascii="仿宋_GB2312" w:hAnsi="仿宋_GB2312" w:eastAsia="仿宋_GB2312" w:cs="仿宋_GB2312"/>
          <w:color w:val="auto"/>
          <w:sz w:val="32"/>
          <w:szCs w:val="32"/>
        </w:rPr>
        <w:t>条（</w:t>
      </w:r>
      <w:r>
        <w:rPr>
          <w:rFonts w:hint="default" w:ascii="仿宋_GB2312" w:hAnsi="仿宋_GB2312" w:eastAsia="仿宋_GB2312" w:cs="仿宋_GB2312"/>
          <w:color w:val="auto"/>
          <w:sz w:val="32"/>
          <w:szCs w:val="32"/>
          <w:lang w:val="en-US"/>
        </w:rPr>
        <w:t>8</w:t>
      </w:r>
      <w:r>
        <w:rPr>
          <w:rFonts w:hint="eastAsia" w:ascii="仿宋_GB2312" w:hAnsi="仿宋_GB2312" w:eastAsia="仿宋_GB2312" w:cs="仿宋_GB2312"/>
          <w:color w:val="auto"/>
          <w:sz w:val="32"/>
          <w:szCs w:val="32"/>
        </w:rPr>
        <w:t>）</w:t>
      </w:r>
      <w:r>
        <w:rPr>
          <w:rFonts w:hint="default" w:ascii="仿宋_GB2312" w:hAnsi="仿宋_GB2312" w:eastAsia="仿宋_GB2312" w:cs="仿宋_GB2312"/>
          <w:color w:val="auto"/>
          <w:sz w:val="32"/>
          <w:szCs w:val="32"/>
          <w:vertAlign w:val="superscript"/>
          <w:lang w:val="en-US"/>
        </w:rPr>
        <w:t>4</w:t>
      </w:r>
      <w:r>
        <w:rPr>
          <w:rFonts w:hint="eastAsia" w:ascii="仿宋_GB2312" w:hAnsi="仿宋_GB2312" w:eastAsia="仿宋_GB2312" w:cs="仿宋_GB2312"/>
          <w:color w:val="auto"/>
          <w:sz w:val="32"/>
          <w:szCs w:val="32"/>
        </w:rPr>
        <w:t>中规定，该事故不属于特种设备事故</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为特种设备相关事故。</w:t>
      </w:r>
    </w:p>
    <w:p w14:paraId="2A11800F">
      <w:pPr>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六、责任认定及处理建议</w:t>
      </w:r>
    </w:p>
    <w:p w14:paraId="7397678A">
      <w:pPr>
        <w:spacing w:line="560" w:lineRule="exact"/>
        <w:ind w:firstLine="64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蒋德水</w:t>
      </w:r>
    </w:p>
    <w:p w14:paraId="1CD78521">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蒋德水</w:t>
      </w:r>
      <w:r>
        <w:rPr>
          <w:rFonts w:hint="eastAsia" w:ascii="仿宋_GB2312" w:hAnsi="仿宋_GB2312" w:eastAsia="仿宋_GB2312" w:cs="仿宋_GB2312"/>
          <w:color w:val="auto"/>
          <w:sz w:val="32"/>
          <w:szCs w:val="32"/>
        </w:rPr>
        <w:t>吊装作业安全意识淡薄，操作时</w:t>
      </w:r>
      <w:r>
        <w:rPr>
          <w:rFonts w:hint="eastAsia" w:ascii="仿宋_GB2312" w:hAnsi="仿宋_GB2312" w:eastAsia="仿宋_GB2312" w:cs="仿宋_GB2312"/>
          <w:color w:val="auto"/>
          <w:sz w:val="32"/>
          <w:szCs w:val="32"/>
          <w:lang w:val="en-US" w:eastAsia="zh-CN"/>
        </w:rPr>
        <w:t>未保持安全距离</w:t>
      </w:r>
      <w:r>
        <w:rPr>
          <w:rFonts w:hint="eastAsia" w:ascii="仿宋_GB2312" w:hAnsi="仿宋_GB2312" w:eastAsia="仿宋_GB2312" w:cs="仿宋_GB2312"/>
          <w:color w:val="auto"/>
          <w:sz w:val="32"/>
          <w:szCs w:val="32"/>
        </w:rPr>
        <w:t>，对</w:t>
      </w:r>
      <w:r>
        <w:rPr>
          <w:rFonts w:hint="eastAsia" w:ascii="仿宋_GB2312" w:hAnsi="仿宋_GB2312" w:eastAsia="仿宋_GB2312" w:cs="仿宋_GB2312"/>
          <w:color w:val="auto"/>
          <w:sz w:val="32"/>
          <w:szCs w:val="32"/>
          <w:lang w:val="en-US" w:eastAsia="zh-CN"/>
        </w:rPr>
        <w:t>吊装带</w:t>
      </w:r>
      <w:r>
        <w:rPr>
          <w:rFonts w:hint="eastAsia" w:ascii="仿宋_GB2312" w:hAnsi="仿宋_GB2312" w:eastAsia="仿宋_GB2312" w:cs="仿宋_GB2312"/>
          <w:color w:val="auto"/>
          <w:sz w:val="32"/>
          <w:szCs w:val="32"/>
        </w:rPr>
        <w:t>使用不当，对本次事故负有主要责任。其在事故中死亡，建议不再追究责任。</w:t>
      </w:r>
    </w:p>
    <w:p w14:paraId="3255FC11">
      <w:pPr>
        <w:ind w:firstLine="645"/>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龙腾公司</w:t>
      </w:r>
    </w:p>
    <w:p w14:paraId="7F0D9E3C">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rPr>
        <w:t>为事故起重机的实际使用和安全管理单位，是安全管理的责任主体。</w:t>
      </w: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rPr>
        <w:t>的安全管理主体责任落实不到位，安全生产责任制及安全生产规章制度落实不到位，对从业人员安全教育不到位，从业人员安全生产教育和培训流于形式；未认真落实事故隐患排查制度，日常安全检查不力。对本次事故负有次要责任。</w:t>
      </w:r>
    </w:p>
    <w:p w14:paraId="649ABA0E">
      <w:pPr>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事故发生后，</w:t>
      </w: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rPr>
        <w:t>立即组织人员进行抢救，对死者家属赔偿</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完成了</w:t>
      </w:r>
      <w:r>
        <w:rPr>
          <w:rFonts w:hint="eastAsia" w:ascii="仿宋_GB2312" w:hAnsi="仿宋_GB2312" w:eastAsia="仿宋_GB2312" w:cs="仿宋_GB2312"/>
          <w:color w:val="auto"/>
          <w:sz w:val="32"/>
          <w:szCs w:val="32"/>
        </w:rPr>
        <w:t>善后工作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为社会稳定起到了积极作用。该公司积极配合事故调查组调查，对安全隐患积</w:t>
      </w:r>
      <w:bookmarkStart w:id="3" w:name="_Hlk25179577"/>
      <w:r>
        <w:rPr>
          <w:rFonts w:hint="eastAsia" w:ascii="仿宋_GB2312" w:hAnsi="仿宋_GB2312" w:eastAsia="仿宋_GB2312" w:cs="仿宋_GB2312"/>
          <w:color w:val="auto"/>
          <w:sz w:val="32"/>
          <w:szCs w:val="32"/>
        </w:rPr>
        <w:t>极整改。</w:t>
      </w:r>
      <w:bookmarkEnd w:id="3"/>
      <w:r>
        <w:rPr>
          <w:rFonts w:hint="eastAsia" w:ascii="仿宋_GB2312" w:hAnsi="仿宋_GB2312" w:eastAsia="仿宋_GB2312" w:cs="仿宋_GB2312"/>
          <w:color w:val="auto"/>
          <w:sz w:val="32"/>
          <w:szCs w:val="32"/>
        </w:rPr>
        <w:t>建议市场监管局依据《中华人民共和国特种设备安全</w:t>
      </w:r>
    </w:p>
    <w:p w14:paraId="183F85DB">
      <w:pPr>
        <w:widowControl/>
        <w:shd w:val="clear" w:color="auto" w:fill="FFFFFF"/>
        <w:adjustRightInd w:val="0"/>
        <w:spacing w:line="360" w:lineRule="auto"/>
        <w:jc w:val="left"/>
        <w:rPr>
          <w:rFonts w:hint="default" w:ascii="仿宋_GB2312" w:hAnsi="仿宋_GB2312" w:eastAsia="仿宋_GB2312" w:cs="仿宋_GB2312"/>
          <w:color w:val="auto"/>
          <w:sz w:val="32"/>
          <w:szCs w:val="32"/>
          <w:u w:val="single"/>
          <w:lang w:val="en-US" w:eastAsia="zh-CN"/>
        </w:rPr>
      </w:pPr>
      <w:r>
        <w:rPr>
          <w:rFonts w:hint="default" w:ascii="仿宋_GB2312" w:hAnsi="仿宋_GB2312" w:eastAsia="仿宋_GB2312" w:cs="仿宋_GB2312"/>
          <w:color w:val="auto"/>
          <w:sz w:val="32"/>
          <w:szCs w:val="32"/>
          <w:u w:val="single"/>
          <w:lang w:val="en-US" w:eastAsia="zh-CN"/>
        </w:rPr>
        <w:t xml:space="preserve">              </w:t>
      </w:r>
    </w:p>
    <w:p w14:paraId="17136CCE">
      <w:pPr>
        <w:widowControl/>
        <w:shd w:val="clear" w:color="auto" w:fill="FFFFFF"/>
        <w:adjustRightInd w:val="0"/>
        <w:spacing w:line="360" w:lineRule="auto"/>
        <w:ind w:firstLine="420" w:firstLineChars="200"/>
        <w:jc w:val="left"/>
        <w:rPr>
          <w:rFonts w:hint="eastAsia" w:ascii="仿宋_GB2312" w:hAnsi="仿宋_GB2312" w:eastAsia="仿宋_GB2312" w:cs="仿宋_GB2312"/>
          <w:color w:val="auto"/>
          <w:sz w:val="21"/>
          <w:szCs w:val="21"/>
          <w:lang w:val="en-US" w:eastAsia="zh-CN"/>
        </w:rPr>
      </w:pPr>
      <w:r>
        <w:rPr>
          <w:rFonts w:hint="default" w:ascii="仿宋_GB2312" w:hAnsi="仿宋_GB2312" w:eastAsia="仿宋_GB2312" w:cs="仿宋_GB2312"/>
          <w:color w:val="auto"/>
          <w:sz w:val="21"/>
          <w:szCs w:val="21"/>
          <w:lang w:val="en-US" w:eastAsia="zh-CN"/>
        </w:rPr>
        <w:t xml:space="preserve">4 </w:t>
      </w:r>
      <w:r>
        <w:rPr>
          <w:rFonts w:hint="eastAsia" w:ascii="仿宋_GB2312" w:hAnsi="仿宋_GB2312" w:eastAsia="仿宋_GB2312" w:cs="仿宋_GB2312"/>
          <w:color w:val="auto"/>
          <w:sz w:val="21"/>
          <w:szCs w:val="21"/>
          <w:lang w:val="en-US" w:eastAsia="zh-CN"/>
        </w:rPr>
        <w:t>TSG 03-</w:t>
      </w:r>
      <w:r>
        <w:rPr>
          <w:rFonts w:hint="default" w:ascii="仿宋_GB2312" w:hAnsi="仿宋_GB2312" w:eastAsia="仿宋_GB2312" w:cs="仿宋_GB2312"/>
          <w:color w:val="auto"/>
          <w:sz w:val="21"/>
          <w:szCs w:val="21"/>
          <w:lang w:val="en-US" w:eastAsia="zh-CN"/>
        </w:rPr>
        <w:t>2024</w:t>
      </w:r>
      <w:r>
        <w:rPr>
          <w:rFonts w:hint="eastAsia" w:ascii="仿宋_GB2312" w:hAnsi="仿宋_GB2312" w:eastAsia="仿宋_GB2312" w:cs="仿宋_GB2312"/>
          <w:color w:val="auto"/>
          <w:sz w:val="21"/>
          <w:szCs w:val="21"/>
          <w:lang w:val="en-US" w:eastAsia="zh-CN"/>
        </w:rPr>
        <w:t xml:space="preserve"> 《特种设备事故报告和调查处理导则》1.7 特种设备相关事故</w:t>
      </w:r>
    </w:p>
    <w:p w14:paraId="3BED37AC">
      <w:pPr>
        <w:widowControl/>
        <w:shd w:val="clear" w:color="auto" w:fill="FFFFFF"/>
        <w:adjustRightInd w:val="0"/>
        <w:spacing w:line="360" w:lineRule="auto"/>
        <w:ind w:firstLine="420" w:firstLineChars="200"/>
        <w:jc w:val="left"/>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与特种设备相关的其他安全事故(以下简称相关事故)，包括但不限于以下情形:</w:t>
      </w:r>
    </w:p>
    <w:p w14:paraId="1DD31E19">
      <w:pPr>
        <w:widowControl/>
        <w:shd w:val="clear" w:color="auto" w:fill="FFFFFF"/>
        <w:adjustRightInd w:val="0"/>
        <w:spacing w:line="360" w:lineRule="auto"/>
        <w:ind w:firstLine="420" w:firstLineChars="200"/>
        <w:jc w:val="left"/>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(8)起重机械索具或者可拆分吊具原因引发被起吊物品坠落的事故。</w:t>
      </w:r>
    </w:p>
    <w:p w14:paraId="7EE0968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right="0"/>
        <w:jc w:val="left"/>
        <w:rPr>
          <w:rFonts w:hint="eastAsia" w:ascii="仿宋_GB2312" w:hAnsi="仿宋_GB2312" w:eastAsia="仿宋_GB2312" w:cs="仿宋_GB2312"/>
          <w:color w:val="auto"/>
          <w:sz w:val="32"/>
          <w:szCs w:val="32"/>
        </w:rPr>
      </w:pPr>
      <w:bookmarkStart w:id="4" w:name="_Hlk25410221"/>
      <w:r>
        <w:rPr>
          <w:rFonts w:hint="eastAsia" w:ascii="仿宋_GB2312" w:hAnsi="仿宋_GB2312" w:eastAsia="仿宋_GB2312" w:cs="仿宋_GB2312"/>
          <w:color w:val="auto"/>
          <w:sz w:val="32"/>
          <w:szCs w:val="32"/>
        </w:rPr>
        <w:t>法》第九十条第（一）项</w:t>
      </w:r>
      <w:r>
        <w:rPr>
          <w:rFonts w:hint="default" w:ascii="仿宋_GB2312" w:hAnsi="仿宋_GB2312" w:eastAsia="仿宋_GB2312" w:cs="仿宋_GB2312"/>
          <w:color w:val="auto"/>
          <w:sz w:val="32"/>
          <w:szCs w:val="32"/>
          <w:vertAlign w:val="superscript"/>
          <w:lang w:val="en-US"/>
        </w:rPr>
        <w:t>5</w:t>
      </w:r>
      <w:r>
        <w:rPr>
          <w:rFonts w:hint="eastAsia" w:ascii="仿宋_GB2312" w:hAnsi="仿宋_GB2312" w:eastAsia="仿宋_GB2312" w:cs="仿宋_GB2312"/>
          <w:color w:val="auto"/>
          <w:sz w:val="32"/>
          <w:szCs w:val="32"/>
        </w:rPr>
        <w:t>之规定，对该公司处以</w:t>
      </w:r>
      <w:r>
        <w:rPr>
          <w:rFonts w:hint="default" w:ascii="仿宋_GB2312" w:hAnsi="仿宋_GB2312" w:eastAsia="仿宋_GB2312" w:cs="仿宋_GB2312"/>
          <w:color w:val="auto"/>
          <w:sz w:val="32"/>
          <w:szCs w:val="32"/>
          <w:lang w:val="en-US"/>
        </w:rPr>
        <w:t>142000</w:t>
      </w:r>
      <w:r>
        <w:rPr>
          <w:rFonts w:hint="eastAsia" w:ascii="仿宋_GB2312" w:hAnsi="仿宋_GB2312" w:eastAsia="仿宋_GB2312" w:cs="仿宋_GB2312"/>
          <w:color w:val="auto"/>
          <w:sz w:val="32"/>
          <w:szCs w:val="32"/>
        </w:rPr>
        <w:t>元罚款。</w:t>
      </w:r>
      <w:bookmarkEnd w:id="4"/>
    </w:p>
    <w:p w14:paraId="4784FF18">
      <w:pPr>
        <w:spacing w:line="560" w:lineRule="exact"/>
        <w:ind w:firstLine="64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事故发生后，</w:t>
      </w: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rPr>
        <w:t>负责人接到事故报告后，未于1小时内向事故发生地有关部门报告。建议市场监管局依据《中华人民共和国特种设备安全法》第八十九条第（二）项</w:t>
      </w:r>
      <w:r>
        <w:rPr>
          <w:rFonts w:hint="default" w:ascii="仿宋_GB2312" w:hAnsi="仿宋_GB2312" w:eastAsia="仿宋_GB2312" w:cs="仿宋_GB2312"/>
          <w:color w:val="auto"/>
          <w:sz w:val="32"/>
          <w:szCs w:val="32"/>
          <w:vertAlign w:val="superscript"/>
          <w:lang w:val="en-US"/>
        </w:rPr>
        <w:t>6</w:t>
      </w:r>
      <w:r>
        <w:rPr>
          <w:rFonts w:hint="eastAsia" w:ascii="仿宋_GB2312" w:hAnsi="仿宋_GB2312" w:eastAsia="仿宋_GB2312" w:cs="仿宋_GB2312"/>
          <w:color w:val="auto"/>
          <w:sz w:val="32"/>
          <w:szCs w:val="32"/>
        </w:rPr>
        <w:t>之规定，对该公司处以</w:t>
      </w:r>
      <w:r>
        <w:rPr>
          <w:rFonts w:hint="default" w:ascii="仿宋_GB2312" w:hAnsi="仿宋_GB2312" w:eastAsia="仿宋_GB2312" w:cs="仿宋_GB2312"/>
          <w:color w:val="auto"/>
          <w:sz w:val="32"/>
          <w:szCs w:val="32"/>
          <w:lang w:val="en-US" w:eastAsia="zh-CN"/>
        </w:rPr>
        <w:t>113000</w:t>
      </w:r>
      <w:r>
        <w:rPr>
          <w:rFonts w:hint="eastAsia" w:ascii="仿宋_GB2312" w:hAnsi="仿宋_GB2312" w:eastAsia="仿宋_GB2312" w:cs="仿宋_GB2312"/>
          <w:color w:val="auto"/>
          <w:sz w:val="32"/>
          <w:szCs w:val="32"/>
          <w:lang w:val="en-US" w:eastAsia="zh-CN"/>
        </w:rPr>
        <w:t>元</w:t>
      </w:r>
      <w:r>
        <w:rPr>
          <w:rFonts w:hint="eastAsia" w:ascii="仿宋_GB2312" w:hAnsi="仿宋_GB2312" w:eastAsia="仿宋_GB2312" w:cs="仿宋_GB2312"/>
          <w:color w:val="auto"/>
          <w:sz w:val="32"/>
          <w:szCs w:val="32"/>
        </w:rPr>
        <w:t>罚款。</w:t>
      </w:r>
    </w:p>
    <w:p w14:paraId="25A57958">
      <w:pPr>
        <w:ind w:firstLine="645"/>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val="en-US" w:eastAsia="zh-CN"/>
        </w:rPr>
        <w:t>孙利红</w:t>
      </w:r>
    </w:p>
    <w:p w14:paraId="3C5F4F3D">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rPr>
        <w:t>的法定代表人，是本单位安全生产工作第一责任人，对督促、检查本单位安全生产责任制落实工作不力，对从业人员安全生产教育和培训监督不到位，未能及时消除生产安全事故隐患。建议市场监管局依据《中华人民共和国特种设备安全法》第九十一条第（一）项</w:t>
      </w:r>
      <w:r>
        <w:rPr>
          <w:rFonts w:hint="default" w:ascii="仿宋_GB2312" w:hAnsi="仿宋_GB2312" w:eastAsia="仿宋_GB2312" w:cs="仿宋_GB2312"/>
          <w:color w:val="auto"/>
          <w:sz w:val="32"/>
          <w:szCs w:val="32"/>
          <w:vertAlign w:val="superscript"/>
          <w:lang w:val="en-US"/>
        </w:rPr>
        <w:t>7</w:t>
      </w:r>
      <w:r>
        <w:rPr>
          <w:rFonts w:hint="eastAsia" w:ascii="仿宋_GB2312" w:hAnsi="仿宋_GB2312" w:eastAsia="仿宋_GB2312" w:cs="仿宋_GB2312"/>
          <w:color w:val="auto"/>
          <w:sz w:val="32"/>
          <w:szCs w:val="32"/>
        </w:rPr>
        <w:t>之规定，处上一年年收入百分之三十的罚款。</w:t>
      </w:r>
    </w:p>
    <w:p w14:paraId="5997C58F">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事故发生后，</w:t>
      </w: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rPr>
        <w:t>负责人</w:t>
      </w:r>
      <w:r>
        <w:rPr>
          <w:rFonts w:hint="eastAsia" w:ascii="仿宋_GB2312" w:hAnsi="仿宋_GB2312" w:eastAsia="仿宋_GB2312" w:cs="仿宋_GB2312"/>
          <w:color w:val="auto"/>
          <w:sz w:val="32"/>
          <w:szCs w:val="32"/>
          <w:lang w:val="en-US" w:eastAsia="zh-CN"/>
        </w:rPr>
        <w:t>孙红利</w:t>
      </w:r>
      <w:r>
        <w:rPr>
          <w:rFonts w:hint="eastAsia" w:ascii="仿宋_GB2312" w:hAnsi="仿宋_GB2312" w:eastAsia="仿宋_GB2312" w:cs="仿宋_GB2312"/>
          <w:color w:val="auto"/>
          <w:sz w:val="32"/>
          <w:szCs w:val="32"/>
        </w:rPr>
        <w:t>接到事故报告后，</w:t>
      </w:r>
    </w:p>
    <w:p w14:paraId="2A0E5DD2">
      <w:pPr>
        <w:widowControl/>
        <w:shd w:val="clear" w:color="auto" w:fill="FFFFFF"/>
        <w:adjustRightInd w:val="0"/>
        <w:spacing w:line="360" w:lineRule="auto"/>
        <w:jc w:val="left"/>
        <w:rPr>
          <w:rFonts w:hint="default" w:ascii="仿宋_GB2312" w:hAnsi="仿宋_GB2312" w:eastAsia="仿宋_GB2312" w:cs="仿宋_GB2312"/>
          <w:color w:val="auto"/>
          <w:sz w:val="32"/>
          <w:szCs w:val="32"/>
          <w:u w:val="single"/>
          <w:lang w:val="en-US" w:eastAsia="zh-CN"/>
        </w:rPr>
      </w:pPr>
      <w:r>
        <w:rPr>
          <w:rFonts w:hint="default" w:ascii="仿宋_GB2312" w:hAnsi="仿宋_GB2312" w:eastAsia="仿宋_GB2312" w:cs="仿宋_GB2312"/>
          <w:color w:val="auto"/>
          <w:sz w:val="32"/>
          <w:szCs w:val="32"/>
          <w:u w:val="single"/>
          <w:lang w:val="en-US" w:eastAsia="zh-CN"/>
        </w:rPr>
        <w:t xml:space="preserve">              </w:t>
      </w:r>
    </w:p>
    <w:p w14:paraId="5F846CA1">
      <w:pPr>
        <w:widowControl/>
        <w:shd w:val="clear" w:color="auto" w:fill="FFFFFF"/>
        <w:adjustRightInd w:val="0"/>
        <w:spacing w:line="360" w:lineRule="auto"/>
        <w:ind w:firstLine="420" w:firstLineChars="200"/>
        <w:jc w:val="left"/>
        <w:rPr>
          <w:rFonts w:hint="eastAsia" w:ascii="仿宋_GB2312" w:hAnsi="仿宋_GB2312" w:eastAsia="仿宋_GB2312" w:cs="仿宋_GB2312"/>
          <w:color w:val="auto"/>
          <w:sz w:val="21"/>
          <w:szCs w:val="21"/>
          <w:lang w:val="en-US" w:eastAsia="zh-CN"/>
        </w:rPr>
      </w:pPr>
      <w:r>
        <w:rPr>
          <w:rFonts w:hint="default" w:ascii="仿宋_GB2312" w:hAnsi="仿宋_GB2312" w:eastAsia="仿宋_GB2312" w:cs="仿宋_GB2312"/>
          <w:color w:val="auto"/>
          <w:sz w:val="21"/>
          <w:szCs w:val="21"/>
          <w:lang w:val="en-US" w:eastAsia="zh-CN"/>
        </w:rPr>
        <w:t xml:space="preserve">5 </w:t>
      </w:r>
      <w:r>
        <w:rPr>
          <w:rFonts w:hint="eastAsia" w:ascii="仿宋_GB2312" w:hAnsi="仿宋_GB2312" w:eastAsia="仿宋_GB2312" w:cs="仿宋_GB2312"/>
          <w:color w:val="auto"/>
          <w:sz w:val="21"/>
          <w:szCs w:val="21"/>
          <w:lang w:val="en-US" w:eastAsia="zh-CN"/>
        </w:rPr>
        <w:t>《中华人民共和国特种设备安全法》</w:t>
      </w:r>
      <w:r>
        <w:rPr>
          <w:rFonts w:hint="default" w:ascii="仿宋_GB2312" w:hAnsi="仿宋_GB2312" w:eastAsia="仿宋_GB2312" w:cs="仿宋_GB2312"/>
          <w:color w:val="auto"/>
          <w:sz w:val="21"/>
          <w:szCs w:val="21"/>
          <w:lang w:val="en-US" w:eastAsia="zh-CN"/>
        </w:rPr>
        <w:t>第九十条 发生事故，对负有责任的单位除要求其依法承担相应的赔偿等责任外，依照下列规定处以罚款：</w:t>
      </w:r>
    </w:p>
    <w:p w14:paraId="5A6D1C2B">
      <w:pPr>
        <w:widowControl/>
        <w:shd w:val="clear" w:color="auto" w:fill="FFFFFF"/>
        <w:adjustRightInd w:val="0"/>
        <w:spacing w:line="360" w:lineRule="auto"/>
        <w:ind w:firstLine="420" w:firstLineChars="200"/>
        <w:jc w:val="left"/>
        <w:rPr>
          <w:rFonts w:hint="default" w:ascii="仿宋_GB2312" w:hAnsi="仿宋_GB2312" w:eastAsia="仿宋_GB2312" w:cs="仿宋_GB2312"/>
          <w:color w:val="auto"/>
          <w:sz w:val="21"/>
          <w:szCs w:val="21"/>
          <w:lang w:val="en-US" w:eastAsia="zh-CN"/>
        </w:rPr>
      </w:pPr>
      <w:r>
        <w:rPr>
          <w:rFonts w:hint="default" w:ascii="仿宋_GB2312" w:hAnsi="仿宋_GB2312" w:eastAsia="仿宋_GB2312" w:cs="仿宋_GB2312"/>
          <w:color w:val="auto"/>
          <w:sz w:val="21"/>
          <w:szCs w:val="21"/>
          <w:lang w:val="en-US" w:eastAsia="zh-CN"/>
        </w:rPr>
        <w:t>（一）发生一般事故，处十万元以上二十万元以下罚款；</w:t>
      </w:r>
    </w:p>
    <w:p w14:paraId="18FC4B87">
      <w:pPr>
        <w:widowControl/>
        <w:shd w:val="clear" w:color="auto" w:fill="FFFFFF"/>
        <w:adjustRightInd w:val="0"/>
        <w:spacing w:line="360" w:lineRule="auto"/>
        <w:ind w:firstLine="420" w:firstLineChars="200"/>
        <w:jc w:val="left"/>
        <w:rPr>
          <w:rFonts w:hint="eastAsia" w:ascii="仿宋_GB2312" w:hAnsi="仿宋_GB2312" w:eastAsia="仿宋_GB2312" w:cs="仿宋_GB2312"/>
          <w:color w:val="auto"/>
          <w:sz w:val="21"/>
          <w:szCs w:val="21"/>
          <w:lang w:val="en-US" w:eastAsia="zh-CN"/>
        </w:rPr>
      </w:pPr>
      <w:r>
        <w:rPr>
          <w:rFonts w:hint="default" w:ascii="仿宋_GB2312" w:hAnsi="仿宋_GB2312" w:eastAsia="仿宋_GB2312" w:cs="仿宋_GB2312"/>
          <w:color w:val="auto"/>
          <w:sz w:val="21"/>
          <w:szCs w:val="21"/>
          <w:lang w:val="en-US" w:eastAsia="zh-CN"/>
        </w:rPr>
        <w:t xml:space="preserve">6 </w:t>
      </w:r>
      <w:r>
        <w:rPr>
          <w:rFonts w:hint="eastAsia" w:ascii="仿宋_GB2312" w:hAnsi="仿宋_GB2312" w:eastAsia="仿宋_GB2312" w:cs="仿宋_GB2312"/>
          <w:color w:val="auto"/>
          <w:sz w:val="21"/>
          <w:szCs w:val="21"/>
          <w:lang w:val="en-US" w:eastAsia="zh-CN"/>
        </w:rPr>
        <w:t>《中华人民共和国特种设备安全法》第八十九条第（二）项</w:t>
      </w:r>
      <w:r>
        <w:rPr>
          <w:rFonts w:hint="default" w:ascii="仿宋_GB2312" w:hAnsi="仿宋_GB2312" w:eastAsia="仿宋_GB2312" w:cs="仿宋_GB2312"/>
          <w:color w:val="auto"/>
          <w:sz w:val="21"/>
          <w:szCs w:val="21"/>
          <w:lang w:val="en-US" w:eastAsia="zh-CN"/>
        </w:rPr>
        <w:t xml:space="preserve"> 发生特种设备事故，有下列情形之一的，对单位处五万元以上二十万元以下罚款；对主要负责人处一万元以上五万元以下罚款；主要负责人属于国家工作人员的，并依法给予处分：</w:t>
      </w:r>
    </w:p>
    <w:p w14:paraId="3A1D48AC">
      <w:pPr>
        <w:widowControl/>
        <w:numPr>
          <w:ilvl w:val="0"/>
          <w:numId w:val="2"/>
        </w:numPr>
        <w:shd w:val="clear" w:color="auto" w:fill="FFFFFF"/>
        <w:adjustRightInd w:val="0"/>
        <w:spacing w:line="360" w:lineRule="auto"/>
        <w:ind w:firstLine="420" w:firstLineChars="200"/>
        <w:jc w:val="left"/>
        <w:rPr>
          <w:rFonts w:hint="default" w:ascii="仿宋_GB2312" w:hAnsi="仿宋_GB2312" w:eastAsia="仿宋_GB2312" w:cs="仿宋_GB2312"/>
          <w:color w:val="auto"/>
          <w:sz w:val="21"/>
          <w:szCs w:val="21"/>
          <w:lang w:val="en-US" w:eastAsia="zh-CN"/>
        </w:rPr>
      </w:pPr>
      <w:r>
        <w:rPr>
          <w:rFonts w:hint="default" w:ascii="仿宋_GB2312" w:hAnsi="仿宋_GB2312" w:eastAsia="仿宋_GB2312" w:cs="仿宋_GB2312"/>
          <w:color w:val="auto"/>
          <w:sz w:val="21"/>
          <w:szCs w:val="21"/>
          <w:lang w:val="en-US" w:eastAsia="zh-CN"/>
        </w:rPr>
        <w:t>对特种设备事故迟报、谎报或者瞒报的。</w:t>
      </w:r>
    </w:p>
    <w:p w14:paraId="68B7B775">
      <w:pPr>
        <w:widowControl/>
        <w:shd w:val="clear" w:color="auto" w:fill="FFFFFF"/>
        <w:adjustRightInd w:val="0"/>
        <w:spacing w:line="360" w:lineRule="auto"/>
        <w:ind w:firstLine="420" w:firstLineChars="200"/>
        <w:jc w:val="left"/>
        <w:rPr>
          <w:rFonts w:hint="default" w:ascii="仿宋_GB2312" w:hAnsi="仿宋_GB2312" w:eastAsia="仿宋_GB2312" w:cs="仿宋_GB2312"/>
          <w:color w:val="auto"/>
          <w:sz w:val="21"/>
          <w:szCs w:val="21"/>
          <w:lang w:val="en-US" w:eastAsia="zh-CN"/>
        </w:rPr>
      </w:pPr>
      <w:r>
        <w:rPr>
          <w:rFonts w:hint="default" w:ascii="仿宋_GB2312" w:hAnsi="仿宋_GB2312" w:eastAsia="仿宋_GB2312" w:cs="仿宋_GB2312"/>
          <w:color w:val="auto"/>
          <w:sz w:val="21"/>
          <w:szCs w:val="21"/>
          <w:lang w:val="en-US" w:eastAsia="zh-CN"/>
        </w:rPr>
        <w:t>7 第九十一条 对事故发生负有责任的单位的主要负责人未依法履行职责或者负有领导责任的，依照下列规定处以罚款；属于国家工作人员的，并依法给予处分：</w:t>
      </w:r>
    </w:p>
    <w:p w14:paraId="3FDC344C">
      <w:pPr>
        <w:widowControl/>
        <w:shd w:val="clear" w:color="auto" w:fill="FFFFFF"/>
        <w:adjustRightInd w:val="0"/>
        <w:spacing w:line="360" w:lineRule="auto"/>
        <w:ind w:firstLine="420" w:firstLineChars="200"/>
        <w:jc w:val="left"/>
        <w:rPr>
          <w:rFonts w:hint="default" w:ascii="仿宋_GB2312" w:hAnsi="仿宋_GB2312" w:eastAsia="仿宋_GB2312" w:cs="仿宋_GB2312"/>
          <w:color w:val="auto"/>
          <w:sz w:val="21"/>
          <w:szCs w:val="21"/>
          <w:lang w:val="en-US" w:eastAsia="zh-CN"/>
        </w:rPr>
      </w:pPr>
      <w:r>
        <w:rPr>
          <w:rFonts w:hint="default" w:ascii="仿宋_GB2312" w:hAnsi="仿宋_GB2312" w:eastAsia="仿宋_GB2312" w:cs="仿宋_GB2312"/>
          <w:color w:val="auto"/>
          <w:sz w:val="21"/>
          <w:szCs w:val="21"/>
          <w:lang w:val="en-US" w:eastAsia="zh-CN"/>
        </w:rPr>
        <w:t>（一）发生一般事故，处上一年年收入百分之三十的罚款；</w:t>
      </w:r>
    </w:p>
    <w:p w14:paraId="42197CE3">
      <w:pPr>
        <w:widowControl/>
        <w:numPr>
          <w:ilvl w:val="0"/>
          <w:numId w:val="0"/>
        </w:numPr>
        <w:shd w:val="clear" w:color="auto" w:fill="FFFFFF"/>
        <w:adjustRightInd w:val="0"/>
        <w:spacing w:line="360" w:lineRule="auto"/>
        <w:jc w:val="left"/>
        <w:rPr>
          <w:rFonts w:hint="default" w:ascii="仿宋_GB2312" w:hAnsi="仿宋_GB2312" w:eastAsia="仿宋_GB2312" w:cs="仿宋_GB2312"/>
          <w:color w:val="auto"/>
          <w:sz w:val="21"/>
          <w:szCs w:val="21"/>
          <w:lang w:val="en-US" w:eastAsia="zh-CN"/>
        </w:rPr>
      </w:pPr>
    </w:p>
    <w:p w14:paraId="3A682E65">
      <w:pPr>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未于1小时内向事故发生地有关部门报告。建议市场监管局依据《中华人民共和国特种设备安全法》第八十九条第（二）项</w:t>
      </w:r>
      <w:r>
        <w:rPr>
          <w:rFonts w:hint="default" w:ascii="仿宋_GB2312" w:hAnsi="仿宋_GB2312" w:eastAsia="仿宋_GB2312" w:cs="仿宋_GB2312"/>
          <w:color w:val="auto"/>
          <w:sz w:val="32"/>
          <w:szCs w:val="32"/>
          <w:vertAlign w:val="superscript"/>
          <w:lang w:val="en-US"/>
        </w:rPr>
        <w:t>6</w:t>
      </w:r>
      <w:r>
        <w:rPr>
          <w:rFonts w:hint="eastAsia" w:ascii="仿宋_GB2312" w:hAnsi="仿宋_GB2312" w:eastAsia="仿宋_GB2312" w:cs="仿宋_GB2312"/>
          <w:color w:val="auto"/>
          <w:sz w:val="32"/>
          <w:szCs w:val="32"/>
        </w:rPr>
        <w:t>之规定，对主要负责人</w:t>
      </w:r>
      <w:r>
        <w:rPr>
          <w:rFonts w:hint="eastAsia" w:ascii="仿宋_GB2312" w:hAnsi="仿宋_GB2312" w:eastAsia="仿宋_GB2312" w:cs="仿宋_GB2312"/>
          <w:color w:val="auto"/>
          <w:sz w:val="32"/>
          <w:szCs w:val="32"/>
          <w:lang w:eastAsia="zh-CN"/>
        </w:rPr>
        <w:t>孙利红</w:t>
      </w:r>
      <w:r>
        <w:rPr>
          <w:rFonts w:hint="eastAsia" w:ascii="仿宋_GB2312" w:hAnsi="仿宋_GB2312" w:eastAsia="仿宋_GB2312" w:cs="仿宋_GB2312"/>
          <w:color w:val="auto"/>
          <w:sz w:val="32"/>
          <w:szCs w:val="32"/>
        </w:rPr>
        <w:t>处以</w:t>
      </w:r>
      <w:r>
        <w:rPr>
          <w:rFonts w:hint="default" w:ascii="仿宋_GB2312" w:hAnsi="仿宋_GB2312" w:eastAsia="仿宋_GB2312" w:cs="仿宋_GB2312"/>
          <w:color w:val="auto"/>
          <w:sz w:val="32"/>
          <w:szCs w:val="32"/>
          <w:lang w:val="en-US" w:eastAsia="zh-CN"/>
        </w:rPr>
        <w:t>26800</w:t>
      </w:r>
      <w:r>
        <w:rPr>
          <w:rFonts w:hint="eastAsia" w:ascii="仿宋_GB2312" w:hAnsi="仿宋_GB2312" w:eastAsia="仿宋_GB2312" w:cs="仿宋_GB2312"/>
          <w:color w:val="auto"/>
          <w:sz w:val="32"/>
          <w:szCs w:val="32"/>
        </w:rPr>
        <w:t>元罚款。</w:t>
      </w:r>
    </w:p>
    <w:p w14:paraId="6D0198B4">
      <w:pPr>
        <w:spacing w:line="560" w:lineRule="exact"/>
        <w:ind w:firstLine="64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val="en-US" w:eastAsia="zh-CN"/>
        </w:rPr>
        <w:t>王喜刚</w:t>
      </w:r>
    </w:p>
    <w:p w14:paraId="443EB69C">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rPr>
        <w:t>的安全管理</w:t>
      </w:r>
      <w:r>
        <w:rPr>
          <w:rFonts w:hint="eastAsia" w:ascii="仿宋_GB2312" w:hAnsi="仿宋_GB2312" w:eastAsia="仿宋_GB2312" w:cs="仿宋_GB2312"/>
          <w:color w:val="auto"/>
          <w:sz w:val="32"/>
          <w:szCs w:val="32"/>
          <w:lang w:val="en-US" w:eastAsia="zh-CN"/>
        </w:rPr>
        <w:t>负责人</w:t>
      </w:r>
      <w:r>
        <w:rPr>
          <w:rFonts w:hint="eastAsia" w:ascii="仿宋_GB2312" w:hAnsi="仿宋_GB2312" w:eastAsia="仿宋_GB2312" w:cs="仿宋_GB2312"/>
          <w:color w:val="auto"/>
          <w:sz w:val="32"/>
          <w:szCs w:val="32"/>
        </w:rPr>
        <w:t>，对于事故现场日常安全监督检查落实不到位，对现场作业人员安全教育培训落实不到位，对事故隐患排查不到位，专职安全管理员职责履行不到位，对本次事故负有责任。建议</w:t>
      </w: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rPr>
        <w:t>按公司相关规定处理。</w:t>
      </w:r>
    </w:p>
    <w:p w14:paraId="6250B6C2">
      <w:pPr>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七、事故防范和整改措施</w:t>
      </w:r>
    </w:p>
    <w:p w14:paraId="17AFCD3D">
      <w:pPr>
        <w:ind w:firstLine="645"/>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江苏振江公司</w:t>
      </w:r>
      <w:r>
        <w:rPr>
          <w:rFonts w:hint="eastAsia" w:ascii="仿宋_GB2312" w:hAnsi="仿宋_GB2312" w:eastAsia="仿宋_GB2312" w:cs="仿宋_GB2312"/>
          <w:color w:val="auto"/>
          <w:sz w:val="32"/>
          <w:szCs w:val="32"/>
        </w:rPr>
        <w:t>要牢固树立安全生产发展理念和红线意识，严格遵守《中华人民共和国安全生产法》、</w:t>
      </w:r>
    </w:p>
    <w:p w14:paraId="18D1CC3D">
      <w:pP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《中华人民共和国特种设备安全法》</w:t>
      </w:r>
      <w:r>
        <w:rPr>
          <w:rFonts w:hint="eastAsia" w:ascii="仿宋_GB2312" w:hAnsi="仿宋_GB2312" w:eastAsia="仿宋_GB2312" w:cs="仿宋_GB2312"/>
          <w:color w:val="auto"/>
          <w:sz w:val="32"/>
          <w:szCs w:val="32"/>
        </w:rPr>
        <w:t>等法律法规，吸取事故教训，举一反三，全面落实企业安全生产主体责任，认真做好各项安全生产工作。</w:t>
      </w:r>
    </w:p>
    <w:p w14:paraId="78FDF01E">
      <w:pPr>
        <w:ind w:firstLine="645"/>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（一）</w:t>
      </w:r>
      <w:r>
        <w:rPr>
          <w:rFonts w:hint="eastAsia" w:ascii="仿宋_GB2312" w:hAnsi="仿宋_GB2312" w:eastAsia="仿宋_GB2312" w:cs="仿宋_GB2312"/>
          <w:color w:val="auto"/>
          <w:sz w:val="32"/>
          <w:szCs w:val="32"/>
          <w:lang w:eastAsia="zh-CN"/>
        </w:rPr>
        <w:t>龙腾公司</w:t>
      </w:r>
    </w:p>
    <w:p w14:paraId="3F943C9D">
      <w:pPr>
        <w:ind w:firstLine="645"/>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（1）加强安全生产法律法规学习，完善健全本单位的安全生产责任制。明确各岗位的责任人员、责任范围和考核标准，逐级、逐岗位签订安全生产责任书，定期对安全</w:t>
      </w:r>
    </w:p>
    <w:p w14:paraId="469115FD">
      <w:pPr>
        <w:widowControl/>
        <w:shd w:val="clear" w:color="auto" w:fill="FFFFFF"/>
        <w:adjustRightInd w:val="0"/>
        <w:spacing w:line="360" w:lineRule="auto"/>
        <w:jc w:val="left"/>
        <w:rPr>
          <w:rFonts w:hint="default" w:ascii="仿宋_GB2312" w:hAnsi="仿宋_GB2312" w:eastAsia="仿宋_GB2312" w:cs="仿宋_GB2312"/>
          <w:color w:val="auto"/>
          <w:sz w:val="32"/>
          <w:szCs w:val="32"/>
          <w:u w:val="single"/>
          <w:lang w:val="en-US" w:eastAsia="zh-CN"/>
        </w:rPr>
      </w:pPr>
      <w:r>
        <w:rPr>
          <w:rFonts w:hint="default" w:ascii="仿宋_GB2312" w:hAnsi="仿宋_GB2312" w:eastAsia="仿宋_GB2312" w:cs="仿宋_GB2312"/>
          <w:color w:val="auto"/>
          <w:sz w:val="32"/>
          <w:szCs w:val="32"/>
          <w:u w:val="single"/>
          <w:lang w:val="en-US" w:eastAsia="zh-CN"/>
        </w:rPr>
        <w:t xml:space="preserve">              </w:t>
      </w:r>
    </w:p>
    <w:p w14:paraId="0BA7A430">
      <w:pPr>
        <w:widowControl/>
        <w:shd w:val="clear" w:color="auto" w:fill="FFFFFF"/>
        <w:adjustRightInd w:val="0"/>
        <w:spacing w:line="360" w:lineRule="auto"/>
        <w:ind w:firstLine="420" w:firstLineChars="200"/>
        <w:jc w:val="left"/>
        <w:rPr>
          <w:rFonts w:hint="eastAsia" w:ascii="仿宋_GB2312" w:hAnsi="仿宋_GB2312" w:eastAsia="仿宋_GB2312" w:cs="仿宋_GB2312"/>
          <w:color w:val="auto"/>
          <w:sz w:val="21"/>
          <w:szCs w:val="21"/>
          <w:lang w:val="en-US" w:eastAsia="zh-CN"/>
        </w:rPr>
      </w:pPr>
      <w:r>
        <w:rPr>
          <w:rFonts w:hint="default" w:ascii="仿宋_GB2312" w:hAnsi="仿宋_GB2312" w:eastAsia="仿宋_GB2312" w:cs="仿宋_GB2312"/>
          <w:color w:val="auto"/>
          <w:sz w:val="21"/>
          <w:szCs w:val="21"/>
          <w:lang w:val="en-US" w:eastAsia="zh-CN"/>
        </w:rPr>
        <w:t xml:space="preserve">6 </w:t>
      </w:r>
      <w:r>
        <w:rPr>
          <w:rFonts w:hint="eastAsia" w:ascii="仿宋_GB2312" w:hAnsi="仿宋_GB2312" w:eastAsia="仿宋_GB2312" w:cs="仿宋_GB2312"/>
          <w:color w:val="auto"/>
          <w:sz w:val="21"/>
          <w:szCs w:val="21"/>
          <w:lang w:val="en-US" w:eastAsia="zh-CN"/>
        </w:rPr>
        <w:t>《中华人民共和国特种设备安全法》第八十九条第（二）项</w:t>
      </w:r>
      <w:r>
        <w:rPr>
          <w:rFonts w:hint="default" w:ascii="仿宋_GB2312" w:hAnsi="仿宋_GB2312" w:eastAsia="仿宋_GB2312" w:cs="仿宋_GB2312"/>
          <w:color w:val="auto"/>
          <w:sz w:val="21"/>
          <w:szCs w:val="21"/>
          <w:lang w:val="en-US" w:eastAsia="zh-CN"/>
        </w:rPr>
        <w:t xml:space="preserve"> 发生特种设备事故，有下列情形之一的，对单位处五万元以上二十万元以下罚款；对主要负责人处一万元以上五万元以下罚款；主要负责人属于国家工作人员的，并依法给予处分：</w:t>
      </w:r>
    </w:p>
    <w:p w14:paraId="063999ED">
      <w:pPr>
        <w:widowControl/>
        <w:shd w:val="clear" w:color="auto" w:fill="FFFFFF"/>
        <w:adjustRightInd w:val="0"/>
        <w:spacing w:line="360" w:lineRule="auto"/>
        <w:ind w:firstLine="420" w:firstLineChars="200"/>
        <w:jc w:val="left"/>
        <w:rPr>
          <w:rFonts w:hint="default" w:ascii="Helvetica" w:hAnsi="Helvetica" w:eastAsia="Helvetica" w:cs="Helvetica"/>
          <w:i w:val="0"/>
          <w:iCs w:val="0"/>
          <w:caps w:val="0"/>
          <w:color w:val="auto"/>
          <w:spacing w:val="0"/>
          <w:sz w:val="21"/>
          <w:szCs w:val="21"/>
        </w:rPr>
      </w:pPr>
      <w:r>
        <w:rPr>
          <w:rFonts w:hint="default" w:ascii="仿宋_GB2312" w:hAnsi="仿宋_GB2312" w:eastAsia="仿宋_GB2312" w:cs="仿宋_GB2312"/>
          <w:color w:val="auto"/>
          <w:sz w:val="21"/>
          <w:szCs w:val="21"/>
          <w:lang w:val="en-US" w:eastAsia="zh-CN"/>
        </w:rPr>
        <w:t>（二）对特种设备事故迟报、谎报或者瞒报的。</w:t>
      </w:r>
    </w:p>
    <w:p w14:paraId="6BFA0751">
      <w:pP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生产责任制落实情况进行监督考核。</w:t>
      </w:r>
    </w:p>
    <w:p w14:paraId="2F83E00D">
      <w:pPr>
        <w:ind w:firstLine="645"/>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（2）建立事故隐患排查治理制度。牢固树立“隐患就是事故、事故就要处理”的理念，建立隐患排查治理台账，发动全员参与隐患排查治理，采取技术措施、管理措施，及时消除事故隐患。</w:t>
      </w:r>
    </w:p>
    <w:p w14:paraId="54C47E55">
      <w:pPr>
        <w:ind w:firstLine="645"/>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建立健全教育培训机制，建立安全生产教育和培训档案，对包括外来作业人员在内的从业人员进行整体性、系统性的教育培训，使从业人员具备必要的安全生产知识，熟悉有关的安全生产规章制度和安全操作规程，掌握本岗位的安全操作技能。如实记录安全生产教育和培训的时间、内容、参加人员及考核结果等情况。</w:t>
      </w:r>
    </w:p>
    <w:p w14:paraId="6CBDC2DD">
      <w:pPr>
        <w:ind w:firstLine="645"/>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（二）</w:t>
      </w:r>
      <w:r>
        <w:rPr>
          <w:rFonts w:hint="eastAsia" w:ascii="仿宋_GB2312" w:hAnsi="仿宋_GB2312" w:eastAsia="仿宋_GB2312" w:cs="仿宋_GB2312"/>
          <w:color w:val="auto"/>
          <w:sz w:val="32"/>
          <w:szCs w:val="32"/>
          <w:lang w:eastAsia="zh-CN"/>
        </w:rPr>
        <w:t>江苏振江公司</w:t>
      </w:r>
    </w:p>
    <w:p w14:paraId="57C0E898">
      <w:pPr>
        <w:ind w:firstLine="645"/>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建议加强对</w:t>
      </w:r>
      <w:r>
        <w:rPr>
          <w:rFonts w:hint="eastAsia" w:ascii="仿宋_GB2312" w:hAnsi="仿宋_GB2312" w:eastAsia="仿宋_GB2312" w:cs="仿宋_GB2312"/>
          <w:color w:val="auto"/>
          <w:sz w:val="32"/>
          <w:szCs w:val="32"/>
          <w:lang w:val="en-US" w:eastAsia="zh-CN"/>
        </w:rPr>
        <w:t>外包企业</w:t>
      </w:r>
      <w:r>
        <w:rPr>
          <w:rFonts w:hint="eastAsia" w:ascii="仿宋_GB2312" w:hAnsi="仿宋_GB2312" w:eastAsia="仿宋_GB2312" w:cs="仿宋_GB2312"/>
          <w:color w:val="auto"/>
          <w:sz w:val="32"/>
          <w:szCs w:val="32"/>
        </w:rPr>
        <w:t>作业现场的安全监督和指导</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及时发现和消除安全隐患</w:t>
      </w:r>
      <w:r>
        <w:rPr>
          <w:rFonts w:hint="eastAsia" w:ascii="仿宋_GB2312" w:hAnsi="仿宋_GB2312" w:eastAsia="仿宋_GB2312" w:cs="仿宋_GB2312"/>
          <w:color w:val="auto"/>
          <w:sz w:val="32"/>
          <w:szCs w:val="32"/>
        </w:rPr>
        <w:t>。</w:t>
      </w:r>
    </w:p>
    <w:p w14:paraId="0F8BD9D5">
      <w:pPr>
        <w:ind w:firstLine="645"/>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龙腾公司</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江苏振江公司</w:t>
      </w:r>
      <w:r>
        <w:rPr>
          <w:rFonts w:hint="eastAsia" w:ascii="仿宋_GB2312" w:hAnsi="仿宋_GB2312" w:eastAsia="仿宋_GB2312" w:cs="仿宋_GB2312"/>
          <w:color w:val="auto"/>
          <w:sz w:val="32"/>
          <w:szCs w:val="32"/>
        </w:rPr>
        <w:t>要按照</w:t>
      </w:r>
      <w:r>
        <w:rPr>
          <w:rFonts w:hint="eastAsia" w:ascii="仿宋_GB2312" w:hAnsi="仿宋_GB2312" w:eastAsia="仿宋_GB2312" w:cs="仿宋_GB2312"/>
          <w:color w:val="auto"/>
          <w:sz w:val="32"/>
          <w:szCs w:val="32"/>
          <w:lang w:eastAsia="zh-CN"/>
        </w:rPr>
        <w:t>天津市静海区人民政府</w:t>
      </w:r>
      <w:r>
        <w:rPr>
          <w:rFonts w:hint="eastAsia" w:ascii="仿宋_GB2312" w:hAnsi="仿宋_GB2312" w:eastAsia="仿宋_GB2312" w:cs="仿宋_GB2312"/>
          <w:color w:val="auto"/>
          <w:sz w:val="32"/>
          <w:szCs w:val="32"/>
        </w:rPr>
        <w:t>批复的事故调查报告处理意见，对责任人进行处理，落实整改措施。在接到批复后30日内，将落实情况报送市场监管局。</w:t>
      </w:r>
    </w:p>
    <w:p w14:paraId="6C7D6049">
      <w:pPr>
        <w:ind w:firstLine="645"/>
        <w:rPr>
          <w:rFonts w:ascii="仿宋_GB2312" w:hAnsi="仿宋_GB2312" w:eastAsia="仿宋_GB2312" w:cs="仿宋_GB2312"/>
          <w:color w:val="auto"/>
          <w:sz w:val="32"/>
          <w:szCs w:val="32"/>
        </w:rPr>
      </w:pPr>
    </w:p>
    <w:p w14:paraId="5722E492">
      <w:pPr>
        <w:ind w:firstLine="645"/>
        <w:rPr>
          <w:rFonts w:ascii="仿宋_GB2312" w:hAnsi="仿宋_GB2312" w:eastAsia="仿宋_GB2312" w:cs="仿宋_GB2312"/>
          <w:color w:val="auto"/>
          <w:sz w:val="32"/>
          <w:szCs w:val="32"/>
        </w:rPr>
      </w:pPr>
    </w:p>
    <w:p w14:paraId="377A8BBB">
      <w:pPr>
        <w:ind w:firstLine="645"/>
        <w:rPr>
          <w:rFonts w:ascii="仿宋_GB2312" w:hAnsi="仿宋_GB2312" w:eastAsia="仿宋_GB2312" w:cs="仿宋_GB2312"/>
          <w:color w:val="auto"/>
          <w:sz w:val="32"/>
          <w:szCs w:val="32"/>
        </w:rPr>
      </w:pPr>
    </w:p>
    <w:p w14:paraId="57BA4A91">
      <w:pPr>
        <w:ind w:firstLine="645"/>
        <w:rPr>
          <w:rFonts w:ascii="仿宋_GB2312" w:hAnsi="仿宋_GB2312" w:eastAsia="仿宋_GB2312" w:cs="仿宋_GB2312"/>
          <w:color w:val="auto"/>
          <w:sz w:val="32"/>
          <w:szCs w:val="32"/>
        </w:rPr>
      </w:pPr>
    </w:p>
    <w:p w14:paraId="5FF65487">
      <w:pPr>
        <w:ind w:firstLine="720" w:firstLineChars="200"/>
        <w:rPr>
          <w:color w:val="auto"/>
          <w:sz w:val="36"/>
          <w:szCs w:val="36"/>
        </w:rPr>
      </w:pPr>
      <w:r>
        <w:rPr>
          <w:rFonts w:hint="eastAsia"/>
          <w:color w:val="auto"/>
          <w:sz w:val="36"/>
          <w:szCs w:val="36"/>
        </w:rPr>
        <w:t>“</w:t>
      </w:r>
      <w:r>
        <w:rPr>
          <w:rFonts w:hint="default"/>
          <w:color w:val="auto"/>
          <w:sz w:val="36"/>
          <w:szCs w:val="36"/>
          <w:lang w:val="en-US"/>
        </w:rPr>
        <w:t>4</w:t>
      </w:r>
      <w:r>
        <w:rPr>
          <w:rFonts w:hint="eastAsia" w:ascii="方正小标宋简体" w:eastAsia="方正小标宋简体"/>
          <w:color w:val="auto"/>
          <w:sz w:val="44"/>
          <w:szCs w:val="44"/>
        </w:rPr>
        <w:t>·</w:t>
      </w:r>
      <w:r>
        <w:rPr>
          <w:rFonts w:hint="default"/>
          <w:color w:val="auto"/>
          <w:sz w:val="36"/>
          <w:szCs w:val="36"/>
          <w:lang w:val="en-US"/>
        </w:rPr>
        <w:t>20</w:t>
      </w:r>
      <w:r>
        <w:rPr>
          <w:rFonts w:hint="eastAsia"/>
          <w:color w:val="auto"/>
          <w:sz w:val="36"/>
          <w:szCs w:val="36"/>
        </w:rPr>
        <w:t>”特种设备相关事故调查组人员签字</w:t>
      </w:r>
    </w:p>
    <w:tbl>
      <w:tblPr>
        <w:tblStyle w:val="7"/>
        <w:tblW w:w="9465" w:type="dxa"/>
        <w:tblInd w:w="-5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1320"/>
        <w:gridCol w:w="2936"/>
        <w:gridCol w:w="1129"/>
        <w:gridCol w:w="1245"/>
        <w:gridCol w:w="1650"/>
      </w:tblGrid>
      <w:tr w14:paraId="31F6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tcPr>
          <w:p w14:paraId="3DA47F0E">
            <w:pPr>
              <w:jc w:val="center"/>
              <w:rPr>
                <w:color w:val="auto"/>
                <w:sz w:val="30"/>
                <w:szCs w:val="30"/>
              </w:rPr>
            </w:pPr>
          </w:p>
        </w:tc>
        <w:tc>
          <w:tcPr>
            <w:tcW w:w="1320" w:type="dxa"/>
          </w:tcPr>
          <w:p w14:paraId="043C0583">
            <w:pPr>
              <w:jc w:val="center"/>
              <w:rPr>
                <w:color w:val="auto"/>
                <w:sz w:val="30"/>
                <w:szCs w:val="30"/>
              </w:rPr>
            </w:pPr>
            <w:r>
              <w:rPr>
                <w:rFonts w:hint="eastAsia"/>
                <w:color w:val="auto"/>
                <w:sz w:val="30"/>
                <w:szCs w:val="30"/>
              </w:rPr>
              <w:t>姓名</w:t>
            </w:r>
          </w:p>
        </w:tc>
        <w:tc>
          <w:tcPr>
            <w:tcW w:w="2936" w:type="dxa"/>
          </w:tcPr>
          <w:p w14:paraId="0C37637E">
            <w:pPr>
              <w:jc w:val="center"/>
              <w:rPr>
                <w:color w:val="auto"/>
                <w:sz w:val="30"/>
                <w:szCs w:val="30"/>
              </w:rPr>
            </w:pPr>
            <w:r>
              <w:rPr>
                <w:rFonts w:hint="eastAsia"/>
                <w:color w:val="auto"/>
                <w:sz w:val="30"/>
                <w:szCs w:val="30"/>
              </w:rPr>
              <w:t>单 位</w:t>
            </w:r>
          </w:p>
        </w:tc>
        <w:tc>
          <w:tcPr>
            <w:tcW w:w="1129" w:type="dxa"/>
          </w:tcPr>
          <w:p w14:paraId="639E45E9">
            <w:pPr>
              <w:jc w:val="center"/>
              <w:rPr>
                <w:color w:val="auto"/>
                <w:sz w:val="30"/>
                <w:szCs w:val="30"/>
              </w:rPr>
            </w:pPr>
            <w:r>
              <w:rPr>
                <w:rFonts w:hint="eastAsia"/>
                <w:color w:val="auto"/>
                <w:sz w:val="30"/>
                <w:szCs w:val="30"/>
              </w:rPr>
              <w:t>职务</w:t>
            </w:r>
          </w:p>
        </w:tc>
        <w:tc>
          <w:tcPr>
            <w:tcW w:w="1245" w:type="dxa"/>
          </w:tcPr>
          <w:p w14:paraId="5748D048">
            <w:pPr>
              <w:jc w:val="center"/>
              <w:rPr>
                <w:color w:val="auto"/>
                <w:sz w:val="30"/>
                <w:szCs w:val="30"/>
              </w:rPr>
            </w:pPr>
            <w:r>
              <w:rPr>
                <w:rFonts w:hint="eastAsia"/>
                <w:color w:val="auto"/>
                <w:sz w:val="30"/>
                <w:szCs w:val="30"/>
              </w:rPr>
              <w:t>签名</w:t>
            </w:r>
          </w:p>
        </w:tc>
        <w:tc>
          <w:tcPr>
            <w:tcW w:w="1650" w:type="dxa"/>
          </w:tcPr>
          <w:p w14:paraId="5999A9A4">
            <w:pPr>
              <w:jc w:val="center"/>
              <w:rPr>
                <w:color w:val="auto"/>
                <w:sz w:val="30"/>
                <w:szCs w:val="30"/>
              </w:rPr>
            </w:pPr>
            <w:r>
              <w:rPr>
                <w:rFonts w:hint="eastAsia"/>
                <w:color w:val="auto"/>
                <w:sz w:val="30"/>
                <w:szCs w:val="30"/>
              </w:rPr>
              <w:t>备注</w:t>
            </w:r>
          </w:p>
        </w:tc>
      </w:tr>
      <w:tr w14:paraId="1A8E8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tcPr>
          <w:p w14:paraId="1C0C1EA3">
            <w:pPr>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组长</w:t>
            </w:r>
          </w:p>
        </w:tc>
        <w:tc>
          <w:tcPr>
            <w:tcW w:w="1320" w:type="dxa"/>
          </w:tcPr>
          <w:p w14:paraId="2D0050EF">
            <w:pPr>
              <w:rPr>
                <w:rFonts w:ascii="仿宋_GB2312" w:hAnsi="仿宋_GB2312" w:eastAsia="仿宋_GB2312" w:cs="仿宋_GB2312"/>
                <w:color w:val="auto"/>
                <w:sz w:val="30"/>
                <w:szCs w:val="30"/>
              </w:rPr>
            </w:pPr>
          </w:p>
        </w:tc>
        <w:tc>
          <w:tcPr>
            <w:tcW w:w="2936" w:type="dxa"/>
          </w:tcPr>
          <w:p w14:paraId="3889F0CE">
            <w:pPr>
              <w:rPr>
                <w:rFonts w:hint="eastAsia" w:ascii="仿宋_GB2312" w:hAnsi="仿宋_GB2312" w:eastAsia="仿宋_GB2312" w:cs="仿宋_GB2312"/>
                <w:color w:val="auto"/>
                <w:sz w:val="30"/>
                <w:szCs w:val="30"/>
                <w:lang w:eastAsia="zh-CN"/>
              </w:rPr>
            </w:pPr>
          </w:p>
        </w:tc>
        <w:tc>
          <w:tcPr>
            <w:tcW w:w="1129" w:type="dxa"/>
          </w:tcPr>
          <w:p w14:paraId="3522ADAA">
            <w:pPr>
              <w:rPr>
                <w:rFonts w:ascii="仿宋_GB2312" w:hAnsi="仿宋_GB2312" w:eastAsia="仿宋_GB2312" w:cs="仿宋_GB2312"/>
                <w:color w:val="auto"/>
                <w:sz w:val="30"/>
                <w:szCs w:val="30"/>
              </w:rPr>
            </w:pPr>
          </w:p>
        </w:tc>
        <w:tc>
          <w:tcPr>
            <w:tcW w:w="1245" w:type="dxa"/>
          </w:tcPr>
          <w:p w14:paraId="0F1BCAA9">
            <w:pPr>
              <w:rPr>
                <w:color w:val="auto"/>
                <w:sz w:val="30"/>
                <w:szCs w:val="30"/>
              </w:rPr>
            </w:pPr>
          </w:p>
        </w:tc>
        <w:tc>
          <w:tcPr>
            <w:tcW w:w="1650" w:type="dxa"/>
          </w:tcPr>
          <w:p w14:paraId="71F20F8B">
            <w:pPr>
              <w:rPr>
                <w:color w:val="auto"/>
                <w:sz w:val="30"/>
                <w:szCs w:val="30"/>
              </w:rPr>
            </w:pPr>
          </w:p>
        </w:tc>
      </w:tr>
      <w:tr w14:paraId="72F93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tcPr>
          <w:p w14:paraId="1A9C219D">
            <w:pPr>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副组长</w:t>
            </w:r>
          </w:p>
        </w:tc>
        <w:tc>
          <w:tcPr>
            <w:tcW w:w="1320" w:type="dxa"/>
          </w:tcPr>
          <w:p w14:paraId="7E1E0F97">
            <w:pPr>
              <w:rPr>
                <w:rFonts w:ascii="仿宋_GB2312" w:hAnsi="仿宋_GB2312" w:eastAsia="仿宋_GB2312" w:cs="仿宋_GB2312"/>
                <w:color w:val="auto"/>
                <w:sz w:val="30"/>
                <w:szCs w:val="30"/>
              </w:rPr>
            </w:pPr>
          </w:p>
        </w:tc>
        <w:tc>
          <w:tcPr>
            <w:tcW w:w="2936" w:type="dxa"/>
          </w:tcPr>
          <w:p w14:paraId="79BF38C4">
            <w:pPr>
              <w:rPr>
                <w:rFonts w:ascii="仿宋_GB2312" w:hAnsi="仿宋_GB2312" w:eastAsia="仿宋_GB2312" w:cs="仿宋_GB2312"/>
                <w:color w:val="auto"/>
                <w:sz w:val="30"/>
                <w:szCs w:val="30"/>
              </w:rPr>
            </w:pPr>
          </w:p>
        </w:tc>
        <w:tc>
          <w:tcPr>
            <w:tcW w:w="1129" w:type="dxa"/>
          </w:tcPr>
          <w:p w14:paraId="5FF8FF81">
            <w:pPr>
              <w:rPr>
                <w:rFonts w:ascii="仿宋_GB2312" w:hAnsi="仿宋_GB2312" w:eastAsia="仿宋_GB2312" w:cs="仿宋_GB2312"/>
                <w:color w:val="auto"/>
                <w:sz w:val="30"/>
                <w:szCs w:val="30"/>
              </w:rPr>
            </w:pPr>
          </w:p>
        </w:tc>
        <w:tc>
          <w:tcPr>
            <w:tcW w:w="1245" w:type="dxa"/>
          </w:tcPr>
          <w:p w14:paraId="687687FC">
            <w:pPr>
              <w:rPr>
                <w:color w:val="auto"/>
                <w:sz w:val="30"/>
                <w:szCs w:val="30"/>
              </w:rPr>
            </w:pPr>
          </w:p>
        </w:tc>
        <w:tc>
          <w:tcPr>
            <w:tcW w:w="1650" w:type="dxa"/>
          </w:tcPr>
          <w:p w14:paraId="0791C90F">
            <w:pPr>
              <w:rPr>
                <w:color w:val="auto"/>
                <w:sz w:val="30"/>
                <w:szCs w:val="30"/>
              </w:rPr>
            </w:pPr>
          </w:p>
        </w:tc>
      </w:tr>
      <w:tr w14:paraId="19409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tcPr>
          <w:p w14:paraId="037903DD">
            <w:pPr>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副组长</w:t>
            </w:r>
          </w:p>
        </w:tc>
        <w:tc>
          <w:tcPr>
            <w:tcW w:w="1320" w:type="dxa"/>
          </w:tcPr>
          <w:p w14:paraId="6CE49D2C">
            <w:pPr>
              <w:rPr>
                <w:rFonts w:ascii="仿宋_GB2312" w:hAnsi="仿宋_GB2312" w:eastAsia="仿宋_GB2312" w:cs="仿宋_GB2312"/>
                <w:color w:val="auto"/>
                <w:sz w:val="30"/>
                <w:szCs w:val="30"/>
              </w:rPr>
            </w:pPr>
          </w:p>
        </w:tc>
        <w:tc>
          <w:tcPr>
            <w:tcW w:w="2936" w:type="dxa"/>
          </w:tcPr>
          <w:p w14:paraId="3D77B108">
            <w:pPr>
              <w:rPr>
                <w:rFonts w:hint="eastAsia" w:ascii="仿宋_GB2312" w:hAnsi="仿宋_GB2312" w:eastAsia="仿宋_GB2312" w:cs="仿宋_GB2312"/>
                <w:color w:val="auto"/>
                <w:sz w:val="30"/>
                <w:szCs w:val="30"/>
                <w:lang w:eastAsia="zh-CN"/>
              </w:rPr>
            </w:pPr>
          </w:p>
        </w:tc>
        <w:tc>
          <w:tcPr>
            <w:tcW w:w="1129" w:type="dxa"/>
          </w:tcPr>
          <w:p w14:paraId="48B5226E">
            <w:pPr>
              <w:rPr>
                <w:rFonts w:ascii="仿宋_GB2312" w:hAnsi="仿宋_GB2312" w:eastAsia="仿宋_GB2312" w:cs="仿宋_GB2312"/>
                <w:color w:val="auto"/>
                <w:sz w:val="30"/>
                <w:szCs w:val="30"/>
              </w:rPr>
            </w:pPr>
          </w:p>
        </w:tc>
        <w:tc>
          <w:tcPr>
            <w:tcW w:w="1245" w:type="dxa"/>
          </w:tcPr>
          <w:p w14:paraId="4D535EBD">
            <w:pPr>
              <w:rPr>
                <w:color w:val="auto"/>
                <w:sz w:val="30"/>
                <w:szCs w:val="30"/>
              </w:rPr>
            </w:pPr>
          </w:p>
        </w:tc>
        <w:tc>
          <w:tcPr>
            <w:tcW w:w="1650" w:type="dxa"/>
          </w:tcPr>
          <w:p w14:paraId="157CC9D2">
            <w:pPr>
              <w:rPr>
                <w:color w:val="auto"/>
                <w:sz w:val="30"/>
                <w:szCs w:val="30"/>
              </w:rPr>
            </w:pPr>
          </w:p>
        </w:tc>
      </w:tr>
      <w:tr w14:paraId="70CE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tcPr>
          <w:p w14:paraId="41899E16">
            <w:pPr>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组员</w:t>
            </w:r>
          </w:p>
        </w:tc>
        <w:tc>
          <w:tcPr>
            <w:tcW w:w="1320" w:type="dxa"/>
          </w:tcPr>
          <w:p w14:paraId="1865C741">
            <w:pPr>
              <w:rPr>
                <w:rFonts w:ascii="仿宋_GB2312" w:hAnsi="仿宋_GB2312" w:eastAsia="仿宋_GB2312" w:cs="仿宋_GB2312"/>
                <w:color w:val="auto"/>
                <w:sz w:val="30"/>
                <w:szCs w:val="30"/>
              </w:rPr>
            </w:pPr>
          </w:p>
        </w:tc>
        <w:tc>
          <w:tcPr>
            <w:tcW w:w="2936" w:type="dxa"/>
          </w:tcPr>
          <w:p w14:paraId="209A2F33">
            <w:pPr>
              <w:rPr>
                <w:rFonts w:hint="default" w:ascii="仿宋_GB2312" w:hAnsi="仿宋_GB2312" w:eastAsia="仿宋_GB2312" w:cs="仿宋_GB2312"/>
                <w:color w:val="auto"/>
                <w:sz w:val="30"/>
                <w:szCs w:val="30"/>
                <w:lang w:val="en-US" w:eastAsia="zh-CN"/>
              </w:rPr>
            </w:pPr>
          </w:p>
        </w:tc>
        <w:tc>
          <w:tcPr>
            <w:tcW w:w="1129" w:type="dxa"/>
          </w:tcPr>
          <w:p w14:paraId="6D670A83">
            <w:pPr>
              <w:rPr>
                <w:rFonts w:ascii="仿宋_GB2312" w:hAnsi="仿宋_GB2312" w:eastAsia="仿宋_GB2312" w:cs="仿宋_GB2312"/>
                <w:color w:val="auto"/>
                <w:sz w:val="30"/>
                <w:szCs w:val="30"/>
              </w:rPr>
            </w:pPr>
          </w:p>
        </w:tc>
        <w:tc>
          <w:tcPr>
            <w:tcW w:w="1245" w:type="dxa"/>
          </w:tcPr>
          <w:p w14:paraId="06AD3768">
            <w:pPr>
              <w:rPr>
                <w:color w:val="auto"/>
                <w:sz w:val="30"/>
                <w:szCs w:val="30"/>
              </w:rPr>
            </w:pPr>
          </w:p>
        </w:tc>
        <w:tc>
          <w:tcPr>
            <w:tcW w:w="1650" w:type="dxa"/>
          </w:tcPr>
          <w:p w14:paraId="1F9033C4">
            <w:pPr>
              <w:rPr>
                <w:color w:val="auto"/>
                <w:sz w:val="30"/>
                <w:szCs w:val="30"/>
              </w:rPr>
            </w:pPr>
          </w:p>
        </w:tc>
      </w:tr>
      <w:tr w14:paraId="598B2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tcPr>
          <w:p w14:paraId="77A69BDF">
            <w:pPr>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组员</w:t>
            </w:r>
          </w:p>
        </w:tc>
        <w:tc>
          <w:tcPr>
            <w:tcW w:w="1320" w:type="dxa"/>
          </w:tcPr>
          <w:p w14:paraId="5C8B45FC">
            <w:pPr>
              <w:rPr>
                <w:rFonts w:ascii="仿宋_GB2312" w:hAnsi="仿宋_GB2312" w:eastAsia="仿宋_GB2312" w:cs="仿宋_GB2312"/>
                <w:color w:val="auto"/>
                <w:sz w:val="30"/>
                <w:szCs w:val="30"/>
              </w:rPr>
            </w:pPr>
          </w:p>
        </w:tc>
        <w:tc>
          <w:tcPr>
            <w:tcW w:w="2936" w:type="dxa"/>
          </w:tcPr>
          <w:p w14:paraId="5910273A">
            <w:pPr>
              <w:rPr>
                <w:rFonts w:ascii="仿宋_GB2312" w:hAnsi="仿宋_GB2312" w:eastAsia="仿宋_GB2312" w:cs="仿宋_GB2312"/>
                <w:color w:val="auto"/>
                <w:sz w:val="30"/>
                <w:szCs w:val="30"/>
              </w:rPr>
            </w:pPr>
          </w:p>
        </w:tc>
        <w:tc>
          <w:tcPr>
            <w:tcW w:w="1129" w:type="dxa"/>
          </w:tcPr>
          <w:p w14:paraId="4C0450E9">
            <w:pPr>
              <w:rPr>
                <w:rFonts w:ascii="仿宋_GB2312" w:hAnsi="仿宋_GB2312" w:eastAsia="仿宋_GB2312" w:cs="仿宋_GB2312"/>
                <w:color w:val="auto"/>
                <w:sz w:val="30"/>
                <w:szCs w:val="30"/>
              </w:rPr>
            </w:pPr>
          </w:p>
        </w:tc>
        <w:tc>
          <w:tcPr>
            <w:tcW w:w="1245" w:type="dxa"/>
          </w:tcPr>
          <w:p w14:paraId="307D448E">
            <w:pPr>
              <w:rPr>
                <w:color w:val="auto"/>
                <w:sz w:val="30"/>
                <w:szCs w:val="30"/>
              </w:rPr>
            </w:pPr>
          </w:p>
        </w:tc>
        <w:tc>
          <w:tcPr>
            <w:tcW w:w="1650" w:type="dxa"/>
          </w:tcPr>
          <w:p w14:paraId="34939D51">
            <w:pPr>
              <w:rPr>
                <w:color w:val="auto"/>
                <w:sz w:val="30"/>
                <w:szCs w:val="30"/>
              </w:rPr>
            </w:pPr>
          </w:p>
        </w:tc>
      </w:tr>
      <w:tr w14:paraId="136C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tcPr>
          <w:p w14:paraId="0E4ECF2A">
            <w:pPr>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组员</w:t>
            </w:r>
          </w:p>
        </w:tc>
        <w:tc>
          <w:tcPr>
            <w:tcW w:w="1320" w:type="dxa"/>
          </w:tcPr>
          <w:p w14:paraId="554B9813">
            <w:pPr>
              <w:rPr>
                <w:rFonts w:ascii="仿宋_GB2312" w:hAnsi="仿宋_GB2312" w:eastAsia="仿宋_GB2312" w:cs="仿宋_GB2312"/>
                <w:color w:val="auto"/>
                <w:sz w:val="30"/>
                <w:szCs w:val="30"/>
              </w:rPr>
            </w:pPr>
          </w:p>
        </w:tc>
        <w:tc>
          <w:tcPr>
            <w:tcW w:w="2936" w:type="dxa"/>
          </w:tcPr>
          <w:p w14:paraId="4647620E">
            <w:pPr>
              <w:rPr>
                <w:rFonts w:ascii="仿宋_GB2312" w:hAnsi="仿宋_GB2312" w:eastAsia="仿宋_GB2312" w:cs="仿宋_GB2312"/>
                <w:color w:val="auto"/>
                <w:sz w:val="30"/>
                <w:szCs w:val="30"/>
              </w:rPr>
            </w:pPr>
          </w:p>
        </w:tc>
        <w:tc>
          <w:tcPr>
            <w:tcW w:w="1129" w:type="dxa"/>
          </w:tcPr>
          <w:p w14:paraId="177A1C3B">
            <w:pPr>
              <w:rPr>
                <w:rFonts w:ascii="仿宋_GB2312" w:hAnsi="仿宋_GB2312" w:eastAsia="仿宋_GB2312" w:cs="仿宋_GB2312"/>
                <w:color w:val="auto"/>
                <w:sz w:val="30"/>
                <w:szCs w:val="30"/>
              </w:rPr>
            </w:pPr>
          </w:p>
        </w:tc>
        <w:tc>
          <w:tcPr>
            <w:tcW w:w="1245" w:type="dxa"/>
          </w:tcPr>
          <w:p w14:paraId="511EB7EF">
            <w:pPr>
              <w:rPr>
                <w:color w:val="auto"/>
                <w:sz w:val="30"/>
                <w:szCs w:val="30"/>
              </w:rPr>
            </w:pPr>
          </w:p>
        </w:tc>
        <w:tc>
          <w:tcPr>
            <w:tcW w:w="1650" w:type="dxa"/>
          </w:tcPr>
          <w:p w14:paraId="57C231FB">
            <w:pPr>
              <w:rPr>
                <w:color w:val="auto"/>
                <w:sz w:val="30"/>
                <w:szCs w:val="30"/>
              </w:rPr>
            </w:pPr>
          </w:p>
        </w:tc>
      </w:tr>
      <w:tr w14:paraId="3D20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tcPr>
          <w:p w14:paraId="7AD62AFC">
            <w:pPr>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组员</w:t>
            </w:r>
          </w:p>
        </w:tc>
        <w:tc>
          <w:tcPr>
            <w:tcW w:w="1320" w:type="dxa"/>
          </w:tcPr>
          <w:p w14:paraId="18BD0016">
            <w:pPr>
              <w:rPr>
                <w:rFonts w:ascii="仿宋_GB2312" w:hAnsi="仿宋_GB2312" w:eastAsia="仿宋_GB2312" w:cs="仿宋_GB2312"/>
                <w:color w:val="auto"/>
                <w:sz w:val="30"/>
                <w:szCs w:val="30"/>
              </w:rPr>
            </w:pPr>
          </w:p>
        </w:tc>
        <w:tc>
          <w:tcPr>
            <w:tcW w:w="2936" w:type="dxa"/>
          </w:tcPr>
          <w:p w14:paraId="74583DFC">
            <w:pPr>
              <w:rPr>
                <w:rFonts w:hint="eastAsia" w:ascii="仿宋_GB2312" w:hAnsi="仿宋_GB2312" w:eastAsia="仿宋_GB2312" w:cs="仿宋_GB2312"/>
                <w:color w:val="auto"/>
                <w:sz w:val="30"/>
                <w:szCs w:val="30"/>
                <w:lang w:eastAsia="zh-CN"/>
              </w:rPr>
            </w:pPr>
          </w:p>
        </w:tc>
        <w:tc>
          <w:tcPr>
            <w:tcW w:w="1129" w:type="dxa"/>
          </w:tcPr>
          <w:p w14:paraId="099D5902">
            <w:pPr>
              <w:rPr>
                <w:rFonts w:ascii="仿宋_GB2312" w:hAnsi="仿宋_GB2312" w:eastAsia="仿宋_GB2312" w:cs="仿宋_GB2312"/>
                <w:color w:val="auto"/>
                <w:sz w:val="30"/>
                <w:szCs w:val="30"/>
              </w:rPr>
            </w:pPr>
          </w:p>
        </w:tc>
        <w:tc>
          <w:tcPr>
            <w:tcW w:w="1245" w:type="dxa"/>
          </w:tcPr>
          <w:p w14:paraId="1D8D3BAD">
            <w:pPr>
              <w:rPr>
                <w:color w:val="auto"/>
                <w:sz w:val="30"/>
                <w:szCs w:val="30"/>
              </w:rPr>
            </w:pPr>
          </w:p>
        </w:tc>
        <w:tc>
          <w:tcPr>
            <w:tcW w:w="1650" w:type="dxa"/>
          </w:tcPr>
          <w:p w14:paraId="53A2AAA6">
            <w:pPr>
              <w:rPr>
                <w:color w:val="auto"/>
                <w:sz w:val="30"/>
                <w:szCs w:val="30"/>
              </w:rPr>
            </w:pPr>
          </w:p>
        </w:tc>
      </w:tr>
      <w:tr w14:paraId="0103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top"/>
          </w:tcPr>
          <w:p w14:paraId="26E99DBD">
            <w:pPr>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sz w:val="30"/>
                <w:szCs w:val="30"/>
              </w:rPr>
              <w:t>组员</w:t>
            </w:r>
          </w:p>
        </w:tc>
        <w:tc>
          <w:tcPr>
            <w:tcW w:w="1320" w:type="dxa"/>
          </w:tcPr>
          <w:p w14:paraId="2E9C251D">
            <w:pPr>
              <w:rPr>
                <w:rFonts w:ascii="仿宋_GB2312" w:hAnsi="仿宋_GB2312" w:eastAsia="仿宋_GB2312" w:cs="仿宋_GB2312"/>
                <w:color w:val="auto"/>
                <w:sz w:val="30"/>
                <w:szCs w:val="30"/>
              </w:rPr>
            </w:pPr>
          </w:p>
        </w:tc>
        <w:tc>
          <w:tcPr>
            <w:tcW w:w="2936" w:type="dxa"/>
          </w:tcPr>
          <w:p w14:paraId="13E19452">
            <w:pPr>
              <w:rPr>
                <w:rFonts w:hint="default" w:ascii="仿宋_GB2312" w:hAnsi="仿宋_GB2312" w:eastAsia="仿宋_GB2312" w:cs="仿宋_GB2312"/>
                <w:color w:val="auto"/>
                <w:sz w:val="30"/>
                <w:szCs w:val="30"/>
                <w:lang w:val="en-US" w:eastAsia="zh-CN"/>
              </w:rPr>
            </w:pPr>
          </w:p>
        </w:tc>
        <w:tc>
          <w:tcPr>
            <w:tcW w:w="1129" w:type="dxa"/>
          </w:tcPr>
          <w:p w14:paraId="11952281">
            <w:pPr>
              <w:rPr>
                <w:rFonts w:ascii="仿宋_GB2312" w:hAnsi="仿宋_GB2312" w:eastAsia="仿宋_GB2312" w:cs="仿宋_GB2312"/>
                <w:color w:val="auto"/>
                <w:sz w:val="30"/>
                <w:szCs w:val="30"/>
              </w:rPr>
            </w:pPr>
          </w:p>
        </w:tc>
        <w:tc>
          <w:tcPr>
            <w:tcW w:w="1245" w:type="dxa"/>
          </w:tcPr>
          <w:p w14:paraId="32BCB104">
            <w:pPr>
              <w:rPr>
                <w:color w:val="auto"/>
                <w:sz w:val="30"/>
                <w:szCs w:val="30"/>
              </w:rPr>
            </w:pPr>
          </w:p>
        </w:tc>
        <w:tc>
          <w:tcPr>
            <w:tcW w:w="1650" w:type="dxa"/>
          </w:tcPr>
          <w:p w14:paraId="4A83151A">
            <w:pPr>
              <w:rPr>
                <w:color w:val="auto"/>
                <w:sz w:val="30"/>
                <w:szCs w:val="30"/>
              </w:rPr>
            </w:pPr>
          </w:p>
        </w:tc>
      </w:tr>
      <w:tr w14:paraId="400F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top"/>
          </w:tcPr>
          <w:p w14:paraId="767FA124">
            <w:pPr>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sz w:val="30"/>
                <w:szCs w:val="30"/>
              </w:rPr>
              <w:t>组员</w:t>
            </w:r>
          </w:p>
        </w:tc>
        <w:tc>
          <w:tcPr>
            <w:tcW w:w="1320" w:type="dxa"/>
          </w:tcPr>
          <w:p w14:paraId="1C502920">
            <w:pPr>
              <w:rPr>
                <w:rFonts w:ascii="仿宋_GB2312" w:hAnsi="仿宋_GB2312" w:eastAsia="仿宋_GB2312" w:cs="仿宋_GB2312"/>
                <w:color w:val="auto"/>
                <w:sz w:val="30"/>
                <w:szCs w:val="30"/>
              </w:rPr>
            </w:pPr>
          </w:p>
        </w:tc>
        <w:tc>
          <w:tcPr>
            <w:tcW w:w="2936" w:type="dxa"/>
          </w:tcPr>
          <w:p w14:paraId="186FA42E">
            <w:pPr>
              <w:rPr>
                <w:rFonts w:hint="default" w:ascii="仿宋_GB2312" w:hAnsi="仿宋_GB2312" w:eastAsia="仿宋_GB2312" w:cs="仿宋_GB2312"/>
                <w:color w:val="auto"/>
                <w:sz w:val="30"/>
                <w:szCs w:val="30"/>
                <w:lang w:val="en-US" w:eastAsia="zh-CN"/>
              </w:rPr>
            </w:pPr>
          </w:p>
        </w:tc>
        <w:tc>
          <w:tcPr>
            <w:tcW w:w="1129" w:type="dxa"/>
          </w:tcPr>
          <w:p w14:paraId="4AD10FDC">
            <w:pPr>
              <w:rPr>
                <w:rFonts w:ascii="仿宋_GB2312" w:hAnsi="仿宋_GB2312" w:eastAsia="仿宋_GB2312" w:cs="仿宋_GB2312"/>
                <w:color w:val="auto"/>
                <w:sz w:val="30"/>
                <w:szCs w:val="30"/>
              </w:rPr>
            </w:pPr>
          </w:p>
        </w:tc>
        <w:tc>
          <w:tcPr>
            <w:tcW w:w="1245" w:type="dxa"/>
          </w:tcPr>
          <w:p w14:paraId="6471626A">
            <w:pPr>
              <w:rPr>
                <w:color w:val="auto"/>
                <w:sz w:val="30"/>
                <w:szCs w:val="30"/>
              </w:rPr>
            </w:pPr>
          </w:p>
        </w:tc>
        <w:tc>
          <w:tcPr>
            <w:tcW w:w="1650" w:type="dxa"/>
          </w:tcPr>
          <w:p w14:paraId="20BA4DB0">
            <w:pPr>
              <w:rPr>
                <w:color w:val="auto"/>
                <w:sz w:val="30"/>
                <w:szCs w:val="30"/>
              </w:rPr>
            </w:pPr>
          </w:p>
        </w:tc>
      </w:tr>
    </w:tbl>
    <w:p w14:paraId="4FCDEB2D">
      <w:pPr>
        <w:rPr>
          <w:color w:val="auto"/>
          <w:sz w:val="30"/>
          <w:szCs w:val="30"/>
        </w:rPr>
      </w:pPr>
    </w:p>
    <w:sectPr>
      <w:pgSz w:w="11906" w:h="16838"/>
      <w:pgMar w:top="1440" w:right="1800" w:bottom="1440" w:left="197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18BE41F-87DC-48F9-B950-D8605E780C4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AEC57CA7-2029-48B3-9EE7-2C2FEF5CB471}"/>
  </w:font>
  <w:font w:name="Helvetica">
    <w:altName w:val="Arial"/>
    <w:panose1 w:val="00000000000000000000"/>
    <w:charset w:val="00"/>
    <w:family w:val="auto"/>
    <w:pitch w:val="default"/>
    <w:sig w:usb0="00000000" w:usb1="00000000" w:usb2="00000000" w:usb3="00000000" w:csb0="00000000" w:csb1="00000000"/>
    <w:embedRegular r:id="rId3" w:fontKey="{B55CE52E-F3F9-4EC9-A0E2-301B043985E8}"/>
  </w:font>
  <w:font w:name="方正小标宋简体">
    <w:panose1 w:val="02000000000000000000"/>
    <w:charset w:val="86"/>
    <w:family w:val="script"/>
    <w:pitch w:val="default"/>
    <w:sig w:usb0="00000001" w:usb1="08000000" w:usb2="00000000" w:usb3="00000000" w:csb0="00040000" w:csb1="00000000"/>
    <w:embedRegular r:id="rId4" w:fontKey="{148C6DFF-BDE0-4F67-8ACD-33B93CE3F1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C7168">
    <w:pPr>
      <w:pStyle w:val="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4309D74">
                          <w:pPr>
                            <w:pStyle w:val="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54309D74">
                    <w:pPr>
                      <w:pStyle w:val="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5A63F">
    <w:pPr>
      <w:pStyle w:val="3"/>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7E2B7DB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15</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JspJgbXAQAAsAMAAA4AAAAAAAAAAQAgAAAA&#10;HgEAAGRycy9lMm9Eb2MueG1sUEsFBgAAAAAGAAYAWQEAAGcFAAAAAA==&#10;">
              <v:fill on="f" focussize="0,0"/>
              <v:stroke on="f"/>
              <v:imagedata o:title=""/>
              <o:lock v:ext="edit" aspectratio="f"/>
              <v:textbox inset="0mm,0mm,0mm,0mm" style="mso-fit-shape-to-text:t;">
                <w:txbxContent>
                  <w:p w14:paraId="7E2B7DB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15</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DFFE2C"/>
    <w:multiLevelType w:val="singleLevel"/>
    <w:tmpl w:val="95DFFE2C"/>
    <w:lvl w:ilvl="0" w:tentative="0">
      <w:start w:val="2"/>
      <w:numFmt w:val="chineseCounting"/>
      <w:suff w:val="nothing"/>
      <w:lvlText w:val="（%1）"/>
      <w:lvlJc w:val="left"/>
      <w:rPr>
        <w:rFonts w:hint="eastAsia"/>
      </w:rPr>
    </w:lvl>
  </w:abstractNum>
  <w:abstractNum w:abstractNumId="1">
    <w:nsid w:val="2C898A93"/>
    <w:multiLevelType w:val="singleLevel"/>
    <w:tmpl w:val="2C898A93"/>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BC2"/>
    <w:rsid w:val="00004032"/>
    <w:rsid w:val="000D625A"/>
    <w:rsid w:val="001259AC"/>
    <w:rsid w:val="001C6006"/>
    <w:rsid w:val="002D37C3"/>
    <w:rsid w:val="002F7D8A"/>
    <w:rsid w:val="003529E5"/>
    <w:rsid w:val="003A1CCF"/>
    <w:rsid w:val="00422616"/>
    <w:rsid w:val="0049382B"/>
    <w:rsid w:val="004D3B86"/>
    <w:rsid w:val="0057620D"/>
    <w:rsid w:val="00662328"/>
    <w:rsid w:val="00666BC2"/>
    <w:rsid w:val="00673C31"/>
    <w:rsid w:val="006945DE"/>
    <w:rsid w:val="006A6B1D"/>
    <w:rsid w:val="00730714"/>
    <w:rsid w:val="007B0E59"/>
    <w:rsid w:val="0096217F"/>
    <w:rsid w:val="0097148A"/>
    <w:rsid w:val="00981624"/>
    <w:rsid w:val="00986829"/>
    <w:rsid w:val="00991726"/>
    <w:rsid w:val="00991B79"/>
    <w:rsid w:val="00AA2C4C"/>
    <w:rsid w:val="00AB2BF3"/>
    <w:rsid w:val="00B331EF"/>
    <w:rsid w:val="00B932CE"/>
    <w:rsid w:val="00BB0629"/>
    <w:rsid w:val="00CE1372"/>
    <w:rsid w:val="00D3641C"/>
    <w:rsid w:val="00D615CD"/>
    <w:rsid w:val="00D85E72"/>
    <w:rsid w:val="00E04A51"/>
    <w:rsid w:val="010F1A1A"/>
    <w:rsid w:val="019D4DD8"/>
    <w:rsid w:val="02584715"/>
    <w:rsid w:val="02ED13FA"/>
    <w:rsid w:val="07261D9B"/>
    <w:rsid w:val="0D6E0099"/>
    <w:rsid w:val="0F515162"/>
    <w:rsid w:val="140F1136"/>
    <w:rsid w:val="159B482D"/>
    <w:rsid w:val="187D44AD"/>
    <w:rsid w:val="1AC147B1"/>
    <w:rsid w:val="1BB5291D"/>
    <w:rsid w:val="1ED01055"/>
    <w:rsid w:val="22512656"/>
    <w:rsid w:val="23172F19"/>
    <w:rsid w:val="233C692A"/>
    <w:rsid w:val="23472EBA"/>
    <w:rsid w:val="25B42C71"/>
    <w:rsid w:val="28AE0C35"/>
    <w:rsid w:val="2B1C50A4"/>
    <w:rsid w:val="2C7C138C"/>
    <w:rsid w:val="2DBD3FEA"/>
    <w:rsid w:val="2DFD5BF4"/>
    <w:rsid w:val="30A0178E"/>
    <w:rsid w:val="313D1CF6"/>
    <w:rsid w:val="315333AC"/>
    <w:rsid w:val="32183DC8"/>
    <w:rsid w:val="331B0B04"/>
    <w:rsid w:val="33764E0D"/>
    <w:rsid w:val="388F6AAD"/>
    <w:rsid w:val="39150DCF"/>
    <w:rsid w:val="395D347B"/>
    <w:rsid w:val="3AEB0858"/>
    <w:rsid w:val="3E884432"/>
    <w:rsid w:val="3F44548B"/>
    <w:rsid w:val="40DE0116"/>
    <w:rsid w:val="41ED5EF8"/>
    <w:rsid w:val="424E290B"/>
    <w:rsid w:val="48B15D32"/>
    <w:rsid w:val="4F27017A"/>
    <w:rsid w:val="50BE3507"/>
    <w:rsid w:val="543932F6"/>
    <w:rsid w:val="554D57EC"/>
    <w:rsid w:val="55EF5FCE"/>
    <w:rsid w:val="5F1525D4"/>
    <w:rsid w:val="6002650B"/>
    <w:rsid w:val="623D400E"/>
    <w:rsid w:val="655A729A"/>
    <w:rsid w:val="65A550CE"/>
    <w:rsid w:val="66B82C8F"/>
    <w:rsid w:val="68A5580A"/>
    <w:rsid w:val="697E3552"/>
    <w:rsid w:val="69F578F1"/>
    <w:rsid w:val="6AC72644"/>
    <w:rsid w:val="6BC34367"/>
    <w:rsid w:val="709641FC"/>
    <w:rsid w:val="72243451"/>
    <w:rsid w:val="77042FD3"/>
    <w:rsid w:val="77383534"/>
    <w:rsid w:val="77836248"/>
    <w:rsid w:val="7C686B5B"/>
    <w:rsid w:val="7F392B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39"/>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qFormat/>
    <w:uiPriority w:val="99"/>
    <w:rPr>
      <w:color w:val="0000FF"/>
      <w:u w:val="single"/>
    </w:rPr>
  </w:style>
  <w:style w:type="character" w:customStyle="1" w:styleId="10">
    <w:name w:val="页眉 Char"/>
    <w:basedOn w:val="8"/>
    <w:link w:val="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14</Pages>
  <Words>299</Words>
  <Characters>306</Characters>
  <Lines>45</Lines>
  <Paragraphs>12</Paragraphs>
  <TotalTime>8</TotalTime>
  <ScaleCrop>false</ScaleCrop>
  <LinksUpToDate>false</LinksUpToDate>
  <CharactersWithSpaces>318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2019-11-29T07:26:00Z</dcterms:created>
  <dc:creator>Administrator</dc:creator>
  <cp:lastModifiedBy>夏鑫</cp:lastModifiedBy>
  <cp:lastPrinted>2025-07-16T06:56:00Z</cp:lastPrinted>
  <dcterms:modified xsi:type="dcterms:W3CDTF">2025-11-05T09:02:59Z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ADDA5325CF524D0B8139A4E8D59D2C85_13</vt:lpwstr>
  </property>
  <property fmtid="{D5CDD505-2E9C-101B-9397-08002B2CF9AE}" pid="4" name="KSOTemplateDocerSaveRecord">
    <vt:lpwstr>eyJoZGlkIjoiYTE4Y2E5Njk2ODc0YjkwODhmMzRhYmMzZmUxNzRjOTEiLCJ1c2VySWQiOiI1NDQ2NDQ5ODcifQ==</vt:lpwstr>
  </property>
</Properties>
</file>