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41669">
      <w:pPr>
        <w:pStyle w:val="15"/>
        <w:widowControl/>
      </w:pPr>
      <mc:AlternateContent>
        <mc:Choice Requires="wpsCustomData">
          <wpsCustomData:docfieldStart id="0" docfieldname="标题_1" hidden="0" print="1" readonly="0" index="1"/>
        </mc:Choice>
      </mc:AlternateContent>
      <w:r>
        <w:t>宁河丰台天津市润金精密铸造有限公司“10・5”一般物体打击事故防范和整改措施落实情况评估报告</w:t>
      </w:r>
      <mc:AlternateContent>
        <mc:Choice Requires="wpsCustomData">
          <wpsCustomData:docfieldEnd id="0"/>
        </mc:Choice>
      </mc:AlternateContent>
    </w:p>
    <w:p w14:paraId="4DA7654D">
      <w:pPr>
        <w:pStyle w:val="11"/>
        <w:bidi w:val="0"/>
        <w:spacing w:beforeAutospacing="0" w:afterAutospacing="0" w:line="300" w:lineRule="exact"/>
        <w:rPr>
          <w:rFonts w:hint="eastAsia"/>
          <w:lang w:eastAsia="zh-CN"/>
        </w:rPr>
      </w:pPr>
    </w:p>
    <w:p w14:paraId="4857456D">
      <w:pPr>
        <w:pStyle w:val="2"/>
        <w:widowControl/>
        <w:numPr>
          <w:ilvl w:val="0"/>
          <w:numId w:val="0"/>
        </w:numPr>
        <w:topLinePunct w:val="0"/>
        <w:ind w:left="0" w:leftChars="0" w:firstLine="640"/>
        <w:rPr>
          <w:b w:val="0"/>
        </w:rPr>
      </w:pPr>
      <w:r>
        <w:rPr>
          <w:rFonts w:hint="eastAsia"/>
          <w:lang w:eastAsia="zh-CN"/>
        </w:rPr>
        <w:t>一、</w:t>
      </w:r>
      <w:r>
        <w:t>评估目的</w:t>
      </w:r>
    </w:p>
    <w:p w14:paraId="07B08E95">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4961C25D">
      <w:pPr>
        <w:pStyle w:val="2"/>
        <w:widowControl/>
        <w:numPr>
          <w:ilvl w:val="0"/>
          <w:numId w:val="0"/>
        </w:numPr>
        <w:topLinePunct w:val="0"/>
        <w:ind w:left="0" w:leftChars="0" w:firstLine="640"/>
        <w:rPr>
          <w:b w:val="0"/>
        </w:rPr>
      </w:pPr>
      <w:r>
        <w:rPr>
          <w:rFonts w:hint="eastAsia"/>
          <w:lang w:eastAsia="zh-CN"/>
        </w:rPr>
        <w:t>二、</w:t>
      </w:r>
      <w:r>
        <w:t>评估依据及职责分工</w:t>
      </w:r>
    </w:p>
    <w:p w14:paraId="6F5F1373">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丰台天津市润金精密铸造有限公司“10・5”一般物体打击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丰台天津市润金精密铸造有限公司“10・5”一般物体打击事故评估组（以下简称事故评估组），对事故责任追究和整改措施落实情况进行评估。评估组由区应急管理局、公安宁河分局、区总工会、丰台镇人民政府等单位组成，邀请区纪委监委派员参加。具体分工如下：</w:t>
      </w:r>
    </w:p>
    <w:p w14:paraId="05308567">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1F2329"/>
          <w:sz w:val="32"/>
          <w:szCs w:val="32"/>
        </w:rPr>
      </w:pPr>
      <w:r>
        <w:rPr>
          <w:rFonts w:hint="eastAsia" w:cs="仿宋_GB2312"/>
          <w:color w:val="1F2329"/>
          <w:sz w:val="32"/>
          <w:szCs w:val="32"/>
          <w:lang w:eastAsia="zh-CN"/>
        </w:rPr>
        <w:t>（一）</w:t>
      </w:r>
      <w:r>
        <w:rPr>
          <w:rFonts w:ascii="Times New Roman" w:hAnsi="Times New Roman" w:eastAsia="仿宋_GB2312" w:cs="仿宋_GB2312"/>
          <w:color w:val="1F2329"/>
          <w:sz w:val="32"/>
          <w:szCs w:val="32"/>
        </w:rPr>
        <w:t>区应急管理局负责收集相关部门、事故单位依据区政府批复，对单位、人员处理及整改措施的落实情况；组织拟写评估报告，及时向社会全文公开发布。</w:t>
      </w:r>
    </w:p>
    <w:p w14:paraId="63B9DC07">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1F2329"/>
          <w:sz w:val="32"/>
          <w:szCs w:val="32"/>
        </w:rPr>
      </w:pPr>
      <w:r>
        <w:rPr>
          <w:rFonts w:hint="eastAsia" w:cs="仿宋_GB2312"/>
          <w:color w:val="1F2329"/>
          <w:sz w:val="32"/>
          <w:szCs w:val="32"/>
          <w:lang w:eastAsia="zh-CN"/>
        </w:rPr>
        <w:t>（二）</w:t>
      </w:r>
      <w:r>
        <w:rPr>
          <w:rFonts w:ascii="Times New Roman" w:hAnsi="Times New Roman" w:eastAsia="仿宋_GB2312" w:cs="仿宋_GB2312"/>
          <w:color w:val="1F2329"/>
          <w:sz w:val="32"/>
          <w:szCs w:val="32"/>
        </w:rPr>
        <w:t>公安宁河分局负责递交事故相关责任人员刑事责任追究情况；参与拟写评估报告。</w:t>
      </w:r>
    </w:p>
    <w:p w14:paraId="40F6B405">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1F2329"/>
          <w:sz w:val="32"/>
          <w:szCs w:val="32"/>
        </w:rPr>
      </w:pPr>
      <w:r>
        <w:rPr>
          <w:rFonts w:hint="eastAsia" w:cs="仿宋_GB2312"/>
          <w:color w:val="1F2329"/>
          <w:sz w:val="32"/>
          <w:szCs w:val="32"/>
          <w:lang w:eastAsia="zh-CN"/>
        </w:rPr>
        <w:t>（三）</w:t>
      </w:r>
      <w:r>
        <w:rPr>
          <w:rFonts w:ascii="Times New Roman" w:hAnsi="Times New Roman" w:eastAsia="仿宋_GB2312" w:cs="仿宋_GB2312"/>
          <w:color w:val="1F2329"/>
          <w:sz w:val="32"/>
          <w:szCs w:val="32"/>
        </w:rPr>
        <w:t>区总工会负责监督整改措施落实、职工劳动保护等情况；参与拟写评估报告。</w:t>
      </w:r>
    </w:p>
    <w:p w14:paraId="78B32F67">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hint="eastAsia" w:ascii="仿宋_GB2312" w:hAnsi="仿宋_GB2312" w:eastAsia="仿宋_GB2312" w:cs="仿宋_GB2312"/>
          <w:b w:val="0"/>
          <w:color w:val="1F2329"/>
          <w:sz w:val="32"/>
          <w:szCs w:val="32"/>
        </w:rPr>
      </w:pPr>
      <w:r>
        <w:rPr>
          <w:rFonts w:hint="eastAsia" w:cs="仿宋_GB2312"/>
          <w:color w:val="1F2329"/>
          <w:sz w:val="32"/>
          <w:szCs w:val="32"/>
          <w:lang w:eastAsia="zh-CN"/>
        </w:rPr>
        <w:t>（四）</w:t>
      </w:r>
      <w:r>
        <w:rPr>
          <w:rFonts w:ascii="Times New Roman" w:hAnsi="Times New Roman" w:eastAsia="仿宋_GB2312" w:cs="仿宋_GB2312"/>
          <w:color w:val="1F2329"/>
          <w:sz w:val="32"/>
          <w:szCs w:val="32"/>
        </w:rPr>
        <w:t>丰台镇人民政府负责递交本地区落实区政府批复中相关行政处理及整改措施的落实情况；协调相关事故单位配合现场核查工作；参与拟写评估报告。</w:t>
      </w:r>
    </w:p>
    <w:p w14:paraId="51A0765E">
      <w:pPr>
        <w:pStyle w:val="2"/>
        <w:widowControl/>
        <w:numPr>
          <w:ilvl w:val="0"/>
          <w:numId w:val="0"/>
        </w:numPr>
        <w:topLinePunct w:val="0"/>
        <w:ind w:left="0" w:leftChars="0" w:firstLine="640"/>
        <w:rPr>
          <w:b w:val="0"/>
        </w:rPr>
      </w:pPr>
      <w:r>
        <w:rPr>
          <w:rFonts w:hint="eastAsia"/>
          <w:lang w:eastAsia="zh-CN"/>
        </w:rPr>
        <w:t>三、</w:t>
      </w:r>
      <w:r>
        <w:t>事故调查处理情况</w:t>
      </w:r>
    </w:p>
    <w:p w14:paraId="797BCDC4">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6624952A">
      <w:pPr>
        <w:pStyle w:val="2"/>
        <w:widowControl/>
        <w:numPr>
          <w:ilvl w:val="0"/>
          <w:numId w:val="0"/>
        </w:numPr>
        <w:topLinePunct w:val="0"/>
        <w:ind w:left="0" w:leftChars="0" w:firstLine="640"/>
        <w:rPr>
          <w:b w:val="0"/>
        </w:rPr>
      </w:pPr>
      <w:r>
        <w:rPr>
          <w:rFonts w:hint="eastAsia"/>
          <w:lang w:eastAsia="zh-CN"/>
        </w:rPr>
        <w:t>四、</w:t>
      </w:r>
      <w:r>
        <w:t>评估部署工作</w:t>
      </w:r>
    </w:p>
    <w:p w14:paraId="40DAD489">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bookmarkStart w:id="0" w:name="_GoBack"/>
      <w:bookmarkEnd w:id="0"/>
      <w:r>
        <w:rPr>
          <w:rFonts w:ascii="Times New Roman" w:hAnsi="Times New Roman" w:eastAsia="仿宋_GB2312" w:cs="仿宋_GB2312"/>
          <w:color w:val="1F2329"/>
          <w:sz w:val="32"/>
          <w:szCs w:val="32"/>
        </w:rPr>
        <w:t>区应急管理局牵头公安宁河分局、区总工会和丰台镇人民政府组成了事故评估组，并邀请区纪委监委参加评估工作。评估组以《事故调查报告》为依据，按照“四不放过”和科学严谨、依法依规、实事求是、注重实效的原则，制定了工作方案。评估组分别前往丰台镇人民政府和天津市润金精密铸造有限公司进行现场评估，通过现场勘查、查阅文档、询问有关人员等方式了解了相关单位在事故发生后整改措施落实情况，并收集了相关资料，完成了评估工作。</w:t>
      </w:r>
    </w:p>
    <w:p w14:paraId="1A6ECB82">
      <w:pPr>
        <w:pStyle w:val="2"/>
        <w:widowControl/>
        <w:numPr>
          <w:ilvl w:val="0"/>
          <w:numId w:val="0"/>
        </w:numPr>
        <w:topLinePunct w:val="0"/>
        <w:ind w:left="0" w:leftChars="0" w:firstLine="640"/>
        <w:rPr>
          <w:b w:val="0"/>
        </w:rPr>
      </w:pPr>
      <w:r>
        <w:rPr>
          <w:rFonts w:hint="eastAsia"/>
          <w:lang w:eastAsia="zh-CN"/>
        </w:rPr>
        <w:t>五、</w:t>
      </w:r>
      <w:r>
        <w:t>评估事项及结论</w:t>
      </w:r>
    </w:p>
    <w:p w14:paraId="7BFC3C6F">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5335DDE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w:t>
      </w:r>
      <w:r>
        <w:rPr>
          <w:rFonts w:hint="eastAsia" w:cs="仿宋_GB2312"/>
          <w:color w:val="1F2329"/>
          <w:sz w:val="32"/>
          <w:szCs w:val="32"/>
          <w:lang w:val="en-US" w:eastAsia="zh-CN"/>
        </w:rPr>
        <w:t>对</w:t>
      </w:r>
      <w:r>
        <w:rPr>
          <w:rFonts w:ascii="Times New Roman" w:hAnsi="Times New Roman" w:eastAsia="仿宋_GB2312" w:cs="仿宋_GB2312"/>
          <w:color w:val="1F2329"/>
          <w:sz w:val="32"/>
          <w:szCs w:val="32"/>
        </w:rPr>
        <w:t>天津市润金精密铸造有限公司30万元罚款</w:t>
      </w:r>
      <w:r>
        <w:rPr>
          <w:rFonts w:ascii="Times New Roman" w:hAnsi="Times New Roman" w:eastAsia="仿宋_GB2312" w:cs="仿宋_GB2312"/>
          <w:color w:val="000000"/>
          <w:sz w:val="32"/>
          <w:szCs w:val="32"/>
        </w:rPr>
        <w:t>已</w:t>
      </w:r>
      <w:r>
        <w:rPr>
          <w:rFonts w:hint="eastAsia" w:cs="仿宋_GB2312"/>
          <w:color w:val="000000"/>
          <w:sz w:val="32"/>
          <w:szCs w:val="32"/>
          <w:lang w:val="en-US" w:eastAsia="zh-CN"/>
        </w:rPr>
        <w:t>下达处罚决定</w:t>
      </w:r>
      <w:r>
        <w:rPr>
          <w:rFonts w:ascii="Times New Roman" w:hAnsi="Times New Roman" w:eastAsia="仿宋_GB2312" w:cs="仿宋_GB2312"/>
          <w:color w:val="1F2329"/>
          <w:sz w:val="32"/>
          <w:szCs w:val="32"/>
        </w:rPr>
        <w:t>；</w:t>
      </w:r>
      <w:r>
        <w:rPr>
          <w:rFonts w:hint="eastAsia" w:cs="仿宋_GB2312"/>
          <w:color w:val="1F2329"/>
          <w:sz w:val="32"/>
          <w:szCs w:val="32"/>
          <w:lang w:val="en-US" w:eastAsia="zh-CN"/>
        </w:rPr>
        <w:t>对</w:t>
      </w:r>
      <w:r>
        <w:rPr>
          <w:rFonts w:ascii="Times New Roman" w:hAnsi="Times New Roman" w:eastAsia="仿宋_GB2312" w:cs="仿宋_GB2312"/>
          <w:color w:val="1F2329"/>
          <w:sz w:val="32"/>
          <w:szCs w:val="32"/>
        </w:rPr>
        <w:t>天津市润金精密铸造有限公司法定代表人王某某2022年度年收入百分之六十罚款</w:t>
      </w:r>
      <w:r>
        <w:rPr>
          <w:rFonts w:ascii="Times New Roman" w:hAnsi="Times New Roman" w:eastAsia="仿宋_GB2312" w:cs="仿宋_GB2312"/>
          <w:color w:val="000000"/>
          <w:sz w:val="32"/>
          <w:szCs w:val="32"/>
        </w:rPr>
        <w:t>已</w:t>
      </w:r>
      <w:r>
        <w:rPr>
          <w:rFonts w:hint="eastAsia" w:cs="仿宋_GB2312"/>
          <w:color w:val="000000"/>
          <w:sz w:val="32"/>
          <w:szCs w:val="32"/>
          <w:lang w:val="en-US" w:eastAsia="zh-CN"/>
        </w:rPr>
        <w:t>下达处罚决定</w:t>
      </w:r>
      <w:r>
        <w:rPr>
          <w:rFonts w:ascii="Times New Roman" w:hAnsi="Times New Roman" w:eastAsia="仿宋_GB2312" w:cs="仿宋_GB2312"/>
          <w:color w:val="1F2329"/>
          <w:sz w:val="32"/>
          <w:szCs w:val="32"/>
        </w:rPr>
        <w:t>；天津市润金精密铸造有限公司已按公司规定对安全管理人员胡某乙完成内部处理，并将处理结果报送至宁河区应急管理局。</w:t>
      </w:r>
    </w:p>
    <w:p w14:paraId="7732C40D">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评估结论：对天津市润金精密铸造有限公司、王某某及胡某乙的行政处罚及内部处理已落实。</w:t>
      </w:r>
    </w:p>
    <w:p w14:paraId="4ABAB972">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3761CA8D">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1</w:t>
      </w:r>
      <w:r>
        <w:rPr>
          <w:rFonts w:hint="eastAsia" w:cs="仿宋_GB2312"/>
          <w:color w:val="1F2329"/>
          <w:sz w:val="32"/>
          <w:szCs w:val="32"/>
          <w:lang w:val="en-US" w:eastAsia="zh-CN"/>
        </w:rPr>
        <w:t>.</w:t>
      </w:r>
      <w:r>
        <w:rPr>
          <w:rFonts w:ascii="Times New Roman" w:hAnsi="Times New Roman" w:eastAsia="仿宋_GB2312" w:cs="仿宋_GB2312"/>
          <w:color w:val="1F2329"/>
          <w:spacing w:val="0"/>
          <w:kern w:val="0"/>
          <w:sz w:val="32"/>
          <w:szCs w:val="32"/>
          <w:fitText w:val="4161" w:id="1197612110"/>
        </w:rPr>
        <w:t>天津市润金精密铸造有限公司</w:t>
      </w:r>
      <w:r>
        <w:rPr>
          <w:rFonts w:ascii="Times New Roman" w:hAnsi="Times New Roman" w:eastAsia="仿宋_GB2312" w:cs="仿宋_GB2312"/>
          <w:color w:val="1F2329"/>
          <w:sz w:val="32"/>
          <w:szCs w:val="32"/>
        </w:rPr>
        <w:t>：事故发生后，该公司立即组织全体员工召开警示教育大会，吸取事故教训，举一反三，认真落实《中华人民共和国安全生产法》《天津市生产经营单位安全生产主体责任规定》等法律法规要求，加强安全风险分级管控和隐患排查治理双重预防工作机制建设，细化完善安全风险点位辨识排查，明确风险隐患，采取可靠有效的防范管控措施；进一步加强安全培训教育，重点强化手动叉车操作、现场作业、劳动防护用品佩戴等专项培训，提高员工安全生产意识及操作水平；严格规范承租单位安全管理，与天津市荣诚金属制品有限公司签订专门安全生产管理协议，明确双方安全管理职责，对承租单位安全生产工作实行统</w:t>
      </w:r>
      <w:r>
        <w:rPr>
          <w:rFonts w:ascii="Times New Roman" w:hAnsi="Times New Roman" w:eastAsia="仿宋_GB2312" w:cs="仿宋_GB2312"/>
          <w:color w:val="1F2329"/>
          <w:spacing wpsCustomData:val="-6" w:val="-3"/>
          <w:sz w:val="32"/>
          <w:szCs w:val="32"/>
        </w:rPr>
        <w:t>一协调</w:t>
      </w:r>
      <w:r>
        <w:rPr>
          <w:rFonts w:ascii="Times New Roman" w:hAnsi="Times New Roman" w:eastAsia="仿宋_GB2312" w:cs="仿宋_GB2312"/>
          <w:color w:val="1F2329"/>
          <w:spacing wpsCustomData:val="-6" w:val="-2"/>
          <w:sz w:val="32"/>
          <w:szCs w:val="32"/>
        </w:rPr>
        <w:t>、</w:t>
      </w:r>
      <w:r>
        <w:rPr>
          <w:rFonts w:ascii="Times New Roman" w:hAnsi="Times New Roman" w:eastAsia="仿宋_GB2312" w:cs="仿宋_GB2312"/>
          <w:color w:val="1F2329"/>
          <w:spacing wpsCustomData:val="-6" w:val="-3"/>
          <w:sz w:val="32"/>
          <w:szCs w:val="32"/>
        </w:rPr>
        <w:t>管</w:t>
      </w:r>
      <w:r>
        <w:rPr>
          <w:rFonts w:ascii="Times New Roman" w:hAnsi="Times New Roman" w:eastAsia="仿宋_GB2312" w:cs="仿宋_GB2312"/>
          <w:color w:val="1F2329"/>
          <w:spacing wpsCustomData:val="-6" w:val="-2"/>
          <w:sz w:val="32"/>
          <w:szCs w:val="32"/>
        </w:rPr>
        <w:t>理</w:t>
      </w:r>
      <w:r>
        <w:rPr>
          <w:rFonts w:ascii="Times New Roman" w:hAnsi="Times New Roman" w:eastAsia="仿宋_GB2312" w:cs="仿宋_GB2312"/>
          <w:color w:val="1F2329"/>
          <w:spacing wpsCustomData:val="-6" w:val="-3"/>
          <w:sz w:val="32"/>
          <w:szCs w:val="32"/>
        </w:rPr>
        <w:t>，定期开展安全检</w:t>
      </w:r>
      <w:r>
        <w:rPr>
          <w:rFonts w:ascii="Times New Roman" w:hAnsi="Times New Roman" w:eastAsia="仿宋_GB2312" w:cs="仿宋_GB2312"/>
          <w:color w:val="1F2329"/>
          <w:spacing wpsCustomData:val="-6" w:val="-2"/>
          <w:sz w:val="32"/>
          <w:szCs w:val="32"/>
        </w:rPr>
        <w:t>查</w:t>
      </w:r>
      <w:r>
        <w:rPr>
          <w:rFonts w:ascii="Times New Roman" w:hAnsi="Times New Roman" w:eastAsia="仿宋_GB2312" w:cs="仿宋_GB2312"/>
          <w:color w:val="1F2329"/>
          <w:spacing wpsCustomData:val="-6" w:val="-3"/>
          <w:sz w:val="32"/>
          <w:szCs w:val="32"/>
        </w:rPr>
        <w:t>，建立隐患台账并督促闭</w:t>
      </w:r>
      <w:r>
        <w:rPr>
          <w:rFonts w:ascii="Times New Roman" w:hAnsi="Times New Roman" w:eastAsia="仿宋_GB2312" w:cs="仿宋_GB2312"/>
          <w:color w:val="1F2329"/>
          <w:spacing wpsCustomData:val="-6" w:val="-6"/>
          <w:sz w:val="32"/>
          <w:szCs w:val="32"/>
        </w:rPr>
        <w:t>环</w:t>
      </w:r>
      <w:r>
        <w:rPr>
          <w:rFonts w:ascii="Times New Roman" w:hAnsi="Times New Roman" w:eastAsia="仿宋_GB2312" w:cs="仿宋_GB2312"/>
          <w:color w:val="1F2329"/>
          <w:sz w:val="32"/>
          <w:szCs w:val="32"/>
        </w:rPr>
        <w:t>整改。</w:t>
      </w:r>
    </w:p>
    <w:p w14:paraId="7030EFD9">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2</w:t>
      </w:r>
      <w:r>
        <w:rPr>
          <w:rFonts w:hint="eastAsia" w:cs="仿宋_GB2312"/>
          <w:color w:val="1F2329"/>
          <w:sz w:val="32"/>
          <w:szCs w:val="32"/>
          <w:lang w:val="en-US" w:eastAsia="zh-CN"/>
        </w:rPr>
        <w:t>.</w:t>
      </w:r>
      <w:r>
        <w:rPr>
          <w:rFonts w:hint="eastAsia" w:ascii="Times New Roman" w:hAnsi="Times New Roman" w:eastAsia="仿宋_GB2312" w:cs="仿宋_GB2312"/>
          <w:color w:val="1F2329"/>
          <w:sz w:val="32"/>
          <w:szCs w:val="32"/>
          <w:lang w:val="en-US" w:eastAsia="zh-CN"/>
        </w:rPr>
        <w:t>丰台镇人民政府</w:t>
      </w:r>
      <w:r>
        <w:rPr>
          <w:rFonts w:ascii="Times New Roman" w:hAnsi="Times New Roman" w:eastAsia="仿宋_GB2312" w:cs="仿宋_GB2312"/>
          <w:color w:val="1F2329"/>
          <w:sz w:val="32"/>
          <w:szCs w:val="32"/>
        </w:rPr>
        <w:t>：事故发生后，深入学习贯彻习近平总书记重要指示批示精神，坚持人民至上、生命至上，深刻汲取事故惨痛教训，召开事故警示专题会议，增强抓好安全生产工作的责任感、紧迫感和使命感，坚持安全第一、预防为主，切实统筹好发展和安全两件大事；严格落实属地安全监管职责，全面研判辖区内重点行业领域安全风险，细化安全检查工作措施，加大对辖区内企业安全巡查力度，实现隐患排查整治全覆盖、无死角。</w:t>
      </w:r>
    </w:p>
    <w:p w14:paraId="63BDA3D0">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评估结论：各相关单位对事故调查报告中的事故防范和整改措施已落实。</w:t>
      </w:r>
    </w:p>
    <w:p w14:paraId="553E94AE">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B5F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2B3E1">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5672B3E1">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2BAD7">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73A9D">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69D73A9D">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F632E">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E61C">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291E0D"/>
    <w:rsid w:val="79317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1951</Words>
  <Characters>1973</Characters>
  <Lines>0</Lines>
  <Paragraphs>0</Paragraphs>
  <TotalTime>17</TotalTime>
  <ScaleCrop>false</ScaleCrop>
  <LinksUpToDate>false</LinksUpToDate>
  <CharactersWithSpaces>1973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2026-04-09T01:57:00Z</dcterms:created>
  <dc:creator>ROG</dc:creator>
  <cp:lastModifiedBy>曾嘉 15332140501</cp:lastModifiedBy>
  <dcterms:modified xsi:type="dcterms:W3CDTF">2026-04-09T02:39:39Z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89BCEA2B47854169A7368C7DB826A6E7_12</vt:lpwstr>
  </property>
</Properties>
</file>