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CB790">
      <w:pPr>
        <w:pStyle w:val="15"/>
        <w:widowControl/>
      </w:pPr>
      <mc:AlternateContent>
        <mc:Choice Requires="wpsCustomData">
          <wpsCustomData:docfieldStart id="0" docfieldname="标题_1" hidden="0" print="1" readonly="0" index="1"/>
        </mc:Choice>
      </mc:AlternateContent>
      <w:r>
        <w:t>宁河现代产业园区天津天伟食品有限公司“11・26”一般物体打击事故防范和整改措施落实情况评估报告</w:t>
      </w:r>
      <mc:AlternateContent>
        <mc:Choice Requires="wpsCustomData">
          <wpsCustomData:docfieldEnd id="0"/>
        </mc:Choice>
      </mc:AlternateContent>
    </w:p>
    <w:p w14:paraId="4F7F5EAD">
      <w:pPr>
        <w:pStyle w:val="11"/>
        <w:bidi w:val="0"/>
        <w:spacing w:beforeAutospacing="0" w:afterAutospacing="0" w:line="300" w:lineRule="exact"/>
        <w:rPr>
          <w:rFonts w:hint="eastAsia"/>
          <w:lang w:eastAsia="zh-CN"/>
        </w:rPr>
      </w:pPr>
    </w:p>
    <w:p w14:paraId="22289330">
      <w:pPr>
        <w:pStyle w:val="2"/>
        <w:widowControl/>
        <w:numPr>
          <w:ilvl w:val="0"/>
          <w:numId w:val="0"/>
        </w:numPr>
        <w:topLinePunct w:val="0"/>
        <w:ind w:left="0" w:leftChars="0" w:firstLine="640"/>
        <w:rPr>
          <w:b w:val="0"/>
        </w:rPr>
      </w:pPr>
      <w:r>
        <w:rPr>
          <w:rFonts w:hint="eastAsia"/>
          <w:lang w:eastAsia="zh-CN"/>
        </w:rPr>
        <w:t>一、</w:t>
      </w:r>
      <w:r>
        <w:t>评估目的</w:t>
      </w:r>
    </w:p>
    <w:p w14:paraId="1B4E1136">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为深入贯彻落实习近平总书记关于安全生产的重要指示批示精神，认真落实市委、市政府和区委、区政府关于做好安全生产工作的部署要求，充分发挥事故调查处理对加强和改进安全生产工作的促进作用，全面掌握事故发生单位及有关部门落实事故责任追究、事故防范和整改措施落实情况、采取的具体举措以及工作成效，深刻吸取事故教训，充分发挥事故惩戒和警示作用，从根本上消除事故隐患、从根本上解决存在问题，以事故调查评估促进本地区安全生产工作。</w:t>
      </w:r>
    </w:p>
    <w:p w14:paraId="59B5AAF9">
      <w:pPr>
        <w:pStyle w:val="2"/>
        <w:widowControl/>
        <w:numPr>
          <w:ilvl w:val="0"/>
          <w:numId w:val="0"/>
        </w:numPr>
        <w:topLinePunct w:val="0"/>
        <w:ind w:left="0" w:leftChars="0" w:firstLine="640"/>
        <w:rPr>
          <w:b w:val="0"/>
        </w:rPr>
      </w:pPr>
      <w:r>
        <w:rPr>
          <w:rFonts w:hint="eastAsia"/>
          <w:lang w:eastAsia="zh-CN"/>
        </w:rPr>
        <w:t>二、</w:t>
      </w:r>
      <w:r>
        <w:t>评估依据及职责分工</w:t>
      </w:r>
    </w:p>
    <w:p w14:paraId="420EAF03">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依据《宁河现代产业园区天津天伟食品有限公司“11・26”一般物体打击事故调查报告》和《中共天津市委天津市人民政府关于推进安全生产领域改革发展的实施意见》《生产安全事故防范和整改措施落实情况评估办法》和《市安委会办公室关于印发〈天津市生产安全事故防范和整改措施落实情况评估办法〉的通知》（津安办〔2022〕20号）规定，区应急局牵头成立宁河现代产业园区天津天伟食品有限公司“11・26”一般物体打击事故评估组（以下简称事故评估组），对事故责任追究和整改措施落实情况进行评估。评估组由区应急管理局、公安宁河分局、区总工会、现代产业园区管委会等单位组成，邀请区纪委监委派员参加。具体分工如下：</w:t>
      </w:r>
    </w:p>
    <w:p w14:paraId="6E247F53">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一）区应急管理局负责收集相关部门、事故单位依据区政府批复，对单位、人员处理及整改措施的落实情况；组织拟写评估报告，及时向社会全文公开发布。（二）公安宁河分局负责递交事故相关责任人员刑事责任追究情况；参与拟写评估报告。（三）区总工会负责监督整改措施落实、职工劳动保护等情况；参与拟写评估报告。（四）现代产业园区管委会负责递交本地区落实区政府批复中相关行政处理及整改措施的落实情况；协调相关事故单位配合现场核查工作；参与拟写评估报告。</w:t>
      </w:r>
    </w:p>
    <w:p w14:paraId="60E05791">
      <w:pPr>
        <w:pStyle w:val="2"/>
        <w:widowControl/>
        <w:numPr>
          <w:ilvl w:val="0"/>
          <w:numId w:val="0"/>
        </w:numPr>
        <w:topLinePunct w:val="0"/>
        <w:ind w:left="0" w:leftChars="0" w:firstLine="640"/>
        <w:rPr>
          <w:b w:val="0"/>
        </w:rPr>
      </w:pPr>
      <w:r>
        <w:rPr>
          <w:rFonts w:hint="eastAsia"/>
          <w:lang w:eastAsia="zh-CN"/>
        </w:rPr>
        <w:t>三、</w:t>
      </w:r>
      <w:r>
        <w:t>事故调查处理情况</w:t>
      </w:r>
    </w:p>
    <w:p w14:paraId="3E9D3E86">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事故发生时，有报警、接警信息传送、联动、启动现场应急救援；事故发生后经过区政府批准成立事故调查组，按照职责分工进行调查取证，派员到现场勘查，进行物证提取、收集资料，并对相关人员进行询问笔录。调查组成员开会讨论研究分析事故发生的原因，确定事故性质、责任人员和责任单位，追究事故责任，并吸取事故教训提出事故整改防范措施，形成事故调查报告。将事故调查报告提交给本级人民政府批复，对相关责任人员和单位依法处理，落实整改防范措施，最后结案归档。</w:t>
      </w:r>
    </w:p>
    <w:p w14:paraId="4823C84A">
      <w:pPr>
        <w:pStyle w:val="2"/>
        <w:widowControl/>
        <w:numPr>
          <w:ilvl w:val="0"/>
          <w:numId w:val="0"/>
        </w:numPr>
        <w:topLinePunct w:val="0"/>
        <w:ind w:left="0" w:leftChars="0" w:firstLine="640"/>
        <w:rPr>
          <w:b w:val="0"/>
        </w:rPr>
      </w:pPr>
      <w:r>
        <w:rPr>
          <w:rFonts w:hint="eastAsia"/>
          <w:lang w:eastAsia="zh-CN"/>
        </w:rPr>
        <w:t>四、</w:t>
      </w:r>
      <w:r>
        <w:t>评估部署工作</w:t>
      </w:r>
    </w:p>
    <w:p w14:paraId="53CA3FFA">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区应急管理局牵头公安宁河分局、区总工会和现代产业园区管委会组成了事故评估组，并邀请区纪委监委参加评估工作。评估组以《事故调查报告》为依据，按照“四不放过”和科学严谨、依法依规、实事求是、注重实效的原则，制定了工作方案。评估组分别前往现代产业园区管委会和天津天伟食品有限公司进行现场评估，通过现场勘查、查阅文档、询问有关人员等方式了解了相关单位在事故发生后整改措施落实情况，并收集了相关资料，完成了评估工作。</w:t>
      </w:r>
    </w:p>
    <w:p w14:paraId="0CE47736">
      <w:pPr>
        <w:pStyle w:val="2"/>
        <w:widowControl/>
        <w:numPr>
          <w:ilvl w:val="0"/>
          <w:numId w:val="0"/>
        </w:numPr>
        <w:topLinePunct w:val="0"/>
        <w:ind w:left="0" w:leftChars="0" w:firstLine="640"/>
        <w:rPr>
          <w:b w:val="0"/>
        </w:rPr>
      </w:pPr>
      <w:r>
        <w:rPr>
          <w:rFonts w:hint="eastAsia"/>
          <w:lang w:eastAsia="zh-CN"/>
        </w:rPr>
        <w:t>五、</w:t>
      </w:r>
      <w:r>
        <w:t>评估事项及结论</w:t>
      </w:r>
    </w:p>
    <w:p w14:paraId="538506DD">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t>行政处罚落实情况</w:t>
      </w:r>
    </w:p>
    <w:p w14:paraId="638812EB">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落实情况：</w:t>
      </w:r>
      <w:r>
        <w:rPr>
          <w:rFonts w:hint="eastAsia" w:cs="仿宋_GB2312"/>
          <w:color w:val="1F2329"/>
          <w:sz w:val="32"/>
          <w:szCs w:val="32"/>
          <w:lang w:val="en-US" w:eastAsia="zh-CN"/>
        </w:rPr>
        <w:t>对</w:t>
      </w:r>
      <w:r>
        <w:rPr>
          <w:rFonts w:ascii="Times New Roman" w:hAnsi="Times New Roman" w:eastAsia="仿宋_GB2312" w:cs="仿宋_GB2312"/>
          <w:color w:val="1F2329"/>
          <w:sz w:val="32"/>
          <w:szCs w:val="32"/>
        </w:rPr>
        <w:t>天津天伟食品有限公司30万元罚款</w:t>
      </w:r>
      <w:r>
        <w:rPr>
          <w:rFonts w:ascii="Times New Roman" w:hAnsi="Times New Roman" w:eastAsia="仿宋_GB2312" w:cs="仿宋_GB2312"/>
          <w:color w:val="000000"/>
          <w:sz w:val="32"/>
          <w:szCs w:val="32"/>
        </w:rPr>
        <w:t>已</w:t>
      </w:r>
      <w:r>
        <w:rPr>
          <w:rFonts w:hint="eastAsia" w:cs="仿宋_GB2312"/>
          <w:color w:val="000000"/>
          <w:sz w:val="32"/>
          <w:szCs w:val="32"/>
          <w:lang w:val="en-US" w:eastAsia="zh-CN"/>
        </w:rPr>
        <w:t>下达处罚决定</w:t>
      </w:r>
      <w:r>
        <w:rPr>
          <w:rFonts w:ascii="Times New Roman" w:hAnsi="Times New Roman" w:eastAsia="仿宋_GB2312" w:cs="仿宋_GB2312"/>
          <w:color w:val="1F2329"/>
          <w:sz w:val="32"/>
          <w:szCs w:val="32"/>
        </w:rPr>
        <w:t>；</w:t>
      </w:r>
      <w:r>
        <w:rPr>
          <w:rFonts w:hint="eastAsia" w:cs="仿宋_GB2312"/>
          <w:color w:val="1F2329"/>
          <w:sz w:val="32"/>
          <w:szCs w:val="32"/>
          <w:lang w:val="en-US" w:eastAsia="zh-CN"/>
        </w:rPr>
        <w:t>对</w:t>
      </w:r>
      <w:r>
        <w:rPr>
          <w:rFonts w:ascii="Times New Roman" w:hAnsi="Times New Roman" w:eastAsia="仿宋_GB2312" w:cs="仿宋_GB2312"/>
          <w:color w:val="1F2329"/>
          <w:sz w:val="32"/>
          <w:szCs w:val="32"/>
        </w:rPr>
        <w:t>天津天伟食品有限公司法定代表人王某2022年度年收入百分之四十罚款</w:t>
      </w:r>
      <w:r>
        <w:rPr>
          <w:rFonts w:ascii="Times New Roman" w:hAnsi="Times New Roman" w:eastAsia="仿宋_GB2312" w:cs="仿宋_GB2312"/>
          <w:color w:val="000000"/>
          <w:sz w:val="32"/>
          <w:szCs w:val="32"/>
        </w:rPr>
        <w:t>已</w:t>
      </w:r>
      <w:r>
        <w:rPr>
          <w:rFonts w:hint="eastAsia" w:cs="仿宋_GB2312"/>
          <w:color w:val="000000"/>
          <w:sz w:val="32"/>
          <w:szCs w:val="32"/>
          <w:lang w:val="en-US" w:eastAsia="zh-CN"/>
        </w:rPr>
        <w:t>下达处罚决定</w:t>
      </w:r>
      <w:r>
        <w:rPr>
          <w:rFonts w:ascii="Times New Roman" w:hAnsi="Times New Roman" w:eastAsia="仿宋_GB2312" w:cs="仿宋_GB2312"/>
          <w:color w:val="1F2329"/>
          <w:sz w:val="32"/>
          <w:szCs w:val="32"/>
        </w:rPr>
        <w:t>；</w:t>
      </w:r>
      <w:bookmarkStart w:id="0" w:name="_GoBack"/>
      <w:bookmarkEnd w:id="0"/>
      <w:r>
        <w:rPr>
          <w:rFonts w:ascii="Times New Roman" w:hAnsi="Times New Roman" w:eastAsia="仿宋_GB2312" w:cs="仿宋_GB2312"/>
          <w:color w:val="1F2329"/>
          <w:sz w:val="32"/>
          <w:szCs w:val="32"/>
        </w:rPr>
        <w:t>评估结论：对天津天伟食品有限公司、王某的行政处罚及相关人员追责问责已落实。</w:t>
      </w:r>
    </w:p>
    <w:p w14:paraId="585B6FBE">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w:t>
      </w:r>
      <w:r>
        <w:t>事故防范和整改措施落实情况</w:t>
      </w:r>
    </w:p>
    <w:p w14:paraId="160F5166">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1.</w:t>
      </w:r>
      <w:r>
        <w:rPr>
          <w:rStyle w:val="18"/>
        </w:rPr>
        <w:t>天津天伟食品有限公司</w:t>
      </w:r>
      <w:r>
        <w:rPr>
          <w:rFonts w:ascii="Times New Roman" w:hAnsi="Times New Roman" w:eastAsia="仿宋_GB2312" w:cs="仿宋_GB2312"/>
          <w:color w:val="1F2329"/>
          <w:sz w:val="32"/>
          <w:szCs w:val="32"/>
        </w:rPr>
        <w:t>：事故发生后，该公司立即组织全体员工召开警示教育大会，吸取事故教训，举一反三，认真落实《中华人民共和国安全生产法》《天津市生产经营单位安全生产主体责任规定》等法律法规要求，健全安全风险分级管控和隐患排查治理双重预防工作机制，全面开展设备安全风险辨识，重点完善抛光机等专用设备安全风险管控措施；制定抛光机专项安全操作规程，张贴安全风险告知卡与警示标志，规范设备使用管理；按规定配齐劳动防护用品，强化员工安全培训教育，重点提升机修岗位、设备操作岗位安全意识与操作技能，加强作业现场安全巡查，及时排查消除各类安全隐患。</w:t>
      </w:r>
    </w:p>
    <w:p w14:paraId="081BBA99">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2.</w:t>
      </w:r>
      <w:r>
        <w:rPr>
          <w:rStyle w:val="18"/>
        </w:rPr>
        <w:t>区应急管理局</w:t>
      </w:r>
      <w:r>
        <w:rPr>
          <w:rFonts w:ascii="Times New Roman" w:hAnsi="Times New Roman" w:eastAsia="仿宋_GB2312" w:cs="仿宋_GB2312"/>
          <w:color w:val="1F2329"/>
          <w:sz w:val="32"/>
          <w:szCs w:val="32"/>
        </w:rPr>
        <w:t>：事故发生后，严格履行安全生产综合监管职责，加大对工贸、危化企业安全生产执法检查力度，督导企业健全并运行安全风险分级管控和隐患排查治理双重预防机制，推动“双控”机制信息化建设，强化安全指导服务，从严查处违法违规行为，坚决防范同类事故发生。</w:t>
      </w:r>
    </w:p>
    <w:p w14:paraId="37EF43FD">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3.</w:t>
      </w:r>
      <w:r>
        <w:rPr>
          <w:rStyle w:val="18"/>
        </w:rPr>
        <w:t>区工信局</w:t>
      </w:r>
      <w:r>
        <w:rPr>
          <w:rFonts w:ascii="Times New Roman" w:hAnsi="Times New Roman" w:eastAsia="仿宋_GB2312" w:cs="仿宋_GB2312"/>
          <w:color w:val="1F2329"/>
          <w:sz w:val="32"/>
          <w:szCs w:val="32"/>
        </w:rPr>
        <w:t>：认真落实行业监管责任，从工业发展规划、产业政策、技术改造等方面强化工业企业安全生产指导，督促企业提升本质安全水平，加强重要工业领域工控系统信息安全保障，运用信息化手段防范生产安全事故。</w:t>
      </w:r>
    </w:p>
    <w:p w14:paraId="236027A9">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4.</w:t>
      </w:r>
      <w:r>
        <w:rPr>
          <w:rStyle w:val="18"/>
        </w:rPr>
        <w:t>现代产业园区管委会</w:t>
      </w:r>
      <w:r>
        <w:rPr>
          <w:rFonts w:ascii="Times New Roman" w:hAnsi="Times New Roman" w:eastAsia="仿宋_GB2312" w:cs="仿宋_GB2312"/>
          <w:color w:val="1F2329"/>
          <w:sz w:val="32"/>
          <w:szCs w:val="32"/>
        </w:rPr>
        <w:t>：深入学习贯彻习近平总书记重要指示批示精神，坚持人民至上、生命至上，深刻汲取事故惨痛教训，召开事故警示专题会议，压实属地监管责任，将事故情况通报辖区所有企业，督促企业落实主体责任；强化安全风险管控、隐患排查治理与安全培训教育，严格事故信息报送管理，确保突发情况第一时间上报，筑牢安全生产防线。</w:t>
      </w:r>
    </w:p>
    <w:p w14:paraId="25BF4075">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评估结论：各相关单位对事故调查报告中的事故防范和整改措施已落实。</w:t>
      </w:r>
    </w:p>
    <w:p w14:paraId="4709B248"/>
    <w:p w14:paraId="32A0B142">
      <w:pPr>
        <w:pStyle w:val="11"/>
        <w:bidi w:val="0"/>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035B2">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E7A02B">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28E7A02B">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1CA6F">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1C8AB2">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4E1C8AB2">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483E4">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C9ADB">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A6238D"/>
    <w:rsid w:val="2F774C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8"/>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3 Char"/>
    <w:link w:val="4"/>
    <w:qFormat/>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2052</Words>
  <Characters>2074</Characters>
  <Lines>0</Lines>
  <Paragraphs>0</Paragraphs>
  <TotalTime>0</TotalTime>
  <ScaleCrop>false</ScaleCrop>
  <LinksUpToDate>false</LinksUpToDate>
  <CharactersWithSpaces>2074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2026-04-09T02:54:00Z</dcterms:created>
  <dc:creator>ROG</dc:creator>
  <cp:lastModifiedBy>曾嘉 15332140501</cp:lastModifiedBy>
  <dcterms:modified xsi:type="dcterms:W3CDTF">2026-04-21T06:13:40Z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eyJoZGlkIjoiZWFmYTcyMmNlZDcwOTM0ZDY5MjhmMTU2MzJkMGVjNDQiLCJ1c2VySWQiOiIxNTI5MTk0NDM4In0=</vt:lpwstr>
  </property>
  <property fmtid="{D5CDD505-2E9C-101B-9397-08002B2CF9AE}" pid="4" name="ICV">
    <vt:lpwstr>516C3A64856B460AA11810FEB1050903_12</vt:lpwstr>
  </property>
</Properties>
</file>