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D4E74">
      <w:pPr>
        <w:pStyle w:val="15"/>
        <w:widowControl/>
      </w:pPr>
      <mc:AlternateContent>
        <mc:Choice Requires="wpsCustomData">
          <wpsCustomData:docfieldStart id="0" docfieldname="标题_1" hidden="0" print="1" readonly="0" index="2"/>
        </mc:Choice>
      </mc:AlternateContent>
      <w:r>
        <w:t>宁河现代产业园区金玖（天津）科技有限公司“12・5”一般高处坠落事故防范和整改措施落实情况评估报告</w:t>
      </w:r>
      <mc:AlternateContent>
        <mc:Choice Requires="wpsCustomData">
          <wpsCustomData:docfieldEnd id="0"/>
        </mc:Choice>
      </mc:AlternateContent>
    </w:p>
    <w:p w14:paraId="63CD5145">
      <w:pPr>
        <w:pStyle w:val="11"/>
        <w:bidi w:val="0"/>
        <w:spacing w:beforeAutospacing="0" w:afterAutospacing="0" w:line="300" w:lineRule="exact"/>
        <w:rPr>
          <w:rFonts w:hint="eastAsia"/>
          <w:lang w:eastAsia="zh-CN"/>
        </w:rPr>
      </w:pPr>
    </w:p>
    <w:p w14:paraId="58961925">
      <w:pPr>
        <w:pStyle w:val="2"/>
        <w:widowControl/>
        <w:numPr>
          <w:ilvl w:val="0"/>
          <w:numId w:val="0"/>
        </w:numPr>
        <w:topLinePunct w:val="0"/>
        <w:ind w:left="0" w:leftChars="0" w:firstLine="640"/>
        <w:rPr>
          <w:b w:val="0"/>
        </w:rPr>
      </w:pPr>
      <w:r>
        <w:rPr>
          <w:rFonts w:hint="eastAsia"/>
          <w:lang w:eastAsia="zh-CN"/>
        </w:rPr>
        <w:t>一、</w:t>
      </w:r>
      <w:r>
        <w:t>评估目的</w:t>
      </w:r>
    </w:p>
    <w:p w14:paraId="335F8876">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为深入贯彻落实习近平总书记关于安全生产的重要指示批示精神，认真落实市委、市政府和区委、区政府关于做好安全生产工作的部署要求，充分发挥事故调查处理对加强和改进安全生产工作的促进作用，全面掌握事故发生单位及有关部门落实事故责任追究、事故防范和整改措施落实情况、采取的具体举措以及工作成效，深刻吸取事故教训，充分发挥事故惩戒和警示作用，从根本上消除事故隐患、从根本上解决存在问题，以事故调查评估促进本地区安全生产工作。</w:t>
      </w:r>
    </w:p>
    <w:p w14:paraId="6640B441">
      <w:pPr>
        <w:pStyle w:val="2"/>
        <w:widowControl/>
        <w:numPr>
          <w:ilvl w:val="0"/>
          <w:numId w:val="0"/>
        </w:numPr>
        <w:topLinePunct w:val="0"/>
        <w:ind w:left="0" w:leftChars="0" w:firstLine="640"/>
        <w:rPr>
          <w:b w:val="0"/>
        </w:rPr>
      </w:pPr>
      <w:r>
        <w:rPr>
          <w:rFonts w:hint="eastAsia"/>
          <w:lang w:eastAsia="zh-CN"/>
        </w:rPr>
        <w:t>二、</w:t>
      </w:r>
      <w:r>
        <w:t>评估依据及职责分工</w:t>
      </w:r>
    </w:p>
    <w:p w14:paraId="07BE7828">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依据《宁河现代产业园区金玖（天津）科技有限公司“12・5”一般高处坠落事故调查报告》和《中共天津市委天津市人民政府关于推进安全生产领域改革发展的实施意见》《生产安全事故防范和整改措施落实情况评估办法》和《市安委会办公室关于印发〈天津市生产安全事故防范和整改措施落实情况评估办法〉的通知》（津安办〔2022〕20号）规定，区应急局牵头成立宁河现代产业园区金玖（天津）科技有限公司“12・5”一般高处坠落事故评估组（以下简称事故评估组），对事故责任追究和整改措施落实情况进行评估。评估组由区应急管理局、公安宁河分局、区住建委、区总工会、现代产业区管委会等单位组成，邀请区纪委监委派员参加。具体分工如下：</w:t>
      </w:r>
    </w:p>
    <w:p w14:paraId="74F43E51">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一）区应急管理局负责收集相关部门、事故单位依据区政府批复，对单位、人员处理及整改措施的落实情况；组织拟写评估报告，及时向社会全文公开发布。（二）公安宁河分局负责递交事故相关责任人员刑事责任追究情况；参与拟写评估报告。（三）区住建委负责递交本行业落实区政府批复中相关行政处理及整改措施的落实情况；参与拟写评估报告。（四）区总工会负责监督整改措施落实、职工劳动保护等情况；参与拟写评估报告。（五）现代产业区管委会负责递交本地区落实区政府批复中相关行政处理及整改措施的落实情况；协调相关事故单位配合现场核查工作；参与拟写评估报告。</w:t>
      </w:r>
    </w:p>
    <w:p w14:paraId="3C30A355">
      <w:pPr>
        <w:pStyle w:val="2"/>
        <w:widowControl/>
        <w:numPr>
          <w:ilvl w:val="0"/>
          <w:numId w:val="0"/>
        </w:numPr>
        <w:topLinePunct w:val="0"/>
        <w:ind w:left="0" w:leftChars="0" w:firstLine="640"/>
        <w:rPr>
          <w:b w:val="0"/>
        </w:rPr>
      </w:pPr>
      <w:r>
        <w:rPr>
          <w:rFonts w:hint="eastAsia"/>
          <w:lang w:eastAsia="zh-CN"/>
        </w:rPr>
        <w:t>三、</w:t>
      </w:r>
      <w:r>
        <w:t>事故调查处理情况</w:t>
      </w:r>
    </w:p>
    <w:p w14:paraId="56F2FA8C">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事故发生时，有报警、接警信息传送、联动、启动现场应急救援；事故发生后经过区政府批准成立事故调查组，按照职责分工进行调查取证，派员到现场勘查，进行物证提取、收集资料，并对相关人员进行询问笔录。调查组成员开会讨论研究分析事故发生的原因，确定事故性质、责任人员和责任单位，追究事故责任，并吸取事故教训提出事故整改防范措施，形成事故调查报告。将事故调查报告提交给本级人民政府批复，对相关责任人员和单位依法处理，落实整改防范措施，最后结案归档。</w:t>
      </w:r>
    </w:p>
    <w:p w14:paraId="26C9BCD0">
      <w:pPr>
        <w:pStyle w:val="2"/>
        <w:widowControl/>
        <w:numPr>
          <w:ilvl w:val="0"/>
          <w:numId w:val="0"/>
        </w:numPr>
        <w:topLinePunct w:val="0"/>
        <w:ind w:left="0" w:leftChars="0" w:firstLine="640"/>
        <w:rPr>
          <w:b w:val="0"/>
        </w:rPr>
      </w:pPr>
      <w:r>
        <w:rPr>
          <w:rFonts w:hint="eastAsia"/>
          <w:lang w:eastAsia="zh-CN"/>
        </w:rPr>
        <w:t>四、</w:t>
      </w:r>
      <w:r>
        <w:t>评估部署工作</w:t>
      </w:r>
    </w:p>
    <w:p w14:paraId="39B0F7A0">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区应急管理局牵头公安宁河分局、区住建委、区总工会和现代产业区管委会组成了事故评估组，并邀请区纪委监委参加评估工作。评估组以《事故调查报告》为依据，按照“四不放过”和科学严谨、依法依规、实事求是、注重实效的原则，制定了工作方案。评估组分别前往现代产业区管委会、区住建委及金玖（天津）科技有限公司项目施工现场进行现场评估，通过现场勘查、查阅文档、询问有关人员等方式了解了相关单位在事故发生后整改措施落实情况，并收集了相关资料，完成了评估工作。</w:t>
      </w:r>
    </w:p>
    <w:p w14:paraId="71B17122">
      <w:pPr>
        <w:pStyle w:val="2"/>
        <w:widowControl/>
        <w:numPr>
          <w:ilvl w:val="0"/>
          <w:numId w:val="0"/>
        </w:numPr>
        <w:topLinePunct w:val="0"/>
        <w:ind w:left="0" w:leftChars="0" w:firstLine="640"/>
        <w:rPr>
          <w:b w:val="0"/>
        </w:rPr>
      </w:pPr>
      <w:r>
        <w:rPr>
          <w:rFonts w:hint="eastAsia"/>
          <w:lang w:eastAsia="zh-CN"/>
        </w:rPr>
        <w:t>五、</w:t>
      </w:r>
      <w:r>
        <w:t>评估事项及结论</w:t>
      </w:r>
    </w:p>
    <w:p w14:paraId="06330085">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行政处罚落实情况</w:t>
      </w:r>
    </w:p>
    <w:p w14:paraId="0818019C">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落实情况：对天津源冀诚建筑装饰工程有限公司30万元罚款已下达处罚决定；对天津源冀诚建筑装饰工程有限公司项目负责人曹某2022年度年收入百分之四十罚款已下达处罚决定；河北瑞池工程项目管理有限公司已由区住建委依法依规完成处理；</w:t>
      </w:r>
      <w:bookmarkStart w:id="0" w:name="_GoBack"/>
      <w:bookmarkEnd w:id="0"/>
      <w:r>
        <w:rPr>
          <w:rFonts w:ascii="Times New Roman" w:hAnsi="Times New Roman" w:eastAsia="仿宋_GB2312" w:cs="仿宋_GB2312"/>
          <w:color w:val="1F2329"/>
          <w:sz w:val="32"/>
          <w:szCs w:val="32"/>
        </w:rPr>
        <w:t>评估结论：对天津源冀诚建筑装饰工程有限公司、曹某的行政处罚及相关单位、人员处理已落实。</w:t>
      </w:r>
    </w:p>
    <w:p w14:paraId="445C564B">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事故防范和整改措施落实情况</w:t>
      </w:r>
    </w:p>
    <w:p w14:paraId="5986E2D8">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1.</w:t>
      </w:r>
      <w:r>
        <w:rPr>
          <w:rStyle w:val="18"/>
        </w:rPr>
        <w:t>天津源冀诚建筑装饰工程有限公司</w:t>
      </w:r>
      <w:r>
        <w:rPr>
          <w:rFonts w:ascii="Times New Roman" w:hAnsi="Times New Roman" w:eastAsia="仿宋_GB2312" w:cs="仿宋_GB2312"/>
          <w:color w:val="1F2329"/>
          <w:sz w:val="32"/>
          <w:szCs w:val="32"/>
        </w:rPr>
        <w:t>：事故发生后，该公司立即组织全体员工召开警示教育大会，吸取事故教训，举一反三，认真落实《中华人民共和国安全生产法》《天津市生产经营单位安全生产主体责任规定》等法律法规要求，细化完善电动手推车、物料提升机等设备安全操作规程，健全安全风险分级管控和隐患排查治理双重预防工作机制，全面开展作业风险辨识；强化从业人员安全生产培训教育与安全技术交底，重点补充电动手推车操作、倒挡使用、高处作业防护等内容，提升员工安全操作技能与风险防范能力；加大作业现场隐患排查治理力度，建立隐患台账并实行闭环管理，及时纠正违规作业行为，彻底消除事故隐患。</w:t>
      </w:r>
    </w:p>
    <w:p w14:paraId="63CBF463">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2.</w:t>
      </w:r>
      <w:r>
        <w:rPr>
          <w:rStyle w:val="18"/>
        </w:rPr>
        <w:t>河北瑞池工程项目管理有限公司</w:t>
      </w:r>
      <w:r>
        <w:rPr>
          <w:rFonts w:ascii="Times New Roman" w:hAnsi="Times New Roman" w:eastAsia="仿宋_GB2312" w:cs="仿宋_GB2312"/>
          <w:color w:val="1F2329"/>
          <w:sz w:val="32"/>
          <w:szCs w:val="32"/>
        </w:rPr>
        <w:t>：事故发生后，该公司认真履行监理单位安全管理职责，完善危大工程监理实施细则，对物料提升机、塔式起重机等危大工程严格开展专项巡视检查；加强对施工现场各参建单位安全生产工作的统一协调与监督管理，健全隐患排查台账，跟踪督促整改落实，确保监理责任履职到位。</w:t>
      </w:r>
    </w:p>
    <w:p w14:paraId="66189A5D">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3.</w:t>
      </w:r>
      <w:r>
        <w:rPr>
          <w:rStyle w:val="18"/>
        </w:rPr>
        <w:t>现代产业区管委会</w:t>
      </w:r>
      <w:r>
        <w:rPr>
          <w:rFonts w:ascii="Times New Roman" w:hAnsi="Times New Roman" w:eastAsia="仿宋_GB2312" w:cs="仿宋_GB2312"/>
          <w:color w:val="1F2329"/>
          <w:sz w:val="32"/>
          <w:szCs w:val="32"/>
        </w:rPr>
        <w:t>：深入学习贯彻习近平总书记重要指示批示精神，坚持人民至上、生命至上，深刻汲取事故惨痛教训，召开事故警示专题会议，强化安全生产责任意识，坚持安全第一、预防为主，统筹发展和安全，全面加强辖区内项目施工现场安全监管。</w:t>
      </w:r>
    </w:p>
    <w:p w14:paraId="7A72544C">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4.</w:t>
      </w:r>
      <w:r>
        <w:rPr>
          <w:rStyle w:val="18"/>
        </w:rPr>
        <w:t>区住建委</w:t>
      </w:r>
      <w:r>
        <w:rPr>
          <w:rFonts w:ascii="Times New Roman" w:hAnsi="Times New Roman" w:eastAsia="仿宋_GB2312" w:cs="仿宋_GB2312"/>
          <w:color w:val="1F2329"/>
          <w:sz w:val="32"/>
          <w:szCs w:val="32"/>
        </w:rPr>
        <w:t>：持续加大辖区内建筑工程领域监督检查频次与执法力度，严厉打击施工现场各类安全生产违法违规行为，强化危大工程管控与隐患治理，从严落实处罚与问责措施，不断提升建筑施工安全监管效能，筑牢建筑领域安全生产防线。</w:t>
      </w:r>
    </w:p>
    <w:p w14:paraId="7790C43E">
      <w:pPr>
        <w:pStyle w:val="11"/>
        <w:widowControl/>
        <w:pBdr>
          <w:top w:val="none" w:color="auto" w:sz="0" w:space="0"/>
          <w:left w:val="none" w:color="auto" w:sz="0" w:space="0"/>
          <w:bottom w:val="none" w:color="auto" w:sz="0" w:space="0"/>
          <w:right w:val="none" w:color="auto" w:sz="0" w:space="0"/>
        </w:pBdr>
        <w:ind w:left="2156" w:hanging="1540" w:firstLineChars="0"/>
        <w:rPr>
          <w:rFonts w:ascii="Times New Roman" w:hAnsi="Times New Roman" w:eastAsia="仿宋_GB2312" w:cs="仿宋_GB2312"/>
          <w:color w:val="1F2329"/>
          <w:sz w:val="32"/>
          <w:szCs w:val="32"/>
        </w:rPr>
      </w:pPr>
      <w:r>
        <w:rPr>
          <w:rFonts w:ascii="Times New Roman" w:hAnsi="Times New Roman" w:eastAsia="仿宋_GB2312" w:cs="仿宋_GB2312"/>
          <w:color w:val="1F2329"/>
          <w:spacing w:val="0"/>
          <w:kern w:val="0"/>
          <w:sz w:val="32"/>
          <w:szCs w:val="32"/>
          <w:fitText w:val="1280" w:id="904817375"/>
        </w:rPr>
        <w:t>评估结论</w:t>
      </w:r>
      <w:r>
        <w:rPr>
          <w:rFonts w:ascii="Times New Roman" w:hAnsi="Times New Roman" w:eastAsia="仿宋_GB2312" w:cs="仿宋_GB2312"/>
          <w:color w:val="1F2329"/>
          <w:sz w:val="32"/>
          <w:szCs w:val="32"/>
        </w:rPr>
        <w:t>：各相关单位对事故调查报告中的事故防范和整改措施已落实。</w:t>
      </w:r>
    </w:p>
    <w:p w14:paraId="58A3C002"/>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9946">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930F0">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mdTHYTgCAABrBAAADgAAAAAAAAABACAAAAAlAQAAZHJzL2Uy&#10;b0RvYy54bWxQSwUGAAAAAAYABgBZAQAAzwUAAAAA&#10;">
              <v:fill on="f" focussize="0,0"/>
              <v:stroke on="f" weight="0.5pt"/>
              <v:imagedata o:title=""/>
              <o:lock v:ext="edit" aspectratio="f"/>
              <v:textbox inset="16pt,0mm,16pt,0mm" style="mso-fit-shape-to-text:t;">
                <w:txbxContent>
                  <w:p w14:paraId="5A4930F0">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7595F">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4FF74">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29D4FF74">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CD6D3">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09290">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4D77F3"/>
    <w:rsid w:val="6E037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8"/>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3 Char"/>
    <w:link w:val="4"/>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2162</Words>
  <Characters>2181</Characters>
  <Lines>0</Lines>
  <Paragraphs>0</Paragraphs>
  <TotalTime>3</TotalTime>
  <ScaleCrop>false</ScaleCrop>
  <LinksUpToDate>false</LinksUpToDate>
  <CharactersWithSpaces>2181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2026-04-16T06:12:00Z</dcterms:created>
  <dc:creator>ROG</dc:creator>
  <cp:lastModifiedBy>曾嘉 15332140501</cp:lastModifiedBy>
  <dcterms:modified xsi:type="dcterms:W3CDTF">2026-04-21T06:14:04Z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eyJoZGlkIjoiZWFmYTcyMmNlZDcwOTM0ZDY5MjhmMTU2MzJkMGVjNDQiLCJ1c2VySWQiOiIxNTI5MTk0NDM4In0=</vt:lpwstr>
  </property>
  <property fmtid="{D5CDD505-2E9C-101B-9397-08002B2CF9AE}" pid="4" name="ICV">
    <vt:lpwstr>B62158E88E5F49418A7A289834A249A8_12</vt:lpwstr>
  </property>
</Properties>
</file>