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7CF88F">
      <w:pPr>
        <w:pStyle w:val="15"/>
        <w:widowControl/>
      </w:pPr>
      <w:bookmarkStart w:id="0" w:name="_GoBack"/>
      <mc:AlternateContent>
        <mc:Choice Requires="wpsCustomData">
          <wpsCustomData:docfieldStart id="0" docfieldname="标题_1" hidden="0" print="1" readonly="0" index="1"/>
        </mc:Choice>
      </mc:AlternateContent>
      <w:r>
        <w:t>宁河经济开发区天津津德制钢有限公司“3・27”一般机械伤害事故防范和整改措施落实情况评估报告</w:t>
      </w:r>
      <w:bookmarkEnd w:id="0"/>
      <mc:AlternateContent>
        <mc:Choice Requires="wpsCustomData">
          <wpsCustomData:docfieldEnd id="0"/>
        </mc:Choice>
      </mc:AlternateContent>
    </w:p>
    <w:p w14:paraId="6994A136">
      <w:pPr>
        <w:pStyle w:val="11"/>
        <w:bidi w:val="0"/>
        <w:spacing w:beforeAutospacing="0" w:afterAutospacing="0" w:line="300" w:lineRule="exact"/>
        <w:rPr>
          <w:rFonts w:hint="eastAsia"/>
          <w:lang w:eastAsia="zh-CN"/>
        </w:rPr>
      </w:pPr>
    </w:p>
    <w:p w14:paraId="075D7096">
      <w:pPr>
        <w:pStyle w:val="2"/>
        <w:widowControl/>
        <w:numPr>
          <w:numId w:val="0"/>
        </w:numPr>
        <w:topLinePunct w:val="0"/>
        <w:ind w:left="0" w:leftChars="0" w:firstLine="640"/>
        <w:rPr>
          <w:b w:val="0"/>
          <w:bdr w:val="none" w:sz="0" w:space="0"/>
        </w:rPr>
      </w:pPr>
      <w:r>
        <w:rPr>
          <w:rFonts w:hint="eastAsia"/>
          <w:lang w:eastAsia="zh-CN"/>
        </w:rPr>
        <w:t>一、</w:t>
      </w:r>
      <w:r>
        <w:t>评估目的</w:t>
      </w:r>
    </w:p>
    <w:p w14:paraId="02CCB142">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bdr w:val="none" w:color="auto" w:sz="0" w:space="0"/>
        </w:rPr>
        <w:t>为深入贯彻落实习近平总书记关于安全生产、应急管理、防灾减灾救灾重要论述和重要指示批示精神，严格落实市、区委、区政府安全生产各项工作部署，充分发挥事故调查处置警示惩戒、标本兼治作用，全面核查天津津德制钢有限公司“3・27”一般机械伤害事故责任追究执行、事故防范及整改措施落地成效，深挖企业安全管理、行业监管、属地监管存在的深层次短板。坚持“四不放过”原则，以评估倒逼企业压实安全生产主体责任，推动监管部门补齐监管漏洞，从根本上消除设备防护、教育培训、隐患治理、事故上报等各类安全隐患，切实防范同类机械伤害、事故瞒报问题重复发生，持续提升辖区工贸行业安全生产治理水平。</w:t>
      </w:r>
    </w:p>
    <w:p w14:paraId="7EA72090">
      <w:pPr>
        <w:pStyle w:val="2"/>
        <w:widowControl/>
        <w:numPr>
          <w:numId w:val="0"/>
        </w:numPr>
        <w:topLinePunct w:val="0"/>
        <w:ind w:left="0" w:leftChars="0" w:firstLine="640"/>
        <w:rPr>
          <w:b w:val="0"/>
          <w:bdr w:val="none" w:sz="0" w:space="0"/>
        </w:rPr>
      </w:pPr>
      <w:r>
        <w:rPr>
          <w:rFonts w:hint="eastAsia"/>
          <w:lang w:eastAsia="zh-CN"/>
        </w:rPr>
        <w:t>二、</w:t>
      </w:r>
      <w:r>
        <w:t>评估依据及职责分工</w:t>
      </w:r>
    </w:p>
    <w:p w14:paraId="636863DC">
      <w:pPr>
        <w:pStyle w:val="3"/>
        <w:widowControl/>
        <w:numPr>
          <w:numId w:val="0"/>
        </w:numPr>
        <w:topLinePunct w:val="0"/>
        <w:ind w:left="0" w:leftChars="0" w:firstLine="640"/>
        <w:rPr>
          <w:rFonts w:hint="eastAsia" w:ascii="楷体_GB2312" w:hAnsi="楷体_GB2312" w:eastAsia="楷体_GB2312" w:cs="楷体_GB2312"/>
          <w:b w:val="0"/>
          <w:bdr w:val="none" w:sz="0" w:space="0"/>
        </w:rPr>
      </w:pPr>
      <w:r>
        <w:rPr>
          <w:rFonts w:hint="eastAsia"/>
          <w:lang w:eastAsia="zh-CN"/>
        </w:rPr>
        <w:t>（一）</w:t>
      </w:r>
      <w:r>
        <w:t>评估依据</w:t>
      </w:r>
    </w:p>
    <w:p w14:paraId="242F16BF">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bdr w:val="none" w:color="auto" w:sz="0" w:space="0"/>
        </w:rPr>
        <w:t>依据《宁河经济开发区天津津德制钢有限公司“3・27”一般机械伤害事故调查报告》《中共天津市委天津市人民政府关于推进安全生产领域改革发展的实施意见》《生产安全事故防范和整改措施落实情况评估办法》《市安委会办公室关于印发〈天津市生产安全事故防范和整改措施落实情况评估办法〉的通知》（津安办〔2022〕20号）相关规定，组织开展本次事故整改落实评估工作。</w:t>
      </w:r>
    </w:p>
    <w:p w14:paraId="17539D54">
      <w:pPr>
        <w:pStyle w:val="3"/>
        <w:widowControl/>
        <w:numPr>
          <w:numId w:val="0"/>
        </w:numPr>
        <w:topLinePunct w:val="0"/>
        <w:ind w:left="0" w:leftChars="0" w:firstLine="640"/>
        <w:rPr>
          <w:rFonts w:hint="eastAsia" w:ascii="楷体_GB2312" w:hAnsi="楷体_GB2312" w:eastAsia="楷体_GB2312" w:cs="楷体_GB2312"/>
          <w:b w:val="0"/>
          <w:bdr w:val="none" w:sz="0" w:space="0"/>
        </w:rPr>
      </w:pPr>
      <w:r>
        <w:rPr>
          <w:rFonts w:hint="eastAsia"/>
          <w:lang w:eastAsia="zh-CN"/>
        </w:rPr>
        <w:t>（二）</w:t>
      </w:r>
      <w:r>
        <w:t>评估组成及职责分工</w:t>
      </w:r>
    </w:p>
    <w:p w14:paraId="45A53CBE">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bdr w:val="none" w:color="auto" w:sz="0" w:space="0"/>
        </w:rPr>
        <w:t>区应急管理局牵头成立天津津德制钢有限公司“3・27”一般机械伤害事故评估组，成员由区应急管理局、公安宁河分局、区总工会、宁河经济开发区管委会组成，邀请区纪委监委、区检察院派员全程参与评估工作，各单位分工如下：</w:t>
      </w:r>
    </w:p>
    <w:p w14:paraId="4CED32E5">
      <w:pPr>
        <w:pStyle w:val="11"/>
        <w:widowControl/>
        <w:numPr>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bdr w:val="none" w:sz="0" w:space="0"/>
        </w:rPr>
      </w:pPr>
      <w:r>
        <w:rPr>
          <w:rStyle w:val="19"/>
          <w:rFonts w:hint="eastAsia"/>
          <w:lang w:eastAsia="zh-CN"/>
        </w:rPr>
        <w:t>1.</w:t>
      </w:r>
      <w:r>
        <w:rPr>
          <w:rStyle w:val="19"/>
        </w:rPr>
        <w:t>区应急管理局</w:t>
      </w:r>
      <w:r>
        <w:rPr>
          <w:rFonts w:ascii="Times New Roman" w:hAnsi="Times New Roman" w:eastAsia="仿宋_GB2312" w:cs="仿宋_GB2312"/>
          <w:color w:val="000000"/>
          <w:sz w:val="32"/>
          <w:szCs w:val="32"/>
          <w:bdr w:val="none" w:color="auto" w:sz="0" w:space="0"/>
        </w:rPr>
        <w:t>：统筹组织本次评估工作，收集企业、属地、行业单位责任追究、整改落实全部佐证材料，现场核查整改成效，牵头起草评估报告并依规公开报告全文。</w:t>
      </w:r>
    </w:p>
    <w:p w14:paraId="577B91CB">
      <w:pPr>
        <w:pStyle w:val="11"/>
        <w:widowControl/>
        <w:numPr>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bdr w:val="none" w:sz="0" w:space="0"/>
        </w:rPr>
      </w:pPr>
      <w:r>
        <w:rPr>
          <w:rStyle w:val="19"/>
          <w:rFonts w:hint="eastAsia"/>
          <w:lang w:eastAsia="zh-CN"/>
        </w:rPr>
        <w:t>2.</w:t>
      </w:r>
      <w:r>
        <w:rPr>
          <w:rStyle w:val="19"/>
        </w:rPr>
        <w:t>公安宁河分局</w:t>
      </w:r>
      <w:r>
        <w:rPr>
          <w:rFonts w:ascii="Times New Roman" w:hAnsi="Times New Roman" w:eastAsia="仿宋_GB2312" w:cs="仿宋_GB2312"/>
          <w:color w:val="000000"/>
          <w:sz w:val="32"/>
          <w:szCs w:val="32"/>
          <w:bdr w:val="none" w:color="auto" w:sz="0" w:space="0"/>
        </w:rPr>
        <w:t>：报送事故相关人员刑事责任调查处置进展，配合开展现场核查，参与评估报告撰写。</w:t>
      </w:r>
    </w:p>
    <w:p w14:paraId="7F25B6ED">
      <w:pPr>
        <w:pStyle w:val="11"/>
        <w:widowControl/>
        <w:numPr>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bdr w:val="none" w:sz="0" w:space="0"/>
        </w:rPr>
      </w:pPr>
      <w:r>
        <w:rPr>
          <w:rStyle w:val="19"/>
          <w:rFonts w:hint="eastAsia"/>
          <w:lang w:eastAsia="zh-CN"/>
        </w:rPr>
        <w:t>3.</w:t>
      </w:r>
      <w:r>
        <w:rPr>
          <w:rStyle w:val="19"/>
        </w:rPr>
        <w:t>区总工会</w:t>
      </w:r>
      <w:r>
        <w:rPr>
          <w:rFonts w:ascii="Times New Roman" w:hAnsi="Times New Roman" w:eastAsia="仿宋_GB2312" w:cs="仿宋_GB2312"/>
          <w:color w:val="000000"/>
          <w:sz w:val="32"/>
          <w:szCs w:val="32"/>
          <w:bdr w:val="none" w:color="auto" w:sz="0" w:space="0"/>
        </w:rPr>
        <w:t>：全程监督企业劳动防护、职工安全培训、作业现场防护整改落实情况，核查从业人员安全权益保障措施，参与评估报告编制。</w:t>
      </w:r>
    </w:p>
    <w:p w14:paraId="50C627E7">
      <w:pPr>
        <w:pStyle w:val="11"/>
        <w:widowControl/>
        <w:numPr>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bdr w:val="none" w:sz="0" w:space="0"/>
        </w:rPr>
      </w:pPr>
      <w:r>
        <w:rPr>
          <w:rStyle w:val="19"/>
          <w:rFonts w:hint="eastAsia"/>
          <w:lang w:eastAsia="zh-CN"/>
        </w:rPr>
        <w:t>4.</w:t>
      </w:r>
      <w:r>
        <w:rPr>
          <w:rStyle w:val="19"/>
        </w:rPr>
        <w:t>宁河经济开发区管委会</w:t>
      </w:r>
      <w:r>
        <w:rPr>
          <w:rFonts w:ascii="Times New Roman" w:hAnsi="Times New Roman" w:eastAsia="仿宋_GB2312" w:cs="仿宋_GB2312"/>
          <w:color w:val="000000"/>
          <w:sz w:val="32"/>
          <w:szCs w:val="32"/>
          <w:bdr w:val="none" w:color="auto" w:sz="0" w:space="0"/>
        </w:rPr>
        <w:t>：报送属地行业整治、企业跟踪监管、隐患排查专项行动落实材料，协调涉事企业配合现场实地核查，参与评估报告起草。</w:t>
      </w:r>
    </w:p>
    <w:p w14:paraId="381277CC">
      <w:pPr>
        <w:pStyle w:val="2"/>
        <w:widowControl/>
        <w:numPr>
          <w:numId w:val="0"/>
        </w:numPr>
        <w:topLinePunct w:val="0"/>
        <w:ind w:left="0" w:leftChars="0" w:firstLine="640"/>
        <w:rPr>
          <w:b w:val="0"/>
          <w:bdr w:val="none" w:sz="0" w:space="0"/>
        </w:rPr>
      </w:pPr>
      <w:r>
        <w:rPr>
          <w:rFonts w:hint="eastAsia"/>
          <w:lang w:eastAsia="zh-CN"/>
        </w:rPr>
        <w:t>三、</w:t>
      </w:r>
      <w:r>
        <w:t>事故调查处理情况</w:t>
      </w:r>
    </w:p>
    <w:p w14:paraId="548D357A">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bdr w:val="none" w:color="auto" w:sz="0" w:space="0"/>
        </w:rPr>
        <w:t>2024年3月27日22时15分，天津津德制钢有限公司一车间发生机械伤害事故，造成操作工1人死亡，直接经济损失190万元，事故发生后企业存在瞒报行为。2024年5月群众举报瞒报线索后，区政府批准成立专项事故调查组，调查组由区应急局、公安、总工会、开发区管委会组成，纪检、检察部门同步介入。调查组通过现场勘验、固定物证、人员询问、资料核查等方式全面开展调查，厘清事故直接、间接原因，查明企业、主要负责人安全管理失职问题，认定该事故为负有责任的一般生产安全责任事故且存在瞒报情节，依法划定单位、个人事故责任，提出行政处罚、内部追责、行业专项整治、企业整改防范等处置措施，形成正式事故调查报告上报区政府批复。区政府批复下达后，各执法、属地单位逐项落实行政处罚、人员追责、行业整治、企业整改督办工作，同步完成全部案卷资料整理归档。</w:t>
      </w:r>
    </w:p>
    <w:p w14:paraId="1266B36E">
      <w:pPr>
        <w:pStyle w:val="2"/>
        <w:widowControl/>
        <w:numPr>
          <w:numId w:val="0"/>
        </w:numPr>
        <w:topLinePunct w:val="0"/>
        <w:ind w:left="0" w:leftChars="0" w:firstLine="640"/>
        <w:rPr>
          <w:b w:val="0"/>
          <w:bdr w:val="none" w:sz="0" w:space="0"/>
        </w:rPr>
      </w:pPr>
      <w:r>
        <w:rPr>
          <w:rFonts w:hint="eastAsia"/>
          <w:lang w:eastAsia="zh-CN"/>
        </w:rPr>
        <w:t>四、</w:t>
      </w:r>
      <w:r>
        <w:t>评估部署工作</w:t>
      </w:r>
    </w:p>
    <w:p w14:paraId="30DE2CE5">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bdr w:val="none" w:color="auto" w:sz="0" w:space="0"/>
        </w:rPr>
        <w:t>区应急管理局牵头组建本次事故评估工作组，结合事故调查报告、区政府批复文件，严格遵循“科学严谨、依法依规、实事求是、注重实效”和“四不放过”工作原则，制定专项现场评估工作方案。评估组采取查阅台账资料、实地现场核查、约谈企业负责人、询问一线作业人员等方式，先后赴宁河经济开发区管委会、天津津德制钢有限公司开展全覆盖评估，逐项核对行政处罚执行、人员责任追究、企业隐患整改、属地行业专项整治等工作落实资料，全面核验整改成效，完成本次评估全部工作流程。</w:t>
      </w:r>
    </w:p>
    <w:p w14:paraId="4850086B">
      <w:pPr>
        <w:pStyle w:val="2"/>
        <w:widowControl/>
        <w:numPr>
          <w:numId w:val="0"/>
        </w:numPr>
        <w:topLinePunct w:val="0"/>
        <w:ind w:left="0" w:leftChars="0" w:firstLine="640"/>
        <w:rPr>
          <w:b w:val="0"/>
          <w:bdr w:val="none" w:sz="0" w:space="0"/>
        </w:rPr>
      </w:pPr>
      <w:r>
        <w:rPr>
          <w:rFonts w:hint="eastAsia"/>
          <w:lang w:eastAsia="zh-CN"/>
        </w:rPr>
        <w:t>五、</w:t>
      </w:r>
      <w:r>
        <w:t>评估事项及结论</w:t>
      </w:r>
    </w:p>
    <w:p w14:paraId="6300D5B4">
      <w:pPr>
        <w:pStyle w:val="3"/>
        <w:widowControl/>
        <w:numPr>
          <w:numId w:val="0"/>
        </w:numPr>
        <w:topLinePunct w:val="0"/>
        <w:ind w:left="0" w:leftChars="0" w:firstLine="640"/>
        <w:rPr>
          <w:rFonts w:hint="eastAsia" w:ascii="楷体_GB2312" w:hAnsi="楷体_GB2312" w:eastAsia="楷体_GB2312" w:cs="楷体_GB2312"/>
          <w:b w:val="0"/>
          <w:bdr w:val="none" w:sz="0" w:space="0"/>
        </w:rPr>
      </w:pPr>
      <w:r>
        <w:rPr>
          <w:rFonts w:hint="eastAsia"/>
          <w:lang w:eastAsia="zh-CN"/>
        </w:rPr>
        <w:t>（一）</w:t>
      </w:r>
      <w:r>
        <w:t>行政处罚落实情况</w:t>
      </w:r>
    </w:p>
    <w:p w14:paraId="0ECF466F">
      <w:pPr>
        <w:pStyle w:val="11"/>
        <w:widowControl/>
        <w:numPr>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bdr w:val="none" w:sz="0" w:space="0"/>
        </w:rPr>
      </w:pPr>
      <w:r>
        <w:rPr>
          <w:rStyle w:val="19"/>
          <w:rFonts w:hint="eastAsia"/>
          <w:lang w:eastAsia="zh-CN"/>
        </w:rPr>
        <w:t>1.</w:t>
      </w:r>
      <w:r>
        <w:rPr>
          <w:rStyle w:val="19"/>
        </w:rPr>
        <w:t>单位处罚落实情况</w:t>
      </w:r>
      <w:r>
        <w:rPr>
          <w:rFonts w:ascii="Times New Roman" w:hAnsi="Times New Roman" w:eastAsia="仿宋_GB2312" w:cs="仿宋_GB2312"/>
          <w:color w:val="000000"/>
          <w:sz w:val="32"/>
          <w:szCs w:val="32"/>
          <w:bdr w:val="none" w:color="auto" w:sz="0" w:space="0"/>
        </w:rPr>
        <w:t>：依据事故调查报告处理建议，区应急局对天津津德制钢有限公司事故责任违法行为罚款50万元、瞒报事故违法行为罚款100万元，合并处罚150万元，已依法下达行政处罚决定书，企业足额按期缴纳全部罚款。</w:t>
      </w:r>
    </w:p>
    <w:p w14:paraId="65139801">
      <w:pPr>
        <w:pStyle w:val="11"/>
        <w:widowControl/>
        <w:numPr>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bdr w:val="none" w:sz="0" w:space="0"/>
        </w:rPr>
      </w:pPr>
      <w:r>
        <w:rPr>
          <w:rStyle w:val="19"/>
          <w:rFonts w:hint="eastAsia"/>
          <w:lang w:eastAsia="zh-CN"/>
        </w:rPr>
        <w:t>2.</w:t>
      </w:r>
      <w:r>
        <w:rPr>
          <w:rStyle w:val="19"/>
        </w:rPr>
        <w:t>主要负责人处罚落实情况</w:t>
      </w:r>
      <w:r>
        <w:rPr>
          <w:rFonts w:ascii="Times New Roman" w:hAnsi="Times New Roman" w:eastAsia="仿宋_GB2312" w:cs="仿宋_GB2312"/>
          <w:color w:val="000000"/>
          <w:sz w:val="32"/>
          <w:szCs w:val="32"/>
          <w:bdr w:val="none" w:color="auto" w:sz="0" w:space="0"/>
        </w:rPr>
        <w:t>：企业主要负责人安韶华，对事故发生负有管理责任且存在瞒报行为，区应急局依法对其处以2023年度年收入40％（事故责任）、60％（瞒报）合并全额年收入罚款，处罚文书送达到位，罚款执行完毕。</w:t>
      </w:r>
    </w:p>
    <w:p w14:paraId="21FD9FCF">
      <w:pPr>
        <w:pStyle w:val="11"/>
        <w:widowControl/>
        <w:numPr>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bdr w:val="none" w:sz="0" w:space="0"/>
        </w:rPr>
      </w:pPr>
      <w:r>
        <w:rPr>
          <w:rStyle w:val="19"/>
          <w:rFonts w:hint="eastAsia"/>
          <w:lang w:eastAsia="zh-CN"/>
        </w:rPr>
        <w:t>3.</w:t>
      </w:r>
      <w:r>
        <w:rPr>
          <w:rStyle w:val="19"/>
        </w:rPr>
        <w:t>企业内部追责落实情况</w:t>
      </w:r>
      <w:r>
        <w:rPr>
          <w:rFonts w:ascii="Times New Roman" w:hAnsi="Times New Roman" w:eastAsia="仿宋_GB2312" w:cs="仿宋_GB2312"/>
          <w:color w:val="000000"/>
          <w:sz w:val="32"/>
          <w:szCs w:val="32"/>
          <w:bdr w:val="none" w:color="auto" w:sz="0" w:space="0"/>
        </w:rPr>
        <w:t>：津德制钢按照内部管理制度，对车间生产主任、工段长、安全管理人员等相关现场管理人员开展内部通报批评、绩效扣除、岗位调整等内部处理，内部处理文件、公示记录、约谈台账已报送区应急管理局备案。</w:t>
      </w:r>
    </w:p>
    <w:p w14:paraId="1E95FE74">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Style w:val="18"/>
          <w:rFonts w:ascii="Times New Roman" w:hAnsi="Times New Roman" w:eastAsia="仿宋_GB2312" w:cs="仿宋_GB2312"/>
          <w:color w:val="000000"/>
          <w:sz w:val="32"/>
          <w:szCs w:val="32"/>
          <w:bdr w:val="none" w:color="auto" w:sz="0" w:space="0"/>
        </w:rPr>
        <w:t>评估结论</w:t>
      </w:r>
      <w:r>
        <w:rPr>
          <w:rFonts w:ascii="Times New Roman" w:hAnsi="Times New Roman" w:eastAsia="仿宋_GB2312" w:cs="仿宋_GB2312"/>
          <w:color w:val="000000"/>
          <w:sz w:val="32"/>
          <w:szCs w:val="32"/>
          <w:bdr w:val="none" w:color="auto" w:sz="0" w:space="0"/>
        </w:rPr>
        <w:t>：对天津津德制钢有限公司、主要负责人安韶华的行政</w:t>
      </w:r>
      <w:r>
        <w:rPr>
          <w:rFonts w:ascii="Times New Roman" w:hAnsi="Times New Roman" w:eastAsia="仿宋_GB2312" w:cs="仿宋_GB2312"/>
          <w:color w:val="000000"/>
          <w:spacing wpsCustomData:val="-6" w:val="4"/>
          <w:sz w:val="32"/>
          <w:szCs w:val="32"/>
          <w:bdr w:val="none" w:color="auto" w:sz="0" w:space="0"/>
        </w:rPr>
        <w:t>处罚全部执行到位</w:t>
      </w:r>
      <w:r>
        <w:rPr>
          <w:rFonts w:ascii="Times New Roman" w:hAnsi="Times New Roman" w:eastAsia="仿宋_GB2312" w:cs="仿宋_GB2312"/>
          <w:color w:val="000000"/>
          <w:spacing wpsCustomData:val="-6" w:val="3"/>
          <w:sz w:val="32"/>
          <w:szCs w:val="32"/>
          <w:bdr w:val="none" w:color="auto" w:sz="0" w:space="0"/>
        </w:rPr>
        <w:t>，</w:t>
      </w:r>
      <w:r>
        <w:rPr>
          <w:rFonts w:ascii="Times New Roman" w:hAnsi="Times New Roman" w:eastAsia="仿宋_GB2312" w:cs="仿宋_GB2312"/>
          <w:color w:val="000000"/>
          <w:spacing wpsCustomData:val="-6" w:val="4"/>
          <w:sz w:val="32"/>
          <w:szCs w:val="32"/>
          <w:bdr w:val="none" w:color="auto" w:sz="0" w:space="0"/>
        </w:rPr>
        <w:t>企业内部相关责任人追责处置全部落</w:t>
      </w:r>
      <w:r>
        <w:rPr>
          <w:rFonts w:ascii="Times New Roman" w:hAnsi="Times New Roman" w:eastAsia="仿宋_GB2312" w:cs="仿宋_GB2312"/>
          <w:color w:val="000000"/>
          <w:spacing wpsCustomData:val="-6" w:val="-6"/>
          <w:sz w:val="32"/>
          <w:szCs w:val="32"/>
          <w:bdr w:val="none" w:color="auto" w:sz="0" w:space="0"/>
        </w:rPr>
        <w:t>实</w:t>
      </w:r>
      <w:r>
        <w:rPr>
          <w:rFonts w:ascii="Times New Roman" w:hAnsi="Times New Roman" w:eastAsia="仿宋_GB2312" w:cs="仿宋_GB2312"/>
          <w:color w:val="000000"/>
          <w:sz w:val="32"/>
          <w:szCs w:val="32"/>
          <w:bdr w:val="none" w:color="auto" w:sz="0" w:space="0"/>
        </w:rPr>
        <w:t>完毕。</w:t>
      </w:r>
    </w:p>
    <w:p w14:paraId="1C03843D">
      <w:pPr>
        <w:pStyle w:val="3"/>
        <w:widowControl/>
        <w:numPr>
          <w:numId w:val="0"/>
        </w:numPr>
        <w:topLinePunct w:val="0"/>
        <w:ind w:left="0" w:leftChars="0" w:firstLine="640"/>
        <w:rPr>
          <w:rFonts w:hint="eastAsia" w:ascii="楷体_GB2312" w:hAnsi="楷体_GB2312" w:eastAsia="楷体_GB2312" w:cs="楷体_GB2312"/>
          <w:b w:val="0"/>
          <w:bdr w:val="none" w:sz="0" w:space="0"/>
        </w:rPr>
      </w:pPr>
      <w:r>
        <w:rPr>
          <w:rFonts w:hint="eastAsia"/>
          <w:lang w:eastAsia="zh-CN"/>
        </w:rPr>
        <w:t>（二）</w:t>
      </w:r>
      <w:r>
        <w:t>事故防范和整改措施落实情况</w:t>
      </w:r>
    </w:p>
    <w:p w14:paraId="2308C1C9">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1</w:t>
      </w:r>
      <w:r>
        <w:rPr>
          <w:rFonts w:hint="eastAsia" w:cs="仿宋_GB2312"/>
          <w:color w:val="000000"/>
          <w:sz w:val="32"/>
          <w:szCs w:val="32"/>
          <w:lang w:eastAsia="zh-CN"/>
        </w:rPr>
        <w:t>.</w:t>
      </w:r>
      <w:r>
        <w:rPr>
          <w:rFonts w:ascii="Times New Roman" w:hAnsi="Times New Roman" w:eastAsia="仿宋_GB2312" w:cs="仿宋_GB2312"/>
          <w:color w:val="000000"/>
          <w:sz w:val="32"/>
          <w:szCs w:val="32"/>
          <w:bdr w:val="none" w:color="auto" w:sz="0" w:space="0"/>
        </w:rPr>
        <w:t>天津津德制钢有限公司整改落实情况事故发生后，企业第一时间组织全体管理人员、一线操作工开展事故警示教育大会，对照本次机械伤害事故案例、法律法规开展全员学习，重点学习《安全生产法》《生产经营单位安全培训规定》《天津市生产经营单位安全生产主体责任规定》，深刻吸取事故及瞒报双重教训。一是全面压实安全生产主体责任。重新修订全员安全生产责任制，细化各车间、各岗位安全管理职责，完善大换辊、轧机操作等关键作业专项安全管理制度，明确各工序定岗定员管理要求，杜绝无序作业风险；建立企业主要负责人月度安全履职台账，落实负责人每日巡查、每周安全专题会议制度。二是全面深化设备隐患排查治理。对车间全部轧机、联轴器、传动设备开展拉网式隐患排查，针对事故涉事JP9联轴器加装封闭式金属安全防护罩，在所有传动、挤压危险点位设置固定式硬质防护栏、醒目安全警示标识；建立隐患排查台账，规范隐患排查、登记、整改、复查、销号闭环流程，明确每一项隐患整改责任人和完成时限，定期开展设备安全维护保养。三是规范从业人员安全培训教育。重新梳理全体员工三级安全教育档案，针对粗轧、精轧等特殊岗位制定差异化培训内容，如实记录培训学时、考核试卷、实操演练记录；新入职员工严格执行先培训考核合格、后上岗制度，重点培训设备危险点位识别、现场作业规范、事故应急处置流程，杜绝培训内容与岗位实际脱节问题。四是完善事故应急上报管理制度。修订生产安全事故应急处置预案，组织车间应急演练，明确事故上报时限、上报流程、上报责任人，组织全体管理人员学习事故瞒报相关处罚条款，建立车间事故第一时间上报奖惩机制，杜绝迟报、瞒报问题再次发生。</w:t>
      </w:r>
    </w:p>
    <w:p w14:paraId="5AD35102">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2</w:t>
      </w:r>
      <w:r>
        <w:rPr>
          <w:rFonts w:hint="eastAsia" w:cs="仿宋_GB2312"/>
          <w:color w:val="000000"/>
          <w:sz w:val="32"/>
          <w:szCs w:val="32"/>
          <w:lang w:eastAsia="zh-CN"/>
        </w:rPr>
        <w:t>.</w:t>
      </w:r>
      <w:r>
        <w:rPr>
          <w:rFonts w:ascii="Times New Roman" w:hAnsi="Times New Roman" w:eastAsia="仿宋_GB2312" w:cs="仿宋_GB2312"/>
          <w:color w:val="000000"/>
          <w:sz w:val="32"/>
          <w:szCs w:val="32"/>
          <w:bdr w:val="none" w:color="auto" w:sz="0" w:space="0"/>
        </w:rPr>
        <w:t>宁河经济开发区管委会整改落实情况开发区管委会第一时间组织辖区全部冶金、轧钢类企业召开事故警示专题部署会，传达本次津德制钢“3・27”机械伤害事故调查结论、处罚结果，以案促改开展工贸行业专项安全整治行动。严格落实属地监管责任，对辖区金属冶炼、金属压延加工企业开展全覆盖专项检查，重点核查传动设备防护、员工安全培训、隐患闭环管理、事故应急上报四项内容；建立重点企业常态化巡查台账，加大夜间生产时段抽查频次，对排查发现的设备防护缺失、培训走过场等问题下达限期整改通知书，全程跟踪复查，督促企业彻底整改到位。</w:t>
      </w:r>
    </w:p>
    <w:p w14:paraId="679B3E28">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Style w:val="19"/>
        </w:rPr>
        <w:t>评估结论</w:t>
      </w:r>
      <w:r>
        <w:rPr>
          <w:rFonts w:ascii="Times New Roman" w:hAnsi="Times New Roman" w:eastAsia="仿宋_GB2312" w:cs="仿宋_GB2312"/>
          <w:color w:val="000000"/>
          <w:sz w:val="32"/>
          <w:szCs w:val="32"/>
          <w:bdr w:val="none" w:color="auto" w:sz="0" w:space="0"/>
        </w:rPr>
        <w:t>：天津津德制钢有限公司已对照事故调查报告全部防范整改措施逐项落地，宁河经济开发区管委会属地行业专项整治、常态化监管举措落实到位，事故整改防范措施全部执行完成。</w:t>
      </w:r>
    </w:p>
    <w:p w14:paraId="5C0C79C1"/>
    <w:p w14:paraId="20F84994">
      <w:pPr>
        <w:pStyle w:val="11"/>
        <w:bidi w:val="0"/>
      </w:pP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 w:name="楷体_GB2312">
    <w:altName w:val="楷体"/>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D557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B24ED76">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BVtgQK4gIAAC4GAAAOAAAAAAAAAAEAIAAAACUBAABkcnMvZTJv&#10;RG9jLnhtbFBLBQYAAAAABgAGAFkBAAB5BgAAAAA=&#10;">
              <v:fill on="f" focussize="0,0"/>
              <v:stroke on="f" weight="0.5pt"/>
              <v:imagedata o:title=""/>
              <o:lock v:ext="edit" aspectratio="f"/>
              <v:textbox inset="16pt,0mm,16pt,0mm" style="mso-fit-shape-to-text:t;">
                <w:txbxContent>
                  <w:p w14:paraId="3B24ED76">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D8CC9">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0170C0D">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A37onp4gIAAC4GAAAOAAAAAAAAAAEAIAAAACUBAABkcnMvZTJv&#10;RG9jLnhtbFBLBQYAAAAABgAGAFkBAAB5BgAAAAA=&#10;">
              <v:fill on="f" focussize="0,0"/>
              <v:stroke on="f" weight="0.5pt"/>
              <v:imagedata o:title=""/>
              <o:lock v:ext="edit" aspectratio="f"/>
              <v:textbox inset="16pt,0mm,16pt,0mm" style="mso-fit-shape-to-text:t;">
                <w:txbxContent>
                  <w:p w14:paraId="10170C0D">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6B884">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6D1DD">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743776"/>
    <w:rsid w:val="6A743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9"/>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uiPriority w:val="0"/>
  </w:style>
  <w:style w:type="table" w:default="1" w:styleId="16">
    <w:name w:val="Normal Table"/>
    <w:semiHidden/>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styleId="18">
    <w:name w:val="Strong"/>
    <w:basedOn w:val="17"/>
    <w:qFormat/>
    <w:uiPriority w:val="0"/>
    <w:rPr>
      <w:b/>
    </w:rPr>
  </w:style>
  <w:style w:type="character" w:customStyle="1" w:styleId="19">
    <w:name w:val="标题 3 Char"/>
    <w:link w:val="4"/>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3</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2026-06-23T03:16:00Z</dcterms:created>
  <dc:creator>曾嘉 15332140501</dc:creator>
  <cp:lastModifiedBy>曾嘉 15332140501</cp:lastModifiedBy>
  <dcterms:modified xsi:type="dcterms:W3CDTF">2026-06-23T03:20:31Z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9911F4B2C86543CF8159CB2B440B7611_11</vt:lpwstr>
  </property>
  <property fmtid="{D5CDD505-2E9C-101B-9397-08002B2CF9AE}" pid="4" name="KSOTemplateDocerSaveRecord">
    <vt:lpwstr>eyJoZGlkIjoiZWFmYTcyMmNlZDcwOTM0ZDY5MjhmMTU2MzJkMGVjNDQiLCJ1c2VySWQiOiIxNTI5MTk0NDM4In0=</vt:lpwstr>
  </property>
</Properties>
</file>