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BE87">
      <w:pPr>
        <w:pStyle w:val="5"/>
        <w:jc w:val="center"/>
        <w:rPr>
          <w:rFonts w:ascii="Times New Roman" w:hAnsi="Times New Roman" w:cs="Times New Roman"/>
          <w:sz w:val="20"/>
        </w:rPr>
      </w:pPr>
    </w:p>
    <w:p w14:paraId="0FD47109">
      <w:pPr>
        <w:pStyle w:val="5"/>
        <w:rPr>
          <w:rFonts w:ascii="Times New Roman" w:hAnsi="Times New Roman" w:cs="Times New Roman"/>
          <w:sz w:val="20"/>
        </w:rPr>
      </w:pPr>
    </w:p>
    <w:p w14:paraId="07C2F227">
      <w:pPr>
        <w:pStyle w:val="5"/>
        <w:spacing w:line="640" w:lineRule="exact"/>
        <w:rPr>
          <w:rFonts w:ascii="Times New Roman" w:hAnsi="Times New Roman" w:cs="Times New Roman"/>
          <w:sz w:val="20"/>
        </w:rPr>
      </w:pPr>
    </w:p>
    <w:p w14:paraId="595974AD">
      <w:pPr>
        <w:pStyle w:val="5"/>
        <w:spacing w:line="640" w:lineRule="exact"/>
        <w:rPr>
          <w:rFonts w:ascii="Times New Roman" w:hAnsi="Times New Roman" w:cs="Times New Roman"/>
          <w:b/>
          <w:sz w:val="48"/>
        </w:rPr>
      </w:pPr>
    </w:p>
    <w:p w14:paraId="7B11DD34">
      <w:pPr>
        <w:spacing w:line="640" w:lineRule="exact"/>
        <w:jc w:val="center"/>
        <w:rPr>
          <w:rFonts w:ascii="宋体" w:hAnsi="宋体" w:eastAsia="宋体" w:cs="宋体"/>
          <w:b/>
          <w:sz w:val="36"/>
          <w:szCs w:val="36"/>
        </w:rPr>
      </w:pPr>
      <w:r>
        <w:rPr>
          <w:rFonts w:hint="eastAsia" w:ascii="宋体" w:hAnsi="宋体" w:eastAsia="宋体" w:cs="宋体"/>
          <w:b/>
          <w:sz w:val="36"/>
          <w:szCs w:val="36"/>
        </w:rPr>
        <w:t>北京文海绿源体育发展有限公司</w:t>
      </w:r>
    </w:p>
    <w:p w14:paraId="41E14979">
      <w:pPr>
        <w:spacing w:line="640" w:lineRule="exact"/>
        <w:jc w:val="center"/>
        <w:rPr>
          <w:rFonts w:ascii="宋体" w:hAnsi="宋体" w:eastAsia="宋体" w:cs="宋体"/>
          <w:b/>
          <w:sz w:val="36"/>
          <w:szCs w:val="36"/>
        </w:rPr>
      </w:pPr>
      <w:r>
        <w:rPr>
          <w:rFonts w:hint="eastAsia" w:ascii="宋体" w:hAnsi="宋体" w:eastAsia="宋体" w:cs="宋体"/>
          <w:b/>
          <w:sz w:val="36"/>
          <w:szCs w:val="36"/>
        </w:rPr>
        <w:t>“</w:t>
      </w:r>
      <w:r>
        <w:rPr>
          <w:rFonts w:ascii="宋体" w:hAnsi="宋体" w:eastAsia="宋体" w:cs="宋体"/>
          <w:b/>
          <w:sz w:val="36"/>
          <w:szCs w:val="36"/>
        </w:rPr>
        <w:t>12·27</w:t>
      </w:r>
      <w:r>
        <w:rPr>
          <w:rFonts w:hint="eastAsia" w:ascii="宋体" w:hAnsi="宋体" w:eastAsia="宋体" w:cs="宋体"/>
          <w:b/>
          <w:sz w:val="36"/>
          <w:szCs w:val="36"/>
        </w:rPr>
        <w:t>”一般生产安全责任事故</w:t>
      </w:r>
    </w:p>
    <w:p w14:paraId="55D789AE">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责任追究和整改措施落实情况</w:t>
      </w:r>
    </w:p>
    <w:p w14:paraId="10DEB384">
      <w:pPr>
        <w:spacing w:before="360" w:line="640" w:lineRule="exact"/>
        <w:jc w:val="center"/>
        <w:rPr>
          <w:rFonts w:ascii="Times New Roman" w:hAnsi="Times New Roman" w:eastAsia="黑体"/>
          <w:b/>
          <w:bCs/>
          <w:sz w:val="52"/>
          <w:szCs w:val="52"/>
        </w:rPr>
      </w:pPr>
      <w:r>
        <w:rPr>
          <w:rFonts w:ascii="Times New Roman" w:hAnsi="Times New Roman" w:eastAsia="黑体"/>
          <w:b/>
          <w:bCs/>
          <w:sz w:val="52"/>
          <w:szCs w:val="52"/>
        </w:rPr>
        <w:t>评估报告</w:t>
      </w:r>
    </w:p>
    <w:p w14:paraId="76CBF9F1">
      <w:pPr>
        <w:pStyle w:val="5"/>
        <w:spacing w:line="640" w:lineRule="exact"/>
        <w:rPr>
          <w:rFonts w:ascii="Times New Roman" w:hAnsi="Times New Roman" w:cs="Times New Roman"/>
          <w:b/>
          <w:sz w:val="48"/>
        </w:rPr>
      </w:pPr>
    </w:p>
    <w:p w14:paraId="77E7C22E">
      <w:pPr>
        <w:pStyle w:val="5"/>
        <w:spacing w:line="640" w:lineRule="exact"/>
        <w:rPr>
          <w:rFonts w:ascii="Times New Roman" w:hAnsi="Times New Roman" w:cs="Times New Roman"/>
          <w:b/>
          <w:sz w:val="48"/>
        </w:rPr>
      </w:pPr>
    </w:p>
    <w:p w14:paraId="5A5557E8">
      <w:pPr>
        <w:pStyle w:val="5"/>
        <w:spacing w:line="640" w:lineRule="exact"/>
        <w:rPr>
          <w:rFonts w:ascii="Times New Roman" w:hAnsi="Times New Roman" w:cs="Times New Roman"/>
          <w:b/>
          <w:sz w:val="48"/>
        </w:rPr>
      </w:pPr>
    </w:p>
    <w:p w14:paraId="3461A430">
      <w:pPr>
        <w:pStyle w:val="5"/>
        <w:spacing w:line="640" w:lineRule="exact"/>
        <w:rPr>
          <w:rFonts w:ascii="Times New Roman" w:hAnsi="Times New Roman" w:cs="Times New Roman"/>
          <w:b/>
          <w:sz w:val="48"/>
        </w:rPr>
      </w:pPr>
    </w:p>
    <w:p w14:paraId="611EBCFF">
      <w:pPr>
        <w:pStyle w:val="5"/>
        <w:spacing w:line="640" w:lineRule="exact"/>
        <w:rPr>
          <w:rFonts w:ascii="Times New Roman" w:hAnsi="Times New Roman" w:cs="Times New Roman"/>
          <w:b/>
          <w:sz w:val="48"/>
        </w:rPr>
      </w:pPr>
    </w:p>
    <w:p w14:paraId="2E4B0622">
      <w:pPr>
        <w:pStyle w:val="5"/>
        <w:spacing w:line="640" w:lineRule="exact"/>
        <w:rPr>
          <w:rFonts w:ascii="Times New Roman" w:hAnsi="Times New Roman" w:cs="Times New Roman"/>
          <w:b/>
          <w:sz w:val="48"/>
        </w:rPr>
      </w:pPr>
    </w:p>
    <w:p w14:paraId="7D6BF087">
      <w:pPr>
        <w:pStyle w:val="5"/>
        <w:spacing w:line="640" w:lineRule="exact"/>
        <w:rPr>
          <w:rFonts w:ascii="Times New Roman" w:hAnsi="Times New Roman" w:cs="Times New Roman"/>
          <w:b/>
          <w:sz w:val="48"/>
        </w:rPr>
      </w:pPr>
    </w:p>
    <w:p w14:paraId="68F151D9">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北京中矿基业安全防范技术有限公司</w:t>
      </w:r>
    </w:p>
    <w:p w14:paraId="065775AB">
      <w:pPr>
        <w:adjustRightInd w:val="0"/>
        <w:snapToGrid w:val="0"/>
        <w:spacing w:line="640" w:lineRule="exact"/>
        <w:jc w:val="center"/>
        <w:rPr>
          <w:rFonts w:ascii="宋体" w:hAnsi="宋体" w:eastAsia="宋体" w:cs="宋体"/>
          <w:b/>
          <w:bCs/>
          <w:sz w:val="30"/>
          <w:szCs w:val="30"/>
        </w:rPr>
      </w:pPr>
      <w:r>
        <w:rPr>
          <w:rFonts w:hint="eastAsia" w:ascii="宋体" w:hAnsi="宋体" w:eastAsia="宋体" w:cs="宋体"/>
          <w:b/>
          <w:bCs/>
          <w:sz w:val="30"/>
          <w:szCs w:val="30"/>
        </w:rPr>
        <w:t>二〇二二年</w:t>
      </w:r>
      <w:r>
        <w:rPr>
          <w:rFonts w:hint="eastAsia" w:ascii="宋体" w:hAnsi="宋体" w:eastAsia="宋体" w:cs="宋体"/>
          <w:b/>
          <w:bCs/>
          <w:sz w:val="30"/>
          <w:szCs w:val="30"/>
          <w:lang w:val="en-US" w:eastAsia="zh-CN"/>
        </w:rPr>
        <w:t>八</w:t>
      </w:r>
      <w:r>
        <w:rPr>
          <w:rFonts w:hint="eastAsia" w:ascii="宋体" w:hAnsi="宋体" w:eastAsia="宋体" w:cs="宋体"/>
          <w:b/>
          <w:bCs/>
          <w:sz w:val="30"/>
          <w:szCs w:val="30"/>
        </w:rPr>
        <w:t>月</w:t>
      </w:r>
    </w:p>
    <w:p w14:paraId="7A60D353">
      <w:pPr>
        <w:spacing w:line="600" w:lineRule="auto"/>
        <w:jc w:val="center"/>
        <w:outlineLvl w:val="1"/>
        <w:rPr>
          <w:rFonts w:ascii="宋体" w:hAnsi="宋体" w:eastAsia="宋体"/>
          <w:sz w:val="32"/>
          <w:szCs w:val="32"/>
        </w:rPr>
      </w:pPr>
      <w:r>
        <w:rPr>
          <w:rFonts w:ascii="宋体" w:hAnsi="宋体" w:eastAsia="宋体"/>
          <w:sz w:val="32"/>
          <w:szCs w:val="32"/>
        </w:rPr>
        <w:br w:type="page"/>
      </w:r>
    </w:p>
    <w:p w14:paraId="21DDA0A3">
      <w:pPr>
        <w:rPr>
          <w:rFonts w:ascii="宋体" w:hAnsi="宋体" w:eastAsia="宋体"/>
          <w:sz w:val="32"/>
          <w:szCs w:val="32"/>
        </w:rPr>
        <w:sectPr>
          <w:footerReference r:id="rId6" w:type="first"/>
          <w:headerReference r:id="rId3" w:type="default"/>
          <w:footerReference r:id="rId4" w:type="default"/>
          <w:footerReference r:id="rId5" w:type="even"/>
          <w:pgSz w:w="11900" w:h="16840"/>
          <w:pgMar w:top="1417" w:right="1417" w:bottom="1417" w:left="1417" w:header="851" w:footer="992" w:gutter="567"/>
          <w:cols w:space="0" w:num="1"/>
          <w:titlePg/>
          <w:docGrid w:type="lines" w:linePitch="312" w:charSpace="0"/>
        </w:sectPr>
      </w:pPr>
    </w:p>
    <w:p w14:paraId="4744E79C">
      <w:pPr>
        <w:spacing w:line="720" w:lineRule="auto"/>
        <w:jc w:val="center"/>
        <w:rPr>
          <w:rFonts w:ascii="宋体" w:hAnsi="宋体" w:eastAsia="宋体"/>
          <w:sz w:val="44"/>
          <w:szCs w:val="44"/>
        </w:rPr>
      </w:pPr>
      <w:r>
        <w:rPr>
          <w:rFonts w:hint="eastAsia" w:ascii="宋体" w:hAnsi="宋体" w:eastAsia="宋体"/>
          <w:b/>
          <w:sz w:val="44"/>
          <w:szCs w:val="44"/>
        </w:rPr>
        <w:t>前 言</w:t>
      </w:r>
    </w:p>
    <w:p w14:paraId="66CC215B">
      <w:pPr>
        <w:ind w:firstLine="560" w:firstLineChars="200"/>
        <w:rPr>
          <w:rFonts w:ascii="仿宋" w:hAnsi="仿宋" w:eastAsia="仿宋" w:cs="仿宋"/>
          <w:sz w:val="28"/>
          <w:szCs w:val="28"/>
        </w:rPr>
      </w:pPr>
      <w:r>
        <w:rPr>
          <w:rFonts w:ascii="仿宋" w:hAnsi="仿宋" w:eastAsia="仿宋" w:cs="仿宋"/>
          <w:sz w:val="28"/>
          <w:szCs w:val="28"/>
        </w:rPr>
        <w:t>2021年12月27日13时14分，位于昌平区天通苑南街道丽水园小区综合楼游泳馆，发生一起淹溺事故，造成1人死亡。</w:t>
      </w:r>
    </w:p>
    <w:p w14:paraId="1858FADC">
      <w:pPr>
        <w:ind w:firstLine="560" w:firstLineChars="200"/>
        <w:rPr>
          <w:rFonts w:ascii="仿宋" w:hAnsi="仿宋" w:eastAsia="仿宋" w:cs="仿宋"/>
          <w:sz w:val="28"/>
          <w:szCs w:val="28"/>
        </w:rPr>
      </w:pPr>
      <w:r>
        <w:rPr>
          <w:rFonts w:hint="eastAsia" w:ascii="仿宋" w:hAnsi="仿宋" w:eastAsia="仿宋" w:cs="仿宋"/>
          <w:sz w:val="28"/>
          <w:szCs w:val="28"/>
        </w:rPr>
        <w:t>事故发生后，根据《中华人民共和国安全生产法》《生产安全事故报告和调查处理条例》《北京市生产安全事故报告和调查处理办法》等有关法律法规的规定，成立了由区应急局、公安昌平分局、区人力资源社会保障局、区总工会组成的事故联合调查组，同时邀请区纪委区监委参与，展开了全面的调查工作。</w:t>
      </w:r>
    </w:p>
    <w:p w14:paraId="5A863D29">
      <w:pPr>
        <w:ind w:firstLine="560" w:firstLineChars="200"/>
        <w:rPr>
          <w:rFonts w:ascii="仿宋" w:hAnsi="仿宋" w:eastAsia="仿宋" w:cs="仿宋"/>
          <w:sz w:val="28"/>
          <w:szCs w:val="28"/>
        </w:rPr>
      </w:pPr>
      <w:r>
        <w:rPr>
          <w:rFonts w:hint="eastAsia" w:ascii="仿宋" w:hAnsi="仿宋" w:eastAsia="仿宋" w:cs="仿宋"/>
          <w:sz w:val="28"/>
          <w:szCs w:val="28"/>
        </w:rPr>
        <w:t>依据《国务院安委会办公室关于印发生产安全事故防范和整改措施落实情况评估办法的通知》（安委办〔</w:t>
      </w:r>
      <w:r>
        <w:rPr>
          <w:rFonts w:ascii="仿宋" w:hAnsi="仿宋" w:eastAsia="仿宋" w:cs="仿宋"/>
          <w:sz w:val="28"/>
          <w:szCs w:val="28"/>
        </w:rPr>
        <w:t>2021〕4号）</w:t>
      </w:r>
      <w:r>
        <w:rPr>
          <w:rFonts w:hint="eastAsia" w:ascii="仿宋" w:hAnsi="仿宋" w:eastAsia="仿宋" w:cs="仿宋"/>
          <w:sz w:val="28"/>
          <w:szCs w:val="28"/>
        </w:rPr>
        <w:t>、《北京市生产安全事故责任追究和整改措施落实情况评估办法》（京安发﹝2016﹞1号）、《北京市昌平区生产安全事故责任追究和整改措施落实情况评估办法》（昌安发﹝2016﹞1号）以及相关文件、标准要求，2022年5月，北京市昌平区应急管理局就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”一般生产安全事故成立了事故责任追究和整改措施落实情况评估组(以下简称：评估组)，并选定了有关专家及中介机构采取实地检查的方式，对事故发生单位整改措施落实情况进行了现场检查和评估。</w:t>
      </w:r>
    </w:p>
    <w:p w14:paraId="67DD4F8E">
      <w:pPr>
        <w:ind w:firstLine="560" w:firstLineChars="200"/>
        <w:rPr>
          <w:rFonts w:ascii="仿宋" w:hAnsi="仿宋" w:eastAsia="仿宋" w:cs="仿宋"/>
          <w:sz w:val="28"/>
          <w:szCs w:val="28"/>
        </w:rPr>
      </w:pPr>
      <w:r>
        <w:rPr>
          <w:rFonts w:hint="eastAsia" w:ascii="仿宋" w:hAnsi="仿宋" w:eastAsia="仿宋" w:cs="仿宋"/>
          <w:sz w:val="28"/>
          <w:szCs w:val="28"/>
        </w:rPr>
        <w:t>受北京市昌平区应急管理局委托，北京中矿基业安全防范技术有限公司针对事故企业现场检查评估情况，汇总整理了专家现场意见及我公司对事故发生单位安全现状评估意见，最终编制完成了《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”一般生产安全责任事故责任追究和整改措施落实情况评估报告》。</w:t>
      </w:r>
    </w:p>
    <w:p w14:paraId="56390A02">
      <w:pPr>
        <w:ind w:firstLine="560" w:firstLineChars="200"/>
        <w:rPr>
          <w:rFonts w:ascii="仿宋_GB2312" w:hAnsi="仿宋_GB2312" w:eastAsia="仿宋_GB2312"/>
          <w:sz w:val="28"/>
          <w:szCs w:val="28"/>
        </w:rPr>
      </w:pPr>
      <w:r>
        <w:rPr>
          <w:rFonts w:hint="eastAsia" w:ascii="仿宋" w:hAnsi="仿宋" w:eastAsia="仿宋" w:cs="仿宋"/>
          <w:sz w:val="28"/>
          <w:szCs w:val="28"/>
        </w:rPr>
        <w:t>本评估报告在编制过程中，得到了区应急管理局有关领导、相关专家的大力支持和帮助，在此表示衷心的感谢。</w:t>
      </w:r>
    </w:p>
    <w:p w14:paraId="467845F7">
      <w:pPr>
        <w:jc w:val="right"/>
        <w:rPr>
          <w:rFonts w:ascii="仿宋" w:hAnsi="仿宋" w:eastAsia="仿宋" w:cs="仿宋"/>
          <w:sz w:val="28"/>
          <w:szCs w:val="28"/>
        </w:rPr>
      </w:pPr>
      <w:r>
        <w:rPr>
          <w:rFonts w:hint="eastAsia" w:ascii="仿宋" w:hAnsi="仿宋" w:eastAsia="仿宋" w:cs="仿宋"/>
          <w:sz w:val="28"/>
          <w:szCs w:val="28"/>
        </w:rPr>
        <w:t>北京中矿基业安全防范技术有限公司</w:t>
      </w:r>
    </w:p>
    <w:p w14:paraId="2B874E58">
      <w:pPr>
        <w:ind w:firstLine="4200" w:firstLineChars="1500"/>
        <w:jc w:val="center"/>
        <w:rPr>
          <w:rFonts w:ascii="仿宋" w:hAnsi="仿宋" w:eastAsia="仿宋" w:cs="仿宋"/>
          <w:sz w:val="28"/>
          <w:szCs w:val="28"/>
        </w:rPr>
        <w:sectPr>
          <w:headerReference r:id="rId8" w:type="first"/>
          <w:footerReference r:id="rId10" w:type="first"/>
          <w:headerReference r:id="rId7" w:type="default"/>
          <w:footerReference r:id="rId9" w:type="default"/>
          <w:pgSz w:w="11900" w:h="16840"/>
          <w:pgMar w:top="1417" w:right="1417" w:bottom="1417" w:left="1417" w:header="680" w:footer="680" w:gutter="567"/>
          <w:pgNumType w:start="1"/>
          <w:cols w:space="0" w:num="1"/>
          <w:titlePg/>
          <w:docGrid w:type="lines" w:linePitch="312" w:charSpace="0"/>
        </w:sectPr>
      </w:pPr>
      <w:r>
        <w:rPr>
          <w:rFonts w:hint="eastAsia" w:ascii="仿宋" w:hAnsi="仿宋" w:eastAsia="仿宋" w:cs="仿宋"/>
          <w:sz w:val="28"/>
          <w:szCs w:val="28"/>
          <w:lang w:val="en-US" w:eastAsia="zh-CN"/>
        </w:rPr>
        <w:t>二零二二</w:t>
      </w:r>
      <w:r>
        <w:rPr>
          <w:rFonts w:hint="eastAsia" w:ascii="仿宋" w:hAnsi="仿宋" w:eastAsia="仿宋" w:cs="仿宋"/>
          <w:sz w:val="28"/>
          <w:szCs w:val="28"/>
        </w:rPr>
        <w:t>年</w:t>
      </w:r>
      <w:r>
        <w:rPr>
          <w:rFonts w:hint="eastAsia" w:ascii="仿宋" w:hAnsi="仿宋" w:eastAsia="仿宋" w:cs="仿宋"/>
          <w:sz w:val="28"/>
          <w:szCs w:val="28"/>
          <w:lang w:val="en-US" w:eastAsia="zh-CN"/>
        </w:rPr>
        <w:t>八</w:t>
      </w:r>
      <w:r>
        <w:rPr>
          <w:rFonts w:hint="eastAsia" w:ascii="仿宋" w:hAnsi="仿宋" w:eastAsia="仿宋" w:cs="仿宋"/>
          <w:sz w:val="28"/>
          <w:szCs w:val="28"/>
        </w:rPr>
        <w:t>月</w:t>
      </w:r>
    </w:p>
    <w:sdt>
      <w:sdtPr>
        <w:rPr>
          <w:rFonts w:eastAsiaTheme="minorHAnsi"/>
          <w:b/>
          <w:bCs/>
          <w:smallCaps/>
          <w:sz w:val="20"/>
          <w:szCs w:val="20"/>
          <w:lang w:val="zh-CN"/>
        </w:rPr>
        <w:id w:val="2034764953"/>
      </w:sdtPr>
      <w:sdtEndPr>
        <w:rPr>
          <w:rFonts w:eastAsiaTheme="minorHAnsi"/>
          <w:b w:val="0"/>
          <w:bCs w:val="0"/>
          <w:smallCaps/>
          <w:sz w:val="20"/>
          <w:szCs w:val="20"/>
          <w:lang w:val="en-US"/>
        </w:rPr>
      </w:sdtEndPr>
      <w:sdtContent>
        <w:p w14:paraId="32AA9848">
          <w:pPr>
            <w:spacing w:before="156" w:beforeLines="50" w:after="156" w:afterLines="50"/>
            <w:jc w:val="center"/>
            <w:rPr>
              <w:rFonts w:ascii="宋体" w:hAnsi="宋体" w:eastAsia="宋体"/>
              <w:sz w:val="36"/>
              <w:szCs w:val="36"/>
            </w:rPr>
          </w:pPr>
          <w:r>
            <w:rPr>
              <w:rFonts w:ascii="宋体" w:hAnsi="宋体" w:eastAsia="宋体"/>
              <w:b/>
              <w:bCs/>
              <w:sz w:val="44"/>
              <w:szCs w:val="44"/>
              <w:lang w:val="zh-CN"/>
            </w:rPr>
            <w:t>目</w:t>
          </w:r>
          <w:r>
            <w:rPr>
              <w:rFonts w:hint="eastAsia" w:ascii="宋体" w:hAnsi="宋体" w:eastAsia="宋体"/>
              <w:b/>
              <w:bCs/>
              <w:sz w:val="44"/>
              <w:szCs w:val="44"/>
              <w:lang w:val="zh-CN"/>
            </w:rPr>
            <w:t xml:space="preserve"> </w:t>
          </w:r>
          <w:r>
            <w:rPr>
              <w:rFonts w:ascii="宋体" w:hAnsi="宋体" w:eastAsia="宋体"/>
              <w:b/>
              <w:bCs/>
              <w:sz w:val="44"/>
              <w:szCs w:val="44"/>
              <w:lang w:val="zh-CN"/>
            </w:rPr>
            <w:t>录</w:t>
          </w:r>
        </w:p>
        <w:p w14:paraId="0E8609BB">
          <w:pPr>
            <w:pStyle w:val="12"/>
            <w:tabs>
              <w:tab w:val="right" w:leader="dot" w:pos="8499"/>
              <w:tab w:val="clear" w:pos="9055"/>
            </w:tabs>
            <w:rPr>
              <w:rFonts w:eastAsia="仿宋"/>
              <w:caps w:val="0"/>
              <w:smallCaps w:val="0"/>
              <w:sz w:val="28"/>
            </w:rPr>
          </w:pPr>
          <w:r>
            <w:rPr>
              <w:rFonts w:ascii="仿宋" w:hAnsi="仿宋" w:eastAsia="仿宋"/>
              <w:caps w:val="0"/>
            </w:rPr>
            <w:fldChar w:fldCharType="begin"/>
          </w:r>
          <w:r>
            <w:rPr>
              <w:rFonts w:ascii="仿宋" w:hAnsi="仿宋" w:eastAsia="仿宋"/>
              <w:caps w:val="0"/>
            </w:rPr>
            <w:instrText xml:space="preserve">TOC \o "1-2" \h \u </w:instrText>
          </w:r>
          <w:r>
            <w:rPr>
              <w:rFonts w:ascii="仿宋" w:hAnsi="仿宋" w:eastAsia="仿宋"/>
              <w:caps w:val="0"/>
            </w:rPr>
            <w:fldChar w:fldCharType="separate"/>
          </w: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_Toc12437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1编制说明</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_Toc12437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14:paraId="20F23672">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_Toc16651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1.1评估的目的及意义</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_Toc16651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14:paraId="6A2393CD">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_Toc4871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1.2评估的对象及范围</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_Toc4871 \h </w:instrText>
          </w:r>
          <w:r>
            <w:rPr>
              <w:rFonts w:eastAsia="仿宋"/>
              <w:caps w:val="0"/>
              <w:smallCaps w:val="0"/>
              <w:sz w:val="28"/>
            </w:rPr>
            <w:fldChar w:fldCharType="separate"/>
          </w:r>
          <w:r>
            <w:rPr>
              <w:rFonts w:eastAsia="仿宋"/>
              <w:caps w:val="0"/>
              <w:smallCaps w:val="0"/>
              <w:sz w:val="28"/>
            </w:rPr>
            <w:t>1</w:t>
          </w:r>
          <w:r>
            <w:rPr>
              <w:rFonts w:eastAsia="仿宋"/>
              <w:caps w:val="0"/>
              <w:smallCaps w:val="0"/>
              <w:sz w:val="28"/>
            </w:rPr>
            <w:fldChar w:fldCharType="end"/>
          </w:r>
          <w:r>
            <w:rPr>
              <w:rFonts w:ascii="仿宋" w:hAnsi="仿宋" w:eastAsia="仿宋"/>
              <w:caps w:val="0"/>
              <w:smallCaps w:val="0"/>
              <w:sz w:val="28"/>
            </w:rPr>
            <w:fldChar w:fldCharType="end"/>
          </w:r>
        </w:p>
        <w:p w14:paraId="40D7A1A0">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_Toc16171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1.3评估的工作程序和方法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_Toc16171 \h </w:instrText>
          </w:r>
          <w:r>
            <w:rPr>
              <w:rFonts w:eastAsia="仿宋"/>
              <w:caps w:val="0"/>
              <w:smallCaps w:val="0"/>
              <w:sz w:val="28"/>
            </w:rPr>
            <w:fldChar w:fldCharType="separate"/>
          </w:r>
          <w:r>
            <w:rPr>
              <w:rFonts w:eastAsia="仿宋"/>
              <w:caps w:val="0"/>
              <w:smallCaps w:val="0"/>
              <w:sz w:val="28"/>
            </w:rPr>
            <w:t>2</w:t>
          </w:r>
          <w:r>
            <w:rPr>
              <w:rFonts w:eastAsia="仿宋"/>
              <w:caps w:val="0"/>
              <w:smallCaps w:val="0"/>
              <w:sz w:val="28"/>
            </w:rPr>
            <w:fldChar w:fldCharType="end"/>
          </w:r>
          <w:r>
            <w:rPr>
              <w:rFonts w:ascii="仿宋" w:hAnsi="仿宋" w:eastAsia="仿宋"/>
              <w:caps w:val="0"/>
              <w:smallCaps w:val="0"/>
              <w:sz w:val="28"/>
            </w:rPr>
            <w:fldChar w:fldCharType="end"/>
          </w:r>
        </w:p>
        <w:p w14:paraId="4A6CB4D0">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_Toc4071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1.4评估工作组织和开展情况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_Toc4071 \h </w:instrText>
          </w:r>
          <w:r>
            <w:rPr>
              <w:rFonts w:eastAsia="仿宋"/>
              <w:caps w:val="0"/>
              <w:smallCaps w:val="0"/>
              <w:sz w:val="28"/>
            </w:rPr>
            <w:fldChar w:fldCharType="separate"/>
          </w:r>
          <w:r>
            <w:rPr>
              <w:rFonts w:eastAsia="仿宋"/>
              <w:caps w:val="0"/>
              <w:smallCaps w:val="0"/>
              <w:sz w:val="28"/>
            </w:rPr>
            <w:t>4</w:t>
          </w:r>
          <w:r>
            <w:rPr>
              <w:rFonts w:eastAsia="仿宋"/>
              <w:caps w:val="0"/>
              <w:smallCaps w:val="0"/>
              <w:sz w:val="28"/>
            </w:rPr>
            <w:fldChar w:fldCharType="end"/>
          </w:r>
          <w:r>
            <w:rPr>
              <w:rFonts w:ascii="仿宋" w:hAnsi="仿宋" w:eastAsia="仿宋"/>
              <w:caps w:val="0"/>
              <w:smallCaps w:val="0"/>
              <w:sz w:val="28"/>
            </w:rPr>
            <w:fldChar w:fldCharType="end"/>
          </w:r>
        </w:p>
        <w:p w14:paraId="220166F2">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_Toc11244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1.5评估工作依据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_Toc11244 \h </w:instrText>
          </w:r>
          <w:r>
            <w:rPr>
              <w:rFonts w:eastAsia="仿宋"/>
              <w:caps w:val="0"/>
              <w:smallCaps w:val="0"/>
              <w:sz w:val="28"/>
            </w:rPr>
            <w:fldChar w:fldCharType="separate"/>
          </w:r>
          <w:r>
            <w:rPr>
              <w:rFonts w:eastAsia="仿宋"/>
              <w:caps w:val="0"/>
              <w:smallCaps w:val="0"/>
              <w:sz w:val="28"/>
            </w:rPr>
            <w:t>5</w:t>
          </w:r>
          <w:r>
            <w:rPr>
              <w:rFonts w:eastAsia="仿宋"/>
              <w:caps w:val="0"/>
              <w:smallCaps w:val="0"/>
              <w:sz w:val="28"/>
            </w:rPr>
            <w:fldChar w:fldCharType="end"/>
          </w:r>
          <w:r>
            <w:rPr>
              <w:rFonts w:ascii="仿宋" w:hAnsi="仿宋" w:eastAsia="仿宋"/>
              <w:caps w:val="0"/>
              <w:smallCaps w:val="0"/>
              <w:sz w:val="28"/>
            </w:rPr>
            <w:fldChar w:fldCharType="end"/>
          </w:r>
        </w:p>
        <w:p w14:paraId="2B688C7E">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_Toc17441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2事故责任单位及人员责任追究落实情况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_Toc17441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14:paraId="116BD9F5">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_Toc12771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2.1事故责任单位责任追究落实情况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_Toc12771 \h </w:instrText>
          </w:r>
          <w:r>
            <w:rPr>
              <w:rFonts w:eastAsia="仿宋"/>
              <w:caps w:val="0"/>
              <w:smallCaps w:val="0"/>
              <w:sz w:val="28"/>
            </w:rPr>
            <w:fldChar w:fldCharType="separate"/>
          </w:r>
          <w:r>
            <w:rPr>
              <w:rFonts w:eastAsia="仿宋"/>
              <w:caps w:val="0"/>
              <w:smallCaps w:val="0"/>
              <w:sz w:val="28"/>
            </w:rPr>
            <w:t>9</w:t>
          </w:r>
          <w:r>
            <w:rPr>
              <w:rFonts w:eastAsia="仿宋"/>
              <w:caps w:val="0"/>
              <w:smallCaps w:val="0"/>
              <w:sz w:val="28"/>
            </w:rPr>
            <w:fldChar w:fldCharType="end"/>
          </w:r>
          <w:r>
            <w:rPr>
              <w:rFonts w:ascii="仿宋" w:hAnsi="仿宋" w:eastAsia="仿宋"/>
              <w:caps w:val="0"/>
              <w:smallCaps w:val="0"/>
              <w:sz w:val="28"/>
            </w:rPr>
            <w:fldChar w:fldCharType="end"/>
          </w:r>
        </w:p>
        <w:p w14:paraId="21B377EC">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_Toc5099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2.2事故责任人员责任追究落实情况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_Toc5099 \h </w:instrText>
          </w:r>
          <w:r>
            <w:rPr>
              <w:rFonts w:eastAsia="仿宋"/>
              <w:caps w:val="0"/>
              <w:smallCaps w:val="0"/>
              <w:sz w:val="28"/>
            </w:rPr>
            <w:fldChar w:fldCharType="separate"/>
          </w:r>
          <w:r>
            <w:rPr>
              <w:rFonts w:eastAsia="仿宋"/>
              <w:caps w:val="0"/>
              <w:smallCaps w:val="0"/>
              <w:sz w:val="28"/>
            </w:rPr>
            <w:t>10</w:t>
          </w:r>
          <w:r>
            <w:rPr>
              <w:rFonts w:eastAsia="仿宋"/>
              <w:caps w:val="0"/>
              <w:smallCaps w:val="0"/>
              <w:sz w:val="28"/>
            </w:rPr>
            <w:fldChar w:fldCharType="end"/>
          </w:r>
          <w:r>
            <w:rPr>
              <w:rFonts w:ascii="仿宋" w:hAnsi="仿宋" w:eastAsia="仿宋"/>
              <w:caps w:val="0"/>
              <w:smallCaps w:val="0"/>
              <w:sz w:val="28"/>
            </w:rPr>
            <w:fldChar w:fldCharType="end"/>
          </w:r>
        </w:p>
        <w:p w14:paraId="0267BF15">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_Toc16538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3事故责任单位整改措施落实情况</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_Toc16538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14:paraId="2D53048B">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_Toc1062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3.1事故调查报告中建议情况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_Toc1062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14:paraId="03A4A229">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_Toc22249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3.2事故责任人员责任追究落实情况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_Toc22249 \h </w:instrText>
          </w:r>
          <w:r>
            <w:rPr>
              <w:rFonts w:eastAsia="仿宋"/>
              <w:caps w:val="0"/>
              <w:smallCaps w:val="0"/>
              <w:sz w:val="28"/>
            </w:rPr>
            <w:fldChar w:fldCharType="separate"/>
          </w:r>
          <w:r>
            <w:rPr>
              <w:rFonts w:eastAsia="仿宋"/>
              <w:caps w:val="0"/>
              <w:smallCaps w:val="0"/>
              <w:sz w:val="28"/>
            </w:rPr>
            <w:t>12</w:t>
          </w:r>
          <w:r>
            <w:rPr>
              <w:rFonts w:eastAsia="仿宋"/>
              <w:caps w:val="0"/>
              <w:smallCaps w:val="0"/>
              <w:sz w:val="28"/>
            </w:rPr>
            <w:fldChar w:fldCharType="end"/>
          </w:r>
          <w:r>
            <w:rPr>
              <w:rFonts w:ascii="仿宋" w:hAnsi="仿宋" w:eastAsia="仿宋"/>
              <w:caps w:val="0"/>
              <w:smallCaps w:val="0"/>
              <w:sz w:val="28"/>
            </w:rPr>
            <w:fldChar w:fldCharType="end"/>
          </w:r>
        </w:p>
        <w:p w14:paraId="555D1210">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_Toc22495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lang w:val="en-US" w:eastAsia="zh-CN"/>
            </w:rPr>
            <w:t>3.3行业主管部门监督检查落实情况</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_Toc22495 \h </w:instrText>
          </w:r>
          <w:r>
            <w:rPr>
              <w:rFonts w:eastAsia="仿宋"/>
              <w:caps w:val="0"/>
              <w:smallCaps w:val="0"/>
              <w:sz w:val="28"/>
            </w:rPr>
            <w:fldChar w:fldCharType="separate"/>
          </w:r>
          <w:r>
            <w:rPr>
              <w:rFonts w:eastAsia="仿宋"/>
              <w:caps w:val="0"/>
              <w:smallCaps w:val="0"/>
              <w:sz w:val="28"/>
            </w:rPr>
            <w:t>13</w:t>
          </w:r>
          <w:r>
            <w:rPr>
              <w:rFonts w:eastAsia="仿宋"/>
              <w:caps w:val="0"/>
              <w:smallCaps w:val="0"/>
              <w:sz w:val="28"/>
            </w:rPr>
            <w:fldChar w:fldCharType="end"/>
          </w:r>
          <w:r>
            <w:rPr>
              <w:rFonts w:ascii="仿宋" w:hAnsi="仿宋" w:eastAsia="仿宋"/>
              <w:caps w:val="0"/>
              <w:smallCaps w:val="0"/>
              <w:sz w:val="28"/>
            </w:rPr>
            <w:fldChar w:fldCharType="end"/>
          </w:r>
        </w:p>
        <w:p w14:paraId="2B38E863">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_Toc13551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4评估建议</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_Toc13551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14:paraId="7B8FEB3F">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_Toc23254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4.1评估总体建议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_Toc23254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14:paraId="74ABCEC2">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_Toc23303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2"/>
            </w:rPr>
            <w:t>4.2专家现场建议</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_Toc23303 \h </w:instrText>
          </w:r>
          <w:r>
            <w:rPr>
              <w:rFonts w:eastAsia="仿宋"/>
              <w:caps w:val="0"/>
              <w:smallCaps w:val="0"/>
              <w:sz w:val="28"/>
            </w:rPr>
            <w:fldChar w:fldCharType="separate"/>
          </w:r>
          <w:r>
            <w:rPr>
              <w:rFonts w:eastAsia="仿宋"/>
              <w:caps w:val="0"/>
              <w:smallCaps w:val="0"/>
              <w:sz w:val="28"/>
            </w:rPr>
            <w:t>14</w:t>
          </w:r>
          <w:r>
            <w:rPr>
              <w:rFonts w:eastAsia="仿宋"/>
              <w:caps w:val="0"/>
              <w:smallCaps w:val="0"/>
              <w:sz w:val="28"/>
            </w:rPr>
            <w:fldChar w:fldCharType="end"/>
          </w:r>
          <w:r>
            <w:rPr>
              <w:rFonts w:ascii="仿宋" w:hAnsi="仿宋" w:eastAsia="仿宋"/>
              <w:caps w:val="0"/>
              <w:smallCaps w:val="0"/>
              <w:sz w:val="28"/>
            </w:rPr>
            <w:fldChar w:fldCharType="end"/>
          </w:r>
        </w:p>
        <w:p w14:paraId="33E182ED">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_Toc18738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6"/>
            </w:rPr>
            <w:t>5评估结论</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_Toc18738 \h </w:instrText>
          </w:r>
          <w:r>
            <w:rPr>
              <w:rFonts w:eastAsia="仿宋"/>
              <w:caps w:val="0"/>
              <w:smallCaps w:val="0"/>
              <w:sz w:val="28"/>
            </w:rPr>
            <w:fldChar w:fldCharType="separate"/>
          </w:r>
          <w:r>
            <w:rPr>
              <w:rFonts w:eastAsia="仿宋"/>
              <w:caps w:val="0"/>
              <w:smallCaps w:val="0"/>
              <w:sz w:val="28"/>
            </w:rPr>
            <w:t>15</w:t>
          </w:r>
          <w:r>
            <w:rPr>
              <w:rFonts w:eastAsia="仿宋"/>
              <w:caps w:val="0"/>
              <w:smallCaps w:val="0"/>
              <w:sz w:val="28"/>
            </w:rPr>
            <w:fldChar w:fldCharType="end"/>
          </w:r>
          <w:r>
            <w:rPr>
              <w:rFonts w:ascii="仿宋" w:hAnsi="仿宋" w:eastAsia="仿宋"/>
              <w:caps w:val="0"/>
              <w:smallCaps w:val="0"/>
              <w:sz w:val="28"/>
            </w:rPr>
            <w:fldChar w:fldCharType="end"/>
          </w:r>
        </w:p>
        <w:p w14:paraId="13E7DB8D">
          <w:pPr>
            <w:pStyle w:val="12"/>
            <w:tabs>
              <w:tab w:val="right" w:leader="dot" w:pos="8499"/>
              <w:tab w:val="clear" w:pos="9055"/>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_Toc9516 </w:instrText>
          </w:r>
          <w:r>
            <w:rPr>
              <w:rFonts w:ascii="仿宋" w:hAnsi="仿宋" w:eastAsia="仿宋"/>
              <w:caps w:val="0"/>
              <w:smallCaps w:val="0"/>
              <w:sz w:val="28"/>
            </w:rPr>
            <w:fldChar w:fldCharType="separate"/>
          </w:r>
          <w:r>
            <w:rPr>
              <w:rFonts w:ascii="仿宋" w:hAnsi="仿宋" w:eastAsia="仿宋" w:cs="仿宋"/>
              <w:caps w:val="0"/>
              <w:smallCaps w:val="0"/>
              <w:sz w:val="28"/>
              <w:szCs w:val="36"/>
            </w:rPr>
            <w:t>6</w:t>
          </w:r>
          <w:r>
            <w:rPr>
              <w:rFonts w:hint="eastAsia" w:ascii="仿宋" w:hAnsi="仿宋" w:eastAsia="仿宋" w:cs="仿宋"/>
              <w:caps w:val="0"/>
              <w:smallCaps w:val="0"/>
              <w:sz w:val="28"/>
              <w:szCs w:val="36"/>
            </w:rPr>
            <w:t>附件</w:t>
          </w:r>
          <w:r>
            <w:rPr>
              <w:rFonts w:eastAsia="仿宋" w:asciiTheme="minorHAnsi" w:hAnsiTheme="minorHAnsi" w:cstheme="minorBidi"/>
              <w:b/>
              <w:bCs/>
              <w:caps w:val="0"/>
              <w:smallCaps w:val="0"/>
              <w:kern w:val="2"/>
              <w:sz w:val="28"/>
              <w:szCs w:val="20"/>
              <w:lang w:val="en-US" w:eastAsia="zh-CN" w:bidi="ar-SA"/>
            </w:rPr>
            <w:tab/>
          </w:r>
          <w:r>
            <w:rPr>
              <w:rFonts w:eastAsia="仿宋"/>
              <w:caps w:val="0"/>
              <w:smallCaps w:val="0"/>
              <w:sz w:val="28"/>
            </w:rPr>
            <w:fldChar w:fldCharType="begin"/>
          </w:r>
          <w:r>
            <w:rPr>
              <w:rFonts w:eastAsia="仿宋"/>
              <w:caps w:val="0"/>
              <w:smallCaps w:val="0"/>
              <w:sz w:val="28"/>
            </w:rPr>
            <w:instrText xml:space="preserve"> PAGEREF _Toc9516 \h </w:instrText>
          </w:r>
          <w:r>
            <w:rPr>
              <w:rFonts w:eastAsia="仿宋"/>
              <w:caps w:val="0"/>
              <w:smallCaps w:val="0"/>
              <w:sz w:val="28"/>
            </w:rPr>
            <w:fldChar w:fldCharType="separate"/>
          </w:r>
          <w:r>
            <w:rPr>
              <w:rFonts w:eastAsia="仿宋"/>
              <w:caps w:val="0"/>
              <w:smallCaps w:val="0"/>
              <w:sz w:val="28"/>
            </w:rPr>
            <w:t>16</w:t>
          </w:r>
          <w:r>
            <w:rPr>
              <w:rFonts w:eastAsia="仿宋"/>
              <w:caps w:val="0"/>
              <w:smallCaps w:val="0"/>
              <w:sz w:val="28"/>
            </w:rPr>
            <w:fldChar w:fldCharType="end"/>
          </w:r>
          <w:r>
            <w:rPr>
              <w:rFonts w:ascii="仿宋" w:hAnsi="仿宋" w:eastAsia="仿宋"/>
              <w:caps w:val="0"/>
              <w:smallCaps w:val="0"/>
              <w:sz w:val="28"/>
            </w:rPr>
            <w:fldChar w:fldCharType="end"/>
          </w:r>
        </w:p>
        <w:p w14:paraId="4B18B5B4">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_Toc1474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附件1：事故调查报告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_Toc1474 \h </w:instrText>
          </w:r>
          <w:r>
            <w:rPr>
              <w:rFonts w:eastAsia="仿宋"/>
              <w:caps w:val="0"/>
              <w:smallCaps w:val="0"/>
              <w:sz w:val="28"/>
            </w:rPr>
            <w:fldChar w:fldCharType="separate"/>
          </w:r>
          <w:r>
            <w:rPr>
              <w:rFonts w:eastAsia="仿宋"/>
              <w:caps w:val="0"/>
              <w:smallCaps w:val="0"/>
              <w:sz w:val="28"/>
            </w:rPr>
            <w:t>16</w:t>
          </w:r>
          <w:r>
            <w:rPr>
              <w:rFonts w:eastAsia="仿宋"/>
              <w:caps w:val="0"/>
              <w:smallCaps w:val="0"/>
              <w:sz w:val="28"/>
            </w:rPr>
            <w:fldChar w:fldCharType="end"/>
          </w:r>
          <w:r>
            <w:rPr>
              <w:rFonts w:ascii="仿宋" w:hAnsi="仿宋" w:eastAsia="仿宋"/>
              <w:caps w:val="0"/>
              <w:smallCaps w:val="0"/>
              <w:sz w:val="28"/>
            </w:rPr>
            <w:fldChar w:fldCharType="end"/>
          </w:r>
        </w:p>
        <w:p w14:paraId="55FAC6B0">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_Toc3745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附件2：行政处罚决定书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_Toc3745 \h </w:instrText>
          </w:r>
          <w:r>
            <w:rPr>
              <w:rFonts w:eastAsia="仿宋"/>
              <w:caps w:val="0"/>
              <w:smallCaps w:val="0"/>
              <w:sz w:val="28"/>
            </w:rPr>
            <w:fldChar w:fldCharType="separate"/>
          </w:r>
          <w:r>
            <w:rPr>
              <w:rFonts w:eastAsia="仿宋"/>
              <w:caps w:val="0"/>
              <w:smallCaps w:val="0"/>
              <w:sz w:val="28"/>
            </w:rPr>
            <w:t>34</w:t>
          </w:r>
          <w:r>
            <w:rPr>
              <w:rFonts w:eastAsia="仿宋"/>
              <w:caps w:val="0"/>
              <w:smallCaps w:val="0"/>
              <w:sz w:val="28"/>
            </w:rPr>
            <w:fldChar w:fldCharType="end"/>
          </w:r>
          <w:r>
            <w:rPr>
              <w:rFonts w:ascii="仿宋" w:hAnsi="仿宋" w:eastAsia="仿宋"/>
              <w:caps w:val="0"/>
              <w:smallCaps w:val="0"/>
              <w:sz w:val="28"/>
            </w:rPr>
            <w:fldChar w:fldCharType="end"/>
          </w:r>
        </w:p>
        <w:p w14:paraId="32E3943D">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_Toc7051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3</w:t>
          </w:r>
          <w:r>
            <w:rPr>
              <w:rFonts w:hint="eastAsia" w:ascii="仿宋" w:hAnsi="仿宋" w:eastAsia="仿宋" w:cs="仿宋"/>
              <w:caps w:val="0"/>
              <w:smallCaps w:val="0"/>
              <w:sz w:val="28"/>
              <w:szCs w:val="30"/>
            </w:rPr>
            <w:t>：</w:t>
          </w:r>
          <w:r>
            <w:rPr>
              <w:rFonts w:hint="eastAsia" w:ascii="仿宋" w:hAnsi="仿宋" w:eastAsia="仿宋" w:cs="仿宋"/>
              <w:caps w:val="0"/>
              <w:smallCaps w:val="0"/>
              <w:sz w:val="28"/>
              <w:szCs w:val="30"/>
              <w:lang w:val="en-US" w:eastAsia="zh-CN"/>
            </w:rPr>
            <w:t>个人</w:t>
          </w:r>
          <w:r>
            <w:rPr>
              <w:rFonts w:hint="eastAsia" w:ascii="仿宋" w:hAnsi="仿宋" w:eastAsia="仿宋" w:cs="仿宋"/>
              <w:caps w:val="0"/>
              <w:smallCaps w:val="0"/>
              <w:sz w:val="28"/>
              <w:szCs w:val="30"/>
            </w:rPr>
            <w:t>行政处罚决定书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_Toc7051 \h </w:instrText>
          </w:r>
          <w:r>
            <w:rPr>
              <w:rFonts w:eastAsia="仿宋"/>
              <w:caps w:val="0"/>
              <w:smallCaps w:val="0"/>
              <w:sz w:val="28"/>
            </w:rPr>
            <w:fldChar w:fldCharType="separate"/>
          </w:r>
          <w:r>
            <w:rPr>
              <w:rFonts w:eastAsia="仿宋"/>
              <w:caps w:val="0"/>
              <w:smallCaps w:val="0"/>
              <w:sz w:val="28"/>
            </w:rPr>
            <w:t>35</w:t>
          </w:r>
          <w:r>
            <w:rPr>
              <w:rFonts w:eastAsia="仿宋"/>
              <w:caps w:val="0"/>
              <w:smallCaps w:val="0"/>
              <w:sz w:val="28"/>
            </w:rPr>
            <w:fldChar w:fldCharType="end"/>
          </w:r>
          <w:r>
            <w:rPr>
              <w:rFonts w:ascii="仿宋" w:hAnsi="仿宋" w:eastAsia="仿宋"/>
              <w:caps w:val="0"/>
              <w:smallCaps w:val="0"/>
              <w:sz w:val="28"/>
            </w:rPr>
            <w:fldChar w:fldCharType="end"/>
          </w:r>
        </w:p>
        <w:p w14:paraId="72330399">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_Toc18410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hint="eastAsia" w:ascii="仿宋" w:hAnsi="仿宋" w:eastAsia="仿宋" w:cs="仿宋"/>
              <w:caps w:val="0"/>
              <w:smallCaps w:val="0"/>
              <w:sz w:val="28"/>
              <w:szCs w:val="30"/>
              <w:lang w:val="en-US" w:eastAsia="zh-CN"/>
            </w:rPr>
            <w:t>4</w:t>
          </w:r>
          <w:r>
            <w:rPr>
              <w:rFonts w:hint="eastAsia" w:ascii="仿宋" w:hAnsi="仿宋" w:eastAsia="仿宋" w:cs="仿宋"/>
              <w:caps w:val="0"/>
              <w:smallCaps w:val="0"/>
              <w:sz w:val="28"/>
              <w:szCs w:val="30"/>
            </w:rPr>
            <w:t>：</w:t>
          </w:r>
          <w:r>
            <w:rPr>
              <w:rFonts w:hint="eastAsia" w:ascii="仿宋" w:hAnsi="仿宋" w:eastAsia="仿宋" w:cs="仿宋"/>
              <w:caps w:val="0"/>
              <w:smallCaps w:val="0"/>
              <w:sz w:val="28"/>
              <w:szCs w:val="30"/>
              <w:lang w:val="en-US" w:eastAsia="zh-CN"/>
            </w:rPr>
            <w:t>个人</w:t>
          </w:r>
          <w:r>
            <w:rPr>
              <w:rFonts w:hint="eastAsia" w:ascii="仿宋" w:hAnsi="仿宋" w:eastAsia="仿宋" w:cs="仿宋"/>
              <w:caps w:val="0"/>
              <w:smallCaps w:val="0"/>
              <w:sz w:val="28"/>
              <w:szCs w:val="30"/>
            </w:rPr>
            <w:t>罚款缴费证明</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_Toc18410 \h </w:instrText>
          </w:r>
          <w:r>
            <w:rPr>
              <w:rFonts w:eastAsia="仿宋"/>
              <w:caps w:val="0"/>
              <w:smallCaps w:val="0"/>
              <w:sz w:val="28"/>
            </w:rPr>
            <w:fldChar w:fldCharType="separate"/>
          </w:r>
          <w:r>
            <w:rPr>
              <w:rFonts w:eastAsia="仿宋"/>
              <w:caps w:val="0"/>
              <w:smallCaps w:val="0"/>
              <w:sz w:val="28"/>
            </w:rPr>
            <w:t>37</w:t>
          </w:r>
          <w:r>
            <w:rPr>
              <w:rFonts w:eastAsia="仿宋"/>
              <w:caps w:val="0"/>
              <w:smallCaps w:val="0"/>
              <w:sz w:val="28"/>
            </w:rPr>
            <w:fldChar w:fldCharType="end"/>
          </w:r>
          <w:r>
            <w:rPr>
              <w:rFonts w:ascii="仿宋" w:hAnsi="仿宋" w:eastAsia="仿宋"/>
              <w:caps w:val="0"/>
              <w:smallCaps w:val="0"/>
              <w:sz w:val="28"/>
            </w:rPr>
            <w:fldChar w:fldCharType="end"/>
          </w:r>
        </w:p>
        <w:p w14:paraId="6F754391">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_Toc11370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附件5：安全生产责任制</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_Toc11370 \h </w:instrText>
          </w:r>
          <w:r>
            <w:rPr>
              <w:rFonts w:eastAsia="仿宋"/>
              <w:caps w:val="0"/>
              <w:smallCaps w:val="0"/>
              <w:sz w:val="28"/>
            </w:rPr>
            <w:fldChar w:fldCharType="separate"/>
          </w:r>
          <w:r>
            <w:rPr>
              <w:rFonts w:eastAsia="仿宋"/>
              <w:caps w:val="0"/>
              <w:smallCaps w:val="0"/>
              <w:sz w:val="28"/>
            </w:rPr>
            <w:t>38</w:t>
          </w:r>
          <w:r>
            <w:rPr>
              <w:rFonts w:eastAsia="仿宋"/>
              <w:caps w:val="0"/>
              <w:smallCaps w:val="0"/>
              <w:sz w:val="28"/>
            </w:rPr>
            <w:fldChar w:fldCharType="end"/>
          </w:r>
          <w:r>
            <w:rPr>
              <w:rFonts w:ascii="仿宋" w:hAnsi="仿宋" w:eastAsia="仿宋"/>
              <w:caps w:val="0"/>
              <w:smallCaps w:val="0"/>
              <w:sz w:val="28"/>
            </w:rPr>
            <w:fldChar w:fldCharType="end"/>
          </w:r>
        </w:p>
        <w:p w14:paraId="507E0686">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_Toc22854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6</w:t>
          </w:r>
          <w:r>
            <w:rPr>
              <w:rFonts w:hint="eastAsia" w:ascii="仿宋" w:hAnsi="仿宋" w:eastAsia="仿宋" w:cs="仿宋"/>
              <w:caps w:val="0"/>
              <w:smallCaps w:val="0"/>
              <w:sz w:val="28"/>
              <w:szCs w:val="30"/>
            </w:rPr>
            <w:t>：教育培训记录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_Toc22854 \h </w:instrText>
          </w:r>
          <w:r>
            <w:rPr>
              <w:rFonts w:eastAsia="仿宋"/>
              <w:caps w:val="0"/>
              <w:smallCaps w:val="0"/>
              <w:sz w:val="28"/>
            </w:rPr>
            <w:fldChar w:fldCharType="separate"/>
          </w:r>
          <w:r>
            <w:rPr>
              <w:rFonts w:eastAsia="仿宋"/>
              <w:caps w:val="0"/>
              <w:smallCaps w:val="0"/>
              <w:sz w:val="28"/>
            </w:rPr>
            <w:t>39</w:t>
          </w:r>
          <w:r>
            <w:rPr>
              <w:rFonts w:eastAsia="仿宋"/>
              <w:caps w:val="0"/>
              <w:smallCaps w:val="0"/>
              <w:sz w:val="28"/>
            </w:rPr>
            <w:fldChar w:fldCharType="end"/>
          </w:r>
          <w:r>
            <w:rPr>
              <w:rFonts w:ascii="仿宋" w:hAnsi="仿宋" w:eastAsia="仿宋"/>
              <w:caps w:val="0"/>
              <w:smallCaps w:val="0"/>
              <w:sz w:val="28"/>
            </w:rPr>
            <w:fldChar w:fldCharType="end"/>
          </w:r>
        </w:p>
        <w:p w14:paraId="772F8BCB">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_Toc15885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7</w:t>
          </w:r>
          <w:r>
            <w:rPr>
              <w:rFonts w:hint="eastAsia" w:ascii="仿宋" w:hAnsi="仿宋" w:eastAsia="仿宋" w:cs="仿宋"/>
              <w:caps w:val="0"/>
              <w:smallCaps w:val="0"/>
              <w:sz w:val="28"/>
              <w:szCs w:val="30"/>
            </w:rPr>
            <w:t>：安全生产规章制度</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_Toc15885 \h </w:instrText>
          </w:r>
          <w:r>
            <w:rPr>
              <w:rFonts w:eastAsia="仿宋"/>
              <w:caps w:val="0"/>
              <w:smallCaps w:val="0"/>
              <w:sz w:val="28"/>
            </w:rPr>
            <w:fldChar w:fldCharType="separate"/>
          </w:r>
          <w:r>
            <w:rPr>
              <w:rFonts w:eastAsia="仿宋"/>
              <w:caps w:val="0"/>
              <w:smallCaps w:val="0"/>
              <w:sz w:val="28"/>
            </w:rPr>
            <w:t>40</w:t>
          </w:r>
          <w:r>
            <w:rPr>
              <w:rFonts w:eastAsia="仿宋"/>
              <w:caps w:val="0"/>
              <w:smallCaps w:val="0"/>
              <w:sz w:val="28"/>
            </w:rPr>
            <w:fldChar w:fldCharType="end"/>
          </w:r>
          <w:r>
            <w:rPr>
              <w:rFonts w:ascii="仿宋" w:hAnsi="仿宋" w:eastAsia="仿宋"/>
              <w:caps w:val="0"/>
              <w:smallCaps w:val="0"/>
              <w:sz w:val="28"/>
            </w:rPr>
            <w:fldChar w:fldCharType="end"/>
          </w:r>
        </w:p>
        <w:p w14:paraId="23614079">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_Toc7763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8</w:t>
          </w:r>
          <w:r>
            <w:rPr>
              <w:rFonts w:hint="eastAsia" w:ascii="仿宋" w:hAnsi="仿宋" w:eastAsia="仿宋" w:cs="仿宋"/>
              <w:caps w:val="0"/>
              <w:smallCaps w:val="0"/>
              <w:sz w:val="28"/>
              <w:szCs w:val="30"/>
            </w:rPr>
            <w:t>：安全生产操作规程</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_Toc7763 \h </w:instrText>
          </w:r>
          <w:r>
            <w:rPr>
              <w:rFonts w:eastAsia="仿宋"/>
              <w:caps w:val="0"/>
              <w:smallCaps w:val="0"/>
              <w:sz w:val="28"/>
            </w:rPr>
            <w:fldChar w:fldCharType="separate"/>
          </w:r>
          <w:r>
            <w:rPr>
              <w:rFonts w:eastAsia="仿宋"/>
              <w:caps w:val="0"/>
              <w:smallCaps w:val="0"/>
              <w:sz w:val="28"/>
            </w:rPr>
            <w:t>42</w:t>
          </w:r>
          <w:r>
            <w:rPr>
              <w:rFonts w:eastAsia="仿宋"/>
              <w:caps w:val="0"/>
              <w:smallCaps w:val="0"/>
              <w:sz w:val="28"/>
            </w:rPr>
            <w:fldChar w:fldCharType="end"/>
          </w:r>
          <w:r>
            <w:rPr>
              <w:rFonts w:ascii="仿宋" w:hAnsi="仿宋" w:eastAsia="仿宋"/>
              <w:caps w:val="0"/>
              <w:smallCaps w:val="0"/>
              <w:sz w:val="28"/>
            </w:rPr>
            <w:fldChar w:fldCharType="end"/>
          </w:r>
        </w:p>
        <w:p w14:paraId="3C5533C3">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_Toc8098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9</w:t>
          </w:r>
          <w:r>
            <w:rPr>
              <w:rFonts w:hint="eastAsia" w:ascii="仿宋" w:hAnsi="仿宋" w:eastAsia="仿宋" w:cs="仿宋"/>
              <w:caps w:val="0"/>
              <w:smallCaps w:val="0"/>
              <w:sz w:val="28"/>
              <w:szCs w:val="30"/>
            </w:rPr>
            <w:t>：风险辨识清单</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_Toc8098 \h </w:instrText>
          </w:r>
          <w:r>
            <w:rPr>
              <w:rFonts w:eastAsia="仿宋"/>
              <w:caps w:val="0"/>
              <w:smallCaps w:val="0"/>
              <w:sz w:val="28"/>
            </w:rPr>
            <w:fldChar w:fldCharType="separate"/>
          </w:r>
          <w:r>
            <w:rPr>
              <w:rFonts w:eastAsia="仿宋"/>
              <w:caps w:val="0"/>
              <w:smallCaps w:val="0"/>
              <w:sz w:val="28"/>
            </w:rPr>
            <w:t>43</w:t>
          </w:r>
          <w:r>
            <w:rPr>
              <w:rFonts w:eastAsia="仿宋"/>
              <w:caps w:val="0"/>
              <w:smallCaps w:val="0"/>
              <w:sz w:val="28"/>
            </w:rPr>
            <w:fldChar w:fldCharType="end"/>
          </w:r>
          <w:r>
            <w:rPr>
              <w:rFonts w:ascii="仿宋" w:hAnsi="仿宋" w:eastAsia="仿宋"/>
              <w:caps w:val="0"/>
              <w:smallCaps w:val="0"/>
              <w:sz w:val="28"/>
            </w:rPr>
            <w:fldChar w:fldCharType="end"/>
          </w:r>
        </w:p>
        <w:p w14:paraId="6A32E2A9">
          <w:pPr>
            <w:pStyle w:val="15"/>
            <w:tabs>
              <w:tab w:val="right" w:leader="dot" w:pos="8499"/>
            </w:tabs>
            <w:rPr>
              <w:rFonts w:eastAsia="仿宋"/>
              <w:caps w:val="0"/>
              <w:smallCaps w:val="0"/>
              <w:sz w:val="28"/>
            </w:rPr>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_Toc2949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w:t>
          </w:r>
          <w:r>
            <w:rPr>
              <w:rFonts w:ascii="仿宋" w:hAnsi="仿宋" w:eastAsia="仿宋" w:cs="仿宋"/>
              <w:caps w:val="0"/>
              <w:smallCaps w:val="0"/>
              <w:sz w:val="28"/>
              <w:szCs w:val="30"/>
            </w:rPr>
            <w:t>11</w:t>
          </w:r>
          <w:r>
            <w:rPr>
              <w:rFonts w:hint="eastAsia" w:ascii="仿宋" w:hAnsi="仿宋" w:eastAsia="仿宋" w:cs="仿宋"/>
              <w:caps w:val="0"/>
              <w:smallCaps w:val="0"/>
              <w:sz w:val="28"/>
              <w:szCs w:val="30"/>
            </w:rPr>
            <w:t>：整改报告</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_Toc2949 \h </w:instrText>
          </w:r>
          <w:r>
            <w:rPr>
              <w:rFonts w:eastAsia="仿宋"/>
              <w:caps w:val="0"/>
              <w:smallCaps w:val="0"/>
              <w:sz w:val="28"/>
            </w:rPr>
            <w:fldChar w:fldCharType="separate"/>
          </w:r>
          <w:r>
            <w:rPr>
              <w:rFonts w:eastAsia="仿宋"/>
              <w:caps w:val="0"/>
              <w:smallCaps w:val="0"/>
              <w:sz w:val="28"/>
            </w:rPr>
            <w:t>44</w:t>
          </w:r>
          <w:r>
            <w:rPr>
              <w:rFonts w:eastAsia="仿宋"/>
              <w:caps w:val="0"/>
              <w:smallCaps w:val="0"/>
              <w:sz w:val="28"/>
            </w:rPr>
            <w:fldChar w:fldCharType="end"/>
          </w:r>
          <w:r>
            <w:rPr>
              <w:rFonts w:ascii="仿宋" w:hAnsi="仿宋" w:eastAsia="仿宋"/>
              <w:caps w:val="0"/>
              <w:smallCaps w:val="0"/>
              <w:sz w:val="28"/>
            </w:rPr>
            <w:fldChar w:fldCharType="end"/>
          </w:r>
        </w:p>
        <w:p w14:paraId="1B30BDDA">
          <w:pPr>
            <w:pStyle w:val="15"/>
            <w:tabs>
              <w:tab w:val="right" w:leader="dot" w:pos="8499"/>
            </w:tabs>
          </w:pPr>
          <w:r>
            <w:rPr>
              <w:rFonts w:ascii="仿宋" w:hAnsi="仿宋" w:eastAsia="仿宋"/>
              <w:caps w:val="0"/>
              <w:smallCaps w:val="0"/>
              <w:sz w:val="28"/>
            </w:rPr>
            <w:fldChar w:fldCharType="begin"/>
          </w:r>
          <w:r>
            <w:rPr>
              <w:rFonts w:ascii="仿宋" w:hAnsi="仿宋" w:eastAsia="仿宋"/>
              <w:caps w:val="0"/>
              <w:smallCaps w:val="0"/>
              <w:sz w:val="28"/>
            </w:rPr>
            <w:instrText xml:space="preserve"> HYPERLINK \l _Toc13786 </w:instrText>
          </w:r>
          <w:r>
            <w:rPr>
              <w:rFonts w:ascii="仿宋" w:hAnsi="仿宋" w:eastAsia="仿宋"/>
              <w:caps w:val="0"/>
              <w:smallCaps w:val="0"/>
              <w:sz w:val="28"/>
            </w:rPr>
            <w:fldChar w:fldCharType="separate"/>
          </w:r>
          <w:r>
            <w:rPr>
              <w:rFonts w:hint="eastAsia" w:ascii="仿宋" w:hAnsi="仿宋" w:eastAsia="仿宋" w:cs="仿宋"/>
              <w:caps w:val="0"/>
              <w:smallCaps w:val="0"/>
              <w:sz w:val="28"/>
              <w:szCs w:val="30"/>
            </w:rPr>
            <w:t>附件1</w:t>
          </w:r>
          <w:r>
            <w:rPr>
              <w:rFonts w:ascii="仿宋" w:hAnsi="仿宋" w:eastAsia="仿宋" w:cs="仿宋"/>
              <w:caps w:val="0"/>
              <w:smallCaps w:val="0"/>
              <w:sz w:val="28"/>
              <w:szCs w:val="30"/>
            </w:rPr>
            <w:t>2</w:t>
          </w:r>
          <w:r>
            <w:rPr>
              <w:rFonts w:hint="eastAsia" w:ascii="仿宋" w:hAnsi="仿宋" w:eastAsia="仿宋" w:cs="仿宋"/>
              <w:caps w:val="0"/>
              <w:smallCaps w:val="0"/>
              <w:sz w:val="28"/>
              <w:szCs w:val="30"/>
            </w:rPr>
            <w:t>：防范事故再次发生措施</w:t>
          </w:r>
          <w:r>
            <w:rPr>
              <w:rFonts w:eastAsia="仿宋"/>
              <w:caps w:val="0"/>
              <w:smallCaps w:val="0"/>
              <w:sz w:val="28"/>
            </w:rPr>
            <w:tab/>
          </w:r>
          <w:r>
            <w:rPr>
              <w:rFonts w:eastAsia="仿宋"/>
              <w:caps w:val="0"/>
              <w:smallCaps w:val="0"/>
              <w:sz w:val="28"/>
            </w:rPr>
            <w:fldChar w:fldCharType="begin"/>
          </w:r>
          <w:r>
            <w:rPr>
              <w:rFonts w:eastAsia="仿宋"/>
              <w:caps w:val="0"/>
              <w:smallCaps w:val="0"/>
              <w:sz w:val="28"/>
            </w:rPr>
            <w:instrText xml:space="preserve"> PAGEREF _Toc13786 \h </w:instrText>
          </w:r>
          <w:r>
            <w:rPr>
              <w:rFonts w:eastAsia="仿宋"/>
              <w:caps w:val="0"/>
              <w:smallCaps w:val="0"/>
              <w:sz w:val="28"/>
            </w:rPr>
            <w:fldChar w:fldCharType="separate"/>
          </w:r>
          <w:r>
            <w:rPr>
              <w:rFonts w:eastAsia="仿宋"/>
              <w:caps w:val="0"/>
              <w:smallCaps w:val="0"/>
              <w:sz w:val="28"/>
            </w:rPr>
            <w:t>46</w:t>
          </w:r>
          <w:r>
            <w:rPr>
              <w:rFonts w:eastAsia="仿宋"/>
              <w:caps w:val="0"/>
              <w:smallCaps w:val="0"/>
              <w:sz w:val="28"/>
            </w:rPr>
            <w:fldChar w:fldCharType="end"/>
          </w:r>
          <w:r>
            <w:rPr>
              <w:rFonts w:ascii="仿宋" w:hAnsi="仿宋" w:eastAsia="仿宋"/>
              <w:caps w:val="0"/>
              <w:smallCaps w:val="0"/>
              <w:sz w:val="28"/>
            </w:rPr>
            <w:fldChar w:fldCharType="end"/>
          </w:r>
        </w:p>
        <w:p w14:paraId="1EB032A9">
          <w:pPr>
            <w:pStyle w:val="15"/>
            <w:tabs>
              <w:tab w:val="right" w:leader="dot" w:pos="8489"/>
            </w:tabs>
            <w:spacing w:line="360" w:lineRule="auto"/>
          </w:pPr>
          <w:r>
            <w:rPr>
              <w:rFonts w:ascii="仿宋" w:hAnsi="仿宋" w:eastAsia="仿宋"/>
            </w:rPr>
            <w:fldChar w:fldCharType="end"/>
          </w:r>
        </w:p>
      </w:sdtContent>
    </w:sdt>
    <w:p w14:paraId="560D0FF3">
      <w:pPr>
        <w:widowControl/>
        <w:jc w:val="left"/>
        <w:rPr>
          <w:rFonts w:ascii="宋体" w:hAnsi="宋体" w:eastAsia="宋体"/>
          <w:sz w:val="44"/>
          <w:szCs w:val="44"/>
        </w:rPr>
        <w:sectPr>
          <w:headerReference r:id="rId11" w:type="first"/>
          <w:footerReference r:id="rId13" w:type="first"/>
          <w:footerReference r:id="rId12" w:type="default"/>
          <w:pgSz w:w="11900" w:h="16840"/>
          <w:pgMar w:top="1417" w:right="1417" w:bottom="1417" w:left="1417" w:header="680" w:footer="680" w:gutter="567"/>
          <w:pgNumType w:fmt="upperRoman" w:start="1"/>
          <w:cols w:space="0" w:num="1"/>
          <w:titlePg/>
          <w:docGrid w:type="lines" w:linePitch="312" w:charSpace="0"/>
        </w:sectPr>
      </w:pPr>
      <w:r>
        <w:rPr>
          <w:rFonts w:ascii="宋体" w:hAnsi="宋体" w:eastAsia="宋体"/>
          <w:sz w:val="44"/>
          <w:szCs w:val="44"/>
        </w:rPr>
        <w:br w:type="page"/>
      </w:r>
    </w:p>
    <w:p w14:paraId="4846F1A5">
      <w:pPr>
        <w:spacing w:line="720" w:lineRule="auto"/>
        <w:jc w:val="left"/>
        <w:outlineLvl w:val="0"/>
        <w:rPr>
          <w:rFonts w:ascii="仿宋" w:hAnsi="仿宋" w:eastAsia="仿宋" w:cs="仿宋"/>
          <w:b/>
          <w:sz w:val="36"/>
          <w:szCs w:val="36"/>
        </w:rPr>
      </w:pPr>
      <w:bookmarkStart w:id="0" w:name="_Toc19566"/>
      <w:bookmarkStart w:id="1" w:name="_Toc12437"/>
      <w:bookmarkStart w:id="2" w:name="_Toc103785021"/>
      <w:r>
        <w:rPr>
          <w:rFonts w:hint="eastAsia" w:ascii="仿宋" w:hAnsi="仿宋" w:eastAsia="仿宋" w:cs="仿宋"/>
          <w:b/>
          <w:sz w:val="36"/>
          <w:szCs w:val="36"/>
        </w:rPr>
        <w:t>1编制说明</w:t>
      </w:r>
      <w:bookmarkEnd w:id="0"/>
      <w:bookmarkEnd w:id="1"/>
      <w:bookmarkEnd w:id="2"/>
    </w:p>
    <w:p w14:paraId="1C355FB5">
      <w:pPr>
        <w:spacing w:line="600" w:lineRule="auto"/>
        <w:jc w:val="left"/>
        <w:outlineLvl w:val="1"/>
        <w:rPr>
          <w:rFonts w:ascii="仿宋" w:hAnsi="仿宋" w:eastAsia="仿宋" w:cs="仿宋"/>
          <w:b/>
          <w:sz w:val="32"/>
          <w:szCs w:val="32"/>
        </w:rPr>
      </w:pPr>
      <w:bookmarkStart w:id="3" w:name="_Toc16651"/>
      <w:bookmarkStart w:id="4" w:name="_Toc29119"/>
      <w:bookmarkStart w:id="5" w:name="_Toc103785022"/>
      <w:r>
        <w:rPr>
          <w:rFonts w:hint="eastAsia" w:ascii="仿宋" w:hAnsi="仿宋" w:eastAsia="仿宋" w:cs="仿宋"/>
          <w:b/>
          <w:sz w:val="32"/>
          <w:szCs w:val="32"/>
        </w:rPr>
        <w:t>1.1评估的目的及意义</w:t>
      </w:r>
      <w:bookmarkEnd w:id="3"/>
      <w:bookmarkEnd w:id="4"/>
      <w:bookmarkEnd w:id="5"/>
    </w:p>
    <w:p w14:paraId="73659F8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切实加强安全生产工作，深入贯彻落实《国务院办公厅关于加强安全生产监管执法的通知》（国办发〔2015〕20号）、《北京市生产安全事故责任追究和整改措施落实情况评估办法》（京安发﹝2016﹞1号）、中共北京市昌平区委北京市昌平区人民政府印发《昌平区关于进一步推进安全生产领域改革发展的实施方案》的通知（京昌发﹝2018﹞7号）以及《北京市昌平区生产安全事故责任追究和整改措施落实情况评估办法》（以下简称“《评估办法》”）等文件精神，特开展此项工作。</w:t>
      </w:r>
    </w:p>
    <w:p w14:paraId="6CEED801">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过开展生产安全事故责任追究和整改措施落实情况评估工作，以实现：有效督促事故发生单位生产安全事故整改措施和处理意见的落实，督促其深刻汲取事故教训；进一步强化事故发生单位安全生产主体责任，督促其对安全生产违法行为进行整改、对事故隐患进行排查和治理；进一步全面排查事故发生单位存在的安全风险和事故隐患，摸清事故发生单位的安全生产现状；进一步完善事故调查处理机制，提高企业的安全生产管理水平和有关部门的安全生产监管能力。</w:t>
      </w:r>
    </w:p>
    <w:p w14:paraId="11979642">
      <w:pPr>
        <w:spacing w:line="480" w:lineRule="auto"/>
        <w:ind w:firstLine="560" w:firstLineChars="200"/>
        <w:jc w:val="left"/>
        <w:rPr>
          <w:rFonts w:ascii="仿宋" w:hAnsi="仿宋" w:eastAsia="仿宋" w:cs="仿宋"/>
          <w:sz w:val="28"/>
          <w:szCs w:val="28"/>
        </w:rPr>
      </w:pPr>
    </w:p>
    <w:p w14:paraId="19B39416">
      <w:pPr>
        <w:spacing w:line="600" w:lineRule="auto"/>
        <w:jc w:val="left"/>
        <w:outlineLvl w:val="1"/>
        <w:rPr>
          <w:rFonts w:ascii="仿宋" w:hAnsi="仿宋" w:eastAsia="仿宋" w:cs="仿宋"/>
          <w:b/>
          <w:sz w:val="32"/>
          <w:szCs w:val="32"/>
        </w:rPr>
      </w:pPr>
      <w:bookmarkStart w:id="6" w:name="_Toc4871"/>
      <w:bookmarkStart w:id="7" w:name="_Toc1617"/>
      <w:bookmarkStart w:id="8" w:name="_Toc103785023"/>
      <w:r>
        <w:rPr>
          <w:rFonts w:hint="eastAsia" w:ascii="仿宋" w:hAnsi="仿宋" w:eastAsia="仿宋" w:cs="仿宋"/>
          <w:b/>
          <w:sz w:val="32"/>
          <w:szCs w:val="32"/>
        </w:rPr>
        <w:t>1.2评估的对象及范围</w:t>
      </w:r>
      <w:bookmarkEnd w:id="6"/>
      <w:bookmarkEnd w:id="7"/>
      <w:bookmarkEnd w:id="8"/>
    </w:p>
    <w:p w14:paraId="3212BFA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本次事故责任追究和整改措施落实情况评估的对象：北京文海绿源体育发展有限公司“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”一般生产安全责任事故责任单位及相关人员。</w:t>
      </w:r>
    </w:p>
    <w:p w14:paraId="26AF2B57">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的范围：政府相关部门针对《丽水园小区综合楼游泳馆“12·27”一般生产安全责任事故调查报告》中所提出的对北京文海绿源体育发展有限公司及相关人员行政处罚处理落实情况，以及事故责任单位对所提出的整改措施的落实情况等。</w:t>
      </w:r>
    </w:p>
    <w:p w14:paraId="45D42CA0">
      <w:pPr>
        <w:spacing w:line="480" w:lineRule="auto"/>
        <w:ind w:firstLine="560" w:firstLineChars="200"/>
        <w:jc w:val="left"/>
        <w:rPr>
          <w:rFonts w:ascii="仿宋" w:hAnsi="仿宋" w:eastAsia="仿宋" w:cs="仿宋"/>
          <w:sz w:val="28"/>
          <w:szCs w:val="28"/>
        </w:rPr>
      </w:pPr>
    </w:p>
    <w:p w14:paraId="758B697C">
      <w:pPr>
        <w:spacing w:line="600" w:lineRule="auto"/>
        <w:jc w:val="left"/>
        <w:outlineLvl w:val="1"/>
        <w:rPr>
          <w:rFonts w:ascii="仿宋" w:hAnsi="仿宋" w:eastAsia="仿宋" w:cs="仿宋"/>
          <w:b/>
          <w:sz w:val="32"/>
          <w:szCs w:val="32"/>
        </w:rPr>
      </w:pPr>
      <w:bookmarkStart w:id="9" w:name="_Toc7868"/>
      <w:bookmarkStart w:id="10" w:name="_Toc16171"/>
      <w:bookmarkStart w:id="11" w:name="_Toc103785024"/>
      <w:r>
        <w:rPr>
          <w:rFonts w:hint="eastAsia" w:ascii="仿宋" w:hAnsi="仿宋" w:eastAsia="仿宋" w:cs="仿宋"/>
          <w:b/>
          <w:sz w:val="32"/>
          <w:szCs w:val="32"/>
        </w:rPr>
        <w:t>1.3评估的工作程序和方法</w:t>
      </w:r>
      <w:bookmarkEnd w:id="9"/>
      <w:bookmarkEnd w:id="10"/>
      <w:bookmarkEnd w:id="11"/>
    </w:p>
    <w:p w14:paraId="3EAB749B">
      <w:pPr>
        <w:spacing w:line="480" w:lineRule="auto"/>
        <w:jc w:val="left"/>
        <w:outlineLvl w:val="2"/>
        <w:rPr>
          <w:rFonts w:ascii="仿宋" w:hAnsi="仿宋" w:eastAsia="仿宋" w:cs="仿宋"/>
          <w:b/>
          <w:sz w:val="30"/>
          <w:szCs w:val="30"/>
        </w:rPr>
      </w:pPr>
      <w:bookmarkStart w:id="12" w:name="_Toc1369862275"/>
      <w:r>
        <w:rPr>
          <w:rFonts w:hint="eastAsia" w:ascii="仿宋" w:hAnsi="仿宋" w:eastAsia="仿宋" w:cs="仿宋"/>
          <w:b/>
          <w:sz w:val="30"/>
          <w:szCs w:val="30"/>
        </w:rPr>
        <w:t>1.3.1工作程序</w:t>
      </w:r>
      <w:bookmarkEnd w:id="12"/>
    </w:p>
    <w:p w14:paraId="60C94FA7">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”一般生产安全责任事故责任追究和整改措施落实评估程序主要包括：现场评估调查准备（前期准备）、现场评估调查实施（包括：首次会、调查评估）、评估调查总结论证、编制评估报告。</w:t>
      </w:r>
    </w:p>
    <w:p w14:paraId="061BEAE8">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详细流程如图1.1所示。</w:t>
      </w:r>
    </w:p>
    <w:tbl>
      <w:tblPr>
        <w:tblStyle w:val="1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4"/>
      </w:tblGrid>
      <w:tr w14:paraId="043D1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69" w:hRule="atLeast"/>
          <w:jc w:val="center"/>
        </w:trPr>
        <w:tc>
          <w:tcPr>
            <w:tcW w:w="8504" w:type="dxa"/>
            <w:vAlign w:val="center"/>
          </w:tcPr>
          <w:p w14:paraId="58CC8A4F">
            <w:pPr>
              <w:jc w:val="center"/>
              <w:rPr>
                <w:rFonts w:ascii="仿宋" w:hAnsi="仿宋" w:eastAsia="仿宋" w:cs="仿宋"/>
                <w:szCs w:val="21"/>
              </w:rPr>
            </w:pPr>
            <w:r>
              <w:rPr>
                <w:rFonts w:hint="eastAsia" w:ascii="仿宋" w:hAnsi="仿宋" w:eastAsia="仿宋" w:cs="仿宋"/>
                <w:szCs w:val="21"/>
              </w:rPr>
              <w:drawing>
                <wp:inline distT="0" distB="0" distL="0" distR="0">
                  <wp:extent cx="5262880" cy="394716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262880" cy="3947160"/>
                          </a:xfrm>
                          <a:prstGeom prst="rect">
                            <a:avLst/>
                          </a:prstGeom>
                        </pic:spPr>
                      </pic:pic>
                    </a:graphicData>
                  </a:graphic>
                </wp:inline>
              </w:drawing>
            </w:r>
          </w:p>
        </w:tc>
      </w:tr>
      <w:tr w14:paraId="0F421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8504" w:type="dxa"/>
          </w:tcPr>
          <w:p w14:paraId="1258837A">
            <w:pPr>
              <w:jc w:val="center"/>
              <w:rPr>
                <w:rFonts w:ascii="仿宋" w:hAnsi="仿宋" w:eastAsia="仿宋" w:cs="仿宋"/>
                <w:b/>
                <w:sz w:val="24"/>
              </w:rPr>
            </w:pPr>
            <w:r>
              <w:rPr>
                <w:rFonts w:hint="eastAsia" w:ascii="仿宋" w:hAnsi="仿宋" w:eastAsia="仿宋" w:cs="仿宋"/>
                <w:b/>
                <w:sz w:val="24"/>
              </w:rPr>
              <w:t>图1.1</w:t>
            </w:r>
            <w:r>
              <w:rPr>
                <w:rFonts w:ascii="仿宋" w:hAnsi="仿宋" w:eastAsia="仿宋" w:cs="仿宋"/>
                <w:b/>
                <w:sz w:val="24"/>
              </w:rPr>
              <w:t xml:space="preserve">  </w:t>
            </w:r>
            <w:r>
              <w:rPr>
                <w:rFonts w:hint="eastAsia" w:ascii="仿宋" w:hAnsi="仿宋" w:eastAsia="仿宋" w:cs="仿宋"/>
                <w:b/>
                <w:sz w:val="24"/>
              </w:rPr>
              <w:t>评估程序框图</w:t>
            </w:r>
          </w:p>
        </w:tc>
      </w:tr>
    </w:tbl>
    <w:p w14:paraId="51E7CD42">
      <w:pPr>
        <w:spacing w:line="480" w:lineRule="auto"/>
        <w:jc w:val="left"/>
        <w:outlineLvl w:val="2"/>
        <w:rPr>
          <w:rFonts w:ascii="仿宋" w:hAnsi="仿宋" w:eastAsia="仿宋" w:cs="仿宋"/>
          <w:b/>
          <w:sz w:val="30"/>
          <w:szCs w:val="30"/>
        </w:rPr>
      </w:pPr>
      <w:bookmarkStart w:id="13" w:name="_Toc103076438"/>
      <w:r>
        <w:rPr>
          <w:rFonts w:hint="eastAsia" w:ascii="仿宋" w:hAnsi="仿宋" w:eastAsia="仿宋" w:cs="仿宋"/>
          <w:b/>
          <w:sz w:val="30"/>
          <w:szCs w:val="30"/>
        </w:rPr>
        <w:t>1.3.1方式方法</w:t>
      </w:r>
      <w:bookmarkEnd w:id="13"/>
    </w:p>
    <w:p w14:paraId="7046A02F">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本次评估，评估组主要通过以下方式方法开展工作：</w:t>
      </w:r>
    </w:p>
    <w:p w14:paraId="498D399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（1）通过深入事故发生单位生产现场，采取现场踏勘排查、调阅资料、听取汇报和询问等方式进行；</w:t>
      </w:r>
    </w:p>
    <w:p w14:paraId="59FA0E78">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（2）评估组人员通过听取事故发生单位事故发生后安全生产管理工作情况的汇报，并向事故相关人员询问了解、核查事故发生后整改措施落实情况；</w:t>
      </w:r>
    </w:p>
    <w:p w14:paraId="1757D964">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（3）现场检查以随机抽查为主，充分利用拍照、录像等多种方式，真实反映事故发生单位的安全生产工作情况；</w:t>
      </w:r>
    </w:p>
    <w:p w14:paraId="7172E9A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（4）评估人员做好全程记录，必要时制作现场检查记录，记录内容包括时间、地点、检查内容、事故隐患或存在的问题等，并由现场人员签字确认。</w:t>
      </w:r>
    </w:p>
    <w:p w14:paraId="141E9F45">
      <w:pPr>
        <w:spacing w:line="600" w:lineRule="auto"/>
        <w:jc w:val="left"/>
        <w:outlineLvl w:val="1"/>
        <w:rPr>
          <w:rFonts w:ascii="仿宋" w:hAnsi="仿宋" w:eastAsia="仿宋" w:cs="仿宋"/>
          <w:b/>
          <w:sz w:val="32"/>
          <w:szCs w:val="32"/>
        </w:rPr>
      </w:pPr>
      <w:bookmarkStart w:id="14" w:name="_Toc4071"/>
      <w:bookmarkStart w:id="15" w:name="_Toc26633"/>
      <w:bookmarkStart w:id="16" w:name="_Toc103785025"/>
      <w:r>
        <w:rPr>
          <w:rFonts w:hint="eastAsia" w:ascii="仿宋" w:hAnsi="仿宋" w:eastAsia="仿宋" w:cs="仿宋"/>
          <w:b/>
          <w:sz w:val="32"/>
          <w:szCs w:val="32"/>
        </w:rPr>
        <w:t>1.4评估工作组织和开展情况</w:t>
      </w:r>
      <w:bookmarkEnd w:id="14"/>
      <w:bookmarkEnd w:id="15"/>
      <w:bookmarkEnd w:id="16"/>
    </w:p>
    <w:p w14:paraId="25ED0CA3">
      <w:pPr>
        <w:spacing w:line="480" w:lineRule="auto"/>
        <w:jc w:val="left"/>
        <w:outlineLvl w:val="2"/>
        <w:rPr>
          <w:rFonts w:ascii="仿宋" w:hAnsi="仿宋" w:eastAsia="仿宋" w:cs="仿宋"/>
          <w:b/>
          <w:sz w:val="30"/>
          <w:szCs w:val="30"/>
        </w:rPr>
      </w:pPr>
      <w:bookmarkStart w:id="17" w:name="_Toc1426350500"/>
      <w:r>
        <w:rPr>
          <w:rFonts w:hint="eastAsia" w:ascii="仿宋" w:hAnsi="仿宋" w:eastAsia="仿宋" w:cs="仿宋"/>
          <w:b/>
          <w:sz w:val="30"/>
          <w:szCs w:val="30"/>
        </w:rPr>
        <w:t>1.4.1评估工作组织</w:t>
      </w:r>
      <w:bookmarkEnd w:id="17"/>
    </w:p>
    <w:p w14:paraId="7EB55A8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在本次评估过程中，北京中矿基业安全防范技术有限公司技术人员组成综合评估组，对北京文海绿源体育发展有限公司“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”一般生产安全事故责任追究和整改措施落实情况进行了全面评估。</w:t>
      </w:r>
    </w:p>
    <w:p w14:paraId="6D0FD678">
      <w:pPr>
        <w:spacing w:line="480" w:lineRule="auto"/>
        <w:jc w:val="left"/>
        <w:outlineLvl w:val="2"/>
        <w:rPr>
          <w:rFonts w:ascii="仿宋" w:hAnsi="仿宋" w:eastAsia="仿宋" w:cs="仿宋"/>
          <w:b/>
          <w:sz w:val="30"/>
          <w:szCs w:val="30"/>
        </w:rPr>
      </w:pPr>
      <w:bookmarkStart w:id="18" w:name="_Toc312902039"/>
      <w:r>
        <w:rPr>
          <w:rFonts w:hint="eastAsia" w:ascii="仿宋" w:hAnsi="仿宋" w:eastAsia="仿宋" w:cs="仿宋"/>
          <w:b/>
          <w:sz w:val="30"/>
          <w:szCs w:val="30"/>
        </w:rPr>
        <w:t>1.4.2评估工作开展</w:t>
      </w:r>
      <w:bookmarkEnd w:id="18"/>
    </w:p>
    <w:p w14:paraId="11DCC406">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评估组严格执行《北京市昌平区生产安全事故责任追究及整改措施落实情况评估办法》的有关规定，认真研读了《丽水园小区综合楼游泳馆“12·27”一般生产安全责任事故调查报告》，202</w:t>
      </w:r>
      <w:r>
        <w:rPr>
          <w:rFonts w:ascii="仿宋" w:hAnsi="仿宋" w:eastAsia="仿宋" w:cs="仿宋"/>
          <w:sz w:val="28"/>
          <w:szCs w:val="28"/>
        </w:rPr>
        <w:t>2</w:t>
      </w:r>
      <w:r>
        <w:rPr>
          <w:rFonts w:hint="eastAsia" w:ascii="仿宋" w:hAnsi="仿宋" w:eastAsia="仿宋" w:cs="仿宋"/>
          <w:sz w:val="28"/>
          <w:szCs w:val="28"/>
        </w:rPr>
        <w:t>年</w:t>
      </w:r>
      <w:r>
        <w:rPr>
          <w:rFonts w:ascii="仿宋" w:hAnsi="仿宋" w:eastAsia="仿宋" w:cs="仿宋"/>
          <w:sz w:val="28"/>
          <w:szCs w:val="28"/>
        </w:rPr>
        <w:t>6</w:t>
      </w:r>
      <w:r>
        <w:rPr>
          <w:rFonts w:hint="eastAsia" w:ascii="仿宋" w:hAnsi="仿宋" w:eastAsia="仿宋" w:cs="仿宋"/>
          <w:sz w:val="28"/>
          <w:szCs w:val="28"/>
        </w:rPr>
        <w:t>月，评估组采取听取汇报、调阅事故原始档案、现场核查及询问等方法，深入事故发生单位现场开展评估工作。听取了事故责任单位的事故整改情况报告，对北京文海绿源体育发展有限公司“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相关责任单位和责任人员的责任追究落实情况进行了逐一梳理和核实，同时对事故单位整改措施落实情况开展了现场评估检查，对评估过程中发现的问题，当即与事故相关单位进行了沟通，要求企业立即组织整改。</w:t>
      </w:r>
    </w:p>
    <w:p w14:paraId="5364F5E5">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召开全体成员会议，经充分讨论，形成评估意见。最终北京中矿基业安全防范技术有限公司汇总评估组对事故责任单位、事故责任人员责任追究落实情况、事故发生单位整改措施落实情况等编写完成《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一般生产安全事故责任追究和整改措施落实情况评估报告》。</w:t>
      </w:r>
    </w:p>
    <w:p w14:paraId="22ED452D">
      <w:pPr>
        <w:spacing w:line="480" w:lineRule="auto"/>
        <w:ind w:firstLine="560" w:firstLineChars="200"/>
        <w:jc w:val="left"/>
        <w:rPr>
          <w:rFonts w:ascii="仿宋" w:hAnsi="仿宋" w:eastAsia="仿宋" w:cs="仿宋"/>
          <w:sz w:val="28"/>
          <w:szCs w:val="28"/>
        </w:rPr>
      </w:pPr>
    </w:p>
    <w:p w14:paraId="28983B1C">
      <w:pPr>
        <w:spacing w:line="600" w:lineRule="auto"/>
        <w:jc w:val="left"/>
        <w:outlineLvl w:val="1"/>
        <w:rPr>
          <w:rFonts w:ascii="仿宋" w:hAnsi="仿宋" w:eastAsia="仿宋" w:cs="仿宋"/>
          <w:b/>
          <w:sz w:val="32"/>
          <w:szCs w:val="32"/>
        </w:rPr>
      </w:pPr>
      <w:bookmarkStart w:id="19" w:name="_Toc11244"/>
      <w:bookmarkStart w:id="20" w:name="_Toc103785026"/>
      <w:bookmarkStart w:id="21" w:name="_Toc21927"/>
      <w:r>
        <w:rPr>
          <w:rFonts w:hint="eastAsia" w:ascii="仿宋" w:hAnsi="仿宋" w:eastAsia="仿宋" w:cs="仿宋"/>
          <w:b/>
          <w:sz w:val="32"/>
          <w:szCs w:val="32"/>
        </w:rPr>
        <w:t>1.5评估工作依据</w:t>
      </w:r>
      <w:bookmarkEnd w:id="19"/>
      <w:bookmarkEnd w:id="20"/>
      <w:bookmarkEnd w:id="21"/>
    </w:p>
    <w:p w14:paraId="7AB3AC0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一般生产安全事故责任追究和整改措施落实情况评估工作，主要依据《丽水园小区综合楼游泳馆“12·27”一般生产安全责任事故调查报告》及相关的国家法律法规及标准。</w:t>
      </w:r>
    </w:p>
    <w:p w14:paraId="4B0D0B14">
      <w:pPr>
        <w:spacing w:line="480" w:lineRule="auto"/>
        <w:jc w:val="left"/>
        <w:outlineLvl w:val="2"/>
        <w:rPr>
          <w:rFonts w:ascii="仿宋" w:hAnsi="仿宋" w:eastAsia="仿宋" w:cs="仿宋"/>
          <w:b/>
          <w:sz w:val="30"/>
          <w:szCs w:val="30"/>
        </w:rPr>
      </w:pPr>
      <w:bookmarkStart w:id="22" w:name="_Toc248134737"/>
      <w:r>
        <w:rPr>
          <w:rFonts w:hint="eastAsia" w:ascii="仿宋" w:hAnsi="仿宋" w:eastAsia="仿宋" w:cs="仿宋"/>
          <w:b/>
          <w:sz w:val="30"/>
          <w:szCs w:val="30"/>
        </w:rPr>
        <w:t>1.5.1法律法规</w:t>
      </w:r>
      <w:bookmarkEnd w:id="22"/>
    </w:p>
    <w:p w14:paraId="347F7A96">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《中华人民共和国安全生产法》主席令第88号</w:t>
      </w:r>
    </w:p>
    <w:p w14:paraId="151FFB38">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《中华人民共和国消防法》主席令第29号</w:t>
      </w:r>
    </w:p>
    <w:p w14:paraId="553DFD8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《中华人民共和国特种设备安全法》主席令第4号</w:t>
      </w:r>
    </w:p>
    <w:p w14:paraId="71C37F41">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《生产安全事故报告和调查处理条例》国务院令第493号</w:t>
      </w:r>
    </w:p>
    <w:p w14:paraId="66439AD6">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《特种设备安全监察条例》国务院令第549号</w:t>
      </w:r>
    </w:p>
    <w:p w14:paraId="634DE064">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《国务院关于进一步加强企业安全生产工作的通知》国发〔2010〕23号</w:t>
      </w:r>
    </w:p>
    <w:p w14:paraId="13F7B514">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《生产安全事故应急预案管理办法》应急管理部令第2号</w:t>
      </w:r>
    </w:p>
    <w:p w14:paraId="45E0368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《国务院安委会办公室关于印发生产安全事故防范和整改措施落实情况评估办法的通知》（安委办〔2021〕4号）</w:t>
      </w:r>
    </w:p>
    <w:p w14:paraId="578BE42B">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《北京市生产安全事故责任追究和整改措施落实情况评估办法》（京安发﹝2016﹞1 号）</w:t>
      </w:r>
    </w:p>
    <w:p w14:paraId="556F64C3">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《北京市昌平区生产安全事故责任追究和整改措施落实情况评估办法》</w:t>
      </w:r>
    </w:p>
    <w:p w14:paraId="2C56BAA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《生产经营单位安全培训规定》安监总局令第3号</w:t>
      </w:r>
    </w:p>
    <w:p w14:paraId="515D63C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《安全生产事故隐患排查治理暂行规定》安监总局令第16号</w:t>
      </w:r>
    </w:p>
    <w:p w14:paraId="51620EBB">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《特种作业人员安全技术培训考核管理规定》安监总局令第30号</w:t>
      </w:r>
    </w:p>
    <w:p w14:paraId="70EAA7AF">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《安全生产培训管理办法》安监总局令第44号</w:t>
      </w:r>
    </w:p>
    <w:p w14:paraId="2757CAE3">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《工贸企业有限空间作业安全管理与监督暂行规定》安监总局令第59号</w:t>
      </w:r>
    </w:p>
    <w:p w14:paraId="6506204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《北京市安全生产条例》北京市第十三届人大常委会公告第16号</w:t>
      </w:r>
    </w:p>
    <w:p w14:paraId="47F3557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《北京市消防条例》北京市第十三届人大常委会公告第17号</w:t>
      </w:r>
    </w:p>
    <w:p w14:paraId="21F8804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《北京市生产安全事故隐患排查治理办法》政府令〔2016〕266号</w:t>
      </w:r>
    </w:p>
    <w:p w14:paraId="35D03CBB">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《北京市生产经营单位安全生产主体责任规定》政府令〔2019〕285号</w:t>
      </w:r>
    </w:p>
    <w:p w14:paraId="42D88B82">
      <w:pPr>
        <w:spacing w:line="480" w:lineRule="auto"/>
        <w:jc w:val="left"/>
        <w:outlineLvl w:val="2"/>
        <w:rPr>
          <w:rFonts w:ascii="仿宋" w:hAnsi="仿宋" w:eastAsia="仿宋" w:cs="仿宋"/>
          <w:b/>
          <w:sz w:val="30"/>
          <w:szCs w:val="30"/>
        </w:rPr>
      </w:pPr>
      <w:bookmarkStart w:id="23" w:name="_Toc2134765932"/>
      <w:r>
        <w:rPr>
          <w:rFonts w:hint="eastAsia" w:ascii="仿宋" w:hAnsi="仿宋" w:eastAsia="仿宋" w:cs="仿宋"/>
          <w:b/>
          <w:sz w:val="30"/>
          <w:szCs w:val="30"/>
        </w:rPr>
        <w:t>1.5.2标准规范</w:t>
      </w:r>
      <w:bookmarkEnd w:id="23"/>
    </w:p>
    <w:p w14:paraId="47A46767">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《建筑设计防火规范（2018年版）》GB50016-2014</w:t>
      </w:r>
    </w:p>
    <w:p w14:paraId="4F283CBE">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《建筑灭火器配置设计规范》GB50140-2005</w:t>
      </w:r>
    </w:p>
    <w:p w14:paraId="13DD968F">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《供配电系统设计规范》GB50052-2009</w:t>
      </w:r>
    </w:p>
    <w:p w14:paraId="312802D0">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《低压配电设计规范》GB50054-2011</w:t>
      </w:r>
    </w:p>
    <w:p w14:paraId="1B528031">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《通用用电设计配电设计规范》GB50055-2011</w:t>
      </w:r>
    </w:p>
    <w:p w14:paraId="0BF8F30E">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《交流电气装置的接地设计规范》GB/T50065-2011</w:t>
      </w:r>
    </w:p>
    <w:p w14:paraId="2768B914">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《用电安全导则》GB/T13869-2017</w:t>
      </w:r>
    </w:p>
    <w:p w14:paraId="2143CFCE">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《生产过程危险和有害因素分类与代码》GB/T13861-2009</w:t>
      </w:r>
    </w:p>
    <w:p w14:paraId="1CDDDC1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《企业职工伤亡事故分类》GB6441-1986</w:t>
      </w:r>
    </w:p>
    <w:p w14:paraId="57B4F195">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《生产过程安全卫生要求总则》GB/T12801-2008</w:t>
      </w:r>
    </w:p>
    <w:p w14:paraId="24B093CF">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《生产设备安全卫生设计总则》GB5083-1999</w:t>
      </w:r>
    </w:p>
    <w:p w14:paraId="31AE1EB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《工业企业设计卫生标准》GBZ1-2010</w:t>
      </w:r>
    </w:p>
    <w:p w14:paraId="6FCA9667">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《个体防护装备选用规范》GB11651-2008</w:t>
      </w:r>
    </w:p>
    <w:p w14:paraId="379CD48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《防止静电事故通用导则》GB12158-2006</w:t>
      </w:r>
    </w:p>
    <w:p w14:paraId="7C6BBE5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《安全色》GB2893-2008</w:t>
      </w:r>
    </w:p>
    <w:p w14:paraId="061FF0C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《安全标志及其使用导则》GB2894-2008</w:t>
      </w:r>
    </w:p>
    <w:p w14:paraId="36AC8CC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《消防安全标志第1部分：标志》GB13495.1-2015</w:t>
      </w:r>
    </w:p>
    <w:p w14:paraId="3B9ABFF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《生产经营单位生产安全事故应急预案编制导则》GB/T29639-2020</w:t>
      </w:r>
    </w:p>
    <w:p w14:paraId="7B17A93A">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《生产安全事故应急演练基本规范》AQ/T9007-2019</w:t>
      </w:r>
    </w:p>
    <w:p w14:paraId="7CD4ABD0">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其他相关法律法规标准</w:t>
      </w:r>
      <w:r>
        <w:rPr>
          <w:rFonts w:ascii="仿宋" w:hAnsi="仿宋" w:eastAsia="仿宋" w:cs="仿宋"/>
          <w:sz w:val="28"/>
          <w:szCs w:val="28"/>
        </w:rPr>
        <w:br w:type="page"/>
      </w:r>
    </w:p>
    <w:p w14:paraId="78EA9D65">
      <w:pPr>
        <w:spacing w:line="480" w:lineRule="auto"/>
        <w:jc w:val="left"/>
        <w:outlineLvl w:val="2"/>
        <w:rPr>
          <w:rFonts w:ascii="仿宋" w:hAnsi="仿宋" w:eastAsia="仿宋" w:cs="仿宋"/>
          <w:b/>
          <w:sz w:val="30"/>
          <w:szCs w:val="30"/>
        </w:rPr>
      </w:pPr>
      <w:bookmarkStart w:id="24" w:name="_Toc1001728695"/>
      <w:r>
        <w:rPr>
          <w:rFonts w:hint="eastAsia" w:ascii="仿宋" w:hAnsi="仿宋" w:eastAsia="仿宋" w:cs="仿宋"/>
          <w:b/>
          <w:sz w:val="30"/>
          <w:szCs w:val="30"/>
        </w:rPr>
        <w:t>1.5.3其他资料</w:t>
      </w:r>
      <w:bookmarkEnd w:id="24"/>
    </w:p>
    <w:p w14:paraId="39DBA235">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北京文海绿源体育发展有限公司生产安全事故调查报告</w:t>
      </w:r>
    </w:p>
    <w:p w14:paraId="47B71E9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北京文海绿源体育发展有限公司相关人员处分证明</w:t>
      </w:r>
    </w:p>
    <w:p w14:paraId="4E743069">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北京文海绿源体育发展有限公司组织结构图</w:t>
      </w:r>
    </w:p>
    <w:p w14:paraId="3F42D56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北京文海绿源体育发展有限公司安全生产责任制、安全规章制度、安全操作规程、应急预案等安全管理文件</w:t>
      </w:r>
    </w:p>
    <w:p w14:paraId="395A11B0">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北京文海绿源体育发展有限公司安全教育培训档案、生产设备档案、隐患排查治理档案等记录文件</w:t>
      </w:r>
    </w:p>
    <w:p w14:paraId="715724E0">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北京文海绿源体育发展有限公司其他相关资料</w:t>
      </w:r>
      <w:r>
        <w:rPr>
          <w:rFonts w:hint="eastAsia" w:ascii="仿宋" w:hAnsi="仿宋" w:eastAsia="仿宋" w:cs="仿宋"/>
          <w:sz w:val="28"/>
          <w:szCs w:val="28"/>
        </w:rPr>
        <w:br w:type="page"/>
      </w:r>
    </w:p>
    <w:p w14:paraId="6AE51A2D">
      <w:pPr>
        <w:spacing w:line="720" w:lineRule="auto"/>
        <w:jc w:val="left"/>
        <w:outlineLvl w:val="0"/>
        <w:rPr>
          <w:rFonts w:ascii="仿宋" w:hAnsi="仿宋" w:eastAsia="仿宋" w:cs="仿宋"/>
          <w:b/>
          <w:sz w:val="36"/>
          <w:szCs w:val="36"/>
        </w:rPr>
      </w:pPr>
      <w:bookmarkStart w:id="25" w:name="_Toc27822"/>
      <w:bookmarkStart w:id="26" w:name="_Toc17441"/>
      <w:bookmarkStart w:id="27" w:name="_Toc103785027"/>
      <w:r>
        <w:rPr>
          <w:rFonts w:hint="eastAsia" w:ascii="仿宋" w:hAnsi="仿宋" w:eastAsia="仿宋" w:cs="仿宋"/>
          <w:b/>
          <w:sz w:val="36"/>
          <w:szCs w:val="36"/>
        </w:rPr>
        <w:t>2事故责任单位及人员责任追究落实情况</w:t>
      </w:r>
      <w:bookmarkEnd w:id="25"/>
      <w:bookmarkEnd w:id="26"/>
      <w:bookmarkEnd w:id="27"/>
    </w:p>
    <w:p w14:paraId="58AC81D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w:t>
      </w:r>
      <w:r>
        <w:rPr>
          <w:rFonts w:ascii="仿宋" w:hAnsi="仿宋" w:eastAsia="仿宋" w:cs="仿宋"/>
          <w:sz w:val="28"/>
          <w:szCs w:val="28"/>
        </w:rPr>
        <w:t>12·27”</w:t>
      </w:r>
      <w:r>
        <w:rPr>
          <w:rFonts w:hint="eastAsia" w:ascii="仿宋" w:hAnsi="仿宋" w:eastAsia="仿宋" w:cs="仿宋"/>
          <w:sz w:val="28"/>
          <w:szCs w:val="28"/>
        </w:rPr>
        <w:t>一般生产安全事故发生后，事故联合调查组对事故进行了全面调查，并出具了《丽水园小区综合楼游泳馆“12·27”一般生产安全责任事故调查报告》（见附件1）。各部门按照上述文件的要求，对事故责任单位和责任人员落实了责任追究措施。</w:t>
      </w:r>
    </w:p>
    <w:p w14:paraId="02A68228">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昌平区应急管理局已落实事故调查报告提出的行政处罚处理建议，事故责任单位已落实对事故责任人员相关处罚，详细评估过程如下。</w:t>
      </w:r>
    </w:p>
    <w:p w14:paraId="7142EEB1">
      <w:pPr>
        <w:spacing w:line="600" w:lineRule="auto"/>
        <w:jc w:val="left"/>
        <w:outlineLvl w:val="1"/>
        <w:rPr>
          <w:rFonts w:ascii="仿宋" w:hAnsi="仿宋" w:eastAsia="仿宋" w:cs="仿宋"/>
          <w:b/>
          <w:sz w:val="32"/>
          <w:szCs w:val="32"/>
        </w:rPr>
      </w:pPr>
      <w:bookmarkStart w:id="28" w:name="_Toc4770"/>
      <w:bookmarkStart w:id="29" w:name="_Toc12771"/>
      <w:bookmarkStart w:id="30" w:name="_Toc103785028"/>
      <w:r>
        <w:rPr>
          <w:rFonts w:hint="eastAsia" w:ascii="仿宋" w:hAnsi="仿宋" w:eastAsia="仿宋" w:cs="仿宋"/>
          <w:b/>
          <w:sz w:val="32"/>
          <w:szCs w:val="32"/>
        </w:rPr>
        <w:t>2.1事故责任单位责任追究落实情况</w:t>
      </w:r>
      <w:bookmarkEnd w:id="28"/>
      <w:bookmarkEnd w:id="29"/>
      <w:bookmarkEnd w:id="30"/>
    </w:p>
    <w:p w14:paraId="2DD7B8F6">
      <w:pPr>
        <w:spacing w:line="480" w:lineRule="auto"/>
        <w:jc w:val="left"/>
        <w:outlineLvl w:val="2"/>
        <w:rPr>
          <w:rFonts w:ascii="仿宋" w:hAnsi="仿宋" w:eastAsia="仿宋" w:cs="仿宋"/>
          <w:b/>
          <w:sz w:val="30"/>
          <w:szCs w:val="30"/>
        </w:rPr>
      </w:pPr>
      <w:bookmarkStart w:id="31" w:name="_Toc724743884"/>
      <w:r>
        <w:rPr>
          <w:rFonts w:hint="eastAsia" w:ascii="仿宋" w:hAnsi="仿宋" w:eastAsia="仿宋" w:cs="仿宋"/>
          <w:b/>
          <w:sz w:val="30"/>
          <w:szCs w:val="30"/>
        </w:rPr>
        <w:t>2.1.1事故调查报告中建议情况</w:t>
      </w:r>
      <w:bookmarkEnd w:id="31"/>
    </w:p>
    <w:p w14:paraId="1C823833">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1.北京文海绿源体育发展有限公司</w:t>
      </w:r>
      <w:r>
        <w:rPr>
          <w:rFonts w:hint="eastAsia" w:ascii="仿宋" w:hAnsi="仿宋" w:eastAsia="仿宋" w:cs="仿宋"/>
          <w:sz w:val="28"/>
          <w:szCs w:val="28"/>
          <w:lang w:eastAsia="zh-CN"/>
        </w:rPr>
        <w:t>，</w:t>
      </w:r>
      <w:r>
        <w:rPr>
          <w:rFonts w:hint="eastAsia" w:ascii="仿宋" w:hAnsi="仿宋" w:eastAsia="仿宋" w:cs="仿宋"/>
          <w:sz w:val="28"/>
          <w:szCs w:val="28"/>
        </w:rPr>
        <w:t>一是未取得《高危险性体育项目经营许可证》，不具备经营游泳馆资格；</w:t>
      </w:r>
      <w:r>
        <w:rPr>
          <w:rFonts w:ascii="仿宋" w:hAnsi="仿宋" w:eastAsia="仿宋" w:cs="仿宋"/>
          <w:sz w:val="28"/>
          <w:szCs w:val="28"/>
        </w:rPr>
        <w:t>二是隐患排查治理工作缺</w:t>
      </w:r>
      <w:r>
        <w:rPr>
          <w:rFonts w:hint="eastAsia" w:ascii="仿宋" w:hAnsi="仿宋" w:eastAsia="仿宋" w:cs="仿宋"/>
          <w:sz w:val="28"/>
          <w:szCs w:val="28"/>
        </w:rPr>
        <w:t>失，文海绿源体育公司未建立生产安全事故隐患排查治理制度，未及时发现并消除丽水园游泳馆营业期间</w:t>
      </w:r>
      <w:r>
        <w:rPr>
          <w:rFonts w:hint="eastAsia" w:ascii="仿宋" w:hAnsi="仿宋" w:eastAsia="仿宋" w:cs="仿宋"/>
          <w:sz w:val="28"/>
          <w:szCs w:val="28"/>
          <w:lang w:eastAsia="zh-CN"/>
        </w:rPr>
        <w:t>“</w:t>
      </w:r>
      <w:r>
        <w:rPr>
          <w:rFonts w:hint="eastAsia" w:ascii="仿宋" w:hAnsi="仿宋" w:eastAsia="仿宋" w:cs="仿宋"/>
          <w:sz w:val="28"/>
          <w:szCs w:val="28"/>
        </w:rPr>
        <w:t>专职游泳救生员配备不足”、“救生观察台配备不足”、</w:t>
      </w:r>
      <w:r>
        <w:rPr>
          <w:rFonts w:hint="eastAsia" w:ascii="仿宋" w:hAnsi="仿宋" w:eastAsia="仿宋" w:cs="仿宋"/>
          <w:sz w:val="28"/>
          <w:szCs w:val="28"/>
          <w:lang w:val="en-US" w:eastAsia="zh-CN"/>
        </w:rPr>
        <w:t>“</w:t>
      </w:r>
      <w:r>
        <w:rPr>
          <w:rFonts w:ascii="仿宋" w:hAnsi="仿宋" w:eastAsia="仿宋" w:cs="仿宋"/>
          <w:sz w:val="28"/>
          <w:szCs w:val="28"/>
        </w:rPr>
        <w:t>浅水区与深水区警示</w:t>
      </w:r>
      <w:r>
        <w:rPr>
          <w:rFonts w:hint="eastAsia" w:ascii="仿宋" w:hAnsi="仿宋" w:eastAsia="仿宋" w:cs="仿宋"/>
          <w:sz w:val="28"/>
          <w:szCs w:val="28"/>
        </w:rPr>
        <w:t>标识缺失</w:t>
      </w:r>
      <w:r>
        <w:rPr>
          <w:rFonts w:hint="eastAsia" w:ascii="仿宋" w:hAnsi="仿宋" w:eastAsia="仿宋" w:cs="仿宋"/>
          <w:sz w:val="28"/>
          <w:szCs w:val="28"/>
          <w:lang w:val="en-US" w:eastAsia="zh-CN"/>
        </w:rPr>
        <w:t>”</w:t>
      </w:r>
      <w:r>
        <w:rPr>
          <w:rFonts w:hint="eastAsia" w:ascii="仿宋" w:hAnsi="仿宋" w:eastAsia="仿宋" w:cs="仿宋"/>
          <w:sz w:val="28"/>
          <w:szCs w:val="28"/>
        </w:rPr>
        <w:t>的生产安全事故隐患，</w:t>
      </w:r>
      <w:r>
        <w:rPr>
          <w:rFonts w:ascii="仿宋" w:hAnsi="仿宋" w:eastAsia="仿宋" w:cs="仿宋"/>
          <w:sz w:val="28"/>
          <w:szCs w:val="28"/>
        </w:rPr>
        <w:t>未将事故隐患排查治理情况如</w:t>
      </w:r>
      <w:r>
        <w:rPr>
          <w:rFonts w:hint="eastAsia" w:ascii="仿宋" w:hAnsi="仿宋" w:eastAsia="仿宋" w:cs="仿宋"/>
          <w:sz w:val="28"/>
          <w:szCs w:val="28"/>
        </w:rPr>
        <w:t>实记录，未将事故隐患排查治理情况向从业人员通报，</w:t>
      </w:r>
      <w:r>
        <w:rPr>
          <w:rFonts w:ascii="仿宋" w:hAnsi="仿宋" w:eastAsia="仿宋" w:cs="仿宋"/>
          <w:sz w:val="28"/>
          <w:szCs w:val="28"/>
        </w:rPr>
        <w:t>其行为违</w:t>
      </w:r>
      <w:r>
        <w:rPr>
          <w:rFonts w:hint="eastAsia" w:ascii="仿宋" w:hAnsi="仿宋" w:eastAsia="仿宋" w:cs="仿宋"/>
          <w:sz w:val="28"/>
          <w:szCs w:val="28"/>
        </w:rPr>
        <w:t>反了《体育场所开放条件与技术要求（第一部分：</w:t>
      </w:r>
      <w:r>
        <w:rPr>
          <w:rFonts w:ascii="仿宋" w:hAnsi="仿宋" w:eastAsia="仿宋" w:cs="仿宋"/>
          <w:sz w:val="28"/>
          <w:szCs w:val="28"/>
        </w:rPr>
        <w:t>游泳场所）》(GB19079.1-2013)第7.1.1款、第7.2款、《中华人民共和国</w:t>
      </w:r>
      <w:r>
        <w:rPr>
          <w:rFonts w:hint="eastAsia" w:ascii="仿宋" w:hAnsi="仿宋" w:eastAsia="仿宋" w:cs="仿宋"/>
          <w:sz w:val="28"/>
          <w:szCs w:val="28"/>
        </w:rPr>
        <w:t>安全生产法》第四十一条第二款的规定，依据《中华人民共和国安全生产法》第一百一十四条第（一）项的规定，</w:t>
      </w:r>
      <w:r>
        <w:rPr>
          <w:rFonts w:ascii="仿宋" w:hAnsi="仿宋" w:eastAsia="仿宋" w:cs="仿宋"/>
          <w:sz w:val="28"/>
          <w:szCs w:val="28"/>
        </w:rPr>
        <w:t>结合《北京市</w:t>
      </w:r>
      <w:r>
        <w:rPr>
          <w:rFonts w:hint="eastAsia" w:ascii="仿宋" w:hAnsi="仿宋" w:eastAsia="仿宋" w:cs="仿宋"/>
          <w:sz w:val="28"/>
          <w:szCs w:val="28"/>
        </w:rPr>
        <w:t>安全生产行政处罚自由裁量基准》（</w:t>
      </w:r>
      <w:r>
        <w:rPr>
          <w:rFonts w:ascii="仿宋" w:hAnsi="仿宋" w:eastAsia="仿宋" w:cs="仿宋"/>
          <w:sz w:val="28"/>
          <w:szCs w:val="28"/>
        </w:rPr>
        <w:t>三十五），建议区应急局给</w:t>
      </w:r>
      <w:r>
        <w:rPr>
          <w:rFonts w:hint="eastAsia" w:ascii="仿宋" w:hAnsi="仿宋" w:eastAsia="仿宋" w:cs="仿宋"/>
          <w:sz w:val="28"/>
          <w:szCs w:val="28"/>
        </w:rPr>
        <w:t>予文海绿源体育公司罚款</w:t>
      </w:r>
      <w:r>
        <w:rPr>
          <w:rFonts w:ascii="仿宋" w:hAnsi="仿宋" w:eastAsia="仿宋" w:cs="仿宋"/>
          <w:sz w:val="28"/>
          <w:szCs w:val="28"/>
        </w:rPr>
        <w:t>30万元以上70万元以下的行政处罚。</w:t>
      </w:r>
    </w:p>
    <w:p w14:paraId="345F2A0C">
      <w:pPr>
        <w:spacing w:line="480" w:lineRule="auto"/>
        <w:ind w:firstLine="560" w:firstLineChars="200"/>
        <w:rPr>
          <w:rFonts w:ascii="仿宋" w:hAnsi="仿宋" w:eastAsia="仿宋" w:cs="仿宋"/>
          <w:sz w:val="28"/>
          <w:szCs w:val="28"/>
        </w:rPr>
      </w:pPr>
      <w:bookmarkStart w:id="32" w:name="_Toc243212604"/>
      <w:r>
        <w:rPr>
          <w:rFonts w:ascii="仿宋" w:hAnsi="仿宋" w:eastAsia="仿宋" w:cs="仿宋"/>
          <w:sz w:val="28"/>
          <w:szCs w:val="28"/>
        </w:rPr>
        <w:t>2．</w:t>
      </w:r>
      <w:r>
        <w:rPr>
          <w:rFonts w:hint="eastAsia" w:ascii="仿宋" w:hAnsi="仿宋" w:eastAsia="仿宋" w:cs="仿宋"/>
          <w:sz w:val="28"/>
          <w:szCs w:val="28"/>
        </w:rPr>
        <w:t>北京文海绿源体育发展有限公司主要负责人樊文煜。安全管理意识不强，一是未组织建立并落实安全风险分级管控和隐患排查治理双重预防工作机制；二是未对而水园游泳馆的安全生产工作进行督促检查，未将检查及处理情况如实登记在案；三是未及时发现并消除丽水园游泳馆在营业期间安全保障力量不足、安全设施设备缺失的生产安全事故隐患，</w:t>
      </w:r>
      <w:r>
        <w:rPr>
          <w:rFonts w:ascii="仿宋" w:hAnsi="仿宋" w:eastAsia="仿宋" w:cs="仿宋"/>
          <w:sz w:val="28"/>
          <w:szCs w:val="28"/>
        </w:rPr>
        <w:t>其行为违反了《中华人民共和国安</w:t>
      </w:r>
      <w:r>
        <w:rPr>
          <w:rFonts w:hint="eastAsia" w:ascii="仿宋" w:hAnsi="仿宋" w:eastAsia="仿宋" w:cs="仿宋"/>
          <w:sz w:val="28"/>
          <w:szCs w:val="28"/>
        </w:rPr>
        <w:t>全生产法》第二十一条第（五）项的规定。依据《中华人民共和国安全生产法》第九十五条第（一）项的规定，</w:t>
      </w:r>
      <w:r>
        <w:rPr>
          <w:rFonts w:ascii="仿宋" w:hAnsi="仿宋" w:eastAsia="仿宋" w:cs="仿宋"/>
          <w:sz w:val="28"/>
          <w:szCs w:val="28"/>
        </w:rPr>
        <w:t>结合《北京市安</w:t>
      </w:r>
      <w:r>
        <w:rPr>
          <w:rFonts w:hint="eastAsia" w:ascii="仿宋" w:hAnsi="仿宋" w:eastAsia="仿宋" w:cs="仿宋"/>
          <w:sz w:val="28"/>
          <w:szCs w:val="28"/>
        </w:rPr>
        <w:t>全生产行政处罚自由裁量基准》（四）</w:t>
      </w:r>
      <w:r>
        <w:rPr>
          <w:rFonts w:ascii="仿宋" w:hAnsi="仿宋" w:eastAsia="仿宋" w:cs="仿宋"/>
          <w:sz w:val="28"/>
          <w:szCs w:val="28"/>
        </w:rPr>
        <w:t>，建议区应急局给予樊文</w:t>
      </w:r>
      <w:r>
        <w:rPr>
          <w:rFonts w:hint="eastAsia" w:ascii="仿宋" w:hAnsi="仿宋" w:eastAsia="仿宋" w:cs="仿宋"/>
          <w:sz w:val="28"/>
          <w:szCs w:val="28"/>
        </w:rPr>
        <w:t>煜上一年年度收入</w:t>
      </w:r>
      <w:r>
        <w:rPr>
          <w:rFonts w:ascii="仿宋" w:hAnsi="仿宋" w:eastAsia="仿宋" w:cs="仿宋"/>
          <w:sz w:val="28"/>
          <w:szCs w:val="28"/>
        </w:rPr>
        <w:t>40％的行政处罚。</w:t>
      </w:r>
    </w:p>
    <w:p w14:paraId="44D6FCF4">
      <w:pPr>
        <w:spacing w:line="480" w:lineRule="auto"/>
        <w:outlineLvl w:val="2"/>
        <w:rPr>
          <w:rFonts w:ascii="仿宋" w:hAnsi="仿宋" w:eastAsia="仿宋" w:cs="仿宋"/>
          <w:b/>
          <w:sz w:val="30"/>
          <w:szCs w:val="30"/>
        </w:rPr>
      </w:pPr>
      <w:r>
        <w:rPr>
          <w:rFonts w:hint="eastAsia" w:ascii="仿宋" w:hAnsi="仿宋" w:eastAsia="仿宋" w:cs="仿宋"/>
          <w:b/>
          <w:sz w:val="30"/>
          <w:szCs w:val="30"/>
        </w:rPr>
        <w:t>2.1.2事故调查报告建议落实情况</w:t>
      </w:r>
      <w:bookmarkEnd w:id="32"/>
    </w:p>
    <w:p w14:paraId="3BB317C3">
      <w:pPr>
        <w:spacing w:line="480" w:lineRule="auto"/>
        <w:ind w:firstLine="560" w:firstLineChars="200"/>
        <w:rPr>
          <w:rFonts w:ascii="仿宋" w:hAnsi="仿宋" w:eastAsia="仿宋" w:cs="仿宋"/>
          <w:color w:val="FF0000"/>
          <w:sz w:val="28"/>
          <w:szCs w:val="28"/>
        </w:rPr>
      </w:pPr>
      <w:r>
        <w:rPr>
          <w:rFonts w:hint="eastAsia" w:ascii="仿宋" w:hAnsi="仿宋" w:eastAsia="仿宋" w:cs="仿宋"/>
          <w:color w:val="FF0000"/>
          <w:sz w:val="28"/>
          <w:szCs w:val="28"/>
        </w:rPr>
        <w:t>昌平区应急管理局对北京文海绿源体育发展有限公司行政处罚依法立案，并依据《安全生产法》，给予其作出</w:t>
      </w:r>
      <w:r>
        <w:rPr>
          <w:rFonts w:ascii="仿宋" w:hAnsi="仿宋" w:eastAsia="仿宋" w:cs="仿宋"/>
          <w:color w:val="FF0000"/>
          <w:sz w:val="28"/>
          <w:szCs w:val="28"/>
        </w:rPr>
        <w:t>2</w:t>
      </w:r>
      <w:r>
        <w:rPr>
          <w:rFonts w:hint="eastAsia" w:ascii="仿宋" w:hAnsi="仿宋" w:eastAsia="仿宋" w:cs="仿宋"/>
          <w:color w:val="FF0000"/>
          <w:sz w:val="28"/>
          <w:szCs w:val="28"/>
        </w:rPr>
        <w:t>万元的行政处罚，行政处罚决定书（昌）安监（事故）罚[202</w:t>
      </w:r>
      <w:r>
        <w:rPr>
          <w:rFonts w:ascii="仿宋" w:hAnsi="仿宋" w:eastAsia="仿宋" w:cs="仿宋"/>
          <w:color w:val="FF0000"/>
          <w:sz w:val="28"/>
          <w:szCs w:val="28"/>
        </w:rPr>
        <w:t>2</w:t>
      </w:r>
      <w:r>
        <w:rPr>
          <w:rFonts w:hint="eastAsia" w:ascii="仿宋" w:hAnsi="仿宋" w:eastAsia="仿宋" w:cs="仿宋"/>
          <w:color w:val="FF0000"/>
          <w:sz w:val="28"/>
          <w:szCs w:val="28"/>
        </w:rPr>
        <w:t>]</w:t>
      </w:r>
      <w:r>
        <w:rPr>
          <w:rFonts w:ascii="仿宋" w:hAnsi="仿宋" w:eastAsia="仿宋" w:cs="仿宋"/>
          <w:color w:val="FF0000"/>
          <w:sz w:val="28"/>
          <w:szCs w:val="28"/>
        </w:rPr>
        <w:t>3</w:t>
      </w:r>
      <w:r>
        <w:rPr>
          <w:rFonts w:hint="eastAsia" w:ascii="仿宋" w:hAnsi="仿宋" w:eastAsia="仿宋" w:cs="仿宋"/>
          <w:color w:val="FF0000"/>
          <w:sz w:val="28"/>
          <w:szCs w:val="28"/>
        </w:rPr>
        <w:t>-</w:t>
      </w:r>
      <w:r>
        <w:rPr>
          <w:rFonts w:ascii="仿宋" w:hAnsi="仿宋" w:eastAsia="仿宋" w:cs="仿宋"/>
          <w:color w:val="FF0000"/>
          <w:sz w:val="28"/>
          <w:szCs w:val="28"/>
        </w:rPr>
        <w:t>1</w:t>
      </w:r>
      <w:r>
        <w:rPr>
          <w:rFonts w:hint="eastAsia" w:ascii="仿宋" w:hAnsi="仿宋" w:eastAsia="仿宋" w:cs="仿宋"/>
          <w:color w:val="FF0000"/>
          <w:sz w:val="28"/>
          <w:szCs w:val="28"/>
        </w:rPr>
        <w:t>号（见附件2）。</w:t>
      </w:r>
    </w:p>
    <w:p w14:paraId="33DFDF5F">
      <w:pPr>
        <w:spacing w:line="480" w:lineRule="auto"/>
        <w:ind w:firstLine="560" w:firstLineChars="200"/>
        <w:rPr>
          <w:rFonts w:ascii="仿宋" w:hAnsi="仿宋" w:eastAsia="仿宋" w:cs="仿宋"/>
          <w:color w:val="FF0000"/>
          <w:sz w:val="28"/>
          <w:szCs w:val="28"/>
        </w:rPr>
      </w:pPr>
      <w:r>
        <w:rPr>
          <w:rFonts w:hint="eastAsia" w:ascii="仿宋" w:hAnsi="仿宋" w:eastAsia="仿宋" w:cs="仿宋"/>
          <w:color w:val="FF0000"/>
          <w:sz w:val="28"/>
          <w:szCs w:val="28"/>
        </w:rPr>
        <w:t>企业于202</w:t>
      </w:r>
      <w:r>
        <w:rPr>
          <w:rFonts w:ascii="仿宋" w:hAnsi="仿宋" w:eastAsia="仿宋" w:cs="仿宋"/>
          <w:color w:val="FF0000"/>
          <w:sz w:val="28"/>
          <w:szCs w:val="28"/>
        </w:rPr>
        <w:t>2</w:t>
      </w:r>
      <w:r>
        <w:rPr>
          <w:rFonts w:hint="eastAsia" w:ascii="仿宋" w:hAnsi="仿宋" w:eastAsia="仿宋" w:cs="仿宋"/>
          <w:color w:val="FF0000"/>
          <w:sz w:val="28"/>
          <w:szCs w:val="28"/>
        </w:rPr>
        <w:t>年</w:t>
      </w:r>
      <w:r>
        <w:rPr>
          <w:rFonts w:ascii="仿宋" w:hAnsi="仿宋" w:eastAsia="仿宋" w:cs="仿宋"/>
          <w:color w:val="FF0000"/>
          <w:sz w:val="28"/>
          <w:szCs w:val="28"/>
        </w:rPr>
        <w:t>2</w:t>
      </w:r>
      <w:r>
        <w:rPr>
          <w:rFonts w:hint="eastAsia" w:ascii="仿宋" w:hAnsi="仿宋" w:eastAsia="仿宋" w:cs="仿宋"/>
          <w:color w:val="FF0000"/>
          <w:sz w:val="28"/>
          <w:szCs w:val="28"/>
        </w:rPr>
        <w:t>月</w:t>
      </w:r>
      <w:r>
        <w:rPr>
          <w:rFonts w:ascii="仿宋" w:hAnsi="仿宋" w:eastAsia="仿宋" w:cs="仿宋"/>
          <w:color w:val="FF0000"/>
          <w:sz w:val="28"/>
          <w:szCs w:val="28"/>
        </w:rPr>
        <w:t>2</w:t>
      </w:r>
      <w:r>
        <w:rPr>
          <w:rFonts w:hint="eastAsia" w:ascii="仿宋" w:hAnsi="仿宋" w:eastAsia="仿宋" w:cs="仿宋"/>
          <w:color w:val="FF0000"/>
          <w:sz w:val="28"/>
          <w:szCs w:val="28"/>
        </w:rPr>
        <w:t>1日，缴纳罚款</w:t>
      </w:r>
      <w:r>
        <w:rPr>
          <w:rFonts w:ascii="仿宋" w:hAnsi="仿宋" w:eastAsia="仿宋" w:cs="仿宋"/>
          <w:color w:val="FF0000"/>
          <w:sz w:val="28"/>
          <w:szCs w:val="28"/>
        </w:rPr>
        <w:t>35</w:t>
      </w:r>
      <w:r>
        <w:rPr>
          <w:rFonts w:hint="eastAsia" w:ascii="仿宋" w:hAnsi="仿宋" w:eastAsia="仿宋" w:cs="仿宋"/>
          <w:color w:val="FF0000"/>
          <w:sz w:val="28"/>
          <w:szCs w:val="28"/>
        </w:rPr>
        <w:t>万元，罚款缴费证明见附件3。</w:t>
      </w:r>
    </w:p>
    <w:p w14:paraId="0B4BCC5A">
      <w:pPr>
        <w:spacing w:line="600" w:lineRule="auto"/>
        <w:jc w:val="left"/>
        <w:outlineLvl w:val="1"/>
        <w:rPr>
          <w:rFonts w:ascii="仿宋" w:hAnsi="仿宋" w:eastAsia="仿宋" w:cs="仿宋"/>
          <w:b/>
          <w:sz w:val="32"/>
          <w:szCs w:val="32"/>
        </w:rPr>
      </w:pPr>
      <w:bookmarkStart w:id="33" w:name="_Toc32671"/>
      <w:bookmarkStart w:id="34" w:name="_Toc5099"/>
      <w:bookmarkStart w:id="35" w:name="_Toc103785029"/>
      <w:r>
        <w:rPr>
          <w:rFonts w:hint="eastAsia" w:ascii="仿宋" w:hAnsi="仿宋" w:eastAsia="仿宋" w:cs="仿宋"/>
          <w:b/>
          <w:sz w:val="32"/>
          <w:szCs w:val="32"/>
        </w:rPr>
        <w:t>2.2事故责任人员责任追究落实情况</w:t>
      </w:r>
      <w:bookmarkEnd w:id="33"/>
      <w:bookmarkEnd w:id="34"/>
      <w:bookmarkEnd w:id="35"/>
    </w:p>
    <w:p w14:paraId="773F949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昌平区应急管理局依据《安全生产法》，对北京文海绿源体育发展有限公司主要负责人樊文煜作出</w:t>
      </w:r>
      <w:r>
        <w:rPr>
          <w:rFonts w:ascii="仿宋" w:hAnsi="仿宋" w:eastAsia="仿宋" w:cs="仿宋"/>
          <w:sz w:val="28"/>
          <w:szCs w:val="28"/>
        </w:rPr>
        <w:t>1.44万</w:t>
      </w:r>
      <w:r>
        <w:rPr>
          <w:rFonts w:hint="eastAsia" w:ascii="仿宋" w:hAnsi="仿宋" w:eastAsia="仿宋" w:cs="仿宋"/>
          <w:sz w:val="28"/>
          <w:szCs w:val="28"/>
        </w:rPr>
        <w:t>元的行政处罚，行政处罚决定书（昌）安监（事故）罚[202</w:t>
      </w:r>
      <w:r>
        <w:rPr>
          <w:rFonts w:ascii="仿宋" w:hAnsi="仿宋" w:eastAsia="仿宋" w:cs="仿宋"/>
          <w:sz w:val="28"/>
          <w:szCs w:val="28"/>
        </w:rPr>
        <w:t>2</w:t>
      </w:r>
      <w:r>
        <w:rPr>
          <w:rFonts w:hint="eastAsia" w:ascii="仿宋" w:hAnsi="仿宋" w:eastAsia="仿宋" w:cs="仿宋"/>
          <w:sz w:val="28"/>
          <w:szCs w:val="28"/>
        </w:rPr>
        <w:t>]</w:t>
      </w:r>
      <w:r>
        <w:rPr>
          <w:rFonts w:ascii="仿宋" w:hAnsi="仿宋" w:eastAsia="仿宋" w:cs="仿宋"/>
          <w:sz w:val="28"/>
          <w:szCs w:val="28"/>
        </w:rPr>
        <w:t>7</w:t>
      </w:r>
      <w:r>
        <w:rPr>
          <w:rFonts w:hint="eastAsia" w:ascii="仿宋" w:hAnsi="仿宋" w:eastAsia="仿宋" w:cs="仿宋"/>
          <w:sz w:val="28"/>
          <w:szCs w:val="28"/>
        </w:rPr>
        <w:t>-</w:t>
      </w:r>
      <w:r>
        <w:rPr>
          <w:rFonts w:ascii="仿宋" w:hAnsi="仿宋" w:eastAsia="仿宋" w:cs="仿宋"/>
          <w:sz w:val="28"/>
          <w:szCs w:val="28"/>
        </w:rPr>
        <w:t>4</w:t>
      </w:r>
      <w:r>
        <w:rPr>
          <w:rFonts w:hint="eastAsia" w:ascii="仿宋" w:hAnsi="仿宋" w:eastAsia="仿宋" w:cs="仿宋"/>
          <w:sz w:val="28"/>
          <w:szCs w:val="28"/>
        </w:rPr>
        <w:t>号（见附件2）。</w:t>
      </w:r>
    </w:p>
    <w:p w14:paraId="711C2DB1">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樊文煜</w:t>
      </w:r>
      <w:r>
        <w:rPr>
          <w:rFonts w:hint="eastAsia" w:ascii="仿宋" w:hAnsi="仿宋" w:eastAsia="仿宋" w:cs="仿宋"/>
          <w:sz w:val="28"/>
          <w:szCs w:val="28"/>
        </w:rPr>
        <w:t>于2022年</w:t>
      </w:r>
      <w:r>
        <w:rPr>
          <w:rFonts w:ascii="仿宋" w:hAnsi="仿宋" w:eastAsia="仿宋" w:cs="仿宋"/>
          <w:sz w:val="28"/>
          <w:szCs w:val="28"/>
        </w:rPr>
        <w:t>3</w:t>
      </w:r>
      <w:r>
        <w:rPr>
          <w:rFonts w:hint="eastAsia" w:ascii="仿宋" w:hAnsi="仿宋" w:eastAsia="仿宋" w:cs="仿宋"/>
          <w:sz w:val="28"/>
          <w:szCs w:val="28"/>
        </w:rPr>
        <w:t>月</w:t>
      </w:r>
      <w:r>
        <w:rPr>
          <w:rFonts w:ascii="仿宋" w:hAnsi="仿宋" w:eastAsia="仿宋" w:cs="仿宋"/>
          <w:sz w:val="28"/>
          <w:szCs w:val="28"/>
        </w:rPr>
        <w:t>1</w:t>
      </w:r>
      <w:r>
        <w:rPr>
          <w:rFonts w:hint="eastAsia" w:ascii="仿宋" w:hAnsi="仿宋" w:eastAsia="仿宋" w:cs="仿宋"/>
          <w:sz w:val="28"/>
          <w:szCs w:val="28"/>
        </w:rPr>
        <w:t>1日，缴纳罚款</w:t>
      </w:r>
      <w:r>
        <w:rPr>
          <w:rFonts w:ascii="仿宋" w:hAnsi="仿宋" w:eastAsia="仿宋" w:cs="仿宋"/>
          <w:sz w:val="28"/>
          <w:szCs w:val="28"/>
        </w:rPr>
        <w:t>1.44万</w:t>
      </w:r>
      <w:r>
        <w:rPr>
          <w:rFonts w:hint="eastAsia" w:ascii="仿宋" w:hAnsi="仿宋" w:eastAsia="仿宋" w:cs="仿宋"/>
          <w:sz w:val="28"/>
          <w:szCs w:val="28"/>
        </w:rPr>
        <w:t>元，罚款缴费证明见附件3。</w:t>
      </w:r>
      <w:r>
        <w:rPr>
          <w:rFonts w:ascii="仿宋" w:hAnsi="仿宋" w:eastAsia="仿宋" w:cs="仿宋"/>
          <w:sz w:val="28"/>
          <w:szCs w:val="28"/>
        </w:rPr>
        <w:br w:type="page"/>
      </w:r>
    </w:p>
    <w:p w14:paraId="61A8CB76">
      <w:pPr>
        <w:spacing w:line="720" w:lineRule="auto"/>
        <w:jc w:val="left"/>
        <w:outlineLvl w:val="0"/>
        <w:rPr>
          <w:rFonts w:ascii="仿宋" w:hAnsi="仿宋" w:eastAsia="仿宋" w:cs="仿宋"/>
          <w:b/>
          <w:sz w:val="36"/>
          <w:szCs w:val="36"/>
        </w:rPr>
      </w:pPr>
      <w:bookmarkStart w:id="36" w:name="_Toc16538"/>
      <w:bookmarkStart w:id="37" w:name="_Toc31818"/>
      <w:bookmarkStart w:id="38" w:name="_Toc103785030"/>
      <w:r>
        <w:rPr>
          <w:rFonts w:hint="eastAsia" w:ascii="仿宋" w:hAnsi="仿宋" w:eastAsia="仿宋" w:cs="仿宋"/>
          <w:b/>
          <w:sz w:val="36"/>
          <w:szCs w:val="36"/>
        </w:rPr>
        <w:t>3事故责任单位整改措施落实情况</w:t>
      </w:r>
      <w:bookmarkEnd w:id="36"/>
      <w:bookmarkEnd w:id="37"/>
      <w:bookmarkEnd w:id="38"/>
    </w:p>
    <w:p w14:paraId="26D47D42">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评估组根据现场核实检查，北京文海绿源体育发展有限公司针对《丽水园小区综合楼游泳馆“12·27”一般生产安全责任事故调查报告》中提出的事故防范和整改措施建议，已基本整改落实完成。</w:t>
      </w:r>
    </w:p>
    <w:p w14:paraId="3EA5F826">
      <w:pPr>
        <w:spacing w:line="600" w:lineRule="auto"/>
        <w:jc w:val="left"/>
        <w:outlineLvl w:val="1"/>
        <w:rPr>
          <w:rFonts w:ascii="仿宋" w:hAnsi="仿宋" w:eastAsia="仿宋" w:cs="仿宋"/>
          <w:b/>
          <w:sz w:val="32"/>
          <w:szCs w:val="32"/>
        </w:rPr>
      </w:pPr>
      <w:bookmarkStart w:id="39" w:name="_Toc1062"/>
      <w:bookmarkStart w:id="40" w:name="_Toc103785031"/>
      <w:bookmarkStart w:id="41" w:name="_Toc23255"/>
      <w:r>
        <w:rPr>
          <w:rFonts w:hint="eastAsia" w:ascii="仿宋" w:hAnsi="仿宋" w:eastAsia="仿宋" w:cs="仿宋"/>
          <w:b/>
          <w:sz w:val="32"/>
          <w:szCs w:val="32"/>
        </w:rPr>
        <w:t>3.1事故调查报告中建议情况</w:t>
      </w:r>
      <w:bookmarkEnd w:id="39"/>
      <w:bookmarkEnd w:id="40"/>
      <w:bookmarkEnd w:id="41"/>
    </w:p>
    <w:p w14:paraId="41CE4AA5">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为防止类似事故再次发生，事故调查组结合调查的情况，针对事故中暴露的问题，提出如下建议措施：</w:t>
      </w:r>
    </w:p>
    <w:p w14:paraId="1DF69EB3">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w:t>
      </w:r>
      <w:r>
        <w:rPr>
          <w:rFonts w:hint="eastAsia" w:ascii="仿宋" w:hAnsi="仿宋" w:eastAsia="仿宋" w:cs="仿宋"/>
          <w:sz w:val="28"/>
          <w:szCs w:val="28"/>
          <w:lang w:eastAsia="zh-CN"/>
        </w:rPr>
        <w:t>，</w:t>
      </w:r>
      <w:r>
        <w:rPr>
          <w:rFonts w:hint="eastAsia" w:ascii="仿宋" w:hAnsi="仿宋" w:eastAsia="仿宋" w:cs="仿宋"/>
          <w:sz w:val="28"/>
          <w:szCs w:val="28"/>
        </w:rPr>
        <w:t>要加强安全管理，严格按照《体育场</w:t>
      </w:r>
      <w:r>
        <w:rPr>
          <w:rFonts w:ascii="仿宋" w:hAnsi="仿宋" w:eastAsia="仿宋" w:cs="仿宋"/>
          <w:sz w:val="28"/>
          <w:szCs w:val="28"/>
        </w:rPr>
        <w:t>所开放条件与技术要求（第一部分：游泳场所）》(GB19079.1-2013)要求，配齐游泳救生员、救生观察台等相关</w:t>
      </w:r>
      <w:r>
        <w:rPr>
          <w:rFonts w:hint="eastAsia" w:ascii="仿宋" w:hAnsi="仿宋" w:eastAsia="仿宋" w:cs="仿宋"/>
          <w:sz w:val="28"/>
          <w:szCs w:val="28"/>
        </w:rPr>
        <w:t>人员和</w:t>
      </w:r>
      <w:r>
        <w:rPr>
          <w:rFonts w:ascii="仿宋" w:hAnsi="仿宋" w:eastAsia="仿宋" w:cs="仿宋"/>
          <w:sz w:val="28"/>
          <w:szCs w:val="28"/>
        </w:rPr>
        <w:t>安全设施，同时明确具体的岗位职责；构建安全风险分级管控和隐患排查治理双重预防机制，加强安全风险</w:t>
      </w:r>
      <w:r>
        <w:rPr>
          <w:rFonts w:hint="eastAsia" w:ascii="仿宋" w:hAnsi="仿宋" w:eastAsia="仿宋" w:cs="仿宋"/>
          <w:sz w:val="28"/>
          <w:szCs w:val="28"/>
          <w:lang w:val="en-US" w:eastAsia="zh-CN"/>
        </w:rPr>
        <w:t>辨识</w:t>
      </w:r>
      <w:r>
        <w:rPr>
          <w:rFonts w:ascii="仿宋" w:hAnsi="仿宋" w:eastAsia="仿宋" w:cs="仿宋"/>
          <w:sz w:val="28"/>
          <w:szCs w:val="28"/>
        </w:rPr>
        <w:t>扣隐患排查治理</w:t>
      </w:r>
      <w:r>
        <w:rPr>
          <w:rFonts w:hint="eastAsia" w:ascii="仿宋" w:hAnsi="仿宋" w:eastAsia="仿宋" w:cs="仿宋"/>
          <w:sz w:val="28"/>
          <w:szCs w:val="28"/>
        </w:rPr>
        <w:t>，并定期组织员工开展应急救援演练，有效提高员工日常</w:t>
      </w:r>
      <w:r>
        <w:rPr>
          <w:rFonts w:ascii="仿宋" w:hAnsi="仿宋" w:eastAsia="仿宋" w:cs="仿宋"/>
          <w:sz w:val="28"/>
          <w:szCs w:val="28"/>
        </w:rPr>
        <w:t>巡查力度及处突能力，防止类似事故发生。</w:t>
      </w:r>
      <w:bookmarkStart w:id="42" w:name="_Toc103785032"/>
      <w:bookmarkStart w:id="43" w:name="_Toc9017"/>
      <w:bookmarkStart w:id="93" w:name="_GoBack"/>
      <w:bookmarkEnd w:id="93"/>
    </w:p>
    <w:p w14:paraId="552E1F62">
      <w:pPr>
        <w:spacing w:line="600" w:lineRule="auto"/>
        <w:jc w:val="left"/>
        <w:outlineLvl w:val="1"/>
        <w:rPr>
          <w:rFonts w:ascii="仿宋" w:hAnsi="仿宋" w:eastAsia="仿宋" w:cs="仿宋"/>
          <w:b/>
          <w:sz w:val="32"/>
          <w:szCs w:val="32"/>
        </w:rPr>
      </w:pPr>
      <w:bookmarkStart w:id="44" w:name="_Toc22249"/>
      <w:r>
        <w:rPr>
          <w:rFonts w:hint="eastAsia" w:ascii="仿宋" w:hAnsi="仿宋" w:eastAsia="仿宋" w:cs="仿宋"/>
          <w:b/>
          <w:sz w:val="32"/>
          <w:szCs w:val="32"/>
        </w:rPr>
        <w:t>3.2事故责任人员责任追究落实情况</w:t>
      </w:r>
      <w:bookmarkEnd w:id="42"/>
      <w:bookmarkEnd w:id="43"/>
      <w:bookmarkEnd w:id="44"/>
    </w:p>
    <w:p w14:paraId="1329B1D3">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根据企业提供相关资料查阅及现场沟通交流，对照评估标准，北京文海绿源体育发展有限公司对评估项目落实基本到位，进行了事故教育及安全培训，并对事故严格执行“四不放过”原则，针对这起事故暴露出的问题，深刻吸取事故教训。</w:t>
      </w:r>
    </w:p>
    <w:p w14:paraId="3D3EB590">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（1）落实各级安全生产责任制</w:t>
      </w:r>
    </w:p>
    <w:p w14:paraId="39F4610E">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北京文海绿源体育发展有限公司建立健全了安全生产管理机构、主要负责人、安全生产管理人员、各岗位从业人员的安全生产职责。责任制见附件5。</w:t>
      </w:r>
    </w:p>
    <w:p w14:paraId="5ADCFA4B">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2</w:t>
      </w:r>
      <w:r>
        <w:rPr>
          <w:rFonts w:hint="eastAsia" w:ascii="仿宋" w:hAnsi="仿宋" w:eastAsia="仿宋" w:cs="仿宋"/>
          <w:sz w:val="28"/>
          <w:szCs w:val="28"/>
        </w:rPr>
        <w:t>）员工教育培训</w:t>
      </w:r>
    </w:p>
    <w:p w14:paraId="7D7898AA">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北京文海绿源体育发展有限公司加强了对员工的管理，定期组织员工进行安全教育培训，加强了对作业的管理要求，教育培训记录见附件</w:t>
      </w:r>
      <w:r>
        <w:rPr>
          <w:rFonts w:ascii="仿宋" w:hAnsi="仿宋" w:eastAsia="仿宋" w:cs="仿宋"/>
          <w:sz w:val="28"/>
          <w:szCs w:val="28"/>
        </w:rPr>
        <w:t>6</w:t>
      </w:r>
      <w:r>
        <w:rPr>
          <w:rFonts w:hint="eastAsia" w:ascii="仿宋" w:hAnsi="仿宋" w:eastAsia="仿宋" w:cs="仿宋"/>
          <w:sz w:val="28"/>
          <w:szCs w:val="28"/>
        </w:rPr>
        <w:t>。</w:t>
      </w:r>
    </w:p>
    <w:p w14:paraId="6BFEBC0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ascii="仿宋" w:hAnsi="仿宋" w:eastAsia="仿宋" w:cs="仿宋"/>
          <w:sz w:val="28"/>
          <w:szCs w:val="28"/>
        </w:rPr>
        <w:t>3</w:t>
      </w:r>
      <w:r>
        <w:rPr>
          <w:rFonts w:hint="eastAsia" w:ascii="仿宋" w:hAnsi="仿宋" w:eastAsia="仿宋" w:cs="仿宋"/>
          <w:sz w:val="28"/>
          <w:szCs w:val="28"/>
        </w:rPr>
        <w:t>）安全生产责任制、管理制度及操作规程</w:t>
      </w:r>
    </w:p>
    <w:p w14:paraId="4CA949DC">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北京文海绿源体育发展有限公司对安全生产责任制、安全生产规章制度及安全操作规程进行了修订，并严格落实。安全生产规章制度见附件</w:t>
      </w:r>
      <w:r>
        <w:rPr>
          <w:rFonts w:ascii="仿宋" w:hAnsi="仿宋" w:eastAsia="仿宋" w:cs="仿宋"/>
          <w:sz w:val="28"/>
          <w:szCs w:val="28"/>
        </w:rPr>
        <w:t>7</w:t>
      </w:r>
      <w:r>
        <w:rPr>
          <w:rFonts w:hint="eastAsia" w:ascii="仿宋" w:hAnsi="仿宋" w:eastAsia="仿宋" w:cs="仿宋"/>
          <w:sz w:val="28"/>
          <w:szCs w:val="28"/>
        </w:rPr>
        <w:t>、安全生产操作规程见附件</w:t>
      </w:r>
      <w:r>
        <w:rPr>
          <w:rFonts w:ascii="仿宋" w:hAnsi="仿宋" w:eastAsia="仿宋" w:cs="仿宋"/>
          <w:sz w:val="28"/>
          <w:szCs w:val="28"/>
        </w:rPr>
        <w:t>8</w:t>
      </w:r>
      <w:r>
        <w:rPr>
          <w:rFonts w:hint="eastAsia" w:ascii="仿宋" w:hAnsi="仿宋" w:eastAsia="仿宋" w:cs="仿宋"/>
          <w:sz w:val="28"/>
          <w:szCs w:val="28"/>
        </w:rPr>
        <w:t>。</w:t>
      </w:r>
    </w:p>
    <w:p w14:paraId="16C341D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（4）安全风险分级管控和隐患排查治理双重预防工作机制</w:t>
      </w:r>
    </w:p>
    <w:p w14:paraId="1F19BBE1">
      <w:pPr>
        <w:spacing w:line="48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北京文海绿源体育发展有限公司对企业存在的风险进行了辨识，建立了日常的安全检查表，并严格落实。风险辨识清单见附件</w:t>
      </w:r>
      <w:r>
        <w:rPr>
          <w:rFonts w:ascii="仿宋" w:hAnsi="仿宋" w:eastAsia="仿宋" w:cs="仿宋"/>
          <w:sz w:val="28"/>
          <w:szCs w:val="28"/>
        </w:rPr>
        <w:t>9</w:t>
      </w:r>
      <w:r>
        <w:rPr>
          <w:rFonts w:hint="eastAsia" w:ascii="仿宋" w:hAnsi="仿宋" w:eastAsia="仿宋" w:cs="仿宋"/>
          <w:sz w:val="28"/>
          <w:szCs w:val="28"/>
        </w:rPr>
        <w:t>，日常安全检查记录表见附件</w:t>
      </w:r>
      <w:r>
        <w:rPr>
          <w:rFonts w:ascii="仿宋" w:hAnsi="仿宋" w:eastAsia="仿宋" w:cs="仿宋"/>
          <w:sz w:val="28"/>
          <w:szCs w:val="28"/>
        </w:rPr>
        <w:t>10</w:t>
      </w:r>
      <w:r>
        <w:rPr>
          <w:rFonts w:hint="eastAsia" w:ascii="仿宋" w:hAnsi="仿宋" w:eastAsia="仿宋" w:cs="仿宋"/>
          <w:sz w:val="28"/>
          <w:szCs w:val="28"/>
        </w:rPr>
        <w:t>。</w:t>
      </w:r>
    </w:p>
    <w:p w14:paraId="5A55271E">
      <w:pPr>
        <w:spacing w:line="600" w:lineRule="auto"/>
        <w:jc w:val="left"/>
        <w:outlineLvl w:val="1"/>
        <w:rPr>
          <w:rFonts w:hint="default" w:ascii="仿宋" w:hAnsi="仿宋" w:eastAsia="仿宋" w:cs="仿宋"/>
          <w:b/>
          <w:sz w:val="32"/>
          <w:szCs w:val="32"/>
          <w:lang w:val="en-US" w:eastAsia="zh-CN"/>
        </w:rPr>
      </w:pPr>
      <w:bookmarkStart w:id="45" w:name="_Toc22495"/>
      <w:r>
        <w:rPr>
          <w:rFonts w:hint="eastAsia" w:ascii="仿宋" w:hAnsi="仿宋" w:eastAsia="仿宋" w:cs="仿宋"/>
          <w:b/>
          <w:sz w:val="32"/>
          <w:szCs w:val="32"/>
          <w:lang w:val="en-US" w:eastAsia="zh-CN"/>
        </w:rPr>
        <w:t>3.3行业主管部门监督检查落实情况</w:t>
      </w:r>
      <w:bookmarkEnd w:id="45"/>
    </w:p>
    <w:p w14:paraId="430DD223">
      <w:pPr>
        <w:spacing w:line="480" w:lineRule="auto"/>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事故发生之后，</w:t>
      </w:r>
      <w:r>
        <w:rPr>
          <w:rFonts w:hint="eastAsia" w:ascii="仿宋" w:hAnsi="仿宋" w:eastAsia="仿宋" w:cs="仿宋"/>
          <w:sz w:val="28"/>
          <w:szCs w:val="28"/>
        </w:rPr>
        <w:t>北京文海绿源体育发展有限公司</w:t>
      </w:r>
      <w:r>
        <w:rPr>
          <w:rFonts w:hint="eastAsia" w:ascii="仿宋" w:hAnsi="仿宋" w:eastAsia="仿宋" w:cs="仿宋"/>
          <w:sz w:val="28"/>
          <w:szCs w:val="28"/>
          <w:lang w:val="en-US" w:eastAsia="zh-CN"/>
        </w:rPr>
        <w:t>一直处于停止运营状态，2022年6月12日开始营业，行业主管部门先后进行2次安全检查，提出整改问题，企业均已经安排整改。</w:t>
      </w:r>
    </w:p>
    <w:p w14:paraId="28D89E02">
      <w:pPr>
        <w:spacing w:line="480" w:lineRule="auto"/>
        <w:ind w:firstLine="560" w:firstLineChars="200"/>
        <w:rPr>
          <w:rFonts w:hint="eastAsia" w:ascii="仿宋" w:hAnsi="仿宋" w:eastAsia="仿宋" w:cs="仿宋"/>
          <w:sz w:val="28"/>
          <w:szCs w:val="28"/>
        </w:rPr>
      </w:pPr>
    </w:p>
    <w:p w14:paraId="12583A4A">
      <w:pPr>
        <w:spacing w:line="720" w:lineRule="auto"/>
        <w:jc w:val="left"/>
        <w:outlineLvl w:val="0"/>
        <w:rPr>
          <w:rFonts w:ascii="仿宋" w:hAnsi="仿宋" w:eastAsia="仿宋" w:cs="仿宋"/>
          <w:b/>
          <w:sz w:val="36"/>
          <w:szCs w:val="36"/>
        </w:rPr>
      </w:pPr>
      <w:r>
        <w:rPr>
          <w:rFonts w:hint="eastAsia" w:ascii="仿宋" w:hAnsi="仿宋" w:eastAsia="仿宋" w:cs="仿宋"/>
          <w:sz w:val="28"/>
          <w:szCs w:val="28"/>
        </w:rPr>
        <w:br w:type="page"/>
      </w:r>
      <w:bookmarkStart w:id="46" w:name="_Toc14564"/>
      <w:bookmarkStart w:id="47" w:name="_Toc103785033"/>
      <w:bookmarkStart w:id="48" w:name="_Toc13551"/>
      <w:r>
        <w:rPr>
          <w:rFonts w:hint="eastAsia" w:ascii="仿宋" w:hAnsi="仿宋" w:eastAsia="仿宋" w:cs="仿宋"/>
          <w:b/>
          <w:sz w:val="36"/>
          <w:szCs w:val="36"/>
        </w:rPr>
        <w:t>4评估建议</w:t>
      </w:r>
      <w:bookmarkEnd w:id="46"/>
      <w:bookmarkEnd w:id="47"/>
      <w:bookmarkEnd w:id="48"/>
    </w:p>
    <w:p w14:paraId="417A4D34">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对事故调查报告里提出的事故防范和整改措施建议基本落实到位，对其相关责任人员进行了处分，责任追究落实到位。评估组认为北京文海绿源体育发展有限公司“12·27”一般生产安全事故责任追究和整改措施落实情况基本符合《中华人民共和国安全生产法》（国家主席令第88号）、《生产安全事故报告和调查处理条例》（国务院令第493号）、《北京市生产安全事故报告和调查处理办法》（北京市政府令217号）等要求。</w:t>
      </w:r>
    </w:p>
    <w:p w14:paraId="58947B0D">
      <w:pPr>
        <w:spacing w:line="480" w:lineRule="auto"/>
        <w:jc w:val="left"/>
        <w:rPr>
          <w:rFonts w:ascii="仿宋" w:hAnsi="仿宋" w:eastAsia="仿宋" w:cs="仿宋"/>
          <w:sz w:val="28"/>
          <w:szCs w:val="28"/>
        </w:rPr>
      </w:pPr>
    </w:p>
    <w:p w14:paraId="64DAEF20">
      <w:pPr>
        <w:spacing w:line="600" w:lineRule="auto"/>
        <w:jc w:val="left"/>
        <w:outlineLvl w:val="1"/>
        <w:rPr>
          <w:rFonts w:ascii="仿宋" w:hAnsi="仿宋" w:eastAsia="仿宋" w:cs="仿宋"/>
          <w:b/>
          <w:sz w:val="32"/>
          <w:szCs w:val="32"/>
        </w:rPr>
      </w:pPr>
      <w:bookmarkStart w:id="49" w:name="_Toc103785034"/>
      <w:bookmarkStart w:id="50" w:name="_Toc6815"/>
      <w:bookmarkStart w:id="51" w:name="_Toc23254"/>
      <w:r>
        <w:rPr>
          <w:rFonts w:hint="eastAsia" w:ascii="仿宋" w:hAnsi="仿宋" w:eastAsia="仿宋" w:cs="仿宋"/>
          <w:b/>
          <w:sz w:val="32"/>
          <w:szCs w:val="32"/>
        </w:rPr>
        <w:t>4.1评估总体建议</w:t>
      </w:r>
      <w:bookmarkEnd w:id="49"/>
      <w:bookmarkEnd w:id="50"/>
      <w:bookmarkEnd w:id="51"/>
    </w:p>
    <w:p w14:paraId="1242BD37">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结合《丽水园小区综合楼游泳馆“12·27”一般生产安全责任事故调查报告》，对北京文海绿源体育发展有限公司的事故防范和整改建议措施现场评估情况，经过对现场基础资料的查阅、相关人员的询问调查，对评估表逐条、逐项进行评估，最终确认北京文海绿源体育发展有限公司在现场评估过程中，对事故调查报告里要求整改项基本落实到位，对该公司应处理的人员处罚已经基本落实。</w:t>
      </w:r>
    </w:p>
    <w:p w14:paraId="5DB0FDA1">
      <w:pPr>
        <w:spacing w:line="480" w:lineRule="auto"/>
        <w:jc w:val="left"/>
        <w:rPr>
          <w:rFonts w:ascii="仿宋" w:hAnsi="仿宋" w:eastAsia="仿宋" w:cs="仿宋"/>
          <w:sz w:val="28"/>
          <w:szCs w:val="28"/>
        </w:rPr>
      </w:pPr>
    </w:p>
    <w:p w14:paraId="4044E9A8">
      <w:pPr>
        <w:spacing w:line="600" w:lineRule="auto"/>
        <w:jc w:val="left"/>
        <w:outlineLvl w:val="1"/>
        <w:rPr>
          <w:rFonts w:ascii="仿宋" w:hAnsi="仿宋" w:eastAsia="仿宋" w:cs="仿宋"/>
          <w:b/>
          <w:sz w:val="32"/>
          <w:szCs w:val="32"/>
        </w:rPr>
      </w:pPr>
      <w:bookmarkStart w:id="52" w:name="_Toc32688"/>
      <w:bookmarkStart w:id="53" w:name="_Toc23303"/>
      <w:bookmarkStart w:id="54" w:name="_Toc103785035"/>
      <w:r>
        <w:rPr>
          <w:rFonts w:hint="eastAsia" w:ascii="仿宋" w:hAnsi="仿宋" w:eastAsia="仿宋" w:cs="仿宋"/>
          <w:b/>
          <w:sz w:val="32"/>
          <w:szCs w:val="32"/>
        </w:rPr>
        <w:t>4.2专家现场建议</w:t>
      </w:r>
      <w:bookmarkEnd w:id="52"/>
      <w:bookmarkEnd w:id="53"/>
      <w:bookmarkEnd w:id="54"/>
    </w:p>
    <w:p w14:paraId="63B3589A">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此次评估仅对事故报告中提及的现场整改措施落实情况进行评估。经过现场检查评估组认为：北京文海绿源体育发展有限公司对事故调查报告里要求的现场整改项基本落实到位。</w:t>
      </w:r>
    </w:p>
    <w:p w14:paraId="20CCDB04">
      <w:pPr>
        <w:spacing w:line="720" w:lineRule="auto"/>
        <w:jc w:val="left"/>
        <w:outlineLvl w:val="0"/>
        <w:rPr>
          <w:rFonts w:ascii="仿宋" w:hAnsi="仿宋" w:eastAsia="仿宋" w:cs="仿宋"/>
          <w:b/>
          <w:sz w:val="36"/>
          <w:szCs w:val="36"/>
        </w:rPr>
      </w:pPr>
      <w:bookmarkStart w:id="55" w:name="_Toc79160869"/>
      <w:bookmarkStart w:id="56" w:name="_Toc18738"/>
      <w:bookmarkStart w:id="57" w:name="_Toc6756"/>
      <w:bookmarkStart w:id="58" w:name="_Toc103785036"/>
      <w:r>
        <w:rPr>
          <w:rFonts w:hint="eastAsia" w:ascii="仿宋" w:hAnsi="仿宋" w:eastAsia="仿宋" w:cs="仿宋"/>
          <w:b/>
          <w:sz w:val="36"/>
          <w:szCs w:val="36"/>
        </w:rPr>
        <w:t>5评估结论</w:t>
      </w:r>
      <w:bookmarkEnd w:id="55"/>
      <w:bookmarkEnd w:id="56"/>
      <w:bookmarkEnd w:id="57"/>
      <w:bookmarkEnd w:id="58"/>
    </w:p>
    <w:p w14:paraId="5174C1BD">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此次评估仅对事故报告中提及的处理建议和整改措施落实情况进行评估。经过前期评估组调研走访、现场评估检查及后期评估组与专家进行研讨，评估组认为：</w:t>
      </w:r>
    </w:p>
    <w:p w14:paraId="682634A6">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事故发生后，昌平区应急管理局等依法对相关责任单位及人员进行了责任追究，北京文海绿源体育发展有限公司按照事故调查报告的要求对相关责任人员进行了党政纪处分，责任追究基本落实到位。</w:t>
      </w:r>
    </w:p>
    <w:p w14:paraId="70FBC818">
      <w:pPr>
        <w:spacing w:line="480" w:lineRule="auto"/>
        <w:ind w:firstLine="560" w:firstLineChars="200"/>
        <w:rPr>
          <w:rFonts w:ascii="仿宋" w:hAnsi="仿宋" w:eastAsia="仿宋" w:cs="仿宋"/>
          <w:sz w:val="28"/>
          <w:szCs w:val="28"/>
        </w:rPr>
      </w:pPr>
      <w:r>
        <w:rPr>
          <w:rFonts w:hint="eastAsia" w:ascii="仿宋" w:hAnsi="仿宋" w:eastAsia="仿宋" w:cs="仿宋"/>
          <w:sz w:val="28"/>
          <w:szCs w:val="28"/>
        </w:rPr>
        <w:t>北京文海绿源体育发展有限公司在现场评估过程中，对事故调查报告里要求整改项基本落实到位，评估组认为北京文海绿源体育发展有限公司一般生产安全事故责任追究和整改措施落实基本符合《中华人民共和国安全生产法》（国家主席令第88号）、《生产安全事故报告和调查处理条例》（国务院令第493号）、《国务院安委会办公室关于印发生产安全事故防范和整改措施落实情况评估办法的通知》（安委办〔2021〕4号）、《北京市生产安全事故报告和调查处理办法》（北京市政府令217号）、《北京市生产安全事故隐患排查治理办法》（北京市人民政府令第266号）的要求。</w:t>
      </w:r>
    </w:p>
    <w:p w14:paraId="02441032">
      <w:pPr>
        <w:spacing w:line="480" w:lineRule="auto"/>
        <w:ind w:firstLine="560" w:firstLineChars="200"/>
        <w:jc w:val="left"/>
        <w:rPr>
          <w:rFonts w:ascii="仿宋" w:hAnsi="仿宋" w:eastAsia="仿宋" w:cs="仿宋"/>
          <w:sz w:val="28"/>
          <w:szCs w:val="28"/>
        </w:rPr>
      </w:pPr>
    </w:p>
    <w:p w14:paraId="35882FE8">
      <w:pPr>
        <w:spacing w:line="480" w:lineRule="auto"/>
        <w:ind w:firstLine="560" w:firstLineChars="200"/>
        <w:jc w:val="left"/>
        <w:rPr>
          <w:rFonts w:ascii="仿宋" w:hAnsi="仿宋" w:eastAsia="仿宋" w:cs="仿宋"/>
          <w:sz w:val="28"/>
          <w:szCs w:val="28"/>
        </w:rPr>
      </w:pPr>
      <w:r>
        <w:rPr>
          <w:rFonts w:hint="eastAsia" w:ascii="仿宋" w:hAnsi="仿宋" w:eastAsia="仿宋" w:cs="仿宋"/>
          <w:sz w:val="28"/>
          <w:szCs w:val="28"/>
        </w:rPr>
        <w:br w:type="page"/>
      </w:r>
    </w:p>
    <w:p w14:paraId="70870BA0">
      <w:pPr>
        <w:spacing w:line="720" w:lineRule="auto"/>
        <w:jc w:val="left"/>
        <w:outlineLvl w:val="0"/>
        <w:rPr>
          <w:rFonts w:ascii="仿宋" w:hAnsi="仿宋" w:eastAsia="仿宋" w:cs="仿宋"/>
          <w:b/>
          <w:sz w:val="36"/>
          <w:szCs w:val="36"/>
        </w:rPr>
      </w:pPr>
      <w:bookmarkStart w:id="59" w:name="_Toc103785037"/>
      <w:bookmarkStart w:id="60" w:name="_Toc29310"/>
      <w:bookmarkStart w:id="61" w:name="_Toc9516"/>
      <w:r>
        <w:rPr>
          <w:rFonts w:ascii="仿宋" w:hAnsi="仿宋" w:eastAsia="仿宋" w:cs="仿宋"/>
          <w:b/>
          <w:sz w:val="36"/>
          <w:szCs w:val="36"/>
        </w:rPr>
        <w:t>6</w:t>
      </w:r>
      <w:r>
        <w:rPr>
          <w:rFonts w:hint="eastAsia" w:ascii="仿宋" w:hAnsi="仿宋" w:eastAsia="仿宋" w:cs="仿宋"/>
          <w:b/>
          <w:sz w:val="36"/>
          <w:szCs w:val="36"/>
        </w:rPr>
        <w:t>附件</w:t>
      </w:r>
      <w:bookmarkEnd w:id="59"/>
      <w:bookmarkEnd w:id="60"/>
      <w:bookmarkEnd w:id="61"/>
    </w:p>
    <w:p w14:paraId="507FC4BB">
      <w:pPr>
        <w:spacing w:line="600" w:lineRule="auto"/>
        <w:jc w:val="left"/>
        <w:outlineLvl w:val="1"/>
        <w:rPr>
          <w:rFonts w:ascii="仿宋" w:hAnsi="仿宋" w:eastAsia="仿宋" w:cs="仿宋"/>
          <w:b/>
          <w:sz w:val="30"/>
          <w:szCs w:val="30"/>
        </w:rPr>
      </w:pPr>
      <w:bookmarkStart w:id="62" w:name="_Toc103785038"/>
      <w:bookmarkStart w:id="63" w:name="_Toc1474"/>
      <w:bookmarkStart w:id="64" w:name="_Toc8128"/>
      <w:r>
        <w:rPr>
          <w:rFonts w:hint="eastAsia" w:ascii="仿宋" w:hAnsi="仿宋" w:eastAsia="仿宋" w:cs="仿宋"/>
          <w:b/>
          <w:sz w:val="30"/>
          <w:szCs w:val="30"/>
        </w:rPr>
        <w:t>附件1：事故调查报告</w:t>
      </w:r>
      <w:bookmarkEnd w:id="62"/>
      <w:bookmarkEnd w:id="63"/>
      <w:bookmarkEnd w:id="64"/>
    </w:p>
    <w:p w14:paraId="177F5415">
      <w:pPr>
        <w:pStyle w:val="5"/>
      </w:pPr>
      <w:r>
        <w:rPr>
          <w:lang w:val="en-US" w:bidi="ar-SA"/>
        </w:rPr>
        <w:drawing>
          <wp:inline distT="0" distB="0" distL="0" distR="0">
            <wp:extent cx="5396865" cy="7632700"/>
            <wp:effectExtent l="0" t="0" r="0" b="6350"/>
            <wp:docPr id="1" name="图片 1" descr="I:\1工作\昌平事后风险评估\6北京文海绿源体育发展有限公司\事故调查报告\20220620162054-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1工作\昌平事后风险评估\6北京文海绿源体育发展有限公司\事故调查报告\20220620162054-0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 name="图片 2" descr="I:\1工作\昌平事后风险评估\6北京文海绿源体育发展有限公司\事故调查报告\20220620162054-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1工作\昌平事后风险评估\6北京文海绿源体育发展有限公司\事故调查报告\20220620162054-00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3" name="图片 3" descr="I:\1工作\昌平事后风险评估\6北京文海绿源体育发展有限公司\事故调查报告\20220620162054-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1工作\昌平事后风险评估\6北京文海绿源体育发展有限公司\事故调查报告\20220620162054-000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4" name="图片 4" descr="I:\1工作\昌平事后风险评估\6北京文海绿源体育发展有限公司\事故调查报告\20220620162054-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1工作\昌平事后风险评估\6北京文海绿源体育发展有限公司\事故调查报告\20220620162054-000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5" name="图片 5" descr="I:\1工作\昌平事后风险评估\6北京文海绿源体育发展有限公司\事故调查报告\20220620162054-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1工作\昌平事后风险评估\6北京文海绿源体育发展有限公司\事故调查报告\20220620162054-00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6" name="图片 6" descr="I:\1工作\昌平事后风险评估\6北京文海绿源体育发展有限公司\事故调查报告\20220620162054-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1工作\昌平事后风险评估\6北京文海绿源体育发展有限公司\事故调查报告\20220620162054-00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7" name="图片 7" descr="I:\1工作\昌平事后风险评估\6北京文海绿源体育发展有限公司\事故调查报告\20220620162054-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1工作\昌平事后风险评估\6北京文海绿源体育发展有限公司\事故调查报告\20220620162054-00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8" name="图片 8" descr="I:\1工作\昌平事后风险评估\6北京文海绿源体育发展有限公司\事故调查报告\20220620162054-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1工作\昌平事后风险评估\6北京文海绿源体育发展有限公司\事故调查报告\20220620162054-000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0" name="图片 10" descr="I:\1工作\昌平事后风险评估\6北京文海绿源体育发展有限公司\事故调查报告\20220620162054-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1工作\昌平事后风险评估\6北京文海绿源体育发展有限公司\事故调查报告\20220620162054-000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1" name="图片 11" descr="I:\1工作\昌平事后风险评估\6北京文海绿源体育发展有限公司\事故调查报告\20220620162054-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1工作\昌平事后风险评估\6北京文海绿源体育发展有限公司\事故调查报告\20220620162054-001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2" name="图片 12" descr="I:\1工作\昌平事后风险评估\6北京文海绿源体育发展有限公司\事故调查报告\20220620162054-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1工作\昌平事后风险评估\6北京文海绿源体育发展有限公司\事故调查报告\20220620162054-001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3" name="图片 13" descr="I:\1工作\昌平事后风险评估\6北京文海绿源体育发展有限公司\事故调查报告\20220620162054-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1工作\昌平事后风险评估\6北京文海绿源体育发展有限公司\事故调查报告\20220620162054-001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4" name="图片 14" descr="I:\1工作\昌平事后风险评估\6北京文海绿源体育发展有限公司\事故调查报告\20220620162054-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1工作\昌平事后风险评估\6北京文海绿源体育发展有限公司\事故调查报告\20220620162054-001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5" name="图片 15" descr="I:\1工作\昌平事后风险评估\6北京文海绿源体育发展有限公司\事故调查报告\20220620162054-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1工作\昌平事后风险评估\6北京文海绿源体育发展有限公司\事故调查报告\20220620162054-001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6" name="图片 16" descr="I:\1工作\昌平事后风险评估\6北京文海绿源体育发展有限公司\事故调查报告\20220620162054-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1工作\昌平事后风险评估\6北京文海绿源体育发展有限公司\事故调查报告\20220620162054-0015.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7" name="图片 17" descr="I:\1工作\昌平事后风险评估\6北京文海绿源体育发展有限公司\事故调查报告\20220620162054-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1工作\昌平事后风险评估\6北京文海绿源体育发展有限公司\事故调查报告\20220620162054-001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8" name="图片 18" descr="I:\1工作\昌平事后风险评估\6北京文海绿源体育发展有限公司\事故调查报告\20220620162054-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1工作\昌平事后风险评估\6北京文海绿源体育发展有限公司\事故调查报告\20220620162054-001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19" name="图片 19" descr="I:\1工作\昌平事后风险评估\6北京文海绿源体育发展有限公司\事故调查报告\20220620162054-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1工作\昌平事后风险评估\6北京文海绿源体育发展有限公司\事故调查报告\20220620162054-0018.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14:paraId="43145FB8">
      <w:pPr>
        <w:widowControl/>
        <w:jc w:val="left"/>
        <w:rPr>
          <w:rFonts w:ascii="仿宋" w:hAnsi="仿宋" w:eastAsia="仿宋" w:cs="仿宋"/>
          <w:sz w:val="28"/>
          <w:szCs w:val="28"/>
        </w:rPr>
      </w:pPr>
      <w:r>
        <w:rPr>
          <w:rFonts w:ascii="仿宋" w:hAnsi="仿宋" w:eastAsia="仿宋" w:cs="仿宋"/>
          <w:sz w:val="28"/>
          <w:szCs w:val="28"/>
        </w:rPr>
        <w:br w:type="page"/>
      </w:r>
    </w:p>
    <w:p w14:paraId="14905A0E">
      <w:pPr>
        <w:spacing w:line="600" w:lineRule="auto"/>
        <w:jc w:val="left"/>
        <w:outlineLvl w:val="1"/>
        <w:rPr>
          <w:rFonts w:hint="eastAsia" w:ascii="仿宋" w:hAnsi="仿宋" w:eastAsia="仿宋" w:cs="仿宋"/>
          <w:b/>
          <w:color w:val="auto"/>
          <w:sz w:val="30"/>
          <w:szCs w:val="30"/>
        </w:rPr>
      </w:pPr>
      <w:bookmarkStart w:id="65" w:name="_Toc3745"/>
      <w:bookmarkStart w:id="66" w:name="_Toc103785039"/>
      <w:bookmarkStart w:id="67" w:name="_Toc11453"/>
      <w:r>
        <w:rPr>
          <w:rFonts w:hint="eastAsia" w:ascii="仿宋" w:hAnsi="仿宋" w:eastAsia="仿宋" w:cs="仿宋"/>
          <w:b/>
          <w:color w:val="auto"/>
          <w:sz w:val="30"/>
          <w:szCs w:val="30"/>
        </w:rPr>
        <w:t>附件2：行政处罚决定书</w:t>
      </w:r>
      <w:bookmarkEnd w:id="65"/>
    </w:p>
    <w:p w14:paraId="0A92F3AB">
      <w:pPr>
        <w:bidi w:val="0"/>
        <w:rPr>
          <w:rFonts w:hint="eastAsia" w:eastAsiaTheme="minorEastAsia"/>
          <w:lang w:eastAsia="zh-CN"/>
        </w:rPr>
      </w:pPr>
      <w:r>
        <w:rPr>
          <w:rFonts w:hint="eastAsia" w:eastAsiaTheme="minorEastAsia"/>
          <w:lang w:eastAsia="zh-CN"/>
        </w:rPr>
        <w:drawing>
          <wp:inline distT="0" distB="0" distL="114300" distR="114300">
            <wp:extent cx="5391785" cy="7628255"/>
            <wp:effectExtent l="0" t="0" r="18415" b="10795"/>
            <wp:docPr id="34" name="图片 34" descr="20220620161927-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0220620161927-0014"/>
                    <pic:cNvPicPr>
                      <a:picLocks noChangeAspect="1"/>
                    </pic:cNvPicPr>
                  </pic:nvPicPr>
                  <pic:blipFill>
                    <a:blip r:embed="rId36"/>
                    <a:stretch>
                      <a:fillRect/>
                    </a:stretch>
                  </pic:blipFill>
                  <pic:spPr>
                    <a:xfrm>
                      <a:off x="0" y="0"/>
                      <a:ext cx="5391785" cy="7628255"/>
                    </a:xfrm>
                    <a:prstGeom prst="rect">
                      <a:avLst/>
                    </a:prstGeom>
                  </pic:spPr>
                </pic:pic>
              </a:graphicData>
            </a:graphic>
          </wp:inline>
        </w:drawing>
      </w:r>
    </w:p>
    <w:p w14:paraId="49A85491">
      <w:pPr>
        <w:rPr>
          <w:rFonts w:hint="eastAsia" w:ascii="仿宋" w:hAnsi="仿宋" w:eastAsia="仿宋" w:cs="仿宋"/>
          <w:b/>
          <w:color w:val="auto"/>
          <w:sz w:val="30"/>
          <w:szCs w:val="30"/>
        </w:rPr>
      </w:pPr>
      <w:r>
        <w:rPr>
          <w:rFonts w:hint="eastAsia" w:ascii="仿宋" w:hAnsi="仿宋" w:eastAsia="仿宋" w:cs="仿宋"/>
          <w:b/>
          <w:color w:val="auto"/>
          <w:sz w:val="30"/>
          <w:szCs w:val="30"/>
        </w:rPr>
        <w:br w:type="page"/>
      </w:r>
    </w:p>
    <w:p w14:paraId="748F35DB">
      <w:pPr>
        <w:spacing w:line="600" w:lineRule="auto"/>
        <w:jc w:val="left"/>
        <w:outlineLvl w:val="1"/>
        <w:rPr>
          <w:rFonts w:hint="eastAsia" w:ascii="仿宋" w:hAnsi="仿宋" w:eastAsia="仿宋" w:cs="仿宋"/>
          <w:b/>
          <w:color w:val="auto"/>
          <w:sz w:val="30"/>
          <w:szCs w:val="30"/>
        </w:rPr>
      </w:pPr>
      <w:bookmarkStart w:id="68" w:name="_Toc7051"/>
      <w:r>
        <w:rPr>
          <w:rFonts w:hint="eastAsia" w:ascii="仿宋" w:hAnsi="仿宋" w:eastAsia="仿宋" w:cs="仿宋"/>
          <w:b/>
          <w:color w:val="auto"/>
          <w:sz w:val="30"/>
          <w:szCs w:val="30"/>
        </w:rPr>
        <w:t>附件</w:t>
      </w:r>
      <w:r>
        <w:rPr>
          <w:rFonts w:hint="eastAsia" w:ascii="仿宋" w:hAnsi="仿宋" w:eastAsia="仿宋" w:cs="仿宋"/>
          <w:b/>
          <w:color w:val="auto"/>
          <w:sz w:val="30"/>
          <w:szCs w:val="30"/>
          <w:lang w:val="en-US" w:eastAsia="zh-CN"/>
        </w:rPr>
        <w:t>3</w:t>
      </w:r>
      <w:r>
        <w:rPr>
          <w:rFonts w:hint="eastAsia" w:ascii="仿宋" w:hAnsi="仿宋" w:eastAsia="仿宋" w:cs="仿宋"/>
          <w:b/>
          <w:color w:val="auto"/>
          <w:sz w:val="30"/>
          <w:szCs w:val="30"/>
        </w:rPr>
        <w:t>：</w:t>
      </w:r>
      <w:r>
        <w:rPr>
          <w:rFonts w:hint="eastAsia" w:ascii="仿宋" w:hAnsi="仿宋" w:eastAsia="仿宋" w:cs="仿宋"/>
          <w:b/>
          <w:color w:val="auto"/>
          <w:sz w:val="30"/>
          <w:szCs w:val="30"/>
          <w:lang w:val="en-US" w:eastAsia="zh-CN"/>
        </w:rPr>
        <w:t>个人</w:t>
      </w:r>
      <w:r>
        <w:rPr>
          <w:rFonts w:hint="eastAsia" w:ascii="仿宋" w:hAnsi="仿宋" w:eastAsia="仿宋" w:cs="仿宋"/>
          <w:b/>
          <w:color w:val="auto"/>
          <w:sz w:val="30"/>
          <w:szCs w:val="30"/>
        </w:rPr>
        <w:t>行政处罚决定书</w:t>
      </w:r>
      <w:bookmarkEnd w:id="66"/>
      <w:bookmarkEnd w:id="67"/>
      <w:bookmarkEnd w:id="68"/>
    </w:p>
    <w:p w14:paraId="68E3C8C8">
      <w:pPr>
        <w:bidi w:val="0"/>
        <w:rPr>
          <w:rFonts w:hint="eastAsia"/>
          <w:lang w:eastAsia="zh-CN"/>
        </w:rPr>
      </w:pPr>
      <w:r>
        <w:rPr>
          <w:rFonts w:hint="eastAsia"/>
          <w:lang w:eastAsia="zh-CN"/>
        </w:rPr>
        <w:drawing>
          <wp:inline distT="0" distB="0" distL="114300" distR="114300">
            <wp:extent cx="5391785" cy="7628255"/>
            <wp:effectExtent l="0" t="0" r="18415" b="10795"/>
            <wp:docPr id="33" name="图片 33" descr="20220620161927-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0220620161927-0016"/>
                    <pic:cNvPicPr>
                      <a:picLocks noChangeAspect="1"/>
                    </pic:cNvPicPr>
                  </pic:nvPicPr>
                  <pic:blipFill>
                    <a:blip r:embed="rId37"/>
                    <a:stretch>
                      <a:fillRect/>
                    </a:stretch>
                  </pic:blipFill>
                  <pic:spPr>
                    <a:xfrm>
                      <a:off x="0" y="0"/>
                      <a:ext cx="5391785" cy="7628255"/>
                    </a:xfrm>
                    <a:prstGeom prst="rect">
                      <a:avLst/>
                    </a:prstGeom>
                  </pic:spPr>
                </pic:pic>
              </a:graphicData>
            </a:graphic>
          </wp:inline>
        </w:drawing>
      </w:r>
    </w:p>
    <w:p w14:paraId="036E1E44">
      <w:pPr>
        <w:bidi w:val="0"/>
        <w:rPr>
          <w:rFonts w:hint="eastAsia"/>
        </w:rPr>
      </w:pPr>
    </w:p>
    <w:p w14:paraId="7509C53D">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Times New Roman" w:hAnsi="Times New Roman" w:eastAsia="Times New Roman" w:cs="Times New Roman"/>
          <w:snapToGrid w:val="0"/>
          <w:color w:val="000000"/>
          <w:w w:val="0"/>
          <w:kern w:val="0"/>
          <w:sz w:val="0"/>
          <w:szCs w:val="0"/>
          <w:u w:color="000000"/>
          <w:shd w:val="clear" w:color="000000" w:fill="000000"/>
        </w:rPr>
        <w:drawing>
          <wp:inline distT="0" distB="0" distL="0" distR="0">
            <wp:extent cx="5396865" cy="7632700"/>
            <wp:effectExtent l="0" t="0" r="0" b="6350"/>
            <wp:docPr id="20" name="图片 20" descr="I:\1工作\昌平事后风险评估\6北京文海绿源体育发展有限公司\扫描件\处罚\20220620161927-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1工作\昌平事后风险评估\6北京文海绿源体育发展有限公司\扫描件\处罚\20220620161927-001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14:paraId="13E5E2E4">
      <w:pPr>
        <w:widowControl/>
        <w:jc w:val="left"/>
        <w:rPr>
          <w:rFonts w:ascii="仿宋" w:hAnsi="仿宋" w:eastAsia="仿宋" w:cs="仿宋"/>
          <w:b/>
          <w:sz w:val="30"/>
          <w:szCs w:val="30"/>
        </w:rPr>
      </w:pPr>
      <w:r>
        <w:rPr>
          <w:rFonts w:ascii="仿宋" w:hAnsi="仿宋" w:eastAsia="仿宋" w:cs="仿宋"/>
          <w:b/>
          <w:sz w:val="30"/>
          <w:szCs w:val="30"/>
        </w:rPr>
        <w:br w:type="page"/>
      </w:r>
    </w:p>
    <w:p w14:paraId="18310A17">
      <w:pPr>
        <w:spacing w:line="600" w:lineRule="auto"/>
        <w:jc w:val="left"/>
        <w:outlineLvl w:val="1"/>
        <w:rPr>
          <w:rFonts w:ascii="仿宋" w:hAnsi="仿宋" w:eastAsia="仿宋" w:cs="仿宋"/>
          <w:b/>
          <w:color w:val="auto"/>
          <w:sz w:val="30"/>
          <w:szCs w:val="30"/>
        </w:rPr>
      </w:pPr>
      <w:bookmarkStart w:id="69" w:name="_Toc103785040"/>
      <w:bookmarkStart w:id="70" w:name="_Toc18410"/>
      <w:bookmarkStart w:id="71" w:name="_Toc26408"/>
      <w:r>
        <w:rPr>
          <w:rFonts w:hint="eastAsia" w:ascii="仿宋" w:hAnsi="仿宋" w:eastAsia="仿宋" w:cs="仿宋"/>
          <w:b/>
          <w:color w:val="auto"/>
          <w:sz w:val="30"/>
          <w:szCs w:val="30"/>
        </w:rPr>
        <w:t>附件</w:t>
      </w:r>
      <w:r>
        <w:rPr>
          <w:rFonts w:hint="eastAsia" w:ascii="仿宋" w:hAnsi="仿宋" w:eastAsia="仿宋" w:cs="仿宋"/>
          <w:b/>
          <w:color w:val="auto"/>
          <w:sz w:val="30"/>
          <w:szCs w:val="30"/>
          <w:lang w:val="en-US" w:eastAsia="zh-CN"/>
        </w:rPr>
        <w:t>4</w:t>
      </w:r>
      <w:r>
        <w:rPr>
          <w:rFonts w:hint="eastAsia" w:ascii="仿宋" w:hAnsi="仿宋" w:eastAsia="仿宋" w:cs="仿宋"/>
          <w:b/>
          <w:color w:val="auto"/>
          <w:sz w:val="30"/>
          <w:szCs w:val="30"/>
        </w:rPr>
        <w:t>：</w:t>
      </w:r>
      <w:r>
        <w:rPr>
          <w:rFonts w:hint="eastAsia" w:ascii="仿宋" w:hAnsi="仿宋" w:eastAsia="仿宋" w:cs="仿宋"/>
          <w:b/>
          <w:color w:val="auto"/>
          <w:sz w:val="30"/>
          <w:szCs w:val="30"/>
          <w:lang w:val="en-US" w:eastAsia="zh-CN"/>
        </w:rPr>
        <w:t>个人</w:t>
      </w:r>
      <w:r>
        <w:rPr>
          <w:rFonts w:hint="eastAsia" w:ascii="仿宋" w:hAnsi="仿宋" w:eastAsia="仿宋" w:cs="仿宋"/>
          <w:b/>
          <w:color w:val="auto"/>
          <w:sz w:val="30"/>
          <w:szCs w:val="30"/>
        </w:rPr>
        <w:t>罚款缴费证明</w:t>
      </w:r>
      <w:bookmarkEnd w:id="69"/>
      <w:bookmarkEnd w:id="70"/>
      <w:bookmarkEnd w:id="71"/>
    </w:p>
    <w:p w14:paraId="7429914E">
      <w:pPr>
        <w:pStyle w:val="5"/>
        <w:rPr>
          <w:rFonts w:ascii="仿宋" w:hAnsi="仿宋" w:eastAsia="仿宋" w:cs="仿宋"/>
        </w:rPr>
      </w:pP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eastAsia="Times New Roman" w:cs="Times New Roman"/>
          <w:snapToGrid w:val="0"/>
          <w:color w:val="000000"/>
          <w:w w:val="0"/>
          <w:sz w:val="0"/>
          <w:szCs w:val="0"/>
          <w:u w:color="000000"/>
          <w:shd w:val="clear" w:color="000000" w:fill="000000"/>
          <w:lang w:val="en-US" w:bidi="ar-SA"/>
        </w:rPr>
        <w:drawing>
          <wp:inline distT="0" distB="0" distL="0" distR="0">
            <wp:extent cx="5396865" cy="7632700"/>
            <wp:effectExtent l="0" t="0" r="0" b="6350"/>
            <wp:docPr id="21" name="图片 21" descr="I:\1工作\昌平事后风险评估\6北京文海绿源体育发展有限公司\扫描件\处罚\20220620161927-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1工作\昌平事后风险评估\6北京文海绿源体育发展有限公司\扫描件\处罚\20220620161927-0017.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14:paraId="4679F389">
      <w:pPr>
        <w:widowControl/>
        <w:jc w:val="left"/>
        <w:rPr>
          <w:rFonts w:ascii="仿宋" w:hAnsi="仿宋" w:eastAsia="仿宋" w:cs="仿宋"/>
          <w:sz w:val="28"/>
          <w:szCs w:val="28"/>
        </w:rPr>
      </w:pPr>
      <w:r>
        <w:rPr>
          <w:rFonts w:ascii="仿宋" w:hAnsi="仿宋" w:eastAsia="仿宋" w:cs="仿宋"/>
          <w:sz w:val="28"/>
          <w:szCs w:val="28"/>
        </w:rPr>
        <w:br w:type="page"/>
      </w:r>
    </w:p>
    <w:p w14:paraId="78808268">
      <w:pPr>
        <w:spacing w:line="600" w:lineRule="auto"/>
        <w:jc w:val="left"/>
        <w:outlineLvl w:val="1"/>
        <w:rPr>
          <w:rFonts w:ascii="仿宋" w:hAnsi="仿宋" w:eastAsia="仿宋" w:cs="仿宋"/>
          <w:b/>
          <w:sz w:val="30"/>
          <w:szCs w:val="30"/>
        </w:rPr>
      </w:pPr>
      <w:bookmarkStart w:id="72" w:name="_Toc11370"/>
      <w:bookmarkStart w:id="73" w:name="_Toc103785042"/>
      <w:bookmarkStart w:id="74" w:name="_Toc13051"/>
      <w:r>
        <w:rPr>
          <w:rFonts w:hint="eastAsia" w:ascii="仿宋" w:hAnsi="仿宋" w:eastAsia="仿宋" w:cs="仿宋"/>
          <w:b/>
          <w:sz w:val="30"/>
          <w:szCs w:val="30"/>
        </w:rPr>
        <w:t>附件5：安全生产责任制</w:t>
      </w:r>
      <w:bookmarkEnd w:id="72"/>
      <w:bookmarkEnd w:id="73"/>
    </w:p>
    <w:p w14:paraId="49228C14">
      <w:r>
        <w:drawing>
          <wp:inline distT="0" distB="0" distL="0" distR="0">
            <wp:extent cx="5396865" cy="7192645"/>
            <wp:effectExtent l="0" t="0" r="0" b="8255"/>
            <wp:docPr id="22" name="图片 22" descr="I:\1工作\昌平事后风险评估\6北京文海绿源体育发展有限公司\扫描件\安全生产责任制\微信图片_202206251139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1工作\昌平事后风险评估\6北京文海绿源体育发展有限公司\扫描件\安全生产责任制\微信图片_20220625113936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396865" cy="7193009"/>
                    </a:xfrm>
                    <a:prstGeom prst="rect">
                      <a:avLst/>
                    </a:prstGeom>
                    <a:noFill/>
                    <a:ln>
                      <a:noFill/>
                    </a:ln>
                  </pic:spPr>
                </pic:pic>
              </a:graphicData>
            </a:graphic>
          </wp:inline>
        </w:drawing>
      </w:r>
    </w:p>
    <w:p w14:paraId="67DA4586">
      <w:pPr>
        <w:spacing w:line="600" w:lineRule="auto"/>
        <w:jc w:val="left"/>
        <w:rPr>
          <w:rFonts w:ascii="仿宋" w:hAnsi="仿宋" w:eastAsia="仿宋" w:cs="仿宋"/>
          <w:b/>
          <w:sz w:val="30"/>
          <w:szCs w:val="30"/>
        </w:rPr>
      </w:pPr>
      <w:r>
        <w:rPr>
          <w:rFonts w:ascii="Times New Roman" w:hAnsi="Times New Roman" w:eastAsia="Times New Roman" w:cs="Times New Roman"/>
          <w:snapToGrid w:val="0"/>
          <w:color w:val="000000"/>
          <w:w w:val="0"/>
          <w:kern w:val="0"/>
          <w:sz w:val="0"/>
          <w:szCs w:val="0"/>
          <w:u w:color="000000"/>
          <w:shd w:val="clear" w:color="000000" w:fill="000000"/>
          <w:lang w:val="zh-CN" w:bidi="zh-CN"/>
        </w:rPr>
        <w:t xml:space="preserve"> </w:t>
      </w:r>
      <w:r>
        <w:rPr>
          <w:rFonts w:ascii="仿宋" w:hAnsi="仿宋" w:eastAsia="仿宋" w:cs="仿宋"/>
          <w:b/>
          <w:sz w:val="30"/>
          <w:szCs w:val="30"/>
        </w:rPr>
        <w:br w:type="page"/>
      </w:r>
      <w:bookmarkEnd w:id="74"/>
    </w:p>
    <w:p w14:paraId="7560A306">
      <w:pPr>
        <w:spacing w:line="600" w:lineRule="auto"/>
        <w:jc w:val="left"/>
        <w:outlineLvl w:val="1"/>
        <w:rPr>
          <w:rFonts w:ascii="仿宋" w:hAnsi="仿宋" w:eastAsia="仿宋" w:cs="仿宋"/>
          <w:b/>
          <w:sz w:val="30"/>
          <w:szCs w:val="30"/>
        </w:rPr>
      </w:pPr>
      <w:bookmarkStart w:id="75" w:name="_Toc11238"/>
      <w:bookmarkStart w:id="76" w:name="_Toc22854"/>
      <w:bookmarkStart w:id="77" w:name="_Toc103785043"/>
      <w:r>
        <w:rPr>
          <w:rFonts w:hint="eastAsia" w:ascii="仿宋" w:hAnsi="仿宋" w:eastAsia="仿宋" w:cs="仿宋"/>
          <w:b/>
          <w:sz w:val="30"/>
          <w:szCs w:val="30"/>
        </w:rPr>
        <w:t>附件</w:t>
      </w:r>
      <w:r>
        <w:rPr>
          <w:rFonts w:ascii="仿宋" w:hAnsi="仿宋" w:eastAsia="仿宋" w:cs="仿宋"/>
          <w:b/>
          <w:sz w:val="30"/>
          <w:szCs w:val="30"/>
        </w:rPr>
        <w:t>6</w:t>
      </w:r>
      <w:r>
        <w:rPr>
          <w:rFonts w:hint="eastAsia" w:ascii="仿宋" w:hAnsi="仿宋" w:eastAsia="仿宋" w:cs="仿宋"/>
          <w:b/>
          <w:sz w:val="30"/>
          <w:szCs w:val="30"/>
        </w:rPr>
        <w:t>：教育培训记录</w:t>
      </w:r>
      <w:bookmarkEnd w:id="75"/>
      <w:bookmarkEnd w:id="76"/>
      <w:bookmarkEnd w:id="77"/>
    </w:p>
    <w:p w14:paraId="7D546DF2">
      <w:pPr>
        <w:spacing w:line="600" w:lineRule="auto"/>
        <w:jc w:val="left"/>
        <w:rPr>
          <w:rFonts w:hint="eastAsia" w:ascii="仿宋" w:hAnsi="仿宋" w:eastAsia="仿宋" w:cs="仿宋"/>
          <w:b/>
          <w:sz w:val="30"/>
          <w:szCs w:val="30"/>
          <w:lang w:eastAsia="zh-CN"/>
        </w:rPr>
      </w:pPr>
      <w:r>
        <w:rPr>
          <w:rFonts w:hint="eastAsia" w:ascii="仿宋" w:hAnsi="仿宋" w:eastAsia="仿宋" w:cs="仿宋"/>
          <w:b/>
          <w:sz w:val="30"/>
          <w:szCs w:val="30"/>
          <w:lang w:eastAsia="zh-CN"/>
        </w:rPr>
        <w:drawing>
          <wp:inline distT="0" distB="0" distL="114300" distR="114300">
            <wp:extent cx="5391785" cy="7628255"/>
            <wp:effectExtent l="0" t="0" r="18415" b="10795"/>
            <wp:docPr id="32" name="图片 32" descr="教育培训记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教育培训记录"/>
                    <pic:cNvPicPr>
                      <a:picLocks noChangeAspect="1"/>
                    </pic:cNvPicPr>
                  </pic:nvPicPr>
                  <pic:blipFill>
                    <a:blip r:embed="rId41"/>
                    <a:stretch>
                      <a:fillRect/>
                    </a:stretch>
                  </pic:blipFill>
                  <pic:spPr>
                    <a:xfrm>
                      <a:off x="0" y="0"/>
                      <a:ext cx="5391785" cy="7628255"/>
                    </a:xfrm>
                    <a:prstGeom prst="rect">
                      <a:avLst/>
                    </a:prstGeom>
                  </pic:spPr>
                </pic:pic>
              </a:graphicData>
            </a:graphic>
          </wp:inline>
        </w:drawing>
      </w:r>
    </w:p>
    <w:p w14:paraId="6297B67C">
      <w:pPr>
        <w:widowControl/>
        <w:jc w:val="left"/>
        <w:rPr>
          <w:rFonts w:ascii="仿宋" w:hAnsi="仿宋" w:eastAsia="仿宋" w:cs="仿宋"/>
          <w:b/>
          <w:sz w:val="30"/>
          <w:szCs w:val="30"/>
        </w:rPr>
      </w:pPr>
      <w:r>
        <w:rPr>
          <w:rFonts w:ascii="仿宋" w:hAnsi="仿宋" w:eastAsia="仿宋" w:cs="仿宋"/>
          <w:b/>
          <w:sz w:val="30"/>
          <w:szCs w:val="30"/>
        </w:rPr>
        <w:br w:type="page"/>
      </w:r>
    </w:p>
    <w:p w14:paraId="4B293106">
      <w:pPr>
        <w:spacing w:line="600" w:lineRule="auto"/>
        <w:jc w:val="left"/>
        <w:outlineLvl w:val="1"/>
        <w:rPr>
          <w:rFonts w:ascii="仿宋" w:hAnsi="仿宋" w:eastAsia="仿宋" w:cs="仿宋"/>
          <w:b/>
          <w:sz w:val="30"/>
          <w:szCs w:val="30"/>
        </w:rPr>
      </w:pPr>
      <w:bookmarkStart w:id="78" w:name="_Toc103785044"/>
      <w:bookmarkStart w:id="79" w:name="_Toc11360"/>
      <w:bookmarkStart w:id="80" w:name="_Toc15885"/>
      <w:r>
        <w:rPr>
          <w:rFonts w:hint="eastAsia" w:ascii="仿宋" w:hAnsi="仿宋" w:eastAsia="仿宋" w:cs="仿宋"/>
          <w:b/>
          <w:sz w:val="30"/>
          <w:szCs w:val="30"/>
        </w:rPr>
        <w:t>附件</w:t>
      </w:r>
      <w:r>
        <w:rPr>
          <w:rFonts w:ascii="仿宋" w:hAnsi="仿宋" w:eastAsia="仿宋" w:cs="仿宋"/>
          <w:b/>
          <w:sz w:val="30"/>
          <w:szCs w:val="30"/>
        </w:rPr>
        <w:t>7</w:t>
      </w:r>
      <w:r>
        <w:rPr>
          <w:rFonts w:hint="eastAsia" w:ascii="仿宋" w:hAnsi="仿宋" w:eastAsia="仿宋" w:cs="仿宋"/>
          <w:b/>
          <w:sz w:val="30"/>
          <w:szCs w:val="30"/>
        </w:rPr>
        <w:t>：安全生产规章制度</w:t>
      </w:r>
      <w:bookmarkEnd w:id="78"/>
      <w:bookmarkEnd w:id="79"/>
      <w:bookmarkEnd w:id="80"/>
    </w:p>
    <w:p w14:paraId="160A297D">
      <w:pPr>
        <w:spacing w:line="600" w:lineRule="auto"/>
        <w:jc w:val="left"/>
        <w:rPr>
          <w:rFonts w:hint="eastAsia" w:ascii="仿宋" w:hAnsi="仿宋" w:eastAsia="仿宋" w:cs="仿宋"/>
          <w:b/>
          <w:sz w:val="30"/>
          <w:szCs w:val="30"/>
        </w:rPr>
      </w:pPr>
      <w:r>
        <w:rPr>
          <w:rFonts w:ascii="仿宋" w:hAnsi="仿宋" w:eastAsia="仿宋" w:cs="仿宋"/>
          <w:b/>
          <w:sz w:val="30"/>
          <w:szCs w:val="30"/>
        </w:rPr>
        <w:drawing>
          <wp:inline distT="0" distB="0" distL="0" distR="0">
            <wp:extent cx="5396865" cy="7192645"/>
            <wp:effectExtent l="0" t="0" r="0" b="8255"/>
            <wp:docPr id="23" name="图片 23" descr="I:\1工作\昌平事后风险评估\6北京文海绿源体育发展有限公司\扫描件\安全生产责任制\微信图片_202206251139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1工作\昌平事后风险评估\6北京文海绿源体育发展有限公司\扫描件\安全生产责任制\微信图片_20220625113936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396865" cy="7193009"/>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7934960"/>
            <wp:effectExtent l="0" t="0" r="0" b="8890"/>
            <wp:docPr id="24" name="图片 24" descr="I:\1工作\昌平事后风险评估\6北京文海绿源体育发展有限公司\扫描件\安全生产责任制\微信图片_202206251139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1工作\昌平事后风险评估\6北京文海绿源体育发展有限公司\扫描件\安全生产责任制\微信图片_202206251139366.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396865" cy="7935078"/>
                    </a:xfrm>
                    <a:prstGeom prst="rect">
                      <a:avLst/>
                    </a:prstGeom>
                    <a:noFill/>
                    <a:ln>
                      <a:noFill/>
                    </a:ln>
                  </pic:spPr>
                </pic:pic>
              </a:graphicData>
            </a:graphic>
          </wp:inline>
        </w:drawing>
      </w:r>
    </w:p>
    <w:p w14:paraId="1603CFDC">
      <w:pPr>
        <w:widowControl/>
        <w:jc w:val="left"/>
        <w:rPr>
          <w:rFonts w:ascii="宋体" w:hAnsi="宋体" w:eastAsia="宋体" w:cs="宋体"/>
          <w:kern w:val="0"/>
          <w:sz w:val="28"/>
          <w:szCs w:val="28"/>
          <w:lang w:val="zh-CN" w:bidi="zh-CN"/>
        </w:rPr>
      </w:pPr>
    </w:p>
    <w:p w14:paraId="68290C8A">
      <w:pPr>
        <w:widowControl/>
        <w:jc w:val="left"/>
        <w:rPr>
          <w:rFonts w:ascii="宋体" w:hAnsi="宋体" w:eastAsia="宋体" w:cs="宋体"/>
          <w:kern w:val="0"/>
          <w:sz w:val="28"/>
          <w:szCs w:val="28"/>
          <w:lang w:val="zh-CN" w:bidi="zh-CN"/>
        </w:rPr>
      </w:pPr>
      <w:r>
        <w:br w:type="page"/>
      </w:r>
    </w:p>
    <w:p w14:paraId="5CEBB988">
      <w:pPr>
        <w:spacing w:line="600" w:lineRule="auto"/>
        <w:jc w:val="left"/>
        <w:outlineLvl w:val="1"/>
        <w:rPr>
          <w:rFonts w:ascii="仿宋" w:hAnsi="仿宋" w:eastAsia="仿宋" w:cs="仿宋"/>
          <w:b/>
          <w:color w:val="auto"/>
          <w:sz w:val="30"/>
          <w:szCs w:val="30"/>
        </w:rPr>
      </w:pPr>
      <w:bookmarkStart w:id="81" w:name="_Toc7763"/>
      <w:bookmarkStart w:id="82" w:name="_Toc5427"/>
      <w:bookmarkStart w:id="83" w:name="_Toc103785045"/>
      <w:r>
        <w:rPr>
          <w:rFonts w:hint="eastAsia" w:ascii="仿宋" w:hAnsi="仿宋" w:eastAsia="仿宋" w:cs="仿宋"/>
          <w:b/>
          <w:color w:val="auto"/>
          <w:sz w:val="30"/>
          <w:szCs w:val="30"/>
        </w:rPr>
        <w:t>附件</w:t>
      </w:r>
      <w:r>
        <w:rPr>
          <w:rFonts w:ascii="仿宋" w:hAnsi="仿宋" w:eastAsia="仿宋" w:cs="仿宋"/>
          <w:b/>
          <w:color w:val="auto"/>
          <w:sz w:val="30"/>
          <w:szCs w:val="30"/>
        </w:rPr>
        <w:t>8</w:t>
      </w:r>
      <w:r>
        <w:rPr>
          <w:rFonts w:hint="eastAsia" w:ascii="仿宋" w:hAnsi="仿宋" w:eastAsia="仿宋" w:cs="仿宋"/>
          <w:b/>
          <w:color w:val="auto"/>
          <w:sz w:val="30"/>
          <w:szCs w:val="30"/>
        </w:rPr>
        <w:t>：安全生产操作规程</w:t>
      </w:r>
      <w:bookmarkEnd w:id="81"/>
      <w:bookmarkEnd w:id="82"/>
      <w:bookmarkEnd w:id="83"/>
    </w:p>
    <w:p w14:paraId="057C0EBA">
      <w:pPr>
        <w:spacing w:line="600" w:lineRule="auto"/>
        <w:jc w:val="left"/>
        <w:rPr>
          <w:rFonts w:ascii="仿宋" w:hAnsi="仿宋" w:eastAsia="仿宋" w:cs="仿宋"/>
          <w:sz w:val="28"/>
          <w:szCs w:val="28"/>
        </w:rPr>
      </w:pPr>
      <w:r>
        <w:drawing>
          <wp:inline distT="0" distB="0" distL="114300" distR="114300">
            <wp:extent cx="8043545" cy="5619115"/>
            <wp:effectExtent l="0" t="0" r="635" b="14605"/>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44"/>
                    <a:stretch>
                      <a:fillRect/>
                    </a:stretch>
                  </pic:blipFill>
                  <pic:spPr>
                    <a:xfrm rot="5400000">
                      <a:off x="0" y="0"/>
                      <a:ext cx="8043545" cy="5619115"/>
                    </a:xfrm>
                    <a:prstGeom prst="rect">
                      <a:avLst/>
                    </a:prstGeom>
                    <a:noFill/>
                    <a:ln>
                      <a:noFill/>
                    </a:ln>
                  </pic:spPr>
                </pic:pic>
              </a:graphicData>
            </a:graphic>
          </wp:inline>
        </w:drawing>
      </w:r>
    </w:p>
    <w:p w14:paraId="3568D225">
      <w:pPr>
        <w:widowControl/>
        <w:jc w:val="left"/>
        <w:rPr>
          <w:rFonts w:ascii="仿宋" w:hAnsi="仿宋" w:eastAsia="仿宋" w:cs="仿宋"/>
          <w:sz w:val="28"/>
          <w:szCs w:val="28"/>
        </w:rPr>
      </w:pPr>
      <w:r>
        <w:rPr>
          <w:rFonts w:ascii="仿宋" w:hAnsi="仿宋" w:eastAsia="仿宋" w:cs="仿宋"/>
          <w:sz w:val="28"/>
          <w:szCs w:val="28"/>
        </w:rPr>
        <w:br w:type="page"/>
      </w:r>
    </w:p>
    <w:p w14:paraId="05DF770E">
      <w:pPr>
        <w:spacing w:line="600" w:lineRule="auto"/>
        <w:jc w:val="left"/>
        <w:outlineLvl w:val="1"/>
        <w:rPr>
          <w:rFonts w:ascii="仿宋" w:hAnsi="仿宋" w:eastAsia="仿宋" w:cs="仿宋"/>
          <w:b/>
          <w:sz w:val="30"/>
          <w:szCs w:val="30"/>
        </w:rPr>
      </w:pPr>
      <w:bookmarkStart w:id="84" w:name="_Toc22566"/>
      <w:bookmarkStart w:id="85" w:name="_Toc103785046"/>
      <w:bookmarkStart w:id="86" w:name="_Toc8098"/>
      <w:r>
        <w:rPr>
          <w:rFonts w:hint="eastAsia" w:ascii="仿宋" w:hAnsi="仿宋" w:eastAsia="仿宋" w:cs="仿宋"/>
          <w:b/>
          <w:sz w:val="30"/>
          <w:szCs w:val="30"/>
        </w:rPr>
        <w:t>附件</w:t>
      </w:r>
      <w:r>
        <w:rPr>
          <w:rFonts w:ascii="仿宋" w:hAnsi="仿宋" w:eastAsia="仿宋" w:cs="仿宋"/>
          <w:b/>
          <w:sz w:val="30"/>
          <w:szCs w:val="30"/>
        </w:rPr>
        <w:t>9</w:t>
      </w:r>
      <w:r>
        <w:rPr>
          <w:rFonts w:hint="eastAsia" w:ascii="仿宋" w:hAnsi="仿宋" w:eastAsia="仿宋" w:cs="仿宋"/>
          <w:b/>
          <w:sz w:val="30"/>
          <w:szCs w:val="30"/>
        </w:rPr>
        <w:t>：风险辨识清单</w:t>
      </w:r>
      <w:bookmarkEnd w:id="84"/>
      <w:bookmarkEnd w:id="85"/>
      <w:bookmarkEnd w:id="86"/>
    </w:p>
    <w:p w14:paraId="1C0716F5">
      <w:pPr>
        <w:spacing w:line="600" w:lineRule="auto"/>
        <w:jc w:val="left"/>
        <w:rPr>
          <w:rFonts w:ascii="仿宋" w:hAnsi="仿宋" w:eastAsia="仿宋" w:cs="仿宋"/>
          <w:b/>
          <w:sz w:val="30"/>
          <w:szCs w:val="30"/>
        </w:rPr>
      </w:pPr>
      <w:r>
        <w:rPr>
          <w:rFonts w:ascii="仿宋" w:hAnsi="仿宋" w:eastAsia="仿宋" w:cs="仿宋"/>
          <w:b/>
          <w:sz w:val="30"/>
          <w:szCs w:val="30"/>
        </w:rPr>
        <w:drawing>
          <wp:inline distT="0" distB="0" distL="0" distR="0">
            <wp:extent cx="5396865" cy="3815715"/>
            <wp:effectExtent l="0" t="0" r="0" b="0"/>
            <wp:docPr id="25" name="图片 25" descr="I:\1工作\昌平事后风险评估\6北京文海绿源体育发展有限公司\扫描件\危险源辨识清单\20220620161927-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1工作\昌平事后风险评估\6北京文海绿源体育发展有限公司\扫描件\危险源辨识清单\20220620161927-0026.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396865" cy="3815771"/>
                    </a:xfrm>
                    <a:prstGeom prst="rect">
                      <a:avLst/>
                    </a:prstGeom>
                    <a:noFill/>
                    <a:ln>
                      <a:noFill/>
                    </a:ln>
                  </pic:spPr>
                </pic:pic>
              </a:graphicData>
            </a:graphic>
          </wp:inline>
        </w:drawing>
      </w:r>
      <w:r>
        <w:rPr>
          <w:rFonts w:ascii="仿宋" w:hAnsi="仿宋" w:eastAsia="仿宋" w:cs="仿宋"/>
          <w:b/>
          <w:sz w:val="30"/>
          <w:szCs w:val="30"/>
        </w:rPr>
        <w:drawing>
          <wp:inline distT="0" distB="0" distL="0" distR="0">
            <wp:extent cx="5396865" cy="3815715"/>
            <wp:effectExtent l="0" t="0" r="0" b="0"/>
            <wp:docPr id="27" name="图片 27" descr="I:\1工作\昌平事后风险评估\6北京文海绿源体育发展有限公司\扫描件\危险源辨识清单\20220620161927-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1工作\昌平事后风险评估\6北京文海绿源体育发展有限公司\扫描件\危险源辨识清单\20220620161927-002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396865" cy="3815771"/>
                    </a:xfrm>
                    <a:prstGeom prst="rect">
                      <a:avLst/>
                    </a:prstGeom>
                    <a:noFill/>
                    <a:ln>
                      <a:noFill/>
                    </a:ln>
                  </pic:spPr>
                </pic:pic>
              </a:graphicData>
            </a:graphic>
          </wp:inline>
        </w:drawing>
      </w:r>
      <w:r>
        <w:rPr>
          <w:rFonts w:ascii="仿宋" w:hAnsi="仿宋" w:eastAsia="仿宋" w:cs="仿宋"/>
          <w:b/>
          <w:sz w:val="30"/>
          <w:szCs w:val="30"/>
        </w:rPr>
        <w:br w:type="page"/>
      </w:r>
    </w:p>
    <w:p w14:paraId="72039A48">
      <w:pPr>
        <w:spacing w:line="600" w:lineRule="auto"/>
        <w:jc w:val="left"/>
        <w:outlineLvl w:val="1"/>
        <w:rPr>
          <w:rFonts w:ascii="仿宋" w:hAnsi="仿宋" w:eastAsia="仿宋" w:cs="仿宋"/>
          <w:b/>
          <w:sz w:val="30"/>
          <w:szCs w:val="30"/>
        </w:rPr>
      </w:pPr>
      <w:bookmarkStart w:id="87" w:name="_Toc103785048"/>
      <w:bookmarkStart w:id="88" w:name="_Toc10162"/>
      <w:bookmarkStart w:id="89" w:name="_Toc2949"/>
      <w:r>
        <w:rPr>
          <w:rFonts w:hint="eastAsia" w:ascii="仿宋" w:hAnsi="仿宋" w:eastAsia="仿宋" w:cs="仿宋"/>
          <w:b/>
          <w:sz w:val="30"/>
          <w:szCs w:val="30"/>
        </w:rPr>
        <w:t>附件</w:t>
      </w:r>
      <w:r>
        <w:rPr>
          <w:rFonts w:ascii="仿宋" w:hAnsi="仿宋" w:eastAsia="仿宋" w:cs="仿宋"/>
          <w:b/>
          <w:sz w:val="30"/>
          <w:szCs w:val="30"/>
        </w:rPr>
        <w:t>11</w:t>
      </w:r>
      <w:r>
        <w:rPr>
          <w:rFonts w:hint="eastAsia" w:ascii="仿宋" w:hAnsi="仿宋" w:eastAsia="仿宋" w:cs="仿宋"/>
          <w:b/>
          <w:sz w:val="30"/>
          <w:szCs w:val="30"/>
        </w:rPr>
        <w:t>：整改</w:t>
      </w:r>
      <w:bookmarkEnd w:id="87"/>
      <w:bookmarkEnd w:id="88"/>
      <w:r>
        <w:rPr>
          <w:rFonts w:hint="eastAsia" w:ascii="仿宋" w:hAnsi="仿宋" w:eastAsia="仿宋" w:cs="仿宋"/>
          <w:b/>
          <w:sz w:val="30"/>
          <w:szCs w:val="30"/>
        </w:rPr>
        <w:t>报告</w:t>
      </w:r>
      <w:bookmarkEnd w:id="89"/>
    </w:p>
    <w:p w14:paraId="6143163C">
      <w:pPr>
        <w:pStyle w:val="5"/>
      </w:pPr>
      <w:r>
        <w:rPr>
          <w:lang w:val="en-US" w:bidi="ar-SA"/>
        </w:rPr>
        <w:drawing>
          <wp:inline distT="0" distB="0" distL="0" distR="0">
            <wp:extent cx="5396865" cy="7632700"/>
            <wp:effectExtent l="0" t="0" r="0" b="6350"/>
            <wp:docPr id="28" name="图片 28" descr="I:\1工作\昌平事后风险评估\6北京文海绿源体育发展有限公司\扫描件\整改报告\20220620161927-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1工作\昌平事后风险评估\6北京文海绿源体育发展有限公司\扫描件\整改报告\20220620161927-0019.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lang w:val="en-US" w:bidi="ar-SA"/>
        </w:rPr>
        <w:drawing>
          <wp:inline distT="0" distB="0" distL="0" distR="0">
            <wp:extent cx="5396865" cy="7632700"/>
            <wp:effectExtent l="0" t="0" r="0" b="6350"/>
            <wp:docPr id="29" name="图片 29" descr="I:\1工作\昌平事后风险评估\6北京文海绿源体育发展有限公司\扫描件\整改报告\20220620161927-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1工作\昌平事后风险评估\6北京文海绿源体育发展有限公司\扫描件\整改报告\20220620161927-0020.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p w14:paraId="65904891">
      <w:pPr>
        <w:spacing w:line="600" w:lineRule="auto"/>
        <w:jc w:val="left"/>
        <w:outlineLvl w:val="1"/>
        <w:rPr>
          <w:rFonts w:ascii="仿宋" w:hAnsi="仿宋" w:eastAsia="仿宋" w:cs="仿宋"/>
          <w:b/>
          <w:sz w:val="30"/>
          <w:szCs w:val="30"/>
        </w:rPr>
      </w:pPr>
      <w:r>
        <w:br w:type="page"/>
      </w:r>
      <w:bookmarkStart w:id="90" w:name="_Toc103785050"/>
      <w:bookmarkStart w:id="91" w:name="_Toc11828"/>
      <w:bookmarkStart w:id="92" w:name="_Toc13786"/>
      <w:r>
        <w:rPr>
          <w:rFonts w:hint="eastAsia" w:ascii="仿宋" w:hAnsi="仿宋" w:eastAsia="仿宋" w:cs="仿宋"/>
          <w:b/>
          <w:sz w:val="30"/>
          <w:szCs w:val="30"/>
        </w:rPr>
        <w:t>附件1</w:t>
      </w:r>
      <w:r>
        <w:rPr>
          <w:rFonts w:ascii="仿宋" w:hAnsi="仿宋" w:eastAsia="仿宋" w:cs="仿宋"/>
          <w:b/>
          <w:sz w:val="30"/>
          <w:szCs w:val="30"/>
        </w:rPr>
        <w:t>2</w:t>
      </w:r>
      <w:r>
        <w:rPr>
          <w:rFonts w:hint="eastAsia" w:ascii="仿宋" w:hAnsi="仿宋" w:eastAsia="仿宋" w:cs="仿宋"/>
          <w:b/>
          <w:sz w:val="30"/>
          <w:szCs w:val="30"/>
        </w:rPr>
        <w:t>：</w:t>
      </w:r>
      <w:bookmarkEnd w:id="90"/>
      <w:bookmarkEnd w:id="91"/>
      <w:r>
        <w:rPr>
          <w:rFonts w:hint="eastAsia" w:ascii="仿宋" w:hAnsi="仿宋" w:eastAsia="仿宋" w:cs="仿宋"/>
          <w:b/>
          <w:sz w:val="30"/>
          <w:szCs w:val="30"/>
        </w:rPr>
        <w:t>防范事故再次发生措施</w:t>
      </w:r>
      <w:bookmarkEnd w:id="92"/>
    </w:p>
    <w:p w14:paraId="05E9F3D3">
      <w:pPr>
        <w:spacing w:line="480" w:lineRule="auto"/>
        <w:jc w:val="left"/>
        <w:rPr>
          <w:rFonts w:ascii="仿宋" w:hAnsi="仿宋" w:eastAsia="仿宋" w:cs="仿宋"/>
          <w:sz w:val="28"/>
          <w:szCs w:val="28"/>
        </w:rPr>
      </w:pPr>
      <w:r>
        <w:rPr>
          <w:rFonts w:ascii="仿宋" w:hAnsi="仿宋" w:eastAsia="仿宋" w:cs="仿宋"/>
          <w:sz w:val="28"/>
          <w:szCs w:val="28"/>
        </w:rPr>
        <w:drawing>
          <wp:inline distT="0" distB="0" distL="0" distR="0">
            <wp:extent cx="5396865" cy="7632700"/>
            <wp:effectExtent l="0" t="0" r="0" b="6350"/>
            <wp:docPr id="30" name="图片 30" descr="I:\1工作\昌平事后风险评估\6北京文海绿源体育发展有限公司\扫描件\防范事故再次发生措施文件\20220620161927-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I:\1工作\昌平事后风险评估\6北京文海绿源体育发展有限公司\扫描件\防范事故再次发生措施文件\20220620161927-0024.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396865" cy="7632700"/>
            <wp:effectExtent l="0" t="0" r="0" b="6350"/>
            <wp:docPr id="31" name="图片 31" descr="I:\1工作\昌平事后风险评估\6北京文海绿源体育发展有限公司\扫描件\防范事故再次发生措施文件\20220620161927-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I:\1工作\昌平事后风险评估\6北京文海绿源体育发展有限公司\扫描件\防范事故再次发生措施文件\20220620161927-0025.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5396865" cy="7633097"/>
                    </a:xfrm>
                    <a:prstGeom prst="rect">
                      <a:avLst/>
                    </a:prstGeom>
                    <a:noFill/>
                    <a:ln>
                      <a:noFill/>
                    </a:ln>
                  </pic:spPr>
                </pic:pic>
              </a:graphicData>
            </a:graphic>
          </wp:inline>
        </w:drawing>
      </w:r>
    </w:p>
    <w:sectPr>
      <w:footerReference r:id="rId15" w:type="first"/>
      <w:footerReference r:id="rId14" w:type="default"/>
      <w:pgSz w:w="11900" w:h="16840"/>
      <w:pgMar w:top="1417" w:right="1417" w:bottom="1417" w:left="1417" w:header="680" w:footer="680" w:gutter="567"/>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974518435"/>
      <w:showingPlcHdr/>
    </w:sdtPr>
    <w:sdtEndPr>
      <w:rPr>
        <w:rStyle w:val="21"/>
        <w:rFonts w:ascii="宋体" w:hAnsi="宋体" w:eastAsia="宋体"/>
      </w:rPr>
    </w:sdtEndPr>
    <w:sdtContent>
      <w:p w14:paraId="564BA10A">
        <w:pPr>
          <w:pStyle w:val="10"/>
          <w:framePr w:wrap="around" w:vAnchor="text" w:hAnchor="margin" w:xAlign="center" w:y="1"/>
          <w:rPr>
            <w:rStyle w:val="21"/>
            <w:rFonts w:ascii="宋体" w:hAnsi="宋体" w:eastAsia="宋体"/>
          </w:rPr>
        </w:pPr>
        <w:r>
          <w:rPr>
            <w:rStyle w:val="21"/>
            <w:rFonts w:ascii="宋体" w:hAnsi="宋体" w:eastAsia="宋体"/>
          </w:rPr>
          <w:t xml:space="preserve">     </w:t>
        </w:r>
      </w:p>
    </w:sdtContent>
  </w:sdt>
  <w:p w14:paraId="56787B04">
    <w:pPr>
      <w:pStyle w:val="10"/>
      <w:pBdr>
        <w:top w:val="single" w:color="auto" w:sz="4" w:space="1"/>
      </w:pBdr>
      <w:jc w:val="center"/>
      <w:rPr>
        <w:rFonts w:ascii="宋体" w:hAnsi="宋体" w:eastAsia="宋体"/>
      </w:rPr>
    </w:pPr>
    <w:r>
      <w:rPr>
        <w:rFonts w:hint="eastAsia" w:ascii="宋体" w:hAnsi="宋体" w:eastAsia="宋体"/>
      </w:rPr>
      <w:t>北京中矿基业安全防范技术有限公司</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电话：0</w:t>
    </w:r>
    <w:r>
      <w:rPr>
        <w:rFonts w:ascii="宋体" w:hAnsi="宋体" w:eastAsia="宋体"/>
      </w:rPr>
      <w:t>10-84850008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Pr>
      <w:id w:val="-644362171"/>
    </w:sdtPr>
    <w:sdtEndPr>
      <w:rPr>
        <w:rStyle w:val="21"/>
      </w:rPr>
    </w:sdtEndPr>
    <w:sdtContent>
      <w:p w14:paraId="26BA37B3">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sdt>
    <w:sdtPr>
      <w:rPr>
        <w:rStyle w:val="21"/>
      </w:rPr>
      <w:id w:val="-1869829285"/>
    </w:sdtPr>
    <w:sdtEndPr>
      <w:rPr>
        <w:rStyle w:val="21"/>
      </w:rPr>
    </w:sdtEndPr>
    <w:sdtContent>
      <w:p w14:paraId="7C088867">
        <w:pPr>
          <w:pStyle w:val="10"/>
          <w:framePr w:wrap="around" w:vAnchor="text" w:hAnchor="margin" w:xAlign="center" w:y="1"/>
          <w:rPr>
            <w:rStyle w:val="21"/>
          </w:rPr>
        </w:pPr>
        <w:r>
          <w:rPr>
            <w:rStyle w:val="21"/>
          </w:rPr>
          <w:fldChar w:fldCharType="begin"/>
        </w:r>
        <w:r>
          <w:rPr>
            <w:rStyle w:val="21"/>
          </w:rPr>
          <w:instrText xml:space="preserve"> PAGE </w:instrText>
        </w:r>
        <w:r>
          <w:rPr>
            <w:rStyle w:val="21"/>
          </w:rPr>
          <w:fldChar w:fldCharType="end"/>
        </w:r>
      </w:p>
    </w:sdtContent>
  </w:sdt>
  <w:p w14:paraId="25DE6AD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481FB">
    <w:pPr>
      <w:pStyle w:val="10"/>
      <w:jc w:val="center"/>
      <w:rPr>
        <w:rFonts w:ascii="宋体" w:hAnsi="宋体" w:eastAsia="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835984664"/>
    </w:sdtPr>
    <w:sdtEndPr>
      <w:rPr>
        <w:rStyle w:val="21"/>
        <w:rFonts w:ascii="宋体" w:hAnsi="宋体" w:eastAsia="宋体"/>
      </w:rPr>
    </w:sdtEndPr>
    <w:sdtContent>
      <w:p w14:paraId="7F05AE0B">
        <w:pPr>
          <w:pStyle w:val="10"/>
          <w:framePr w:wrap="around" w:vAnchor="text" w:hAnchor="margin" w:xAlign="center" w:y="1"/>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2</w:t>
        </w:r>
        <w:r>
          <w:rPr>
            <w:rStyle w:val="21"/>
            <w:rFonts w:ascii="宋体" w:hAnsi="宋体" w:eastAsia="宋体"/>
          </w:rPr>
          <w:fldChar w:fldCharType="end"/>
        </w:r>
      </w:p>
    </w:sdtContent>
  </w:sdt>
  <w:p w14:paraId="3EFE7B61">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0FF62">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4BA9B">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1440644745"/>
                          </w:sdtPr>
                          <w:sdtEndPr>
                            <w:rPr>
                              <w:rStyle w:val="21"/>
                              <w:rFonts w:ascii="宋体" w:hAnsi="宋体" w:eastAsia="宋体"/>
                            </w:rPr>
                          </w:sdtEndPr>
                          <w:sdtContent>
                            <w:p w14:paraId="0538A523">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rPr>
                        <w:rStyle w:val="21"/>
                        <w:rFonts w:ascii="宋体" w:hAnsi="宋体" w:eastAsia="宋体"/>
                      </w:rPr>
                      <w:id w:val="1440644745"/>
                    </w:sdtPr>
                    <w:sdtEndPr>
                      <w:rPr>
                        <w:rStyle w:val="21"/>
                        <w:rFonts w:ascii="宋体" w:hAnsi="宋体" w:eastAsia="宋体"/>
                      </w:rPr>
                    </w:sdtEndPr>
                    <w:sdtContent>
                      <w:p w14:paraId="0538A523">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205D9">
    <w:pPr>
      <w:pStyle w:val="10"/>
      <w:pBdr>
        <w:top w:val="single" w:color="auto" w:sz="4" w:space="1"/>
      </w:pBdr>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Style w:val="21"/>
                              <w:rFonts w:ascii="宋体" w:hAnsi="宋体" w:eastAsia="宋体"/>
                            </w:rPr>
                            <w:id w:val="82342390"/>
                          </w:sdtPr>
                          <w:sdtEndPr>
                            <w:rPr>
                              <w:rStyle w:val="21"/>
                              <w:rFonts w:ascii="宋体" w:hAnsi="宋体" w:eastAsia="宋体"/>
                            </w:rPr>
                          </w:sdtEndPr>
                          <w:sdtContent>
                            <w:p w14:paraId="3EB5022F">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mYjbo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f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mYjbotAgAAVwQAAA4AAAAAAAAAAQAgAAAAHwEAAGRycy9lMm9Eb2MueG1sUEsFBgAAAAAG&#10;AAYAWQEAAL4FAAAAAA==&#10;">
              <v:fill on="f" focussize="0,0"/>
              <v:stroke on="f" weight="0.5pt"/>
              <v:imagedata o:title=""/>
              <o:lock v:ext="edit" aspectratio="f"/>
              <v:textbox inset="0mm,0mm,0mm,0mm" style="mso-fit-shape-to-text:t;">
                <w:txbxContent>
                  <w:sdt>
                    <w:sdtPr>
                      <w:rPr>
                        <w:rStyle w:val="21"/>
                        <w:rFonts w:ascii="宋体" w:hAnsi="宋体" w:eastAsia="宋体"/>
                      </w:rPr>
                      <w:id w:val="82342390"/>
                    </w:sdtPr>
                    <w:sdtEndPr>
                      <w:rPr>
                        <w:rStyle w:val="21"/>
                        <w:rFonts w:ascii="宋体" w:hAnsi="宋体" w:eastAsia="宋体"/>
                      </w:rPr>
                    </w:sdtEndPr>
                    <w:sdtContent>
                      <w:p w14:paraId="3EB5022F">
                        <w:pPr>
                          <w:pStyle w:val="10"/>
                          <w:rPr>
                            <w:rStyle w:val="21"/>
                            <w:rFonts w:ascii="宋体" w:hAnsi="宋体" w:eastAsia="宋体"/>
                          </w:rPr>
                        </w:pPr>
                        <w:r>
                          <w:rPr>
                            <w:rStyle w:val="21"/>
                            <w:rFonts w:ascii="宋体" w:hAnsi="宋体" w:eastAsia="宋体"/>
                          </w:rPr>
                          <w:fldChar w:fldCharType="begin"/>
                        </w:r>
                        <w:r>
                          <w:rPr>
                            <w:rStyle w:val="21"/>
                            <w:rFonts w:ascii="宋体" w:hAnsi="宋体" w:eastAsia="宋体"/>
                          </w:rPr>
                          <w:instrText xml:space="preserve"> PAGE </w:instrText>
                        </w:r>
                        <w:r>
                          <w:rPr>
                            <w:rStyle w:val="21"/>
                            <w:rFonts w:ascii="宋体" w:hAnsi="宋体" w:eastAsia="宋体"/>
                          </w:rPr>
                          <w:fldChar w:fldCharType="separate"/>
                        </w:r>
                        <w:r>
                          <w:rPr>
                            <w:rStyle w:val="21"/>
                            <w:rFonts w:ascii="宋体" w:hAnsi="宋体" w:eastAsia="宋体"/>
                          </w:rPr>
                          <w:t>I</w:t>
                        </w:r>
                        <w:r>
                          <w:rPr>
                            <w:rStyle w:val="21"/>
                            <w:rFonts w:ascii="宋体" w:hAnsi="宋体" w:eastAsia="宋体"/>
                          </w:rPr>
                          <w:fldChar w:fldCharType="end"/>
                        </w:r>
                      </w:p>
                    </w:sdtContent>
                  </w:sdt>
                </w:txbxContent>
              </v:textbox>
            </v:shape>
          </w:pict>
        </mc:Fallback>
      </mc:AlternateContent>
    </w:r>
    <w:r>
      <w:rPr>
        <w:rFonts w:ascii="宋体" w:hAnsi="宋体" w:eastAsia="宋体"/>
      </w:rPr>
      <w:ptab w:relativeTo="margin" w:alignment="center" w:leader="none"/>
    </w:r>
    <w:r>
      <w:rPr>
        <w:rFonts w:ascii="宋体" w:hAnsi="宋体" w:eastAsia="宋体"/>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852651670"/>
    </w:sdtPr>
    <w:sdtEndPr>
      <w:rPr>
        <w:rStyle w:val="21"/>
        <w:rFonts w:ascii="宋体" w:hAnsi="宋体" w:eastAsia="宋体"/>
      </w:rPr>
    </w:sdtEndPr>
    <w:sdtContent>
      <w:p w14:paraId="3B9821DD">
        <w:pPr>
          <w:pStyle w:val="10"/>
          <w:framePr w:wrap="around" w:vAnchor="text" w:hAnchor="margin" w:xAlign="center" w:y="1"/>
          <w:rPr>
            <w:rStyle w:val="21"/>
            <w:rFonts w:ascii="宋体" w:hAnsi="宋体" w:eastAsia="宋体"/>
          </w:rPr>
        </w:pPr>
        <w:r>
          <w:rPr>
            <w:rStyle w:val="21"/>
            <w:rFonts w:ascii="Times New Roman" w:hAnsi="Times New Roman" w:eastAsia="宋体"/>
          </w:rPr>
          <w:fldChar w:fldCharType="begin"/>
        </w:r>
        <w:r>
          <w:rPr>
            <w:rStyle w:val="21"/>
            <w:rFonts w:ascii="Times New Roman" w:hAnsi="Times New Roman" w:eastAsia="宋体"/>
          </w:rPr>
          <w:instrText xml:space="preserve"> PAGE </w:instrText>
        </w:r>
        <w:r>
          <w:rPr>
            <w:rStyle w:val="21"/>
            <w:rFonts w:ascii="Times New Roman" w:hAnsi="Times New Roman" w:eastAsia="宋体"/>
          </w:rPr>
          <w:fldChar w:fldCharType="separate"/>
        </w:r>
        <w:r>
          <w:rPr>
            <w:rStyle w:val="21"/>
            <w:rFonts w:ascii="Times New Roman" w:hAnsi="Times New Roman" w:eastAsia="宋体"/>
          </w:rPr>
          <w:t>16</w:t>
        </w:r>
        <w:r>
          <w:rPr>
            <w:rStyle w:val="21"/>
            <w:rFonts w:ascii="Times New Roman" w:hAnsi="Times New Roman" w:eastAsia="宋体"/>
          </w:rPr>
          <w:fldChar w:fldCharType="end"/>
        </w:r>
      </w:p>
    </w:sdtContent>
  </w:sdt>
  <w:p w14:paraId="136FD2FD">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1"/>
        <w:rFonts w:ascii="宋体" w:hAnsi="宋体" w:eastAsia="宋体"/>
      </w:rPr>
      <w:id w:val="-1686040425"/>
    </w:sdtPr>
    <w:sdtEndPr>
      <w:rPr>
        <w:rStyle w:val="21"/>
        <w:rFonts w:ascii="Times New Roman" w:hAnsi="Times New Roman" w:eastAsia="宋体"/>
        <w:sz w:val="21"/>
      </w:rPr>
    </w:sdtEndPr>
    <w:sdtContent>
      <w:p w14:paraId="402AD620">
        <w:pPr>
          <w:pStyle w:val="10"/>
          <w:framePr w:wrap="around" w:vAnchor="text" w:hAnchor="margin" w:xAlign="center" w:y="1"/>
          <w:rPr>
            <w:rStyle w:val="21"/>
            <w:rFonts w:ascii="宋体" w:hAnsi="宋体" w:eastAsia="宋体"/>
          </w:rPr>
        </w:pPr>
        <w:r>
          <w:rPr>
            <w:rStyle w:val="21"/>
            <w:rFonts w:ascii="Times New Roman" w:hAnsi="Times New Roman" w:eastAsia="宋体"/>
            <w:sz w:val="21"/>
          </w:rPr>
          <w:fldChar w:fldCharType="begin"/>
        </w:r>
        <w:r>
          <w:rPr>
            <w:rStyle w:val="21"/>
            <w:rFonts w:ascii="Times New Roman" w:hAnsi="Times New Roman" w:eastAsia="宋体"/>
            <w:sz w:val="21"/>
          </w:rPr>
          <w:instrText xml:space="preserve"> PAGE </w:instrText>
        </w:r>
        <w:r>
          <w:rPr>
            <w:rStyle w:val="21"/>
            <w:rFonts w:ascii="Times New Roman" w:hAnsi="Times New Roman" w:eastAsia="宋体"/>
            <w:sz w:val="21"/>
          </w:rPr>
          <w:fldChar w:fldCharType="separate"/>
        </w:r>
        <w:r>
          <w:rPr>
            <w:rStyle w:val="21"/>
            <w:rFonts w:ascii="Times New Roman" w:hAnsi="Times New Roman" w:eastAsia="宋体"/>
            <w:sz w:val="21"/>
          </w:rPr>
          <w:t>1</w:t>
        </w:r>
        <w:r>
          <w:rPr>
            <w:rStyle w:val="21"/>
            <w:rFonts w:ascii="Times New Roman" w:hAnsi="Times New Roman" w:eastAsia="宋体"/>
            <w:sz w:val="21"/>
          </w:rPr>
          <w:fldChar w:fldCharType="end"/>
        </w:r>
      </w:p>
    </w:sdtContent>
  </w:sdt>
  <w:p w14:paraId="16A611E8">
    <w:pPr>
      <w:pStyle w:val="10"/>
      <w:pBdr>
        <w:top w:val="single" w:color="auto" w:sz="4" w:space="1"/>
      </w:pBdr>
      <w:jc w:val="center"/>
      <w:rPr>
        <w:rFonts w:ascii="宋体" w:hAnsi="宋体" w:eastAsia="宋体"/>
      </w:rPr>
    </w:pPr>
    <w:r>
      <w:rPr>
        <w:rFonts w:ascii="宋体" w:hAnsi="宋体" w:eastAsia="宋体"/>
      </w:rPr>
      <w:ptab w:relativeTo="margin" w:alignment="center" w:leader="none"/>
    </w:r>
    <w:r>
      <w:rPr>
        <w:rFonts w:ascii="宋体" w:hAnsi="宋体" w:eastAsia="宋体"/>
      </w:rPr>
      <w:ptab w:relativeTo="margin" w:alignment="right" w:leader="non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76BE">
    <w:pPr>
      <w:pStyle w:val="11"/>
      <w:rPr>
        <w:rFonts w:ascii="宋体" w:hAnsi="宋体" w:eastAsia="宋体"/>
        <w:sz w:val="15"/>
        <w:szCs w:val="15"/>
      </w:rPr>
    </w:pPr>
    <w:r>
      <w:rPr>
        <w:rFonts w:hint="eastAsia" w:ascii="宋体" w:hAnsi="宋体" w:eastAsia="宋体"/>
        <w:sz w:val="15"/>
        <w:szCs w:val="15"/>
      </w:rPr>
      <w:t>北京博创蓝天环境科技有限公司移动式新能源高低电压穿越能力检测装置</w:t>
    </w:r>
  </w:p>
  <w:p w14:paraId="7157564B">
    <w:pPr>
      <w:pStyle w:val="11"/>
    </w:pPr>
    <w:r>
      <w:rPr>
        <w:rFonts w:hint="eastAsia" w:ascii="宋体" w:hAnsi="宋体" w:eastAsia="宋体"/>
        <w:sz w:val="15"/>
        <w:szCs w:val="15"/>
      </w:rPr>
      <w:t>“</w:t>
    </w:r>
    <w:r>
      <w:rPr>
        <w:rFonts w:ascii="宋体" w:hAnsi="宋体" w:eastAsia="宋体"/>
        <w:sz w:val="15"/>
        <w:szCs w:val="15"/>
      </w:rPr>
      <w:t>11·26”一般生产安全事故责任追究和整改措施落实情况评估报告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D93A">
    <w:pPr>
      <w:pStyle w:val="11"/>
    </w:pPr>
    <w:r>
      <w:rPr>
        <w:rFonts w:hint="eastAsia" w:ascii="宋体" w:hAnsi="宋体" w:eastAsia="宋体"/>
        <w:szCs w:val="15"/>
      </w:rPr>
      <w:t>北京文海绿源体育发展有限公司“12·27”</w:t>
    </w:r>
    <w:r>
      <w:rPr>
        <w:rFonts w:ascii="宋体" w:hAnsi="宋体" w:eastAsia="宋体"/>
        <w:szCs w:val="15"/>
      </w:rPr>
      <w:t>一般生产安全事故责任追究和整改措施落实情况评估报告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E89F9">
    <w:pPr>
      <w:pStyle w:val="11"/>
    </w:pPr>
    <w:r>
      <w:rPr>
        <w:rFonts w:hint="eastAsia" w:ascii="宋体" w:hAnsi="宋体" w:eastAsia="宋体"/>
        <w:szCs w:val="15"/>
      </w:rPr>
      <w:t>北京文海绿源体育发展有限公司“12·27”</w:t>
    </w:r>
    <w:r>
      <w:rPr>
        <w:rFonts w:ascii="宋体" w:hAnsi="宋体" w:eastAsia="宋体"/>
        <w:szCs w:val="15"/>
      </w:rPr>
      <w:t>一般生产安全事故责任追究和整改措施落实情况评估报告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04757">
    <w:pPr>
      <w:pStyle w:val="11"/>
      <w:rPr>
        <w:rFonts w:ascii="宋体" w:hAnsi="宋体" w:eastAsia="宋体"/>
        <w:szCs w:val="15"/>
      </w:rPr>
    </w:pPr>
    <w:r>
      <w:rPr>
        <w:rFonts w:hint="eastAsia" w:ascii="宋体" w:hAnsi="宋体" w:eastAsia="宋体"/>
        <w:szCs w:val="15"/>
      </w:rPr>
      <w:t>北京文海绿源体育发展有限公司“12·27”</w:t>
    </w:r>
    <w:r>
      <w:rPr>
        <w:rFonts w:ascii="宋体" w:hAnsi="宋体" w:eastAsia="宋体"/>
        <w:szCs w:val="15"/>
      </w:rPr>
      <w:t>一般生产安全事故责任追究和整改措施落实情况评估报告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EzMDJkZGNjYWY1ZjM0ZWZhNWE4NjU3NTVhMjhlOWEifQ=="/>
  </w:docVars>
  <w:rsids>
    <w:rsidRoot w:val="00462A52"/>
    <w:rsid w:val="00014716"/>
    <w:rsid w:val="00016802"/>
    <w:rsid w:val="0002545F"/>
    <w:rsid w:val="00036968"/>
    <w:rsid w:val="00037722"/>
    <w:rsid w:val="00040CC3"/>
    <w:rsid w:val="000508F1"/>
    <w:rsid w:val="000730FF"/>
    <w:rsid w:val="000A05E1"/>
    <w:rsid w:val="000C51EA"/>
    <w:rsid w:val="000D2DEC"/>
    <w:rsid w:val="000D7393"/>
    <w:rsid w:val="00113EBF"/>
    <w:rsid w:val="001230CC"/>
    <w:rsid w:val="00151450"/>
    <w:rsid w:val="001562B4"/>
    <w:rsid w:val="00162028"/>
    <w:rsid w:val="00163FAA"/>
    <w:rsid w:val="001A6BBB"/>
    <w:rsid w:val="001E7054"/>
    <w:rsid w:val="00257357"/>
    <w:rsid w:val="00262535"/>
    <w:rsid w:val="002640EA"/>
    <w:rsid w:val="00272BFE"/>
    <w:rsid w:val="00275E84"/>
    <w:rsid w:val="002E2E46"/>
    <w:rsid w:val="002E6263"/>
    <w:rsid w:val="002F6A05"/>
    <w:rsid w:val="003004F4"/>
    <w:rsid w:val="00302094"/>
    <w:rsid w:val="003074E1"/>
    <w:rsid w:val="003125AD"/>
    <w:rsid w:val="003412CE"/>
    <w:rsid w:val="00393EDF"/>
    <w:rsid w:val="0039551B"/>
    <w:rsid w:val="003A19BD"/>
    <w:rsid w:val="003A5DB5"/>
    <w:rsid w:val="003B1946"/>
    <w:rsid w:val="003D6FA6"/>
    <w:rsid w:val="0040420B"/>
    <w:rsid w:val="00420E9E"/>
    <w:rsid w:val="0043427B"/>
    <w:rsid w:val="00443B90"/>
    <w:rsid w:val="00462A52"/>
    <w:rsid w:val="00463752"/>
    <w:rsid w:val="004B6498"/>
    <w:rsid w:val="004C5918"/>
    <w:rsid w:val="004D07DD"/>
    <w:rsid w:val="00516C29"/>
    <w:rsid w:val="005225FB"/>
    <w:rsid w:val="0055671C"/>
    <w:rsid w:val="005716D5"/>
    <w:rsid w:val="00583B7E"/>
    <w:rsid w:val="005876C3"/>
    <w:rsid w:val="00595BA5"/>
    <w:rsid w:val="005B4645"/>
    <w:rsid w:val="005C313E"/>
    <w:rsid w:val="00614E47"/>
    <w:rsid w:val="00662A4F"/>
    <w:rsid w:val="00666520"/>
    <w:rsid w:val="00672405"/>
    <w:rsid w:val="00682485"/>
    <w:rsid w:val="006852E2"/>
    <w:rsid w:val="006956B7"/>
    <w:rsid w:val="006A5B5E"/>
    <w:rsid w:val="006B5437"/>
    <w:rsid w:val="006C1743"/>
    <w:rsid w:val="006C3E25"/>
    <w:rsid w:val="006C4990"/>
    <w:rsid w:val="006D4165"/>
    <w:rsid w:val="006E04DE"/>
    <w:rsid w:val="006F1DAF"/>
    <w:rsid w:val="006F3D95"/>
    <w:rsid w:val="00707B25"/>
    <w:rsid w:val="0071613A"/>
    <w:rsid w:val="00721481"/>
    <w:rsid w:val="00755CDC"/>
    <w:rsid w:val="00756C94"/>
    <w:rsid w:val="007762C0"/>
    <w:rsid w:val="00784A4E"/>
    <w:rsid w:val="00792D5E"/>
    <w:rsid w:val="007B1CD0"/>
    <w:rsid w:val="007C0FEF"/>
    <w:rsid w:val="007C328D"/>
    <w:rsid w:val="007D2F35"/>
    <w:rsid w:val="007E127A"/>
    <w:rsid w:val="008234C1"/>
    <w:rsid w:val="0082453E"/>
    <w:rsid w:val="00836AD2"/>
    <w:rsid w:val="008578AB"/>
    <w:rsid w:val="00860B44"/>
    <w:rsid w:val="00867012"/>
    <w:rsid w:val="008936ED"/>
    <w:rsid w:val="008C3B22"/>
    <w:rsid w:val="008F00C1"/>
    <w:rsid w:val="008F4F1B"/>
    <w:rsid w:val="008F7A28"/>
    <w:rsid w:val="00911963"/>
    <w:rsid w:val="00937F18"/>
    <w:rsid w:val="00940EA6"/>
    <w:rsid w:val="0095305D"/>
    <w:rsid w:val="009740A9"/>
    <w:rsid w:val="00982315"/>
    <w:rsid w:val="00983C93"/>
    <w:rsid w:val="00997886"/>
    <w:rsid w:val="009A4CAC"/>
    <w:rsid w:val="009F76CD"/>
    <w:rsid w:val="00A12BF5"/>
    <w:rsid w:val="00A32211"/>
    <w:rsid w:val="00A45B55"/>
    <w:rsid w:val="00A63ADC"/>
    <w:rsid w:val="00A81916"/>
    <w:rsid w:val="00AA774A"/>
    <w:rsid w:val="00AD6BE7"/>
    <w:rsid w:val="00B11110"/>
    <w:rsid w:val="00B158D1"/>
    <w:rsid w:val="00B20B76"/>
    <w:rsid w:val="00B236CB"/>
    <w:rsid w:val="00B64995"/>
    <w:rsid w:val="00B67A60"/>
    <w:rsid w:val="00B76963"/>
    <w:rsid w:val="00B824C6"/>
    <w:rsid w:val="00B85804"/>
    <w:rsid w:val="00B9173C"/>
    <w:rsid w:val="00C0730D"/>
    <w:rsid w:val="00C16F87"/>
    <w:rsid w:val="00C21562"/>
    <w:rsid w:val="00C248EF"/>
    <w:rsid w:val="00C24CB8"/>
    <w:rsid w:val="00C30C4D"/>
    <w:rsid w:val="00C338A0"/>
    <w:rsid w:val="00C33DD1"/>
    <w:rsid w:val="00C54815"/>
    <w:rsid w:val="00C54C5F"/>
    <w:rsid w:val="00C735A3"/>
    <w:rsid w:val="00C74701"/>
    <w:rsid w:val="00C76EE3"/>
    <w:rsid w:val="00CA4F25"/>
    <w:rsid w:val="00CA7FB6"/>
    <w:rsid w:val="00CB7EFB"/>
    <w:rsid w:val="00CD2071"/>
    <w:rsid w:val="00D03F22"/>
    <w:rsid w:val="00D2364E"/>
    <w:rsid w:val="00D56621"/>
    <w:rsid w:val="00D56CBF"/>
    <w:rsid w:val="00D62CB0"/>
    <w:rsid w:val="00D6494D"/>
    <w:rsid w:val="00D66AA5"/>
    <w:rsid w:val="00D746F3"/>
    <w:rsid w:val="00D87C16"/>
    <w:rsid w:val="00DC39BE"/>
    <w:rsid w:val="00DD2214"/>
    <w:rsid w:val="00DD5911"/>
    <w:rsid w:val="00DE58C4"/>
    <w:rsid w:val="00E155DB"/>
    <w:rsid w:val="00E2608D"/>
    <w:rsid w:val="00E57A8D"/>
    <w:rsid w:val="00EA3BA8"/>
    <w:rsid w:val="00EA729E"/>
    <w:rsid w:val="00ED19B0"/>
    <w:rsid w:val="00ED2CC0"/>
    <w:rsid w:val="00EF7433"/>
    <w:rsid w:val="00F24A82"/>
    <w:rsid w:val="00F643A7"/>
    <w:rsid w:val="00F82BFE"/>
    <w:rsid w:val="00F8546A"/>
    <w:rsid w:val="00F929DE"/>
    <w:rsid w:val="00FB00B8"/>
    <w:rsid w:val="00FB4539"/>
    <w:rsid w:val="00FD376F"/>
    <w:rsid w:val="00FF3A20"/>
    <w:rsid w:val="047355E8"/>
    <w:rsid w:val="04BF2B76"/>
    <w:rsid w:val="05483AD3"/>
    <w:rsid w:val="054B711F"/>
    <w:rsid w:val="06E635A4"/>
    <w:rsid w:val="08EB6C4F"/>
    <w:rsid w:val="0A256191"/>
    <w:rsid w:val="0F827BE2"/>
    <w:rsid w:val="0FF346B4"/>
    <w:rsid w:val="12657EA2"/>
    <w:rsid w:val="132117D0"/>
    <w:rsid w:val="139323BD"/>
    <w:rsid w:val="14F447B9"/>
    <w:rsid w:val="15353BFD"/>
    <w:rsid w:val="1B491975"/>
    <w:rsid w:val="1C9D0BAD"/>
    <w:rsid w:val="1F606F2A"/>
    <w:rsid w:val="21423B14"/>
    <w:rsid w:val="2EC25C6D"/>
    <w:rsid w:val="2EE3717A"/>
    <w:rsid w:val="2FC901B9"/>
    <w:rsid w:val="36302326"/>
    <w:rsid w:val="37A426D6"/>
    <w:rsid w:val="3CEA1EFA"/>
    <w:rsid w:val="3D8F673A"/>
    <w:rsid w:val="410C4981"/>
    <w:rsid w:val="42A96C58"/>
    <w:rsid w:val="4DCD5EEC"/>
    <w:rsid w:val="51234079"/>
    <w:rsid w:val="54776FA0"/>
    <w:rsid w:val="5D435839"/>
    <w:rsid w:val="62175534"/>
    <w:rsid w:val="654C1668"/>
    <w:rsid w:val="66501015"/>
    <w:rsid w:val="673F2340"/>
    <w:rsid w:val="680C37D3"/>
    <w:rsid w:val="68ECAAFA"/>
    <w:rsid w:val="6A486FCD"/>
    <w:rsid w:val="6F0F67A7"/>
    <w:rsid w:val="70AC3C5A"/>
    <w:rsid w:val="71914721"/>
    <w:rsid w:val="72816F46"/>
    <w:rsid w:val="75E12E1B"/>
    <w:rsid w:val="77F91CCF"/>
    <w:rsid w:val="78F16688"/>
    <w:rsid w:val="7E3D6140"/>
    <w:rsid w:val="7E816E49"/>
    <w:rsid w:val="DB332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unhideWhenUsed/>
    <w:qFormat/>
    <w:uiPriority w:val="39"/>
    <w:pPr>
      <w:ind w:left="1260"/>
      <w:jc w:val="left"/>
    </w:pPr>
    <w:rPr>
      <w:rFonts w:eastAsiaTheme="minorHAnsi"/>
      <w:sz w:val="18"/>
      <w:szCs w:val="18"/>
    </w:rPr>
  </w:style>
  <w:style w:type="paragraph" w:styleId="4">
    <w:name w:val="annotation text"/>
    <w:basedOn w:val="1"/>
    <w:link w:val="25"/>
    <w:unhideWhenUsed/>
    <w:qFormat/>
    <w:uiPriority w:val="99"/>
    <w:pPr>
      <w:jc w:val="left"/>
    </w:pPr>
  </w:style>
  <w:style w:type="paragraph" w:styleId="5">
    <w:name w:val="Body Text"/>
    <w:basedOn w:val="1"/>
    <w:link w:val="33"/>
    <w:qFormat/>
    <w:uiPriority w:val="1"/>
    <w:pPr>
      <w:autoSpaceDE w:val="0"/>
      <w:autoSpaceDN w:val="0"/>
      <w:jc w:val="left"/>
    </w:pPr>
    <w:rPr>
      <w:rFonts w:ascii="宋体" w:hAnsi="宋体" w:eastAsia="宋体" w:cs="宋体"/>
      <w:kern w:val="0"/>
      <w:sz w:val="28"/>
      <w:szCs w:val="28"/>
      <w:lang w:val="zh-CN" w:bidi="zh-CN"/>
    </w:rPr>
  </w:style>
  <w:style w:type="paragraph" w:styleId="6">
    <w:name w:val="toc 5"/>
    <w:basedOn w:val="1"/>
    <w:next w:val="1"/>
    <w:unhideWhenUsed/>
    <w:qFormat/>
    <w:uiPriority w:val="39"/>
    <w:pPr>
      <w:ind w:left="840"/>
      <w:jc w:val="left"/>
    </w:pPr>
    <w:rPr>
      <w:rFonts w:eastAsiaTheme="minorHAnsi"/>
      <w:sz w:val="18"/>
      <w:szCs w:val="18"/>
    </w:rPr>
  </w:style>
  <w:style w:type="paragraph" w:styleId="7">
    <w:name w:val="toc 3"/>
    <w:basedOn w:val="1"/>
    <w:next w:val="1"/>
    <w:unhideWhenUsed/>
    <w:qFormat/>
    <w:uiPriority w:val="39"/>
    <w:pPr>
      <w:ind w:left="420"/>
      <w:jc w:val="left"/>
    </w:pPr>
    <w:rPr>
      <w:rFonts w:eastAsiaTheme="minorHAnsi"/>
      <w:i/>
      <w:iCs/>
      <w:sz w:val="20"/>
      <w:szCs w:val="20"/>
    </w:rPr>
  </w:style>
  <w:style w:type="paragraph" w:styleId="8">
    <w:name w:val="toc 8"/>
    <w:basedOn w:val="1"/>
    <w:next w:val="1"/>
    <w:unhideWhenUsed/>
    <w:qFormat/>
    <w:uiPriority w:val="39"/>
    <w:pPr>
      <w:ind w:left="1470"/>
      <w:jc w:val="left"/>
    </w:pPr>
    <w:rPr>
      <w:rFonts w:eastAsiaTheme="minorHAnsi"/>
      <w:sz w:val="18"/>
      <w:szCs w:val="18"/>
    </w:rPr>
  </w:style>
  <w:style w:type="paragraph" w:styleId="9">
    <w:name w:val="Balloon Text"/>
    <w:basedOn w:val="1"/>
    <w:link w:val="27"/>
    <w:unhideWhenUsed/>
    <w:qFormat/>
    <w:uiPriority w:val="99"/>
    <w:rPr>
      <w:rFonts w:ascii="宋体" w:eastAsia="宋体"/>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9055"/>
      </w:tabs>
      <w:spacing w:before="120" w:after="120" w:line="480" w:lineRule="auto"/>
      <w:jc w:val="left"/>
    </w:pPr>
    <w:rPr>
      <w:rFonts w:ascii="仿宋_GB2312" w:hAnsi="仿宋_GB2312" w:eastAsia="仿宋_GB2312"/>
      <w:b/>
      <w:bCs/>
      <w:caps/>
      <w:sz w:val="28"/>
      <w:szCs w:val="28"/>
    </w:rPr>
  </w:style>
  <w:style w:type="paragraph" w:styleId="13">
    <w:name w:val="toc 4"/>
    <w:basedOn w:val="1"/>
    <w:next w:val="1"/>
    <w:unhideWhenUsed/>
    <w:qFormat/>
    <w:uiPriority w:val="39"/>
    <w:pPr>
      <w:ind w:left="630"/>
      <w:jc w:val="left"/>
    </w:pPr>
    <w:rPr>
      <w:rFonts w:eastAsiaTheme="minorHAnsi"/>
      <w:sz w:val="18"/>
      <w:szCs w:val="18"/>
    </w:rPr>
  </w:style>
  <w:style w:type="paragraph" w:styleId="14">
    <w:name w:val="toc 6"/>
    <w:basedOn w:val="1"/>
    <w:next w:val="1"/>
    <w:unhideWhenUsed/>
    <w:qFormat/>
    <w:uiPriority w:val="39"/>
    <w:pPr>
      <w:ind w:left="1050"/>
      <w:jc w:val="left"/>
    </w:pPr>
    <w:rPr>
      <w:rFonts w:eastAsiaTheme="minorHAnsi"/>
      <w:sz w:val="18"/>
      <w:szCs w:val="18"/>
    </w:rPr>
  </w:style>
  <w:style w:type="paragraph" w:styleId="15">
    <w:name w:val="toc 2"/>
    <w:basedOn w:val="1"/>
    <w:next w:val="1"/>
    <w:unhideWhenUsed/>
    <w:qFormat/>
    <w:uiPriority w:val="39"/>
    <w:pPr>
      <w:ind w:left="210"/>
      <w:jc w:val="left"/>
    </w:pPr>
    <w:rPr>
      <w:rFonts w:eastAsiaTheme="minorHAnsi"/>
      <w:smallCaps/>
      <w:sz w:val="20"/>
      <w:szCs w:val="20"/>
    </w:rPr>
  </w:style>
  <w:style w:type="paragraph" w:styleId="16">
    <w:name w:val="toc 9"/>
    <w:basedOn w:val="1"/>
    <w:next w:val="1"/>
    <w:unhideWhenUsed/>
    <w:qFormat/>
    <w:uiPriority w:val="39"/>
    <w:pPr>
      <w:ind w:left="1680"/>
      <w:jc w:val="left"/>
    </w:pPr>
    <w:rPr>
      <w:rFonts w:eastAsiaTheme="minorHAnsi"/>
      <w:sz w:val="18"/>
      <w:szCs w:val="18"/>
    </w:rPr>
  </w:style>
  <w:style w:type="paragraph" w:styleId="17">
    <w:name w:val="annotation subject"/>
    <w:basedOn w:val="4"/>
    <w:next w:val="4"/>
    <w:link w:val="26"/>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unhideWhenUsed/>
    <w:qFormat/>
    <w:uiPriority w:val="99"/>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unhideWhenUsed/>
    <w:qFormat/>
    <w:uiPriority w:val="99"/>
    <w:rPr>
      <w:sz w:val="21"/>
      <w:szCs w:val="21"/>
    </w:rPr>
  </w:style>
  <w:style w:type="paragraph" w:customStyle="1" w:styleId="24">
    <w:name w:val="列表段落1"/>
    <w:basedOn w:val="1"/>
    <w:qFormat/>
    <w:uiPriority w:val="34"/>
    <w:pPr>
      <w:ind w:firstLine="420" w:firstLineChars="200"/>
    </w:pPr>
  </w:style>
  <w:style w:type="character" w:customStyle="1" w:styleId="25">
    <w:name w:val="批注文字 Char"/>
    <w:basedOn w:val="20"/>
    <w:link w:val="4"/>
    <w:semiHidden/>
    <w:qFormat/>
    <w:uiPriority w:val="99"/>
  </w:style>
  <w:style w:type="character" w:customStyle="1" w:styleId="26">
    <w:name w:val="批注主题 Char"/>
    <w:basedOn w:val="25"/>
    <w:link w:val="17"/>
    <w:semiHidden/>
    <w:qFormat/>
    <w:uiPriority w:val="99"/>
    <w:rPr>
      <w:b/>
      <w:bCs/>
    </w:rPr>
  </w:style>
  <w:style w:type="character" w:customStyle="1" w:styleId="27">
    <w:name w:val="批注框文本 Char"/>
    <w:basedOn w:val="20"/>
    <w:link w:val="9"/>
    <w:semiHidden/>
    <w:qFormat/>
    <w:uiPriority w:val="99"/>
    <w:rPr>
      <w:rFonts w:ascii="宋体" w:eastAsia="宋体"/>
      <w:sz w:val="18"/>
      <w:szCs w:val="18"/>
    </w:rPr>
  </w:style>
  <w:style w:type="paragraph" w:customStyle="1" w:styleId="2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9">
    <w:name w:val="标题 1 Char"/>
    <w:basedOn w:val="20"/>
    <w:link w:val="2"/>
    <w:qFormat/>
    <w:uiPriority w:val="9"/>
    <w:rPr>
      <w:b/>
      <w:bCs/>
      <w:kern w:val="44"/>
      <w:sz w:val="44"/>
      <w:szCs w:val="44"/>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1">
    <w:name w:val="页眉 Char"/>
    <w:basedOn w:val="20"/>
    <w:link w:val="11"/>
    <w:qFormat/>
    <w:uiPriority w:val="99"/>
    <w:rPr>
      <w:sz w:val="18"/>
      <w:szCs w:val="18"/>
    </w:rPr>
  </w:style>
  <w:style w:type="character" w:customStyle="1" w:styleId="32">
    <w:name w:val="页脚 Char"/>
    <w:basedOn w:val="20"/>
    <w:link w:val="10"/>
    <w:qFormat/>
    <w:uiPriority w:val="99"/>
    <w:rPr>
      <w:sz w:val="18"/>
      <w:szCs w:val="18"/>
    </w:rPr>
  </w:style>
  <w:style w:type="character" w:customStyle="1" w:styleId="33">
    <w:name w:val="正文文本 Char"/>
    <w:basedOn w:val="20"/>
    <w:link w:val="5"/>
    <w:qFormat/>
    <w:uiPriority w:val="1"/>
    <w:rPr>
      <w:rFonts w:ascii="宋体" w:hAnsi="宋体" w:eastAsia="宋体" w:cs="宋体"/>
      <w:kern w:val="0"/>
      <w:sz w:val="28"/>
      <w:szCs w:val="2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customXml" Target="../customXml/item1.xml"/><Relationship Id="rId50" Type="http://schemas.openxmlformats.org/officeDocument/2006/relationships/image" Target="media/image34.jpeg"/><Relationship Id="rId5" Type="http://schemas.openxmlformats.org/officeDocument/2006/relationships/footer" Target="footer2.xml"/><Relationship Id="rId49" Type="http://schemas.openxmlformats.org/officeDocument/2006/relationships/image" Target="media/image33.jpeg"/><Relationship Id="rId48" Type="http://schemas.openxmlformats.org/officeDocument/2006/relationships/image" Target="media/image32.jpeg"/><Relationship Id="rId47" Type="http://schemas.openxmlformats.org/officeDocument/2006/relationships/image" Target="media/image31.jpeg"/><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png"/><Relationship Id="rId43" Type="http://schemas.openxmlformats.org/officeDocument/2006/relationships/image" Target="media/image27.jpeg"/><Relationship Id="rId42" Type="http://schemas.openxmlformats.org/officeDocument/2006/relationships/image" Target="media/image26.jpeg"/><Relationship Id="rId41" Type="http://schemas.openxmlformats.org/officeDocument/2006/relationships/image" Target="media/image25.jpeg"/><Relationship Id="rId40" Type="http://schemas.openxmlformats.org/officeDocument/2006/relationships/image" Target="media/image24.jpeg"/><Relationship Id="rId4" Type="http://schemas.openxmlformats.org/officeDocument/2006/relationships/footer" Target="footer1.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image" Target="media/image13.jpe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C0C719-C28E-4BF2-880A-F37D0D64AB3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6576</Words>
  <Characters>7094</Characters>
  <Lines>65</Lines>
  <Paragraphs>18</Paragraphs>
  <TotalTime>1</TotalTime>
  <ScaleCrop>false</ScaleCrop>
  <LinksUpToDate>false</LinksUpToDate>
  <CharactersWithSpaces>7186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2022-05-16T14:23:00Z</dcterms:created>
  <dc:creator>lenovo</dc:creator>
  <cp:lastModifiedBy>Dr.美ˇ</cp:lastModifiedBy>
  <cp:lastPrinted>2021-09-14T04:55:00Z</cp:lastPrinted>
  <dcterms:modified xsi:type="dcterms:W3CDTF">2025-01-13T09:05:28Z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7D718DA8AEC7496B8BC20C86D10F6309</vt:lpwstr>
  </property>
  <property fmtid="{D5CDD505-2E9C-101B-9397-08002B2CF9AE}" pid="4" name="KSOTemplateDocerSaveRecord">
    <vt:lpwstr>eyJoZGlkIjoiNzQxMDEyYTI5NmYyOGRmZDU2OGJlOGI0ZGJhOWVjMTgiLCJ1c2VySWQiOiIyMDEzMDI4NTYifQ==</vt:lpwstr>
  </property>
</Properties>
</file>