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北京卫建物业管理有限公司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12·27</w:t>
      </w:r>
      <w:r>
        <w:rPr>
          <w:rFonts w:hint="eastAsia" w:ascii="宋体" w:hAnsi="宋体" w:eastAsia="宋体" w:cs="宋体"/>
          <w:b/>
          <w:sz w:val="36"/>
          <w:szCs w:val="36"/>
        </w:rPr>
        <w:t>”一般生产安全责任事故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w:t>
      </w:r>
      <w:r>
        <w:rPr>
          <w:rFonts w:hint="eastAsia" w:ascii="宋体" w:hAnsi="宋体" w:eastAsia="宋体" w:cs="宋体"/>
          <w:b/>
          <w:bCs/>
          <w:sz w:val="30"/>
          <w:szCs w:val="30"/>
          <w:lang w:val="en-US" w:eastAsia="zh-CN"/>
        </w:rPr>
        <w:t>八</w:t>
      </w:r>
      <w:r>
        <w:rPr>
          <w:rFonts w:hint="eastAsia" w:ascii="宋体" w:hAnsi="宋体" w:eastAsia="宋体" w:cs="宋体"/>
          <w:b/>
          <w:bCs/>
          <w:sz w:val="30"/>
          <w:szCs w:val="30"/>
        </w:rPr>
        <w:t>月</w:t>
      </w:r>
    </w:p>
    <w:p>
      <w:pPr>
        <w:spacing w:line="600" w:lineRule="auto"/>
        <w:jc w:val="center"/>
        <w:outlineLvl w:val="1"/>
        <w:rPr>
          <w:rFonts w:ascii="宋体" w:hAnsi="宋体" w:eastAsia="宋体"/>
          <w:sz w:val="32"/>
          <w:szCs w:val="32"/>
        </w:rPr>
      </w:pPr>
      <w:r>
        <w:rPr>
          <w:rFonts w:ascii="宋体" w:hAnsi="宋体" w:eastAsia="宋体"/>
          <w:sz w:val="32"/>
          <w:szCs w:val="32"/>
        </w:rPr>
        <w:br w:type="page"/>
      </w:r>
    </w:p>
    <w:p>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2021年12月27日13时14分，位于昌平区天通苑南街道丽水园小区综合楼游泳馆，发生一起淹溺事故，造成1人死亡。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根据《中华人民共和国安全生产法》《生产安全事故报告和调查处理条例》《北京市生产安全事故报告和调查处理办法》等有关法律法规的规定，成立了由区应急局、公安昌平分局、区人力资源社会保障局、区总工会组成的事故联合调查组，同时邀请区纪委区监委参与，展开了全面的调查工作。</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”一般生产安全责任事故责任追究和整改措施落实情况评估报告》。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rPr>
        <w:t>202</w:t>
      </w:r>
      <w:r>
        <w:rPr>
          <w:rFonts w:ascii="仿宋" w:hAnsi="仿宋" w:eastAsia="仿宋" w:cs="仿宋"/>
          <w:sz w:val="28"/>
          <w:szCs w:val="28"/>
        </w:rPr>
        <w:t>2</w:t>
      </w:r>
      <w:r>
        <w:rPr>
          <w:rFonts w:hint="eastAsia" w:ascii="仿宋" w:hAnsi="仿宋" w:eastAsia="仿宋" w:cs="仿宋"/>
          <w:sz w:val="28"/>
          <w:szCs w:val="28"/>
        </w:rPr>
        <w:t>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tabs>
              <w:tab w:val="right" w:leader="dot" w:pos="8499"/>
              <w:tab w:val="clear" w:pos="9055"/>
            </w:tabs>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_Toc1218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_Toc1218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_Toc12827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_Toc12827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_Toc10886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_Toc10886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_Toc24149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_Toc24149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_Toc20579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_Toc20579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_Toc25527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_Toc25527 \h </w:instrText>
          </w:r>
          <w:r>
            <w:rPr>
              <w:rFonts w:eastAsia="仿宋"/>
              <w:caps w:val="0"/>
              <w:smallCaps w:val="0"/>
              <w:sz w:val="28"/>
            </w:rPr>
            <w:fldChar w:fldCharType="separate"/>
          </w:r>
          <w:r>
            <w:rPr>
              <w:rFonts w:eastAsia="仿宋"/>
              <w:caps w:val="0"/>
              <w:smallCaps w:val="0"/>
              <w:sz w:val="28"/>
            </w:rPr>
            <w:t>5</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_Toc30582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_Toc30582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_Toc29820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_Toc29820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_Toc12368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_Toc12368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_Toc4368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_Toc4368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_Toc27464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_Toc27464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_Toc31649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_Toc31649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_Toc28740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_Toc28740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_Toc22851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_Toc22851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_Toc25022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_Toc25022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_Toc30041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_Toc30041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_Toc3352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_Toc3352 \h </w:instrText>
          </w:r>
          <w:r>
            <w:rPr>
              <w:rFonts w:eastAsia="仿宋"/>
              <w:caps w:val="0"/>
              <w:smallCaps w:val="0"/>
              <w:sz w:val="28"/>
            </w:rPr>
            <w:fldChar w:fldCharType="separate"/>
          </w:r>
          <w:r>
            <w:rPr>
              <w:rFonts w:eastAsia="仿宋"/>
              <w:caps w:val="0"/>
              <w:smallCaps w:val="0"/>
              <w:sz w:val="28"/>
            </w:rPr>
            <w:t>15</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_Toc283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_Toc283 \h </w:instrText>
          </w:r>
          <w:r>
            <w:rPr>
              <w:rFonts w:eastAsia="仿宋"/>
              <w:caps w:val="0"/>
              <w:smallCaps w:val="0"/>
              <w:sz w:val="28"/>
            </w:rPr>
            <w:fldChar w:fldCharType="separate"/>
          </w:r>
          <w:r>
            <w:rPr>
              <w:rFonts w:eastAsia="仿宋"/>
              <w:caps w:val="0"/>
              <w:smallCaps w:val="0"/>
              <w:sz w:val="28"/>
            </w:rPr>
            <w:t>16</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_Toc6784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_Toc6784 \h </w:instrText>
          </w:r>
          <w:r>
            <w:rPr>
              <w:rFonts w:eastAsia="仿宋"/>
              <w:caps w:val="0"/>
              <w:smallCaps w:val="0"/>
              <w:sz w:val="28"/>
            </w:rPr>
            <w:fldChar w:fldCharType="separate"/>
          </w:r>
          <w:r>
            <w:rPr>
              <w:rFonts w:eastAsia="仿宋"/>
              <w:caps w:val="0"/>
              <w:smallCaps w:val="0"/>
              <w:sz w:val="28"/>
            </w:rPr>
            <w:t>16</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_Toc14449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附件2：行政处罚决定书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_Toc14449 \h </w:instrText>
          </w:r>
          <w:r>
            <w:rPr>
              <w:rFonts w:eastAsia="仿宋"/>
              <w:caps w:val="0"/>
              <w:smallCaps w:val="0"/>
              <w:sz w:val="28"/>
            </w:rPr>
            <w:fldChar w:fldCharType="separate"/>
          </w:r>
          <w:r>
            <w:rPr>
              <w:rFonts w:eastAsia="仿宋"/>
              <w:caps w:val="0"/>
              <w:smallCaps w:val="0"/>
              <w:sz w:val="28"/>
            </w:rPr>
            <w:t>32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附件3：罚款缴费证明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_Toc238 \h </w:instrText>
          </w:r>
          <w:r>
            <w:rPr>
              <w:rFonts w:eastAsia="仿宋"/>
              <w:caps w:val="0"/>
              <w:smallCaps w:val="0"/>
              <w:sz w:val="28"/>
            </w:rPr>
            <w:fldChar w:fldCharType="separate"/>
          </w:r>
          <w:r>
            <w:rPr>
              <w:rFonts w:eastAsia="仿宋"/>
              <w:caps w:val="0"/>
              <w:smallCaps w:val="0"/>
              <w:sz w:val="28"/>
            </w:rPr>
            <w:t>33</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_Toc24186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附件4：公司内部处罚及处分记录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_Toc24186 \h </w:instrText>
          </w:r>
          <w:r>
            <w:rPr>
              <w:rFonts w:eastAsia="仿宋"/>
              <w:caps w:val="0"/>
              <w:smallCaps w:val="0"/>
              <w:sz w:val="28"/>
            </w:rPr>
            <w:fldChar w:fldCharType="separate"/>
          </w:r>
          <w:r>
            <w:rPr>
              <w:rFonts w:eastAsia="仿宋"/>
              <w:caps w:val="0"/>
              <w:smallCaps w:val="0"/>
              <w:sz w:val="28"/>
            </w:rPr>
            <w:t>34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_Toc1788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附件5：安全生产责任制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_Toc1788 \h </w:instrText>
          </w:r>
          <w:r>
            <w:rPr>
              <w:rFonts w:eastAsia="仿宋"/>
              <w:caps w:val="0"/>
              <w:smallCaps w:val="0"/>
              <w:sz w:val="28"/>
            </w:rPr>
            <w:fldChar w:fldCharType="separate"/>
          </w:r>
          <w:r>
            <w:rPr>
              <w:rFonts w:eastAsia="仿宋"/>
              <w:caps w:val="0"/>
              <w:smallCaps w:val="0"/>
              <w:sz w:val="28"/>
            </w:rPr>
            <w:t>36</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_Toc22391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6</w:t>
          </w:r>
          <w:r>
            <w:rPr>
              <w:rFonts w:hint="eastAsia" w:ascii="仿宋" w:hAnsi="仿宋" w:eastAsia="仿宋" w:cs="仿宋"/>
              <w:caps w:val="0"/>
              <w:smallCaps w:val="0"/>
              <w:sz w:val="28"/>
              <w:szCs w:val="30"/>
            </w:rPr>
            <w:t>：教育培训记录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_Toc22391 \h </w:instrText>
          </w:r>
          <w:r>
            <w:rPr>
              <w:rFonts w:eastAsia="仿宋"/>
              <w:caps w:val="0"/>
              <w:smallCaps w:val="0"/>
              <w:sz w:val="28"/>
            </w:rPr>
            <w:fldChar w:fldCharType="separate"/>
          </w:r>
          <w:r>
            <w:rPr>
              <w:rFonts w:eastAsia="仿宋"/>
              <w:caps w:val="0"/>
              <w:smallCaps w:val="0"/>
              <w:sz w:val="28"/>
            </w:rPr>
            <w:t>60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_Toc8112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7</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_Toc8112 \h </w:instrText>
          </w:r>
          <w:r>
            <w:rPr>
              <w:rFonts w:eastAsia="仿宋"/>
              <w:caps w:val="0"/>
              <w:smallCaps w:val="0"/>
              <w:sz w:val="28"/>
            </w:rPr>
            <w:fldChar w:fldCharType="separate"/>
          </w:r>
          <w:r>
            <w:rPr>
              <w:rFonts w:eastAsia="仿宋"/>
              <w:caps w:val="0"/>
              <w:smallCaps w:val="0"/>
              <w:sz w:val="28"/>
            </w:rPr>
            <w:t>65</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_Toc4858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8</w:t>
          </w:r>
          <w:r>
            <w:rPr>
              <w:rFonts w:hint="eastAsia" w:ascii="仿宋" w:hAnsi="仿宋" w:eastAsia="仿宋" w:cs="仿宋"/>
              <w:caps w:val="0"/>
              <w:smallCaps w:val="0"/>
              <w:sz w:val="28"/>
              <w:szCs w:val="30"/>
            </w:rPr>
            <w:t>：安全生产操作规程</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_Toc4858 \h </w:instrText>
          </w:r>
          <w:r>
            <w:rPr>
              <w:rFonts w:eastAsia="仿宋"/>
              <w:caps w:val="0"/>
              <w:smallCaps w:val="0"/>
              <w:sz w:val="28"/>
            </w:rPr>
            <w:fldChar w:fldCharType="separate"/>
          </w:r>
          <w:r>
            <w:rPr>
              <w:rFonts w:eastAsia="仿宋"/>
              <w:caps w:val="0"/>
              <w:smallCaps w:val="0"/>
              <w:sz w:val="28"/>
            </w:rPr>
            <w:t>68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_Toc10864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9</w:t>
          </w:r>
          <w:r>
            <w:rPr>
              <w:rFonts w:hint="eastAsia" w:ascii="仿宋" w:hAnsi="仿宋" w:eastAsia="仿宋" w:cs="仿宋"/>
              <w:caps w:val="0"/>
              <w:smallCaps w:val="0"/>
              <w:sz w:val="28"/>
              <w:szCs w:val="30"/>
            </w:rPr>
            <w:t>：风险辨识清单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_Toc10864 \h </w:instrText>
          </w:r>
          <w:r>
            <w:rPr>
              <w:rFonts w:eastAsia="仿宋"/>
              <w:caps w:val="0"/>
              <w:smallCaps w:val="0"/>
              <w:sz w:val="28"/>
            </w:rPr>
            <w:fldChar w:fldCharType="separate"/>
          </w:r>
          <w:r>
            <w:rPr>
              <w:rFonts w:eastAsia="仿宋"/>
              <w:caps w:val="0"/>
              <w:smallCaps w:val="0"/>
              <w:sz w:val="28"/>
            </w:rPr>
            <w:t>72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_Toc20604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10</w:t>
          </w:r>
          <w:r>
            <w:rPr>
              <w:rFonts w:hint="eastAsia" w:ascii="仿宋" w:hAnsi="仿宋" w:eastAsia="仿宋" w:cs="仿宋"/>
              <w:caps w:val="0"/>
              <w:smallCaps w:val="0"/>
              <w:sz w:val="28"/>
              <w:szCs w:val="30"/>
            </w:rPr>
            <w:t>：日常安全检查记录表</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_Toc20604 \h </w:instrText>
          </w:r>
          <w:r>
            <w:rPr>
              <w:rFonts w:eastAsia="仿宋"/>
              <w:caps w:val="0"/>
              <w:smallCaps w:val="0"/>
              <w:sz w:val="28"/>
            </w:rPr>
            <w:fldChar w:fldCharType="separate"/>
          </w:r>
          <w:r>
            <w:rPr>
              <w:rFonts w:eastAsia="仿宋"/>
              <w:caps w:val="0"/>
              <w:smallCaps w:val="0"/>
              <w:sz w:val="28"/>
            </w:rPr>
            <w:t>75</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_Toc6073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11</w:t>
          </w:r>
          <w:r>
            <w:rPr>
              <w:rFonts w:hint="eastAsia" w:ascii="仿宋" w:hAnsi="仿宋" w:eastAsia="仿宋" w:cs="仿宋"/>
              <w:caps w:val="0"/>
              <w:smallCaps w:val="0"/>
              <w:sz w:val="28"/>
              <w:szCs w:val="30"/>
            </w:rPr>
            <w:t>：整改报告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_Toc6073 \h </w:instrText>
          </w:r>
          <w:r>
            <w:rPr>
              <w:rFonts w:eastAsia="仿宋"/>
              <w:caps w:val="0"/>
              <w:smallCaps w:val="0"/>
              <w:sz w:val="28"/>
            </w:rPr>
            <w:fldChar w:fldCharType="separate"/>
          </w:r>
          <w:r>
            <w:rPr>
              <w:rFonts w:eastAsia="仿宋"/>
              <w:caps w:val="0"/>
              <w:smallCaps w:val="0"/>
              <w:sz w:val="28"/>
            </w:rPr>
            <w:t>87</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89"/>
            </w:tabs>
            <w:spacing w:line="360" w:lineRule="auto"/>
          </w:pPr>
          <w:r>
            <w:rPr>
              <w:rFonts w:ascii="仿宋" w:hAnsi="仿宋" w:eastAsia="仿宋"/>
            </w:rPr>
            <w:fldChar w:fldCharType="end"/>
          </w: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03785021"/>
      <w:bookmarkStart w:id="1" w:name="_Toc1218"/>
      <w:bookmarkStart w:id="2" w:name="_Toc19566"/>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103785022"/>
      <w:bookmarkStart w:id="4" w:name="_Toc29119"/>
      <w:bookmarkStart w:id="5" w:name="_Toc12827"/>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0886"/>
      <w:bookmarkStart w:id="7" w:name="_Toc1617"/>
      <w:bookmarkStart w:id="8" w:name="_Toc103785023"/>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”一般生产安全责任事故责任单位及相关人员。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丽水园小区综合楼游泳馆“12·27”一般生产安全责任事故调查报告》中所提出的对北京卫建物业管理有限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24149"/>
      <w:bookmarkStart w:id="10" w:name="_Toc7868"/>
      <w:bookmarkStart w:id="11" w:name="_Toc103785024"/>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”一般生产安全责任事故责任追究和整改措施落实评估程序主要包括：现场评估调查准备（前期准备）、现场评估调查实施（包括：首次会、调查评估）、评估调查总结论证、编制评估报告。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26633"/>
      <w:bookmarkStart w:id="15" w:name="_Toc20579"/>
      <w:bookmarkStart w:id="16" w:name="_Toc103785025"/>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评估组严格执行《北京市昌平区生产安全事故责任追究及整改措施落实情况评估办法》的有关规定，认真研读了《丽水园小区综合楼游泳馆“12·27”一般生产安全责任事故调查报告》，202</w:t>
      </w:r>
      <w:r>
        <w:rPr>
          <w:rFonts w:ascii="仿宋" w:hAnsi="仿宋" w:eastAsia="仿宋" w:cs="仿宋"/>
          <w:sz w:val="28"/>
          <w:szCs w:val="28"/>
        </w:rPr>
        <w:t>2</w:t>
      </w:r>
      <w:r>
        <w:rPr>
          <w:rFonts w:hint="eastAsia" w:ascii="仿宋" w:hAnsi="仿宋" w:eastAsia="仿宋" w:cs="仿宋"/>
          <w:sz w:val="28"/>
          <w:szCs w:val="28"/>
        </w:rPr>
        <w:t>年</w:t>
      </w:r>
      <w:r>
        <w:rPr>
          <w:rFonts w:ascii="仿宋" w:hAnsi="仿宋" w:eastAsia="仿宋" w:cs="仿宋"/>
          <w:sz w:val="28"/>
          <w:szCs w:val="28"/>
        </w:rPr>
        <w:t>6</w:t>
      </w:r>
      <w:r>
        <w:rPr>
          <w:rFonts w:hint="eastAsia" w:ascii="仿宋" w:hAnsi="仿宋" w:eastAsia="仿宋" w:cs="仿宋"/>
          <w:sz w:val="28"/>
          <w:szCs w:val="28"/>
        </w:rPr>
        <w:t>月，评估组采取听取汇报、调阅事故原始档案、现场核查及询问等方法，深入事故发生单位现场开展评估工作。听取了事故责任单位的事故整改情况报告，对北京卫建物业管理有限公司“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103785026"/>
      <w:bookmarkStart w:id="20" w:name="_Toc21927"/>
      <w:bookmarkStart w:id="21" w:name="_Toc25527"/>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一般生产安全事故责任追究和整改措施落实情况评估工作，主要依据《丽水园小区综合楼游泳馆“12·27”一般生产安全责任事故调查报告》及相关的国家法律法规及标准。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r>
        <w:rPr>
          <w:rFonts w:ascii="仿宋" w:hAnsi="仿宋" w:eastAsia="仿宋" w:cs="仿宋"/>
          <w:sz w:val="28"/>
          <w:szCs w:val="28"/>
        </w:rPr>
        <w:br w:type="page"/>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30582"/>
      <w:bookmarkStart w:id="26" w:name="_Toc103785027"/>
      <w:bookmarkStart w:id="27" w:name="_Toc27822"/>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w:t>
      </w:r>
      <w:r>
        <w:rPr>
          <w:rFonts w:ascii="仿宋" w:hAnsi="仿宋" w:eastAsia="仿宋" w:cs="仿宋"/>
          <w:sz w:val="28"/>
          <w:szCs w:val="28"/>
        </w:rPr>
        <w:t>12·27”</w:t>
      </w:r>
      <w:r>
        <w:rPr>
          <w:rFonts w:hint="eastAsia" w:ascii="仿宋" w:hAnsi="仿宋" w:eastAsia="仿宋" w:cs="仿宋"/>
          <w:sz w:val="28"/>
          <w:szCs w:val="28"/>
        </w:rPr>
        <w:t>一般生产安全事故发生后，事故联合调查组对事故进行了全面调查，并出具了《丽水园小区综合楼游泳馆“12·27”一般生产安全责任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4770"/>
      <w:bookmarkStart w:id="29" w:name="_Toc103785028"/>
      <w:bookmarkStart w:id="30" w:name="_Toc29820"/>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1.卫建物业管理公司</w:t>
      </w:r>
      <w:r>
        <w:rPr>
          <w:rFonts w:hint="eastAsia" w:ascii="仿宋" w:hAnsi="仿宋" w:eastAsia="仿宋" w:cs="仿宋"/>
          <w:sz w:val="28"/>
          <w:szCs w:val="28"/>
          <w:lang w:eastAsia="zh-CN"/>
        </w:rPr>
        <w:t>，</w:t>
      </w:r>
      <w:r>
        <w:rPr>
          <w:rFonts w:hint="eastAsia" w:ascii="仿宋" w:hAnsi="仿宋" w:eastAsia="仿宋" w:cs="仿宋"/>
          <w:sz w:val="28"/>
          <w:szCs w:val="28"/>
        </w:rPr>
        <w:t>一是未建立全员安全生产责任制；二是未构建安全风险分级管控机制；三是违规发包生产经营项目，卫建物业管理公司登记办理了《高危险性体育项目经营许可证》，但将实际经营权发包给未取得《高危险性体育项目经营许可证》的文海绿源体育公司；四是监督管理缺失，卫建物业管理公司安全管理缺失，对丽水园游泳馆的安全检查仅在设施设备上，未对文海绿源体育公司安全生产工作进行统一协调、管理，尤其是在</w:t>
      </w:r>
      <w:r>
        <w:rPr>
          <w:rFonts w:ascii="仿宋" w:hAnsi="仿宋" w:eastAsia="仿宋" w:cs="仿宋"/>
          <w:sz w:val="28"/>
          <w:szCs w:val="28"/>
        </w:rPr>
        <w:t>2021年11月26日丽水因游泳馆开馆营业以后，未对</w:t>
      </w:r>
      <w:r>
        <w:rPr>
          <w:rFonts w:hint="eastAsia" w:ascii="仿宋" w:hAnsi="仿宋" w:eastAsia="仿宋" w:cs="仿宋"/>
          <w:sz w:val="28"/>
          <w:szCs w:val="28"/>
        </w:rPr>
        <w:t>丽水园游泳馆进行安全检查，由文海绿源体育公司自行检查，其行</w:t>
      </w:r>
      <w:r>
        <w:rPr>
          <w:rFonts w:ascii="仿宋" w:hAnsi="仿宋" w:eastAsia="仿宋" w:cs="仿宋"/>
          <w:sz w:val="28"/>
          <w:szCs w:val="28"/>
        </w:rPr>
        <w:t>为违反了《中华人民共和国安全生产法》第四条、第四十九条第一款、第二款的规定，对此次事故负有管理责任。依据《中华</w:t>
      </w:r>
      <w:r>
        <w:rPr>
          <w:rFonts w:hint="eastAsia" w:ascii="仿宋" w:hAnsi="仿宋" w:eastAsia="仿宋" w:cs="仿宋"/>
          <w:sz w:val="28"/>
          <w:szCs w:val="28"/>
        </w:rPr>
        <w:t>人民共和国安全生产法》第一百一十四条第（</w:t>
      </w:r>
      <w:r>
        <w:rPr>
          <w:rFonts w:ascii="仿宋" w:hAnsi="仿宋" w:eastAsia="仿宋" w:cs="仿宋"/>
          <w:sz w:val="28"/>
          <w:szCs w:val="28"/>
        </w:rPr>
        <w:t>一）项的规定，结</w:t>
      </w:r>
      <w:r>
        <w:rPr>
          <w:rFonts w:hint="eastAsia" w:ascii="仿宋" w:hAnsi="仿宋" w:eastAsia="仿宋" w:cs="仿宋"/>
          <w:sz w:val="28"/>
          <w:szCs w:val="28"/>
        </w:rPr>
        <w:t>合《北京市安全生产行政处罚自由裁量基准》（</w:t>
      </w:r>
      <w:r>
        <w:rPr>
          <w:rFonts w:ascii="仿宋" w:hAnsi="仿宋" w:eastAsia="仿宋" w:cs="仿宋"/>
          <w:sz w:val="28"/>
          <w:szCs w:val="28"/>
        </w:rPr>
        <w:t>三十五），建议区应急局给予卫建物业管理公司罚款30万元以上70万元以下的行</w:t>
      </w:r>
      <w:r>
        <w:rPr>
          <w:rFonts w:hint="eastAsia" w:ascii="仿宋" w:hAnsi="仿宋" w:eastAsia="仿宋" w:cs="仿宋"/>
          <w:sz w:val="28"/>
          <w:szCs w:val="28"/>
        </w:rPr>
        <w:t>政处罚</w:t>
      </w:r>
      <w:r>
        <w:rPr>
          <w:rFonts w:ascii="仿宋" w:hAnsi="仿宋" w:eastAsia="仿宋" w:cs="仿宋"/>
          <w:sz w:val="28"/>
          <w:szCs w:val="28"/>
        </w:rPr>
        <w:t>。</w:t>
      </w:r>
      <w:bookmarkStart w:id="32" w:name="_Toc243212604"/>
    </w:p>
    <w:p>
      <w:pPr>
        <w:spacing w:line="480" w:lineRule="auto"/>
        <w:ind w:firstLine="560" w:firstLineChars="200"/>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卫建物业管理公司主要负责人赵红卫。履职尽责不到位</w:t>
      </w:r>
      <w:r>
        <w:rPr>
          <w:rFonts w:ascii="仿宋" w:hAnsi="仿宋" w:eastAsia="仿宋" w:cs="仿宋"/>
          <w:sz w:val="28"/>
          <w:szCs w:val="28"/>
        </w:rPr>
        <w:t>，一是未建立健全并落实卫建物业管理公司全员安全生产责任</w:t>
      </w:r>
      <w:r>
        <w:rPr>
          <w:rFonts w:hint="eastAsia" w:ascii="仿宋" w:hAnsi="仿宋" w:eastAsia="仿宋" w:cs="仿宋"/>
          <w:sz w:val="28"/>
          <w:szCs w:val="28"/>
        </w:rPr>
        <w:t>制，二是未组织制定卫建物业管理公司安全生产规章制度和操作规程；三是未组织制定并实施卫建物业管理公司安全生产教育和培训计划；四是未组织制定并实施卫建物业管理公司生产安全事故应急救援预案；五是未组织建立并落实卫建物业管理公司安全风险分级管控和隐患排查治理双重预防机制；六是未及时、如实向安全监督管理部门报告生产安全事故，其行为违反了《中华人民</w:t>
      </w:r>
      <w:r>
        <w:rPr>
          <w:rFonts w:ascii="仿宋" w:hAnsi="仿宋" w:eastAsia="仿宋" w:cs="仿宋"/>
          <w:sz w:val="28"/>
          <w:szCs w:val="28"/>
        </w:rPr>
        <w:t>共和国安全生产法》第二十一条的规定。依据《中华人民共和国</w:t>
      </w:r>
      <w:r>
        <w:rPr>
          <w:rFonts w:hint="eastAsia" w:ascii="仿宋" w:hAnsi="仿宋" w:eastAsia="仿宋" w:cs="仿宋"/>
          <w:sz w:val="28"/>
          <w:szCs w:val="28"/>
        </w:rPr>
        <w:t>安全生产法》第九十五条第（</w:t>
      </w:r>
      <w:r>
        <w:rPr>
          <w:rFonts w:ascii="仿宋" w:hAnsi="仿宋" w:eastAsia="仿宋" w:cs="仿宋"/>
          <w:sz w:val="28"/>
          <w:szCs w:val="28"/>
        </w:rPr>
        <w:t>一）项的规定，结合《北京市安全</w:t>
      </w:r>
      <w:r>
        <w:rPr>
          <w:rFonts w:hint="eastAsia" w:ascii="仿宋" w:hAnsi="仿宋" w:eastAsia="仿宋" w:cs="仿宋"/>
          <w:sz w:val="28"/>
          <w:szCs w:val="28"/>
        </w:rPr>
        <w:t>生产行政处罚自由裁量基准》（四），建议区应急局给予赵红卫</w:t>
      </w:r>
      <w:r>
        <w:rPr>
          <w:rFonts w:ascii="仿宋" w:hAnsi="仿宋" w:eastAsia="仿宋" w:cs="仿宋"/>
          <w:sz w:val="28"/>
          <w:szCs w:val="28"/>
        </w:rPr>
        <w:t>上一年年度收入40％的行政处罚。</w:t>
      </w:r>
    </w:p>
    <w:p>
      <w:pPr>
        <w:spacing w:line="480" w:lineRule="auto"/>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昌平区应急管理局对北京卫建物业管理有限公司行政处罚依法立案，并依据《安全生产法》，给予其作出</w:t>
      </w:r>
      <w:r>
        <w:rPr>
          <w:rFonts w:ascii="仿宋" w:hAnsi="仿宋" w:eastAsia="仿宋" w:cs="仿宋"/>
          <w:color w:val="auto"/>
          <w:sz w:val="28"/>
          <w:szCs w:val="28"/>
        </w:rPr>
        <w:t>2</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万元的行政处罚，行政处罚决定书（昌）安监（事故）罚[202</w:t>
      </w:r>
      <w:r>
        <w:rPr>
          <w:rFonts w:ascii="仿宋" w:hAnsi="仿宋" w:eastAsia="仿宋" w:cs="仿宋"/>
          <w:color w:val="auto"/>
          <w:sz w:val="28"/>
          <w:szCs w:val="28"/>
        </w:rPr>
        <w:t>2</w:t>
      </w:r>
      <w:r>
        <w:rPr>
          <w:rFonts w:hint="eastAsia" w:ascii="仿宋" w:hAnsi="仿宋" w:eastAsia="仿宋" w:cs="仿宋"/>
          <w:color w:val="auto"/>
          <w:sz w:val="28"/>
          <w:szCs w:val="28"/>
        </w:rPr>
        <w:t>]</w:t>
      </w:r>
      <w:r>
        <w:rPr>
          <w:rFonts w:ascii="仿宋" w:hAnsi="仿宋" w:eastAsia="仿宋" w:cs="仿宋"/>
          <w:color w:val="auto"/>
          <w:sz w:val="28"/>
          <w:szCs w:val="28"/>
        </w:rPr>
        <w:t>3</w:t>
      </w:r>
      <w:r>
        <w:rPr>
          <w:rFonts w:hint="eastAsia" w:ascii="仿宋" w:hAnsi="仿宋" w:eastAsia="仿宋" w:cs="仿宋"/>
          <w:color w:val="auto"/>
          <w:sz w:val="28"/>
          <w:szCs w:val="28"/>
        </w:rPr>
        <w:t>-</w:t>
      </w:r>
      <w:r>
        <w:rPr>
          <w:rFonts w:ascii="仿宋" w:hAnsi="仿宋" w:eastAsia="仿宋" w:cs="仿宋"/>
          <w:color w:val="auto"/>
          <w:sz w:val="28"/>
          <w:szCs w:val="28"/>
        </w:rPr>
        <w:t>1</w:t>
      </w:r>
      <w:r>
        <w:rPr>
          <w:rFonts w:hint="eastAsia" w:ascii="仿宋" w:hAnsi="仿宋" w:eastAsia="仿宋" w:cs="仿宋"/>
          <w:color w:val="auto"/>
          <w:sz w:val="28"/>
          <w:szCs w:val="28"/>
        </w:rPr>
        <w:t>号（见附件2）。</w:t>
      </w:r>
    </w:p>
    <w:p>
      <w:pPr>
        <w:spacing w:line="48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企业于202</w:t>
      </w:r>
      <w:r>
        <w:rPr>
          <w:rFonts w:ascii="仿宋" w:hAnsi="仿宋" w:eastAsia="仿宋" w:cs="仿宋"/>
          <w:color w:val="auto"/>
          <w:sz w:val="28"/>
          <w:szCs w:val="28"/>
        </w:rPr>
        <w:t>2</w:t>
      </w:r>
      <w:r>
        <w:rPr>
          <w:rFonts w:hint="eastAsia" w:ascii="仿宋" w:hAnsi="仿宋" w:eastAsia="仿宋" w:cs="仿宋"/>
          <w:color w:val="auto"/>
          <w:sz w:val="28"/>
          <w:szCs w:val="28"/>
        </w:rPr>
        <w:t>年</w:t>
      </w:r>
      <w:r>
        <w:rPr>
          <w:rFonts w:ascii="仿宋" w:hAnsi="仿宋" w:eastAsia="仿宋" w:cs="仿宋"/>
          <w:color w:val="auto"/>
          <w:sz w:val="28"/>
          <w:szCs w:val="28"/>
        </w:rPr>
        <w:t>2</w:t>
      </w:r>
      <w:r>
        <w:rPr>
          <w:rFonts w:hint="eastAsia" w:ascii="仿宋" w:hAnsi="仿宋" w:eastAsia="仿宋" w:cs="仿宋"/>
          <w:color w:val="auto"/>
          <w:sz w:val="28"/>
          <w:szCs w:val="28"/>
        </w:rPr>
        <w:t>月</w:t>
      </w:r>
      <w:r>
        <w:rPr>
          <w:rFonts w:ascii="仿宋" w:hAnsi="仿宋" w:eastAsia="仿宋" w:cs="仿宋"/>
          <w:color w:val="auto"/>
          <w:sz w:val="28"/>
          <w:szCs w:val="28"/>
        </w:rPr>
        <w:t>2</w:t>
      </w:r>
      <w:r>
        <w:rPr>
          <w:rFonts w:hint="eastAsia" w:ascii="仿宋" w:hAnsi="仿宋" w:eastAsia="仿宋" w:cs="仿宋"/>
          <w:color w:val="auto"/>
          <w:sz w:val="28"/>
          <w:szCs w:val="28"/>
        </w:rPr>
        <w:t>1日，缴纳罚款</w:t>
      </w:r>
      <w:r>
        <w:rPr>
          <w:rFonts w:ascii="仿宋" w:hAnsi="仿宋" w:eastAsia="仿宋" w:cs="仿宋"/>
          <w:color w:val="auto"/>
          <w:sz w:val="28"/>
          <w:szCs w:val="28"/>
        </w:rPr>
        <w:t>35</w:t>
      </w:r>
      <w:r>
        <w:rPr>
          <w:rFonts w:hint="eastAsia" w:ascii="仿宋" w:hAnsi="仿宋" w:eastAsia="仿宋" w:cs="仿宋"/>
          <w:color w:val="auto"/>
          <w:sz w:val="28"/>
          <w:szCs w:val="28"/>
        </w:rPr>
        <w:t>万元，罚款缴费证明见附件3。</w:t>
      </w:r>
    </w:p>
    <w:p>
      <w:pPr>
        <w:spacing w:line="600" w:lineRule="auto"/>
        <w:jc w:val="left"/>
        <w:outlineLvl w:val="1"/>
        <w:rPr>
          <w:rFonts w:ascii="仿宋" w:hAnsi="仿宋" w:eastAsia="仿宋" w:cs="仿宋"/>
          <w:b/>
          <w:sz w:val="32"/>
          <w:szCs w:val="32"/>
        </w:rPr>
      </w:pPr>
      <w:bookmarkStart w:id="33" w:name="_Toc103785029"/>
      <w:bookmarkStart w:id="34" w:name="_Toc32671"/>
      <w:bookmarkStart w:id="35" w:name="_Toc12368"/>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昌平区应急管理局依据《安全生产法》，对北京卫建物业管理有限公司主要负责人赵红卫作出</w:t>
      </w:r>
      <w:r>
        <w:rPr>
          <w:rFonts w:ascii="仿宋" w:hAnsi="仿宋" w:eastAsia="仿宋" w:cs="仿宋"/>
          <w:sz w:val="28"/>
          <w:szCs w:val="28"/>
        </w:rPr>
        <w:t>2万</w:t>
      </w:r>
      <w:r>
        <w:rPr>
          <w:rFonts w:hint="eastAsia" w:ascii="仿宋" w:hAnsi="仿宋" w:eastAsia="仿宋" w:cs="仿宋"/>
          <w:sz w:val="28"/>
          <w:szCs w:val="28"/>
        </w:rPr>
        <w:t>元的行政处罚，行政处罚决定书（昌）安监（事故）罚[202</w:t>
      </w:r>
      <w:r>
        <w:rPr>
          <w:rFonts w:ascii="仿宋" w:hAnsi="仿宋" w:eastAsia="仿宋" w:cs="仿宋"/>
          <w:sz w:val="28"/>
          <w:szCs w:val="28"/>
        </w:rPr>
        <w:t>2</w:t>
      </w:r>
      <w:r>
        <w:rPr>
          <w:rFonts w:hint="eastAsia" w:ascii="仿宋" w:hAnsi="仿宋" w:eastAsia="仿宋" w:cs="仿宋"/>
          <w:sz w:val="28"/>
          <w:szCs w:val="28"/>
        </w:rPr>
        <w:t>]</w:t>
      </w:r>
      <w:r>
        <w:rPr>
          <w:rFonts w:ascii="仿宋" w:hAnsi="仿宋" w:eastAsia="仿宋" w:cs="仿宋"/>
          <w:sz w:val="28"/>
          <w:szCs w:val="28"/>
        </w:rPr>
        <w:t>7</w:t>
      </w: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赵红卫于2022年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1</w:t>
      </w:r>
      <w:r>
        <w:rPr>
          <w:rFonts w:hint="eastAsia" w:ascii="仿宋" w:hAnsi="仿宋" w:eastAsia="仿宋" w:cs="仿宋"/>
          <w:sz w:val="28"/>
          <w:szCs w:val="28"/>
        </w:rPr>
        <w:t>1日，缴纳罚款</w:t>
      </w:r>
      <w:r>
        <w:rPr>
          <w:rFonts w:ascii="仿宋" w:hAnsi="仿宋" w:eastAsia="仿宋" w:cs="仿宋"/>
          <w:sz w:val="28"/>
          <w:szCs w:val="28"/>
        </w:rPr>
        <w:t>2万</w:t>
      </w:r>
      <w:r>
        <w:rPr>
          <w:rFonts w:hint="eastAsia" w:ascii="仿宋" w:hAnsi="仿宋" w:eastAsia="仿宋" w:cs="仿宋"/>
          <w:sz w:val="28"/>
          <w:szCs w:val="28"/>
        </w:rPr>
        <w:t>元，罚款缴费证明见附件3。</w:t>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36" w:name="_Toc4368"/>
      <w:bookmarkStart w:id="37" w:name="_Toc103785030"/>
      <w:bookmarkStart w:id="38" w:name="_Toc31818"/>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评估组根据现场核实检查，北京卫建物业管理有限公司针对《丽水园小区综合楼游泳馆“12·27”一般生产安全责任事故调查报告》中提出的事故防范和整改措施建议，已基本整改落实完成。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27464"/>
      <w:bookmarkStart w:id="40" w:name="_Toc103785031"/>
      <w:bookmarkStart w:id="41" w:name="_Toc23255"/>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卫建物业管理公司。要深刻汲取事故教训，依法履行安全生</w:t>
      </w:r>
      <w:r>
        <w:rPr>
          <w:rFonts w:ascii="仿宋" w:hAnsi="仿宋" w:eastAsia="仿宋" w:cs="仿宋"/>
          <w:sz w:val="28"/>
          <w:szCs w:val="28"/>
        </w:rPr>
        <w:t>产主体责任，建立健全全员安全生产责任制，严格落实安全生产</w:t>
      </w:r>
      <w:r>
        <w:rPr>
          <w:rFonts w:hint="eastAsia" w:ascii="仿宋" w:hAnsi="仿宋" w:eastAsia="仿宋" w:cs="仿宋"/>
          <w:sz w:val="28"/>
          <w:szCs w:val="28"/>
        </w:rPr>
        <w:t>规章制度和操作规程；构建安全风险分级管控和隐患排查</w:t>
      </w:r>
      <w:r>
        <w:rPr>
          <w:rFonts w:ascii="仿宋" w:hAnsi="仿宋" w:eastAsia="仿宋" w:cs="仿宋"/>
          <w:sz w:val="28"/>
          <w:szCs w:val="28"/>
        </w:rPr>
        <w:t>治理双重预防机制，健全风险防范化解机制，及时消除事故隐患，提高事故应急处置能力；不得将生产经营项目发包或者出租给不</w:t>
      </w:r>
      <w:r>
        <w:rPr>
          <w:rFonts w:hint="eastAsia" w:ascii="仿宋" w:hAnsi="仿宋" w:eastAsia="仿宋" w:cs="仿宋"/>
          <w:sz w:val="28"/>
          <w:szCs w:val="28"/>
        </w:rPr>
        <w:t>且备安全生产条件或者相应资质的单位和个人。生产经营项目、场所发</w:t>
      </w:r>
      <w:r>
        <w:rPr>
          <w:rFonts w:ascii="仿宋" w:hAnsi="仿宋" w:eastAsia="仿宋" w:cs="仿宋"/>
          <w:sz w:val="28"/>
          <w:szCs w:val="28"/>
        </w:rPr>
        <w:t>包或者出租给其他单位的，必须将承包单位、承租单位的安全生产工作统一协调、管理，定期进行安全检查，发现安全问题的</w:t>
      </w:r>
      <w:r>
        <w:rPr>
          <w:rFonts w:hint="eastAsia" w:ascii="仿宋" w:hAnsi="仿宋" w:eastAsia="仿宋" w:cs="仿宋"/>
          <w:sz w:val="28"/>
          <w:szCs w:val="28"/>
        </w:rPr>
        <w:t>，</w:t>
      </w:r>
      <w:r>
        <w:rPr>
          <w:rFonts w:ascii="仿宋" w:hAnsi="仿宋" w:eastAsia="仿宋" w:cs="仿宋"/>
          <w:sz w:val="28"/>
          <w:szCs w:val="28"/>
        </w:rPr>
        <w:t>应当及时督促整改，防止类似事故的再发生</w:t>
      </w:r>
      <w:r>
        <w:rPr>
          <w:rFonts w:hint="eastAsia" w:ascii="仿宋" w:hAnsi="仿宋" w:eastAsia="仿宋" w:cs="仿宋"/>
          <w:sz w:val="28"/>
          <w:szCs w:val="28"/>
        </w:rPr>
        <w:t>。</w:t>
      </w:r>
    </w:p>
    <w:p>
      <w:pPr>
        <w:spacing w:line="600" w:lineRule="auto"/>
        <w:jc w:val="left"/>
        <w:outlineLvl w:val="1"/>
        <w:rPr>
          <w:rFonts w:ascii="仿宋" w:hAnsi="仿宋" w:eastAsia="仿宋" w:cs="仿宋"/>
          <w:b/>
          <w:sz w:val="32"/>
          <w:szCs w:val="32"/>
        </w:rPr>
      </w:pPr>
      <w:bookmarkStart w:id="42" w:name="_Toc31649"/>
      <w:bookmarkStart w:id="43" w:name="_Toc103785032"/>
      <w:bookmarkStart w:id="44" w:name="_Toc9017"/>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卫建物业管理有限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北京卫建物业管理有限公司对企业存在的风险进行了辨识，建立了日常的安全检查表，并严格落实。风险辨识清单见附件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pPr>
        <w:spacing w:line="600" w:lineRule="auto"/>
        <w:jc w:val="left"/>
        <w:outlineLvl w:val="1"/>
        <w:rPr>
          <w:rFonts w:hint="default" w:ascii="仿宋" w:hAnsi="仿宋" w:eastAsia="仿宋" w:cs="仿宋"/>
          <w:b/>
          <w:sz w:val="32"/>
          <w:szCs w:val="32"/>
          <w:lang w:val="en-US" w:eastAsia="zh-CN"/>
        </w:rPr>
      </w:pPr>
      <w:bookmarkStart w:id="45" w:name="_Toc28740"/>
      <w:r>
        <w:rPr>
          <w:rFonts w:hint="eastAsia" w:ascii="仿宋" w:hAnsi="仿宋" w:eastAsia="仿宋" w:cs="仿宋"/>
          <w:b/>
          <w:sz w:val="32"/>
          <w:szCs w:val="32"/>
          <w:lang w:val="en-US" w:eastAsia="zh-CN"/>
        </w:rPr>
        <w:t>3.3行业主管部门监督检查落实情况</w:t>
      </w:r>
      <w:bookmarkEnd w:id="45"/>
    </w:p>
    <w:p>
      <w:pPr>
        <w:spacing w:line="48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事故发生之后，行业主管部门对企业进行两次安全检查，提出整改项，企业均已经安排整改。</w:t>
      </w:r>
    </w:p>
    <w:p>
      <w:pPr>
        <w:spacing w:line="480" w:lineRule="auto"/>
        <w:ind w:firstLine="560" w:firstLineChars="200"/>
        <w:rPr>
          <w:rFonts w:hint="default" w:ascii="仿宋" w:hAnsi="仿宋" w:eastAsia="仿宋" w:cs="仿宋"/>
          <w:sz w:val="28"/>
          <w:szCs w:val="28"/>
          <w:lang w:val="en-US" w:eastAsia="zh-CN"/>
        </w:rPr>
      </w:pPr>
    </w:p>
    <w:p>
      <w:pPr>
        <w:spacing w:line="480" w:lineRule="auto"/>
        <w:ind w:firstLine="560" w:firstLineChars="200"/>
        <w:rPr>
          <w:rFonts w:hint="eastAsia" w:ascii="仿宋" w:hAnsi="仿宋" w:eastAsia="仿宋" w:cs="仿宋"/>
          <w:sz w:val="28"/>
          <w:szCs w:val="28"/>
        </w:rPr>
      </w:pPr>
    </w:p>
    <w:p>
      <w:pPr>
        <w:spacing w:line="720" w:lineRule="auto"/>
        <w:jc w:val="left"/>
        <w:outlineLvl w:val="0"/>
        <w:rPr>
          <w:rFonts w:ascii="仿宋" w:hAnsi="仿宋" w:eastAsia="仿宋" w:cs="仿宋"/>
          <w:b/>
          <w:sz w:val="36"/>
          <w:szCs w:val="36"/>
        </w:rPr>
      </w:pPr>
      <w:r>
        <w:rPr>
          <w:rFonts w:hint="eastAsia" w:ascii="仿宋" w:hAnsi="仿宋" w:eastAsia="仿宋" w:cs="仿宋"/>
          <w:sz w:val="28"/>
          <w:szCs w:val="28"/>
        </w:rPr>
        <w:br w:type="page"/>
      </w:r>
      <w:bookmarkStart w:id="46" w:name="_Toc14564"/>
      <w:bookmarkStart w:id="47" w:name="_Toc22851"/>
      <w:bookmarkStart w:id="48" w:name="_Toc103785033"/>
      <w:r>
        <w:rPr>
          <w:rFonts w:hint="eastAsia" w:ascii="仿宋" w:hAnsi="仿宋" w:eastAsia="仿宋" w:cs="仿宋"/>
          <w:b/>
          <w:sz w:val="36"/>
          <w:szCs w:val="36"/>
        </w:rPr>
        <w:t>4评估建议</w:t>
      </w:r>
      <w:bookmarkEnd w:id="46"/>
      <w:bookmarkEnd w:id="47"/>
      <w:bookmarkEnd w:id="4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对事故调查报告里提出的事故防范和整改措施建议基本落实到位，对其相关责任人员进行了处分，责任追究落实到位。评估组认为北京卫建物业管理有限公司“12·27”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49" w:name="_Toc25022"/>
      <w:bookmarkStart w:id="50" w:name="_Toc6815"/>
      <w:bookmarkStart w:id="51" w:name="_Toc103785034"/>
      <w:r>
        <w:rPr>
          <w:rFonts w:hint="eastAsia" w:ascii="仿宋" w:hAnsi="仿宋" w:eastAsia="仿宋" w:cs="仿宋"/>
          <w:b/>
          <w:sz w:val="32"/>
          <w:szCs w:val="32"/>
        </w:rPr>
        <w:t>4.1评估总体建议</w:t>
      </w:r>
      <w:bookmarkEnd w:id="49"/>
      <w:bookmarkEnd w:id="50"/>
      <w:bookmarkEnd w:id="5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丽水园小区综合楼游泳馆“12·27”一般生产安全责任事故调查报告》，对北京卫建物业管理有限公司的事故防范和整改建议措施现场评估情况，经过对现场基础资料的查阅、相关人员的询问调查，对评估表逐条、逐项进行评估，最终确认北京卫建物业管理有限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2" w:name="_Toc103785035"/>
      <w:bookmarkStart w:id="53" w:name="_Toc32688"/>
      <w:bookmarkStart w:id="54" w:name="_Toc30041"/>
      <w:r>
        <w:rPr>
          <w:rFonts w:hint="eastAsia" w:ascii="仿宋" w:hAnsi="仿宋" w:eastAsia="仿宋" w:cs="仿宋"/>
          <w:b/>
          <w:sz w:val="32"/>
          <w:szCs w:val="32"/>
        </w:rPr>
        <w:t>4.2专家现场建议</w:t>
      </w:r>
      <w:bookmarkEnd w:id="52"/>
      <w:bookmarkEnd w:id="53"/>
      <w:bookmarkEnd w:id="5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此次评估仅对事故报告中提及的现场整改措施落实情况进行评估。经过现场检查评估组认为：北京卫建物业管理有限公司对事故调查报告里要求的现场整改项基本落实到位。</w:t>
      </w:r>
    </w:p>
    <w:p>
      <w:pPr>
        <w:spacing w:line="720" w:lineRule="auto"/>
        <w:jc w:val="left"/>
        <w:outlineLvl w:val="0"/>
        <w:rPr>
          <w:rFonts w:ascii="仿宋" w:hAnsi="仿宋" w:eastAsia="仿宋" w:cs="仿宋"/>
          <w:b/>
          <w:sz w:val="36"/>
          <w:szCs w:val="36"/>
        </w:rPr>
      </w:pPr>
      <w:bookmarkStart w:id="55" w:name="_Toc3352"/>
      <w:bookmarkStart w:id="56" w:name="_Toc103785036"/>
      <w:bookmarkStart w:id="57" w:name="_Toc6756"/>
      <w:bookmarkStart w:id="58" w:name="_Toc79160869"/>
      <w:r>
        <w:rPr>
          <w:rFonts w:hint="eastAsia" w:ascii="仿宋" w:hAnsi="仿宋" w:eastAsia="仿宋" w:cs="仿宋"/>
          <w:b/>
          <w:sz w:val="36"/>
          <w:szCs w:val="36"/>
        </w:rPr>
        <w:t>5评估结论</w:t>
      </w:r>
      <w:bookmarkEnd w:id="55"/>
      <w:bookmarkEnd w:id="56"/>
      <w:bookmarkEnd w:id="57"/>
      <w:bookmarkEnd w:id="5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事故发生后，昌平区应急管理局等依法对相关责任单位及人员进行了责任追究，北京卫建物业管理有限公司按照事故调查报告的要求对相关责任人员进行了党政纪处分，责任追究基本落实到位。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卫建物业管理有限公司在现场评估过程中，对事故调查报告里要求整改项基本落实到位，评估组认为北京卫建物业管理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59" w:name="_Toc103785037"/>
      <w:bookmarkStart w:id="60" w:name="_Toc283"/>
      <w:bookmarkStart w:id="61" w:name="_Toc29310"/>
      <w:r>
        <w:rPr>
          <w:rFonts w:ascii="仿宋" w:hAnsi="仿宋" w:eastAsia="仿宋" w:cs="仿宋"/>
          <w:b/>
          <w:sz w:val="36"/>
          <w:szCs w:val="36"/>
        </w:rPr>
        <w:t>6</w:t>
      </w:r>
      <w:r>
        <w:rPr>
          <w:rFonts w:hint="eastAsia" w:ascii="仿宋" w:hAnsi="仿宋" w:eastAsia="仿宋" w:cs="仿宋"/>
          <w:b/>
          <w:sz w:val="36"/>
          <w:szCs w:val="36"/>
        </w:rPr>
        <w:t>附件</w:t>
      </w:r>
      <w:bookmarkEnd w:id="59"/>
      <w:bookmarkEnd w:id="60"/>
      <w:bookmarkEnd w:id="61"/>
    </w:p>
    <w:p>
      <w:pPr>
        <w:spacing w:line="600" w:lineRule="auto"/>
        <w:jc w:val="left"/>
        <w:outlineLvl w:val="1"/>
        <w:rPr>
          <w:rFonts w:ascii="仿宋" w:hAnsi="仿宋" w:eastAsia="仿宋" w:cs="仿宋"/>
          <w:b/>
          <w:sz w:val="30"/>
          <w:szCs w:val="30"/>
        </w:rPr>
      </w:pPr>
      <w:bookmarkStart w:id="62" w:name="_Toc6784"/>
      <w:bookmarkStart w:id="63" w:name="_Toc8128"/>
      <w:bookmarkStart w:id="64" w:name="_Toc103785038"/>
      <w:r>
        <w:rPr>
          <w:rFonts w:hint="eastAsia" w:ascii="仿宋" w:hAnsi="仿宋" w:eastAsia="仿宋" w:cs="仿宋"/>
          <w:b/>
          <w:sz w:val="30"/>
          <w:szCs w:val="30"/>
        </w:rPr>
        <w:t>附件1：事故调查报告</w:t>
      </w:r>
      <w:bookmarkEnd w:id="62"/>
      <w:bookmarkEnd w:id="63"/>
      <w:bookmarkEnd w:id="64"/>
    </w:p>
    <w:p>
      <w:pPr>
        <w:pStyle w:val="5"/>
      </w:pPr>
      <w:r>
        <w:rPr>
          <w:lang w:val="en-US" w:bidi="ar-SA"/>
        </w:rPr>
        <w:drawing>
          <wp:inline distT="0" distB="0" distL="0" distR="0">
            <wp:extent cx="5396865" cy="7420610"/>
            <wp:effectExtent l="0" t="0" r="0" b="8890"/>
            <wp:docPr id="46" name="图片 46" descr="I:\1工作\昌平事后风险评估\5北京卫建物业管理有限公司\卫建物业扫描电子材料\事故调查报告\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1工作\昌平事后风险评估\5北京卫建物业管理有限公司\卫建物业扫描电子材料\事故调查报告\第1页.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47" name="图片 47" descr="I:\1工作\昌平事后风险评估\5北京卫建物业管理有限公司\卫建物业扫描电子材料\事故调查报告\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1工作\昌平事后风险评估\5北京卫建物业管理有限公司\卫建物业扫描电子材料\事故调查报告\第2页.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48" name="图片 48" descr="I:\1工作\昌平事后风险评估\5北京卫建物业管理有限公司\卫建物业扫描电子材料\事故调查报告\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1工作\昌平事后风险评估\5北京卫建物业管理有限公司\卫建物业扫描电子材料\事故调查报告\第3页.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49" name="图片 49" descr="I:\1工作\昌平事后风险评估\5北京卫建物业管理有限公司\卫建物业扫描电子材料\事故调查报告\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1工作\昌平事后风险评估\5北京卫建物业管理有限公司\卫建物业扫描电子材料\事故调查报告\第4页.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0" name="图片 50" descr="I:\1工作\昌平事后风险评估\5北京卫建物业管理有限公司\卫建物业扫描电子材料\事故调查报告\第5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1工作\昌平事后风险评估\5北京卫建物业管理有限公司\卫建物业扫描电子材料\事故调查报告\第5页.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1" name="图片 51" descr="I:\1工作\昌平事后风险评估\5北京卫建物业管理有限公司\卫建物业扫描电子材料\事故调查报告\第6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1工作\昌平事后风险评估\5北京卫建物业管理有限公司\卫建物业扫描电子材料\事故调查报告\第6页.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2" name="图片 52" descr="I:\1工作\昌平事后风险评估\5北京卫建物业管理有限公司\卫建物业扫描电子材料\事故调查报告\第7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I:\1工作\昌平事后风险评估\5北京卫建物业管理有限公司\卫建物业扫描电子材料\事故调查报告\第7页.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3" name="图片 53" descr="I:\1工作\昌平事后风险评估\5北京卫建物业管理有限公司\卫建物业扫描电子材料\事故调查报告\第8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I:\1工作\昌平事后风险评估\5北京卫建物业管理有限公司\卫建物业扫描电子材料\事故调查报告\第8页.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4" name="图片 54" descr="I:\1工作\昌平事后风险评估\5北京卫建物业管理有限公司\卫建物业扫描电子材料\事故调查报告\第9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I:\1工作\昌平事后风险评估\5北京卫建物业管理有限公司\卫建物业扫描电子材料\事故调查报告\第9页.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5" name="图片 55" descr="I:\1工作\昌平事后风险评估\5北京卫建物业管理有限公司\卫建物业扫描电子材料\事故调查报告\第10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1工作\昌平事后风险评估\5北京卫建物业管理有限公司\卫建物业扫描电子材料\事故调查报告\第10页.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6" name="图片 56" descr="I:\1工作\昌平事后风险评估\5北京卫建物业管理有限公司\卫建物业扫描电子材料\事故调查报告\第1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1工作\昌平事后风险评估\5北京卫建物业管理有限公司\卫建物业扫描电子材料\事故调查报告\第11页.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7" name="图片 57" descr="I:\1工作\昌平事后风险评估\5北京卫建物业管理有限公司\卫建物业扫描电子材料\事故调查报告\第1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1工作\昌平事后风险评估\5北京卫建物业管理有限公司\卫建物业扫描电子材料\事故调查报告\第12页.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8" name="图片 58" descr="I:\1工作\昌平事后风险评估\5北京卫建物业管理有限公司\卫建物业扫描电子材料\事故调查报告\第1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1工作\昌平事后风险评估\5北京卫建物业管理有限公司\卫建物业扫描电子材料\事故调查报告\第13页.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59" name="图片 59" descr="I:\1工作\昌平事后风险评估\5北京卫建物业管理有限公司\卫建物业扫描电子材料\事故调查报告\第1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1工作\昌平事后风险评估\5北京卫建物业管理有限公司\卫建物业扫描电子材料\事故调查报告\第14页.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60" name="图片 60" descr="I:\1工作\昌平事后风险评估\5北京卫建物业管理有限公司\卫建物业扫描电子材料\事故调查报告\第15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1工作\昌平事后风险评估\5北京卫建物业管理有限公司\卫建物业扫描电子材料\事故调查报告\第15页.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61" name="图片 61" descr="I:\1工作\昌平事后风险评估\5北京卫建物业管理有限公司\卫建物业扫描电子材料\事故调查报告\第16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I:\1工作\昌平事后风险评估\5北京卫建物业管理有限公司\卫建物业扫描电子材料\事故调查报告\第16页.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color w:val="FF0000"/>
          <w:sz w:val="30"/>
          <w:szCs w:val="30"/>
        </w:rPr>
      </w:pPr>
      <w:bookmarkStart w:id="65" w:name="_Toc103785039"/>
      <w:bookmarkStart w:id="66" w:name="_Toc14449"/>
      <w:bookmarkStart w:id="67" w:name="_Toc11453"/>
      <w:r>
        <w:rPr>
          <w:rFonts w:hint="eastAsia" w:ascii="仿宋" w:hAnsi="仿宋" w:eastAsia="仿宋" w:cs="仿宋"/>
          <w:b/>
          <w:color w:val="FF0000"/>
          <w:sz w:val="30"/>
          <w:szCs w:val="30"/>
        </w:rPr>
        <w:t>附件2：行政处罚决定书</w:t>
      </w:r>
      <w:bookmarkEnd w:id="65"/>
      <w:bookmarkEnd w:id="66"/>
      <w:bookmarkEnd w:id="67"/>
    </w:p>
    <w:p>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420610"/>
            <wp:effectExtent l="0" t="0" r="0" b="8890"/>
            <wp:docPr id="62" name="图片 62" descr="I:\1工作\昌平事后风险评估\5北京卫建物业管理有限公司\卫建物业扫描电子材料\处罚决定书及罚款缴纳证明\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I:\1工作\昌平事后风险评估\5北京卫建物业管理有限公司\卫建物业扫描电子材料\处罚决定书及罚款缴纳证明\第1页.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color w:val="auto"/>
          <w:sz w:val="30"/>
          <w:szCs w:val="30"/>
        </w:rPr>
      </w:pPr>
      <w:bookmarkStart w:id="68" w:name="_Toc26408"/>
      <w:bookmarkStart w:id="69" w:name="_Toc238"/>
      <w:bookmarkStart w:id="70" w:name="_Toc103785040"/>
      <w:r>
        <w:rPr>
          <w:rFonts w:hint="eastAsia" w:ascii="仿宋" w:hAnsi="仿宋" w:eastAsia="仿宋" w:cs="仿宋"/>
          <w:b/>
          <w:color w:val="auto"/>
          <w:sz w:val="30"/>
          <w:szCs w:val="30"/>
        </w:rPr>
        <w:t>附件3：</w:t>
      </w:r>
      <w:r>
        <w:rPr>
          <w:rFonts w:hint="eastAsia" w:ascii="仿宋" w:hAnsi="仿宋" w:eastAsia="仿宋" w:cs="仿宋"/>
          <w:b/>
          <w:color w:val="auto"/>
          <w:sz w:val="30"/>
          <w:szCs w:val="30"/>
          <w:lang w:val="en-US" w:eastAsia="zh-CN"/>
        </w:rPr>
        <w:t>个人</w:t>
      </w:r>
      <w:r>
        <w:rPr>
          <w:rFonts w:hint="eastAsia" w:ascii="仿宋" w:hAnsi="仿宋" w:eastAsia="仿宋" w:cs="仿宋"/>
          <w:b/>
          <w:color w:val="auto"/>
          <w:sz w:val="30"/>
          <w:szCs w:val="30"/>
        </w:rPr>
        <w:t>罚款缴费证明</w:t>
      </w:r>
      <w:bookmarkEnd w:id="68"/>
      <w:bookmarkEnd w:id="69"/>
      <w:bookmarkEnd w:id="70"/>
    </w:p>
    <w:p>
      <w:pPr>
        <w:pStyle w:val="5"/>
        <w:rPr>
          <w:rFonts w:ascii="仿宋" w:hAnsi="仿宋" w:eastAsia="仿宋" w:cs="仿宋"/>
        </w:rPr>
      </w:pP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5396865" cy="3924935"/>
            <wp:effectExtent l="0" t="0" r="0" b="0"/>
            <wp:docPr id="63" name="图片 63" descr="I:\1工作\昌平事后风险评估\5北京卫建物业管理有限公司\卫建物业扫描电子材料\处罚决定书及罚款缴纳证明\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I:\1工作\昌平事后风险评估\5北京卫建物业管理有限公司\卫建物业扫描电子材料\处罚决定书及罚款缴纳证明\第4页.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396865" cy="3924993"/>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71" w:name="_Toc29870"/>
      <w:bookmarkStart w:id="72" w:name="_Toc103785041"/>
      <w:bookmarkStart w:id="73" w:name="_Toc24186"/>
      <w:r>
        <w:rPr>
          <w:rFonts w:hint="eastAsia" w:ascii="仿宋" w:hAnsi="仿宋" w:eastAsia="仿宋" w:cs="仿宋"/>
          <w:b/>
          <w:sz w:val="30"/>
          <w:szCs w:val="30"/>
        </w:rPr>
        <w:t>附件4：公司内部处罚及处分记录</w:t>
      </w:r>
      <w:bookmarkEnd w:id="71"/>
      <w:bookmarkEnd w:id="72"/>
      <w:bookmarkEnd w:id="73"/>
    </w:p>
    <w:p>
      <w:pPr>
        <w:spacing w:line="600" w:lineRule="auto"/>
        <w:jc w:val="left"/>
        <w:rPr>
          <w:rStyle w:val="33"/>
        </w:rPr>
      </w:pPr>
      <w:r>
        <w:rPr>
          <w:rStyle w:val="33"/>
          <w:lang w:val="en-US" w:bidi="ar-SA"/>
        </w:rPr>
        <w:drawing>
          <wp:inline distT="0" distB="0" distL="0" distR="0">
            <wp:extent cx="5399405" cy="7424420"/>
            <wp:effectExtent l="0" t="0" r="0" b="5080"/>
            <wp:docPr id="64" name="图片 64" descr="I:\1工作\昌平事后风险评估\5北京卫建物业管理有限公司\卫建物业扫描电子材料\内部处罚\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I:\1工作\昌平事后风险评估\5北京卫建物业管理有限公司\卫建物业扫描电子材料\内部处罚\第1页.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400000" cy="7425000"/>
                    </a:xfrm>
                    <a:prstGeom prst="rect">
                      <a:avLst/>
                    </a:prstGeom>
                    <a:noFill/>
                    <a:ln>
                      <a:noFill/>
                    </a:ln>
                  </pic:spPr>
                </pic:pic>
              </a:graphicData>
            </a:graphic>
          </wp:inline>
        </w:drawing>
      </w:r>
      <w:r>
        <w:rPr>
          <w:rStyle w:val="33"/>
          <w:lang w:val="en-US" w:bidi="ar-SA"/>
        </w:rPr>
        <w:drawing>
          <wp:inline distT="0" distB="0" distL="0" distR="0">
            <wp:extent cx="5396865" cy="7420610"/>
            <wp:effectExtent l="0" t="0" r="0" b="8890"/>
            <wp:docPr id="65" name="图片 65" descr="I:\1工作\昌平事后风险评估\5北京卫建物业管理有限公司\卫建物业扫描电子材料\内部处罚\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I:\1工作\昌平事后风险评估\5北京卫建物业管理有限公司\卫建物业扫描电子材料\内部处罚\第2页.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rPr>
          <w:rStyle w:val="33"/>
        </w:rPr>
        <w:br w:type="page"/>
      </w:r>
    </w:p>
    <w:p>
      <w:pPr>
        <w:spacing w:line="600" w:lineRule="auto"/>
        <w:jc w:val="left"/>
        <w:outlineLvl w:val="1"/>
        <w:rPr>
          <w:rFonts w:ascii="仿宋" w:hAnsi="仿宋" w:eastAsia="仿宋" w:cs="仿宋"/>
          <w:b/>
          <w:sz w:val="30"/>
          <w:szCs w:val="30"/>
        </w:rPr>
      </w:pPr>
      <w:bookmarkStart w:id="74" w:name="_Toc103785042"/>
      <w:bookmarkStart w:id="75" w:name="_Toc1788"/>
      <w:bookmarkStart w:id="76" w:name="_Toc13051"/>
      <w:r>
        <w:rPr>
          <w:rFonts w:hint="eastAsia" w:ascii="仿宋" w:hAnsi="仿宋" w:eastAsia="仿宋" w:cs="仿宋"/>
          <w:b/>
          <w:sz w:val="30"/>
          <w:szCs w:val="30"/>
        </w:rPr>
        <w:t>附件5：安全生产责任制</w:t>
      </w:r>
      <w:bookmarkEnd w:id="74"/>
      <w:bookmarkEnd w:id="75"/>
    </w:p>
    <w:p>
      <w:r>
        <w:drawing>
          <wp:inline distT="0" distB="0" distL="0" distR="0">
            <wp:extent cx="5396865" cy="7420610"/>
            <wp:effectExtent l="0" t="0" r="0" b="8890"/>
            <wp:docPr id="66" name="图片 66" descr="I:\1工作\昌平事后风险评估\5北京卫建物业管理有限公司\卫建物业扫描电子材料\安全生产责任制\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I:\1工作\昌平事后风险评估\5北京卫建物业管理有限公司\卫建物业扫描电子材料\安全生产责任制\第1页.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drawing>
          <wp:inline distT="0" distB="0" distL="0" distR="0">
            <wp:extent cx="5396865" cy="7420610"/>
            <wp:effectExtent l="0" t="0" r="0" b="8890"/>
            <wp:docPr id="67" name="图片 67" descr="I:\1工作\昌平事后风险评估\5北京卫建物业管理有限公司\卫建物业扫描电子材料\安全生产责任制\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I:\1工作\昌平事后风险评估\5北京卫建物业管理有限公司\卫建物业扫描电子材料\安全生产责任制\第2页.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drawing>
          <wp:inline distT="0" distB="0" distL="0" distR="0">
            <wp:extent cx="5396865" cy="7420610"/>
            <wp:effectExtent l="0" t="0" r="0" b="8890"/>
            <wp:docPr id="68" name="图片 68" descr="I:\1工作\昌平事后风险评估\5北京卫建物业管理有限公司\卫建物业扫描电子材料\安全生产责任制\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I:\1工作\昌平事后风险评估\5北京卫建物业管理有限公司\卫建物业扫描电子材料\安全生产责任制\第3页.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drawing>
          <wp:inline distT="0" distB="0" distL="0" distR="0">
            <wp:extent cx="5396865" cy="7420610"/>
            <wp:effectExtent l="0" t="0" r="0" b="8890"/>
            <wp:docPr id="69" name="图片 69" descr="I:\1工作\昌平事后风险评估\5北京卫建物业管理有限公司\卫建物业扫描电子材料\安全生产责任制\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1工作\昌平事后风险评估\5北京卫建物业管理有限公司\卫建物业扫描电子材料\安全生产责任制\第4页.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p>
      <w:pPr>
        <w:spacing w:line="600" w:lineRule="auto"/>
        <w:jc w:val="left"/>
        <w:rPr>
          <w:rFonts w:ascii="仿宋" w:hAnsi="仿宋" w:eastAsia="仿宋" w:cs="仿宋"/>
          <w:b/>
          <w:sz w:val="30"/>
          <w:szCs w:val="30"/>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br w:type="page"/>
      </w:r>
      <w:bookmarkEnd w:id="76"/>
    </w:p>
    <w:p>
      <w:pPr>
        <w:spacing w:line="600" w:lineRule="auto"/>
        <w:jc w:val="left"/>
        <w:outlineLvl w:val="1"/>
        <w:rPr>
          <w:rFonts w:ascii="仿宋" w:hAnsi="仿宋" w:eastAsia="仿宋" w:cs="仿宋"/>
          <w:b/>
          <w:sz w:val="30"/>
          <w:szCs w:val="30"/>
        </w:rPr>
      </w:pPr>
      <w:bookmarkStart w:id="77" w:name="_Toc103785043"/>
      <w:bookmarkStart w:id="78" w:name="_Toc11238"/>
      <w:bookmarkStart w:id="79" w:name="_Toc22391"/>
      <w:r>
        <w:rPr>
          <w:rFonts w:hint="eastAsia" w:ascii="仿宋" w:hAnsi="仿宋" w:eastAsia="仿宋" w:cs="仿宋"/>
          <w:b/>
          <w:sz w:val="30"/>
          <w:szCs w:val="30"/>
        </w:rPr>
        <w:t>附件</w:t>
      </w:r>
      <w:r>
        <w:rPr>
          <w:rFonts w:ascii="仿宋" w:hAnsi="仿宋" w:eastAsia="仿宋" w:cs="仿宋"/>
          <w:b/>
          <w:sz w:val="30"/>
          <w:szCs w:val="30"/>
        </w:rPr>
        <w:t>6</w:t>
      </w:r>
      <w:r>
        <w:rPr>
          <w:rFonts w:hint="eastAsia" w:ascii="仿宋" w:hAnsi="仿宋" w:eastAsia="仿宋" w:cs="仿宋"/>
          <w:b/>
          <w:sz w:val="30"/>
          <w:szCs w:val="30"/>
        </w:rPr>
        <w:t>：教育培训记录</w:t>
      </w:r>
      <w:bookmarkEnd w:id="77"/>
      <w:bookmarkEnd w:id="78"/>
      <w:bookmarkEnd w:id="79"/>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7420610"/>
            <wp:effectExtent l="0" t="0" r="0" b="8890"/>
            <wp:docPr id="91" name="图片 91" descr="I:\1工作\昌平事后风险评估\5北京卫建物业管理有限公司\卫建物业扫描电子材料\安全生产教育台账\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I:\1工作\昌平事后风险评估\5北京卫建物业管理有限公司\卫建物业扫描电子材料\安全生产教育台账\第1页.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92" name="图片 92" descr="I:\1工作\昌平事后风险评估\5北京卫建物业管理有限公司\卫建物业扫描电子材料\安全生产教育台账\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I:\1工作\昌平事后风险评估\5北京卫建物业管理有限公司\卫建物业扫描电子材料\安全生产教育台账\第2页.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93" name="图片 93" descr="I:\1工作\昌平事后风险评估\5北京卫建物业管理有限公司\卫建物业扫描电子材料\安全生产教育台账\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I:\1工作\昌平事后风险评估\5北京卫建物业管理有限公司\卫建物业扫描电子材料\安全生产教育台账\第3页.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94" name="图片 94" descr="I:\1工作\昌平事后风险评估\5北京卫建物业管理有限公司\卫建物业扫描电子材料\安全生产教育台账\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I:\1工作\昌平事后风险评估\5北京卫建物业管理有限公司\卫建物业扫描电子材料\安全生产教育台账\第4页.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95" name="图片 95" descr="I:\1工作\昌平事后风险评估\5北京卫建物业管理有限公司\卫建物业扫描电子材料\安全生产教育台账\第5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I:\1工作\昌平事后风险评估\5北京卫建物业管理有限公司\卫建物业扫描电子材料\安全生产教育台账\第5页.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宋体" w:hAnsi="宋体" w:eastAsia="宋体" w:cs="宋体"/>
          <w:kern w:val="0"/>
          <w:sz w:val="28"/>
          <w:szCs w:val="28"/>
          <w:lang w:val="zh-CN" w:bidi="zh-CN"/>
        </w:rPr>
      </w:pPr>
      <w:bookmarkStart w:id="80" w:name="_Toc11360"/>
      <w:bookmarkStart w:id="81" w:name="_Toc8112"/>
      <w:bookmarkStart w:id="82" w:name="_Toc103785044"/>
      <w:r>
        <w:rPr>
          <w:rFonts w:hint="eastAsia" w:ascii="仿宋" w:hAnsi="仿宋" w:eastAsia="仿宋" w:cs="仿宋"/>
          <w:b/>
          <w:sz w:val="30"/>
          <w:szCs w:val="30"/>
        </w:rPr>
        <w:t>附件</w:t>
      </w:r>
      <w:r>
        <w:rPr>
          <w:rFonts w:ascii="仿宋" w:hAnsi="仿宋" w:eastAsia="仿宋" w:cs="仿宋"/>
          <w:b/>
          <w:sz w:val="30"/>
          <w:szCs w:val="30"/>
        </w:rPr>
        <w:t>7</w:t>
      </w:r>
      <w:r>
        <w:rPr>
          <w:rFonts w:hint="eastAsia" w:ascii="仿宋" w:hAnsi="仿宋" w:eastAsia="仿宋" w:cs="仿宋"/>
          <w:b/>
          <w:sz w:val="30"/>
          <w:szCs w:val="30"/>
        </w:rPr>
        <w:t>：安全生产规章制度</w:t>
      </w:r>
      <w:bookmarkEnd w:id="80"/>
      <w:bookmarkEnd w:id="81"/>
      <w:bookmarkEnd w:id="82"/>
      <w:r>
        <w:rPr>
          <w:rFonts w:ascii="宋体" w:hAnsi="宋体" w:eastAsia="宋体" w:cs="宋体"/>
          <w:kern w:val="0"/>
          <w:sz w:val="28"/>
          <w:szCs w:val="28"/>
        </w:rPr>
        <w:drawing>
          <wp:inline distT="0" distB="0" distL="0" distR="0">
            <wp:extent cx="5507355" cy="7601585"/>
            <wp:effectExtent l="0" t="0" r="17145" b="18415"/>
            <wp:docPr id="96" name="图片 96" descr="I:\1工作\昌平事后风险评估\5北京卫建物业管理有限公司\卫建物业扫描电子材料\安全生产管理制度汇编\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I:\1工作\昌平事后风险评估\5北京卫建物业管理有限公司\卫建物业扫描电子材料\安全生产管理制度汇编\第1页.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507355" cy="760158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420610"/>
            <wp:effectExtent l="0" t="0" r="0" b="8890"/>
            <wp:docPr id="97" name="图片 97" descr="I:\1工作\昌平事后风险评估\5北京卫建物业管理有限公司\卫建物业扫描电子材料\安全生产管理制度汇编\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I:\1工作\昌平事后风险评估\5北京卫建物业管理有限公司\卫建物业扫描电子材料\安全生产管理制度汇编\第2页.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sz w:val="30"/>
          <w:szCs w:val="30"/>
        </w:rPr>
      </w:pPr>
      <w:bookmarkStart w:id="83" w:name="_Toc5427"/>
      <w:bookmarkStart w:id="84" w:name="_Toc103785045"/>
      <w:bookmarkStart w:id="85" w:name="_Toc4858"/>
      <w:r>
        <w:rPr>
          <w:rFonts w:hint="eastAsia" w:ascii="仿宋" w:hAnsi="仿宋" w:eastAsia="仿宋" w:cs="仿宋"/>
          <w:b/>
          <w:sz w:val="30"/>
          <w:szCs w:val="30"/>
        </w:rPr>
        <w:t>附件</w:t>
      </w:r>
      <w:r>
        <w:rPr>
          <w:rFonts w:ascii="仿宋" w:hAnsi="仿宋" w:eastAsia="仿宋" w:cs="仿宋"/>
          <w:b/>
          <w:sz w:val="30"/>
          <w:szCs w:val="30"/>
        </w:rPr>
        <w:t>8</w:t>
      </w:r>
      <w:r>
        <w:rPr>
          <w:rFonts w:hint="eastAsia" w:ascii="仿宋" w:hAnsi="仿宋" w:eastAsia="仿宋" w:cs="仿宋"/>
          <w:b/>
          <w:sz w:val="30"/>
          <w:szCs w:val="30"/>
        </w:rPr>
        <w:t>：安全生产操作规程</w:t>
      </w:r>
      <w:bookmarkEnd w:id="83"/>
      <w:bookmarkEnd w:id="84"/>
      <w:bookmarkEnd w:id="85"/>
      <w:bookmarkStart w:id="95" w:name="_GoBack"/>
      <w:bookmarkEnd w:id="95"/>
    </w:p>
    <w:p>
      <w:pPr>
        <w:spacing w:line="600" w:lineRule="auto"/>
        <w:jc w:val="left"/>
        <w:rPr>
          <w:rFonts w:ascii="仿宋" w:hAnsi="仿宋" w:eastAsia="仿宋" w:cs="仿宋"/>
          <w:sz w:val="28"/>
          <w:szCs w:val="28"/>
        </w:rPr>
      </w:pPr>
      <w:r>
        <w:rPr>
          <w:rFonts w:ascii="仿宋" w:hAnsi="仿宋" w:eastAsia="仿宋" w:cs="仿宋"/>
          <w:sz w:val="28"/>
          <w:szCs w:val="28"/>
        </w:rPr>
        <w:drawing>
          <wp:inline distT="0" distB="0" distL="0" distR="0">
            <wp:extent cx="5396865" cy="7420610"/>
            <wp:effectExtent l="0" t="0" r="0" b="8890"/>
            <wp:docPr id="98" name="图片 98" descr="I:\1工作\昌平事后风险评估\5北京卫建物业管理有限公司\卫建物业扫描电子材料\安全生产操作规程\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I:\1工作\昌平事后风险评估\5北京卫建物业管理有限公司\卫建物业扫描电子材料\安全生产操作规程\第1页.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420610"/>
            <wp:effectExtent l="0" t="0" r="0" b="8890"/>
            <wp:docPr id="99" name="图片 99" descr="I:\1工作\昌平事后风险评估\5北京卫建物业管理有限公司\卫建物业扫描电子材料\安全生产操作规程\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I:\1工作\昌平事后风险评估\5北京卫建物业管理有限公司\卫建物业扫描电子材料\安全生产操作规程\第2页.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420610"/>
            <wp:effectExtent l="0" t="0" r="0" b="8890"/>
            <wp:docPr id="100" name="图片 100" descr="I:\1工作\昌平事后风险评估\5北京卫建物业管理有限公司\卫建物业扫描电子材料\安全生产操作规程\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I:\1工作\昌平事后风险评估\5北京卫建物业管理有限公司\卫建物业扫描电子材料\安全生产操作规程\第3页.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3924935"/>
            <wp:effectExtent l="0" t="0" r="0" b="0"/>
            <wp:docPr id="101" name="图片 101" descr="I:\1工作\昌平事后风险评估\5北京卫建物业管理有限公司\卫建物业扫描电子材料\安全生产操作规程\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I:\1工作\昌平事后风险评估\5北京卫建物业管理有限公司\卫建物业扫描电子材料\安全生产操作规程\第4页.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396865" cy="3924993"/>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86" w:name="_Toc22566"/>
      <w:bookmarkStart w:id="87" w:name="_Toc103785046"/>
      <w:bookmarkStart w:id="88" w:name="_Toc10864"/>
      <w:r>
        <w:rPr>
          <w:rFonts w:hint="eastAsia" w:ascii="仿宋" w:hAnsi="仿宋" w:eastAsia="仿宋" w:cs="仿宋"/>
          <w:b/>
          <w:sz w:val="30"/>
          <w:szCs w:val="30"/>
        </w:rPr>
        <w:t>附件</w:t>
      </w:r>
      <w:r>
        <w:rPr>
          <w:rFonts w:ascii="仿宋" w:hAnsi="仿宋" w:eastAsia="仿宋" w:cs="仿宋"/>
          <w:b/>
          <w:sz w:val="30"/>
          <w:szCs w:val="30"/>
        </w:rPr>
        <w:t>9</w:t>
      </w:r>
      <w:r>
        <w:rPr>
          <w:rFonts w:hint="eastAsia" w:ascii="仿宋" w:hAnsi="仿宋" w:eastAsia="仿宋" w:cs="仿宋"/>
          <w:b/>
          <w:sz w:val="30"/>
          <w:szCs w:val="30"/>
        </w:rPr>
        <w:t>：风险辨识清单</w:t>
      </w:r>
      <w:bookmarkEnd w:id="86"/>
      <w:bookmarkEnd w:id="87"/>
      <w:bookmarkEnd w:id="88"/>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7420610"/>
            <wp:effectExtent l="0" t="0" r="0" b="8890"/>
            <wp:docPr id="102" name="图片 102" descr="I:\1工作\昌平事后风险评估\5北京卫建物业管理有限公司\卫建物业扫描电子材料\危险源清单\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I:\1工作\昌平事后风险评估\5北京卫建物业管理有限公司\卫建物业扫描电子材料\危险源清单\第1页.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24935"/>
            <wp:effectExtent l="0" t="0" r="0" b="0"/>
            <wp:docPr id="103" name="图片 103" descr="I:\1工作\昌平事后风险评估\5北京卫建物业管理有限公司\卫建物业扫描电子材料\危险源清单\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I:\1工作\昌平事后风险评估\5北京卫建物业管理有限公司\卫建物业扫描电子材料\危险源清单\第2页.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396865" cy="3924993"/>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24935"/>
            <wp:effectExtent l="0" t="0" r="0" b="0"/>
            <wp:docPr id="104" name="图片 104" descr="I:\1工作\昌平事后风险评估\5北京卫建物业管理有限公司\卫建物业扫描电子材料\危险源清单\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I:\1工作\昌平事后风险评估\5北京卫建物业管理有限公司\卫建物业扫描电子材料\危险源清单\第3页.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396865" cy="3924993"/>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24935"/>
            <wp:effectExtent l="0" t="0" r="0" b="0"/>
            <wp:docPr id="105" name="图片 105" descr="I:\1工作\昌平事后风险评估\5北京卫建物业管理有限公司\卫建物业扫描电子材料\危险源清单\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I:\1工作\昌平事后风险评估\5北京卫建物业管理有限公司\卫建物业扫描电子材料\危险源清单\第4页.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396865" cy="3924993"/>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9" w:name="_Toc20604"/>
      <w:bookmarkStart w:id="90" w:name="_Toc8823"/>
      <w:bookmarkStart w:id="91" w:name="_Toc103785047"/>
      <w:r>
        <w:rPr>
          <w:rFonts w:hint="eastAsia" w:ascii="仿宋" w:hAnsi="仿宋" w:eastAsia="仿宋" w:cs="仿宋"/>
          <w:b/>
          <w:sz w:val="30"/>
          <w:szCs w:val="30"/>
        </w:rPr>
        <w:t>附件</w:t>
      </w:r>
      <w:r>
        <w:rPr>
          <w:rFonts w:ascii="仿宋" w:hAnsi="仿宋" w:eastAsia="仿宋" w:cs="仿宋"/>
          <w:b/>
          <w:sz w:val="30"/>
          <w:szCs w:val="30"/>
        </w:rPr>
        <w:t>10</w:t>
      </w:r>
      <w:r>
        <w:rPr>
          <w:rFonts w:hint="eastAsia" w:ascii="仿宋" w:hAnsi="仿宋" w:eastAsia="仿宋" w:cs="仿宋"/>
          <w:b/>
          <w:sz w:val="30"/>
          <w:szCs w:val="30"/>
        </w:rPr>
        <w:t>：日常安全检查记录表</w:t>
      </w:r>
      <w:bookmarkEnd w:id="89"/>
      <w:bookmarkEnd w:id="90"/>
      <w:bookmarkEnd w:id="91"/>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7420610"/>
            <wp:effectExtent l="0" t="0" r="0" b="8890"/>
            <wp:docPr id="106" name="图片 106" descr="I:\1工作\昌平事后风险评估\5北京卫建物业管理有限公司\卫建物业扫描电子材料\隐患排查治理\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I:\1工作\昌平事后风险评估\5北京卫建物业管理有限公司\卫建物业扫描电子材料\隐患排查治理\第1页.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07" name="图片 107" descr="I:\1工作\昌平事后风险评估\5北京卫建物业管理有限公司\卫建物业扫描电子材料\隐患排查治理\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I:\1工作\昌平事后风险评估\5北京卫建物业管理有限公司\卫建物业扫描电子材料\隐患排查治理\第2页.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08" name="图片 108" descr="I:\1工作\昌平事后风险评估\5北京卫建物业管理有限公司\卫建物业扫描电子材料\隐患排查治理\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I:\1工作\昌平事后风险评估\5北京卫建物业管理有限公司\卫建物业扫描电子材料\隐患排查治理\第3页.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09" name="图片 109" descr="I:\1工作\昌平事后风险评估\5北京卫建物业管理有限公司\卫建物业扫描电子材料\隐患排查治理\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I:\1工作\昌平事后风险评估\5北京卫建物业管理有限公司\卫建物业扫描电子材料\隐患排查治理\第4页.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0" name="图片 110" descr="I:\1工作\昌平事后风险评估\5北京卫建物业管理有限公司\卫建物业扫描电子材料\隐患排查治理\第5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I:\1工作\昌平事后风险评估\5北京卫建物业管理有限公司\卫建物业扫描电子材料\隐患排查治理\第5页.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1" name="图片 111" descr="I:\1工作\昌平事后风险评估\5北京卫建物业管理有限公司\卫建物业扫描电子材料\隐患排查治理\第6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I:\1工作\昌平事后风险评估\5北京卫建物业管理有限公司\卫建物业扫描电子材料\隐患排查治理\第6页.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2" name="图片 112" descr="I:\1工作\昌平事后风险评估\5北京卫建物业管理有限公司\卫建物业扫描电子材料\隐患排查治理\第7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I:\1工作\昌平事后风险评估\5北京卫建物业管理有限公司\卫建物业扫描电子材料\隐患排查治理\第7页.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3" name="图片 113" descr="I:\1工作\昌平事后风险评估\5北京卫建物业管理有限公司\卫建物业扫描电子材料\隐患排查治理\第8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I:\1工作\昌平事后风险评估\5北京卫建物业管理有限公司\卫建物业扫描电子材料\隐患排查治理\第8页.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4" name="图片 114" descr="I:\1工作\昌平事后风险评估\5北京卫建物业管理有限公司\卫建物业扫描电子材料\隐患排查治理\第9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I:\1工作\昌平事后风险评估\5北京卫建物业管理有限公司\卫建物业扫描电子材料\隐患排查治理\第9页.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5" name="图片 115" descr="I:\1工作\昌平事后风险评估\5北京卫建物业管理有限公司\卫建物业扫描电子材料\隐患排查治理\第10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I:\1工作\昌平事后风险评估\5北京卫建物业管理有限公司\卫建物业扫描电子材料\隐患排查治理\第10页.jpe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6" name="图片 116" descr="I:\1工作\昌平事后风险评估\5北京卫建物业管理有限公司\卫建物业扫描电子材料\隐患排查治理\第1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I:\1工作\昌平事后风险评估\5北京卫建物业管理有限公司\卫建物业扫描电子材料\隐患排查治理\第11页.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20610"/>
            <wp:effectExtent l="0" t="0" r="0" b="8890"/>
            <wp:docPr id="117" name="图片 117" descr="I:\1工作\昌平事后风险评估\5北京卫建物业管理有限公司\卫建物业扫描电子材料\隐患排查治理\第1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I:\1工作\昌平事后风险评估\5北京卫建物业管理有限公司\卫建物业扫描电子材料\隐患排查治理\第12页.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92" w:name="_Toc103785048"/>
      <w:bookmarkStart w:id="93" w:name="_Toc10162"/>
      <w:bookmarkStart w:id="94" w:name="_Toc6073"/>
      <w:r>
        <w:rPr>
          <w:rFonts w:hint="eastAsia" w:ascii="仿宋" w:hAnsi="仿宋" w:eastAsia="仿宋" w:cs="仿宋"/>
          <w:b/>
          <w:sz w:val="30"/>
          <w:szCs w:val="30"/>
        </w:rPr>
        <w:t>附件</w:t>
      </w:r>
      <w:r>
        <w:rPr>
          <w:rFonts w:ascii="仿宋" w:hAnsi="仿宋" w:eastAsia="仿宋" w:cs="仿宋"/>
          <w:b/>
          <w:sz w:val="30"/>
          <w:szCs w:val="30"/>
        </w:rPr>
        <w:t>11</w:t>
      </w:r>
      <w:r>
        <w:rPr>
          <w:rFonts w:hint="eastAsia" w:ascii="仿宋" w:hAnsi="仿宋" w:eastAsia="仿宋" w:cs="仿宋"/>
          <w:b/>
          <w:sz w:val="30"/>
          <w:szCs w:val="30"/>
        </w:rPr>
        <w:t>：整改</w:t>
      </w:r>
      <w:bookmarkEnd w:id="92"/>
      <w:bookmarkEnd w:id="93"/>
      <w:r>
        <w:rPr>
          <w:rFonts w:hint="eastAsia" w:ascii="仿宋" w:hAnsi="仿宋" w:eastAsia="仿宋" w:cs="仿宋"/>
          <w:b/>
          <w:sz w:val="30"/>
          <w:szCs w:val="30"/>
        </w:rPr>
        <w:t>报告</w:t>
      </w:r>
      <w:bookmarkEnd w:id="94"/>
    </w:p>
    <w:p>
      <w:pPr>
        <w:pStyle w:val="5"/>
      </w:pPr>
      <w:r>
        <w:rPr>
          <w:lang w:val="en-US" w:bidi="ar-SA"/>
        </w:rPr>
        <w:drawing>
          <wp:inline distT="0" distB="0" distL="0" distR="0">
            <wp:extent cx="5396865" cy="7420610"/>
            <wp:effectExtent l="0" t="0" r="0" b="8890"/>
            <wp:docPr id="118" name="图片 118" descr="I:\1工作\昌平事后风险评估\5北京卫建物业管理有限公司\卫建物业扫描电子材料\整改报告\第1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I:\1工作\昌平事后风险评估\5北京卫建物业管理有限公司\卫建物业扫描电子材料\整改报告\第1页.jpe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119" name="图片 119" descr="I:\1工作\昌平事后风险评估\5北京卫建物业管理有限公司\卫建物业扫描电子材料\整改报告\第2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I:\1工作\昌平事后风险评估\5北京卫建物业管理有限公司\卫建物业扫描电子材料\整改报告\第2页.jpe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120" name="图片 120" descr="I:\1工作\昌平事后风险评估\5北京卫建物业管理有限公司\卫建物业扫描电子材料\整改报告\第3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I:\1工作\昌平事后风险评估\5北京卫建物业管理有限公司\卫建物业扫描电子材料\整改报告\第3页.jpe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r>
        <w:rPr>
          <w:lang w:val="en-US" w:bidi="ar-SA"/>
        </w:rPr>
        <w:drawing>
          <wp:inline distT="0" distB="0" distL="0" distR="0">
            <wp:extent cx="5396865" cy="7420610"/>
            <wp:effectExtent l="0" t="0" r="0" b="8890"/>
            <wp:docPr id="121" name="图片 121" descr="I:\1工作\昌平事后风险评估\5北京卫建物业管理有限公司\卫建物业扫描电子材料\整改报告\第4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I:\1工作\昌平事后风险评估\5北京卫建物业管理有限公司\卫建物业扫描电子材料\整改报告\第4页.jpe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5396865" cy="7420689"/>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16</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北京博创蓝天环境科技有限公司移动式新能源高低电压穿越能力检测装置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11·26”一般生产安全事故责任追究和整改措施落实情况评估报告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北京卫建物业管理有限公司“12·27”</w:t>
    </w:r>
    <w:r>
      <w:rPr>
        <w:rFonts w:ascii="宋体" w:hAnsi="宋体" w:eastAsia="宋体"/>
        <w:szCs w:val="15"/>
      </w:rPr>
      <w:t>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北京卫建物业管理有限公司“12·27”</w:t>
    </w:r>
    <w:r>
      <w:rPr>
        <w:rFonts w:ascii="宋体" w:hAnsi="宋体" w:eastAsia="宋体"/>
        <w:szCs w:val="15"/>
      </w:rPr>
      <w:t>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北京卫建物业管理有限公司“12·27”</w:t>
    </w:r>
    <w:r>
      <w:rPr>
        <w:rFonts w:ascii="宋体" w:hAnsi="宋体" w:eastAsia="宋体"/>
        <w:szCs w:val="15"/>
      </w:rPr>
      <w:t>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508F1"/>
    <w:rsid w:val="000730FF"/>
    <w:rsid w:val="000A05E1"/>
    <w:rsid w:val="000C51EA"/>
    <w:rsid w:val="000D2DEC"/>
    <w:rsid w:val="00113EBF"/>
    <w:rsid w:val="001230CC"/>
    <w:rsid w:val="00151450"/>
    <w:rsid w:val="001562B4"/>
    <w:rsid w:val="00162028"/>
    <w:rsid w:val="00163FAA"/>
    <w:rsid w:val="001A6BBB"/>
    <w:rsid w:val="001E7054"/>
    <w:rsid w:val="00257357"/>
    <w:rsid w:val="00262535"/>
    <w:rsid w:val="002640EA"/>
    <w:rsid w:val="00272BFE"/>
    <w:rsid w:val="00275E84"/>
    <w:rsid w:val="002E2E46"/>
    <w:rsid w:val="002E6263"/>
    <w:rsid w:val="002F6A05"/>
    <w:rsid w:val="003004F4"/>
    <w:rsid w:val="00302094"/>
    <w:rsid w:val="003074E1"/>
    <w:rsid w:val="003125AD"/>
    <w:rsid w:val="003412CE"/>
    <w:rsid w:val="00393EDF"/>
    <w:rsid w:val="0039551B"/>
    <w:rsid w:val="003A19BD"/>
    <w:rsid w:val="003A5DB5"/>
    <w:rsid w:val="003B1946"/>
    <w:rsid w:val="003D6FA6"/>
    <w:rsid w:val="0040420B"/>
    <w:rsid w:val="00420E9E"/>
    <w:rsid w:val="0043427B"/>
    <w:rsid w:val="00443B90"/>
    <w:rsid w:val="00462A52"/>
    <w:rsid w:val="00463752"/>
    <w:rsid w:val="004B6498"/>
    <w:rsid w:val="004C5918"/>
    <w:rsid w:val="004D07DD"/>
    <w:rsid w:val="00516C29"/>
    <w:rsid w:val="005225FB"/>
    <w:rsid w:val="0055671C"/>
    <w:rsid w:val="005716D5"/>
    <w:rsid w:val="005876C3"/>
    <w:rsid w:val="00595BA5"/>
    <w:rsid w:val="005B4645"/>
    <w:rsid w:val="005C313E"/>
    <w:rsid w:val="00614E47"/>
    <w:rsid w:val="00662A4F"/>
    <w:rsid w:val="00666520"/>
    <w:rsid w:val="00672405"/>
    <w:rsid w:val="0067761E"/>
    <w:rsid w:val="00682485"/>
    <w:rsid w:val="006852E2"/>
    <w:rsid w:val="006956B7"/>
    <w:rsid w:val="006A5B5E"/>
    <w:rsid w:val="006B5437"/>
    <w:rsid w:val="006C1743"/>
    <w:rsid w:val="006C3E25"/>
    <w:rsid w:val="006C4990"/>
    <w:rsid w:val="006D4165"/>
    <w:rsid w:val="006E04DE"/>
    <w:rsid w:val="006F0016"/>
    <w:rsid w:val="006F1DAF"/>
    <w:rsid w:val="006F3D95"/>
    <w:rsid w:val="00707B25"/>
    <w:rsid w:val="0071613A"/>
    <w:rsid w:val="00721481"/>
    <w:rsid w:val="00755CDC"/>
    <w:rsid w:val="00756C94"/>
    <w:rsid w:val="007762C0"/>
    <w:rsid w:val="00784A4E"/>
    <w:rsid w:val="00792D5E"/>
    <w:rsid w:val="007B1CD0"/>
    <w:rsid w:val="007C0FEF"/>
    <w:rsid w:val="007C328D"/>
    <w:rsid w:val="007D2F35"/>
    <w:rsid w:val="007E127A"/>
    <w:rsid w:val="008234C1"/>
    <w:rsid w:val="0082453E"/>
    <w:rsid w:val="00836AD2"/>
    <w:rsid w:val="008578AB"/>
    <w:rsid w:val="00860B44"/>
    <w:rsid w:val="00867012"/>
    <w:rsid w:val="008936ED"/>
    <w:rsid w:val="008C3B22"/>
    <w:rsid w:val="008F4F1B"/>
    <w:rsid w:val="008F7A28"/>
    <w:rsid w:val="00911963"/>
    <w:rsid w:val="00937F18"/>
    <w:rsid w:val="00940EA6"/>
    <w:rsid w:val="0095305D"/>
    <w:rsid w:val="009740A9"/>
    <w:rsid w:val="00982315"/>
    <w:rsid w:val="00997886"/>
    <w:rsid w:val="009A4CAC"/>
    <w:rsid w:val="009E3F2A"/>
    <w:rsid w:val="009F76CD"/>
    <w:rsid w:val="00A12BF5"/>
    <w:rsid w:val="00A32211"/>
    <w:rsid w:val="00A45B55"/>
    <w:rsid w:val="00A63ADC"/>
    <w:rsid w:val="00A81916"/>
    <w:rsid w:val="00AA774A"/>
    <w:rsid w:val="00AD6BE7"/>
    <w:rsid w:val="00B11110"/>
    <w:rsid w:val="00B158D1"/>
    <w:rsid w:val="00B236CB"/>
    <w:rsid w:val="00B64995"/>
    <w:rsid w:val="00B67A60"/>
    <w:rsid w:val="00B76963"/>
    <w:rsid w:val="00B824C6"/>
    <w:rsid w:val="00B9173C"/>
    <w:rsid w:val="00C0730D"/>
    <w:rsid w:val="00C16F87"/>
    <w:rsid w:val="00C21562"/>
    <w:rsid w:val="00C248EF"/>
    <w:rsid w:val="00C24CB8"/>
    <w:rsid w:val="00C30C4D"/>
    <w:rsid w:val="00C338A0"/>
    <w:rsid w:val="00C33DD1"/>
    <w:rsid w:val="00C54815"/>
    <w:rsid w:val="00C54C5F"/>
    <w:rsid w:val="00C735A3"/>
    <w:rsid w:val="00C74701"/>
    <w:rsid w:val="00C76EE3"/>
    <w:rsid w:val="00CA4F25"/>
    <w:rsid w:val="00CA7FB6"/>
    <w:rsid w:val="00CB7EFB"/>
    <w:rsid w:val="00CD2071"/>
    <w:rsid w:val="00D03F22"/>
    <w:rsid w:val="00D2364E"/>
    <w:rsid w:val="00D56621"/>
    <w:rsid w:val="00D56CBF"/>
    <w:rsid w:val="00D62CB0"/>
    <w:rsid w:val="00D6494D"/>
    <w:rsid w:val="00D66AA5"/>
    <w:rsid w:val="00D746F3"/>
    <w:rsid w:val="00D87C16"/>
    <w:rsid w:val="00DC39BE"/>
    <w:rsid w:val="00DD2214"/>
    <w:rsid w:val="00DD5911"/>
    <w:rsid w:val="00E155DB"/>
    <w:rsid w:val="00E2608D"/>
    <w:rsid w:val="00E57A8D"/>
    <w:rsid w:val="00EA3BA8"/>
    <w:rsid w:val="00EA729E"/>
    <w:rsid w:val="00ED19B0"/>
    <w:rsid w:val="00ED2CC0"/>
    <w:rsid w:val="00EF7433"/>
    <w:rsid w:val="00F24A82"/>
    <w:rsid w:val="00F643A7"/>
    <w:rsid w:val="00F82BFE"/>
    <w:rsid w:val="00F8546A"/>
    <w:rsid w:val="00F929DE"/>
    <w:rsid w:val="00FB00B8"/>
    <w:rsid w:val="00FB4539"/>
    <w:rsid w:val="00FD376F"/>
    <w:rsid w:val="00FF3A20"/>
    <w:rsid w:val="03D41080"/>
    <w:rsid w:val="047355E8"/>
    <w:rsid w:val="04BF2B76"/>
    <w:rsid w:val="05483AD3"/>
    <w:rsid w:val="054B711F"/>
    <w:rsid w:val="06E635A4"/>
    <w:rsid w:val="08EB6C4F"/>
    <w:rsid w:val="0A256191"/>
    <w:rsid w:val="0F827BE2"/>
    <w:rsid w:val="0FF346B4"/>
    <w:rsid w:val="12657EA2"/>
    <w:rsid w:val="139323BD"/>
    <w:rsid w:val="14F447B9"/>
    <w:rsid w:val="15353BFD"/>
    <w:rsid w:val="15815B47"/>
    <w:rsid w:val="1B491975"/>
    <w:rsid w:val="1C9D0BAD"/>
    <w:rsid w:val="1C9D24FF"/>
    <w:rsid w:val="1DC07BED"/>
    <w:rsid w:val="1F606F2A"/>
    <w:rsid w:val="21423B14"/>
    <w:rsid w:val="2A293624"/>
    <w:rsid w:val="3CEA1EFA"/>
    <w:rsid w:val="410C4981"/>
    <w:rsid w:val="42A96C58"/>
    <w:rsid w:val="4DCD5EEC"/>
    <w:rsid w:val="51234079"/>
    <w:rsid w:val="54776FA0"/>
    <w:rsid w:val="5550283D"/>
    <w:rsid w:val="55E8329B"/>
    <w:rsid w:val="5D435839"/>
    <w:rsid w:val="62175534"/>
    <w:rsid w:val="64E65876"/>
    <w:rsid w:val="65B03ED7"/>
    <w:rsid w:val="66EB0348"/>
    <w:rsid w:val="673F2340"/>
    <w:rsid w:val="68ECAAFA"/>
    <w:rsid w:val="6A486FCD"/>
    <w:rsid w:val="70AC3C5A"/>
    <w:rsid w:val="72816F46"/>
    <w:rsid w:val="75E12E1B"/>
    <w:rsid w:val="77F91CCF"/>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5" Type="http://schemas.openxmlformats.org/officeDocument/2006/relationships/fontTable" Target="fontTable.xml"/><Relationship Id="rId74" Type="http://schemas.openxmlformats.org/officeDocument/2006/relationships/customXml" Target="../customXml/item2.xml"/><Relationship Id="rId73" Type="http://schemas.openxmlformats.org/officeDocument/2006/relationships/customXml" Target="../customXml/item1.xml"/><Relationship Id="rId72" Type="http://schemas.openxmlformats.org/officeDocument/2006/relationships/image" Target="media/image56.jpeg"/><Relationship Id="rId71" Type="http://schemas.openxmlformats.org/officeDocument/2006/relationships/image" Target="media/image55.jpeg"/><Relationship Id="rId70" Type="http://schemas.openxmlformats.org/officeDocument/2006/relationships/image" Target="media/image54.jpeg"/><Relationship Id="rId7" Type="http://schemas.openxmlformats.org/officeDocument/2006/relationships/header" Target="header2.xml"/><Relationship Id="rId69" Type="http://schemas.openxmlformats.org/officeDocument/2006/relationships/image" Target="media/image53.jpeg"/><Relationship Id="rId68" Type="http://schemas.openxmlformats.org/officeDocument/2006/relationships/image" Target="media/image52.jpeg"/><Relationship Id="rId67" Type="http://schemas.openxmlformats.org/officeDocument/2006/relationships/image" Target="media/image51.jpeg"/><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jpeg"/><Relationship Id="rId61" Type="http://schemas.openxmlformats.org/officeDocument/2006/relationships/image" Target="media/image45.jpeg"/><Relationship Id="rId60" Type="http://schemas.openxmlformats.org/officeDocument/2006/relationships/image" Target="media/image44.jpeg"/><Relationship Id="rId6" Type="http://schemas.openxmlformats.org/officeDocument/2006/relationships/footer" Target="footer3.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footer" Target="foot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651C5C-CD0F-4C3A-A355-9AA5725861F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95</Pages>
  <Words>6734</Words>
  <Characters>7217</Characters>
  <Lines>65</Lines>
  <Paragraphs>18</Paragraphs>
  <TotalTime>4</TotalTime>
  <ScaleCrop>false</ScaleCrop>
  <LinksUpToDate>false</LinksUpToDate>
  <CharactersWithSpaces>7315</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青青杨</cp:lastModifiedBy>
  <cp:lastPrinted>2021-09-14T04:55:00Z</cp:lastPrinted>
  <dcterms:modified xsi:type="dcterms:W3CDTF">2022-08-22T14:42:41Z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7D718DA8AEC7496B8BC20C86D10F6309</vt:lpwstr>
  </property>
</Properties>
</file>