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eastAsia="黑体"/>
          <w:b/>
          <w:sz w:val="54"/>
          <w:szCs w:val="54"/>
        </w:rPr>
      </w:pPr>
    </w:p>
    <w:p>
      <w:pPr>
        <w:spacing w:line="360" w:lineRule="auto"/>
        <w:jc w:val="center"/>
        <w:rPr>
          <w:rFonts w:hint="eastAsia" w:ascii="黑体" w:hAnsi="黑体" w:eastAsia="黑体"/>
          <w:sz w:val="52"/>
          <w:szCs w:val="52"/>
        </w:rPr>
      </w:pPr>
      <w:bookmarkStart w:id="0" w:name="_Toc264729017"/>
      <w:bookmarkStart w:id="1" w:name="_Toc264643771"/>
    </w:p>
    <w:p>
      <w:pPr>
        <w:spacing w:line="360" w:lineRule="auto"/>
        <w:jc w:val="center"/>
        <w:rPr>
          <w:rFonts w:ascii="黑体" w:hAnsi="黑体" w:eastAsia="黑体"/>
          <w:sz w:val="52"/>
          <w:szCs w:val="52"/>
        </w:rPr>
      </w:pPr>
      <w:r>
        <w:rPr>
          <w:rFonts w:hint="eastAsia" w:ascii="黑体" w:hAnsi="黑体" w:eastAsia="黑体"/>
          <w:sz w:val="52"/>
          <w:szCs w:val="52"/>
        </w:rPr>
        <w:t>2022年氢燃料商用车及测试能力建设项目“3</w:t>
      </w:r>
      <w:r>
        <w:rPr>
          <w:rFonts w:hint="eastAsia" w:ascii="微软雅黑" w:hAnsi="微软雅黑" w:eastAsia="微软雅黑" w:cs="微软雅黑"/>
          <w:sz w:val="52"/>
          <w:szCs w:val="52"/>
        </w:rPr>
        <w:t>·</w:t>
      </w:r>
      <w:r>
        <w:rPr>
          <w:rFonts w:hint="eastAsia" w:ascii="黑体" w:hAnsi="黑体" w:eastAsia="黑体"/>
          <w:sz w:val="52"/>
          <w:szCs w:val="52"/>
        </w:rPr>
        <w:t>7”一般生产安全事故现场</w:t>
      </w:r>
    </w:p>
    <w:p>
      <w:pPr>
        <w:spacing w:line="360" w:lineRule="auto"/>
        <w:jc w:val="center"/>
        <w:rPr>
          <w:rFonts w:eastAsia="黑体"/>
          <w:b/>
          <w:sz w:val="54"/>
          <w:szCs w:val="54"/>
        </w:rPr>
      </w:pPr>
      <w:r>
        <w:rPr>
          <w:rFonts w:hint="eastAsia" w:ascii="黑体" w:hAnsi="黑体" w:eastAsia="黑体"/>
          <w:sz w:val="52"/>
          <w:szCs w:val="52"/>
        </w:rPr>
        <w:t>安全现状评估报告</w:t>
      </w:r>
    </w:p>
    <w:bookmarkEnd w:id="0"/>
    <w:bookmarkEnd w:id="1"/>
    <w:p>
      <w:pPr>
        <w:spacing w:line="360" w:lineRule="auto"/>
        <w:jc w:val="center"/>
        <w:rPr>
          <w:rFonts w:eastAsia="黑体"/>
          <w:b/>
          <w:sz w:val="54"/>
          <w:szCs w:val="54"/>
        </w:rPr>
      </w:pPr>
    </w:p>
    <w:p>
      <w:pPr>
        <w:spacing w:line="360" w:lineRule="auto"/>
        <w:jc w:val="center"/>
        <w:rPr>
          <w:rFonts w:eastAsia="黑体"/>
          <w:b/>
          <w:sz w:val="54"/>
          <w:szCs w:val="54"/>
        </w:rPr>
      </w:pPr>
    </w:p>
    <w:p>
      <w:pPr>
        <w:spacing w:line="360" w:lineRule="auto"/>
        <w:jc w:val="center"/>
        <w:rPr>
          <w:rFonts w:eastAsia="黑体"/>
          <w:b/>
          <w:sz w:val="54"/>
          <w:szCs w:val="54"/>
        </w:rPr>
      </w:pPr>
    </w:p>
    <w:p>
      <w:pPr>
        <w:spacing w:line="360" w:lineRule="auto"/>
        <w:jc w:val="center"/>
        <w:rPr>
          <w:rFonts w:eastAsia="黑体"/>
          <w:b/>
          <w:sz w:val="54"/>
          <w:szCs w:val="54"/>
        </w:rPr>
      </w:pPr>
    </w:p>
    <w:p>
      <w:pPr>
        <w:spacing w:line="360" w:lineRule="auto"/>
        <w:jc w:val="center"/>
        <w:rPr>
          <w:rFonts w:eastAsia="黑体"/>
          <w:b/>
          <w:sz w:val="54"/>
          <w:szCs w:val="54"/>
        </w:rPr>
      </w:pPr>
    </w:p>
    <w:p>
      <w:pPr>
        <w:spacing w:line="360" w:lineRule="auto"/>
        <w:jc w:val="center"/>
        <w:rPr>
          <w:rFonts w:eastAsia="黑体"/>
          <w:b/>
          <w:sz w:val="54"/>
          <w:szCs w:val="54"/>
        </w:rPr>
      </w:pPr>
    </w:p>
    <w:p>
      <w:pPr>
        <w:spacing w:line="360" w:lineRule="auto"/>
        <w:jc w:val="center"/>
        <w:rPr>
          <w:rFonts w:eastAsia="黑体"/>
          <w:b/>
          <w:sz w:val="54"/>
          <w:szCs w:val="54"/>
        </w:rPr>
      </w:pPr>
    </w:p>
    <w:p>
      <w:pPr>
        <w:spacing w:line="360" w:lineRule="auto"/>
        <w:jc w:val="center"/>
        <w:rPr>
          <w:rFonts w:ascii="黑体" w:hAnsi="黑体" w:eastAsia="黑体"/>
          <w:sz w:val="40"/>
          <w:szCs w:val="40"/>
        </w:rPr>
      </w:pPr>
      <w:r>
        <w:rPr>
          <w:rFonts w:hint="eastAsia" w:ascii="黑体" w:hAnsi="黑体" w:eastAsia="黑体"/>
          <w:sz w:val="40"/>
          <w:szCs w:val="40"/>
        </w:rPr>
        <w:t>北京市科学技术研究院</w:t>
      </w:r>
    </w:p>
    <w:p>
      <w:pPr>
        <w:spacing w:line="360" w:lineRule="auto"/>
        <w:jc w:val="center"/>
        <w:rPr>
          <w:rFonts w:ascii="黑体" w:hAnsi="黑体" w:eastAsia="黑体"/>
          <w:sz w:val="40"/>
          <w:szCs w:val="40"/>
        </w:rPr>
      </w:pPr>
      <w:r>
        <w:rPr>
          <w:rFonts w:hint="eastAsia" w:ascii="黑体" w:hAnsi="黑体" w:eastAsia="黑体"/>
          <w:sz w:val="40"/>
          <w:szCs w:val="40"/>
        </w:rPr>
        <w:t xml:space="preserve">城市安全与环境科学研究所 </w:t>
      </w:r>
    </w:p>
    <w:p>
      <w:pPr>
        <w:spacing w:line="360" w:lineRule="auto"/>
        <w:jc w:val="center"/>
        <w:rPr>
          <w:rFonts w:ascii="黑体" w:hAnsi="黑体" w:eastAsia="黑体"/>
          <w:sz w:val="40"/>
          <w:szCs w:val="40"/>
        </w:rPr>
        <w:sectPr>
          <w:footerReference r:id="rId3" w:type="default"/>
          <w:pgSz w:w="11906" w:h="16838"/>
          <w:pgMar w:top="1418" w:right="1588" w:bottom="1418" w:left="1531" w:header="851" w:footer="992" w:gutter="0"/>
          <w:cols w:space="425" w:num="1"/>
          <w:docGrid w:type="lines" w:linePitch="312" w:charSpace="0"/>
        </w:sectPr>
      </w:pPr>
      <w:r>
        <w:rPr>
          <w:rFonts w:hint="eastAsia" w:ascii="黑体" w:hAnsi="黑体" w:eastAsia="黑体"/>
          <w:sz w:val="40"/>
          <w:szCs w:val="40"/>
        </w:rPr>
        <w:t>2023</w:t>
      </w:r>
      <w:r>
        <w:rPr>
          <w:rFonts w:ascii="黑体" w:hAnsi="黑体" w:eastAsia="黑体"/>
          <w:sz w:val="40"/>
          <w:szCs w:val="40"/>
        </w:rPr>
        <w:t>年</w:t>
      </w:r>
      <w:r>
        <w:rPr>
          <w:rFonts w:hint="eastAsia" w:ascii="黑体" w:hAnsi="黑体" w:eastAsia="黑体"/>
          <w:sz w:val="40"/>
          <w:szCs w:val="40"/>
        </w:rPr>
        <w:t>8</w:t>
      </w:r>
      <w:r>
        <w:rPr>
          <w:rFonts w:ascii="黑体" w:hAnsi="黑体" w:eastAsia="黑体"/>
          <w:sz w:val="40"/>
          <w:szCs w:val="40"/>
        </w:rPr>
        <w:t>月</w:t>
      </w:r>
    </w:p>
    <w:p>
      <w:pPr>
        <w:jc w:val="center"/>
        <w:rPr>
          <w:rFonts w:ascii="宋体" w:hAnsi="宋体" w:eastAsia="宋体"/>
        </w:rPr>
      </w:pPr>
      <w:bookmarkStart w:id="2" w:name="_Toc4192"/>
    </w:p>
    <w:p>
      <w:pPr>
        <w:jc w:val="center"/>
        <w:rPr>
          <w:rFonts w:ascii="黑体" w:hAnsi="黑体" w:eastAsia="黑体" w:cs="黑体"/>
          <w:sz w:val="28"/>
          <w:szCs w:val="32"/>
        </w:rPr>
      </w:pPr>
      <w:r>
        <w:rPr>
          <w:rFonts w:hint="eastAsia" w:ascii="黑体" w:hAnsi="黑体" w:eastAsia="黑体" w:cs="黑体"/>
          <w:sz w:val="28"/>
          <w:szCs w:val="32"/>
        </w:rPr>
        <w:t>目录</w:t>
      </w:r>
    </w:p>
    <w:p>
      <w:pPr>
        <w:pStyle w:val="5"/>
      </w:pPr>
    </w:p>
    <w:p>
      <w:pPr>
        <w:pStyle w:val="11"/>
        <w:tabs>
          <w:tab w:val="right" w:leader="dot" w:pos="8787"/>
        </w:tabs>
        <w:rPr>
          <w:rFonts w:ascii="Times New Roman" w:hAnsi="Times New Roman"/>
          <w:sz w:val="28"/>
          <w:szCs w:val="28"/>
        </w:rPr>
      </w:pPr>
      <w:r>
        <w:rPr>
          <w:rFonts w:ascii="Times New Roman" w:hAnsi="Times New Roman" w:eastAsia="黑体"/>
          <w:sz w:val="28"/>
          <w:szCs w:val="28"/>
        </w:rPr>
        <w:fldChar w:fldCharType="begin"/>
      </w:r>
      <w:r>
        <w:rPr>
          <w:rFonts w:ascii="Times New Roman" w:hAnsi="Times New Roman" w:eastAsia="黑体"/>
          <w:sz w:val="28"/>
          <w:szCs w:val="28"/>
        </w:rPr>
        <w:instrText xml:space="preserve">TOC \o "1-3" \h \u </w:instrText>
      </w:r>
      <w:r>
        <w:rPr>
          <w:rFonts w:ascii="Times New Roman" w:hAnsi="Times New Roman" w:eastAsia="黑体"/>
          <w:sz w:val="28"/>
          <w:szCs w:val="28"/>
        </w:rPr>
        <w:fldChar w:fldCharType="separate"/>
      </w:r>
      <w:r>
        <w:fldChar w:fldCharType="begin"/>
      </w:r>
      <w:r>
        <w:instrText xml:space="preserve"> HYPERLINK \l "_Toc9715" </w:instrText>
      </w:r>
      <w:r>
        <w:fldChar w:fldCharType="separate"/>
      </w:r>
      <w:r>
        <w:rPr>
          <w:rFonts w:ascii="Times New Roman" w:hAnsi="Times New Roman" w:eastAsia="黑体"/>
          <w:sz w:val="28"/>
          <w:szCs w:val="28"/>
        </w:rPr>
        <w:t>一、目的依据</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_Toc9715 \h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fldChar w:fldCharType="end"/>
      </w:r>
    </w:p>
    <w:p>
      <w:pPr>
        <w:pStyle w:val="11"/>
        <w:tabs>
          <w:tab w:val="right" w:leader="dot" w:pos="8787"/>
        </w:tabs>
        <w:rPr>
          <w:rFonts w:ascii="Times New Roman" w:hAnsi="Times New Roman"/>
          <w:sz w:val="28"/>
          <w:szCs w:val="28"/>
        </w:rPr>
      </w:pPr>
      <w:r>
        <w:fldChar w:fldCharType="begin"/>
      </w:r>
      <w:r>
        <w:instrText xml:space="preserve"> HYPERLINK \l "_Toc22597" </w:instrText>
      </w:r>
      <w:r>
        <w:fldChar w:fldCharType="separate"/>
      </w:r>
      <w:r>
        <w:rPr>
          <w:rFonts w:ascii="Times New Roman" w:hAnsi="Times New Roman" w:eastAsia="黑体"/>
          <w:sz w:val="28"/>
          <w:szCs w:val="28"/>
        </w:rPr>
        <w:t>二、工作范围和方式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_Toc22597 \h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87"/>
        </w:tabs>
        <w:spacing w:after="0" w:line="360" w:lineRule="auto"/>
        <w:ind w:left="0" w:firstLine="440" w:firstLineChars="200"/>
        <w:rPr>
          <w:rFonts w:ascii="Times New Roman" w:hAnsi="Times New Roman" w:eastAsia="黑体"/>
          <w:sz w:val="28"/>
          <w:szCs w:val="28"/>
        </w:rPr>
      </w:pPr>
      <w:r>
        <w:fldChar w:fldCharType="begin"/>
      </w:r>
      <w:r>
        <w:instrText xml:space="preserve"> HYPERLINK \l "_Toc10843" </w:instrText>
      </w:r>
      <w:r>
        <w:fldChar w:fldCharType="separate"/>
      </w:r>
      <w:r>
        <w:rPr>
          <w:rFonts w:ascii="宋体" w:hAnsi="宋体" w:eastAsia="宋体" w:cs="宋体"/>
          <w:sz w:val="28"/>
          <w:szCs w:val="28"/>
        </w:rPr>
        <w:t>（一）资料查阅</w:t>
      </w:r>
      <w:r>
        <w:rPr>
          <w:rFonts w:ascii="Times New Roman" w:hAnsi="Times New Roman" w:eastAsia="黑体"/>
          <w:sz w:val="28"/>
          <w:szCs w:val="28"/>
        </w:rPr>
        <w:tab/>
      </w:r>
      <w:r>
        <w:rPr>
          <w:rFonts w:ascii="Times New Roman" w:hAnsi="Times New Roman" w:eastAsia="黑体"/>
          <w:sz w:val="28"/>
          <w:szCs w:val="28"/>
        </w:rPr>
        <w:fldChar w:fldCharType="begin"/>
      </w:r>
      <w:r>
        <w:rPr>
          <w:rFonts w:ascii="Times New Roman" w:hAnsi="Times New Roman" w:eastAsia="黑体"/>
          <w:sz w:val="28"/>
          <w:szCs w:val="28"/>
        </w:rPr>
        <w:instrText xml:space="preserve"> PAGEREF _Toc10843 \h </w:instrText>
      </w:r>
      <w:r>
        <w:rPr>
          <w:rFonts w:ascii="Times New Roman" w:hAnsi="Times New Roman" w:eastAsia="黑体"/>
          <w:sz w:val="28"/>
          <w:szCs w:val="28"/>
        </w:rPr>
        <w:fldChar w:fldCharType="separate"/>
      </w:r>
      <w:r>
        <w:rPr>
          <w:rFonts w:ascii="Times New Roman" w:hAnsi="Times New Roman" w:eastAsia="黑体"/>
          <w:sz w:val="28"/>
          <w:szCs w:val="28"/>
        </w:rPr>
        <w:t>1</w:t>
      </w:r>
      <w:r>
        <w:rPr>
          <w:rFonts w:ascii="Times New Roman" w:hAnsi="Times New Roman" w:eastAsia="黑体"/>
          <w:sz w:val="28"/>
          <w:szCs w:val="28"/>
        </w:rPr>
        <w:fldChar w:fldCharType="end"/>
      </w:r>
      <w:r>
        <w:rPr>
          <w:rFonts w:ascii="Times New Roman" w:hAnsi="Times New Roman" w:eastAsia="黑体"/>
          <w:sz w:val="28"/>
          <w:szCs w:val="28"/>
        </w:rPr>
        <w:fldChar w:fldCharType="end"/>
      </w:r>
    </w:p>
    <w:p>
      <w:pPr>
        <w:pStyle w:val="12"/>
        <w:tabs>
          <w:tab w:val="right" w:leader="dot" w:pos="8787"/>
        </w:tabs>
        <w:spacing w:after="0" w:line="360" w:lineRule="auto"/>
        <w:ind w:left="0" w:firstLine="440" w:firstLineChars="200"/>
        <w:rPr>
          <w:rFonts w:ascii="Times New Roman" w:hAnsi="Times New Roman" w:eastAsia="黑体"/>
          <w:sz w:val="28"/>
          <w:szCs w:val="28"/>
        </w:rPr>
      </w:pPr>
      <w:r>
        <w:fldChar w:fldCharType="begin"/>
      </w:r>
      <w:r>
        <w:instrText xml:space="preserve"> HYPERLINK \l "_Toc6441" </w:instrText>
      </w:r>
      <w:r>
        <w:fldChar w:fldCharType="separate"/>
      </w:r>
      <w:r>
        <w:rPr>
          <w:rFonts w:ascii="宋体" w:hAnsi="宋体" w:eastAsia="宋体" w:cs="宋体"/>
          <w:sz w:val="28"/>
          <w:szCs w:val="28"/>
        </w:rPr>
        <w:t>（二）座谈问询</w:t>
      </w:r>
      <w:r>
        <w:rPr>
          <w:rFonts w:ascii="Times New Roman" w:hAnsi="Times New Roman" w:eastAsia="黑体"/>
          <w:sz w:val="28"/>
          <w:szCs w:val="28"/>
        </w:rPr>
        <w:tab/>
      </w:r>
      <w:r>
        <w:rPr>
          <w:rFonts w:ascii="Times New Roman" w:hAnsi="Times New Roman" w:eastAsia="黑体"/>
          <w:sz w:val="28"/>
          <w:szCs w:val="28"/>
        </w:rPr>
        <w:fldChar w:fldCharType="begin"/>
      </w:r>
      <w:r>
        <w:rPr>
          <w:rFonts w:ascii="Times New Roman" w:hAnsi="Times New Roman" w:eastAsia="黑体"/>
          <w:sz w:val="28"/>
          <w:szCs w:val="28"/>
        </w:rPr>
        <w:instrText xml:space="preserve"> PAGEREF _Toc6441 \h </w:instrText>
      </w:r>
      <w:r>
        <w:rPr>
          <w:rFonts w:ascii="Times New Roman" w:hAnsi="Times New Roman" w:eastAsia="黑体"/>
          <w:sz w:val="28"/>
          <w:szCs w:val="28"/>
        </w:rPr>
        <w:fldChar w:fldCharType="separate"/>
      </w:r>
      <w:r>
        <w:rPr>
          <w:rFonts w:ascii="Times New Roman" w:hAnsi="Times New Roman" w:eastAsia="黑体"/>
          <w:sz w:val="28"/>
          <w:szCs w:val="28"/>
        </w:rPr>
        <w:t>2</w:t>
      </w:r>
      <w:r>
        <w:rPr>
          <w:rFonts w:ascii="Times New Roman" w:hAnsi="Times New Roman" w:eastAsia="黑体"/>
          <w:sz w:val="28"/>
          <w:szCs w:val="28"/>
        </w:rPr>
        <w:fldChar w:fldCharType="end"/>
      </w:r>
      <w:r>
        <w:rPr>
          <w:rFonts w:ascii="Times New Roman" w:hAnsi="Times New Roman" w:eastAsia="黑体"/>
          <w:sz w:val="28"/>
          <w:szCs w:val="28"/>
        </w:rPr>
        <w:fldChar w:fldCharType="end"/>
      </w:r>
    </w:p>
    <w:p>
      <w:pPr>
        <w:pStyle w:val="12"/>
        <w:tabs>
          <w:tab w:val="right" w:leader="dot" w:pos="8787"/>
        </w:tabs>
        <w:spacing w:after="0" w:line="360" w:lineRule="auto"/>
        <w:ind w:left="0" w:firstLine="440" w:firstLineChars="200"/>
        <w:rPr>
          <w:rFonts w:ascii="Times New Roman" w:hAnsi="Times New Roman" w:eastAsia="黑体"/>
          <w:sz w:val="28"/>
          <w:szCs w:val="28"/>
        </w:rPr>
      </w:pPr>
      <w:r>
        <w:fldChar w:fldCharType="begin"/>
      </w:r>
      <w:r>
        <w:instrText xml:space="preserve"> HYPERLINK \l "_Toc31997" </w:instrText>
      </w:r>
      <w:r>
        <w:fldChar w:fldCharType="separate"/>
      </w:r>
      <w:r>
        <w:rPr>
          <w:rFonts w:ascii="宋体" w:hAnsi="宋体" w:eastAsia="宋体" w:cs="宋体"/>
          <w:sz w:val="28"/>
          <w:szCs w:val="28"/>
        </w:rPr>
        <w:t>（三）走访核查</w:t>
      </w:r>
      <w:r>
        <w:rPr>
          <w:rFonts w:ascii="Times New Roman" w:hAnsi="Times New Roman" w:eastAsia="黑体"/>
          <w:sz w:val="28"/>
          <w:szCs w:val="28"/>
        </w:rPr>
        <w:tab/>
      </w:r>
      <w:r>
        <w:rPr>
          <w:rFonts w:ascii="Times New Roman" w:hAnsi="Times New Roman" w:eastAsia="黑体"/>
          <w:sz w:val="28"/>
          <w:szCs w:val="28"/>
        </w:rPr>
        <w:fldChar w:fldCharType="begin"/>
      </w:r>
      <w:r>
        <w:rPr>
          <w:rFonts w:ascii="Times New Roman" w:hAnsi="Times New Roman" w:eastAsia="黑体"/>
          <w:sz w:val="28"/>
          <w:szCs w:val="28"/>
        </w:rPr>
        <w:instrText xml:space="preserve"> PAGEREF _Toc31997 \h </w:instrText>
      </w:r>
      <w:r>
        <w:rPr>
          <w:rFonts w:ascii="Times New Roman" w:hAnsi="Times New Roman" w:eastAsia="黑体"/>
          <w:sz w:val="28"/>
          <w:szCs w:val="28"/>
        </w:rPr>
        <w:fldChar w:fldCharType="separate"/>
      </w:r>
      <w:r>
        <w:rPr>
          <w:rFonts w:ascii="Times New Roman" w:hAnsi="Times New Roman" w:eastAsia="黑体"/>
          <w:sz w:val="28"/>
          <w:szCs w:val="28"/>
        </w:rPr>
        <w:t>3</w:t>
      </w:r>
      <w:r>
        <w:rPr>
          <w:rFonts w:ascii="Times New Roman" w:hAnsi="Times New Roman" w:eastAsia="黑体"/>
          <w:sz w:val="28"/>
          <w:szCs w:val="28"/>
        </w:rPr>
        <w:fldChar w:fldCharType="end"/>
      </w:r>
      <w:r>
        <w:rPr>
          <w:rFonts w:ascii="Times New Roman" w:hAnsi="Times New Roman" w:eastAsia="黑体"/>
          <w:sz w:val="28"/>
          <w:szCs w:val="28"/>
        </w:rPr>
        <w:fldChar w:fldCharType="end"/>
      </w:r>
    </w:p>
    <w:p>
      <w:pPr>
        <w:pStyle w:val="11"/>
        <w:tabs>
          <w:tab w:val="right" w:leader="dot" w:pos="8787"/>
        </w:tabs>
        <w:rPr>
          <w:rFonts w:ascii="Times New Roman" w:hAnsi="Times New Roman"/>
          <w:sz w:val="28"/>
          <w:szCs w:val="28"/>
        </w:rPr>
      </w:pPr>
      <w:r>
        <w:fldChar w:fldCharType="begin"/>
      </w:r>
      <w:r>
        <w:instrText xml:space="preserve"> HYPERLINK \l "_Toc25212" </w:instrText>
      </w:r>
      <w:r>
        <w:fldChar w:fldCharType="separate"/>
      </w:r>
      <w:r>
        <w:rPr>
          <w:rFonts w:ascii="Times New Roman" w:hAnsi="Times New Roman" w:eastAsia="黑体"/>
          <w:sz w:val="28"/>
          <w:szCs w:val="28"/>
        </w:rPr>
        <w:t>三、安全现状评估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_Toc25212 \h </w:instrText>
      </w:r>
      <w:r>
        <w:rPr>
          <w:rFonts w:ascii="Times New Roman" w:hAnsi="Times New Roman"/>
          <w:sz w:val="28"/>
          <w:szCs w:val="28"/>
        </w:rPr>
        <w:fldChar w:fldCharType="separate"/>
      </w:r>
      <w:r>
        <w:rPr>
          <w:rFonts w:ascii="Times New Roman" w:hAnsi="Times New Roman"/>
          <w:sz w:val="28"/>
          <w:szCs w:val="28"/>
        </w:rPr>
        <w:t>3</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87"/>
        </w:tabs>
        <w:spacing w:after="0" w:line="360" w:lineRule="auto"/>
        <w:ind w:left="0" w:firstLine="440" w:firstLineChars="200"/>
        <w:rPr>
          <w:rFonts w:ascii="Times New Roman" w:hAnsi="Times New Roman" w:eastAsia="黑体"/>
          <w:sz w:val="28"/>
          <w:szCs w:val="28"/>
        </w:rPr>
      </w:pPr>
      <w:r>
        <w:fldChar w:fldCharType="begin"/>
      </w:r>
      <w:r>
        <w:instrText xml:space="preserve"> HYPERLINK \l "_Toc23040" </w:instrText>
      </w:r>
      <w:r>
        <w:fldChar w:fldCharType="separate"/>
      </w:r>
      <w:r>
        <w:rPr>
          <w:rFonts w:ascii="宋体" w:hAnsi="宋体" w:eastAsia="宋体" w:cs="宋体"/>
          <w:sz w:val="28"/>
          <w:szCs w:val="28"/>
        </w:rPr>
        <w:t>（一）现行安全管理制度制定及落实情况评估</w:t>
      </w:r>
      <w:r>
        <w:rPr>
          <w:rFonts w:ascii="Times New Roman" w:hAnsi="Times New Roman" w:eastAsia="黑体"/>
          <w:sz w:val="28"/>
          <w:szCs w:val="28"/>
        </w:rPr>
        <w:tab/>
      </w:r>
      <w:r>
        <w:rPr>
          <w:rFonts w:ascii="Times New Roman" w:hAnsi="Times New Roman" w:eastAsia="黑体"/>
          <w:sz w:val="28"/>
          <w:szCs w:val="28"/>
        </w:rPr>
        <w:fldChar w:fldCharType="begin"/>
      </w:r>
      <w:r>
        <w:rPr>
          <w:rFonts w:ascii="Times New Roman" w:hAnsi="Times New Roman" w:eastAsia="黑体"/>
          <w:sz w:val="28"/>
          <w:szCs w:val="28"/>
        </w:rPr>
        <w:instrText xml:space="preserve"> PAGEREF _Toc23040 \h </w:instrText>
      </w:r>
      <w:r>
        <w:rPr>
          <w:rFonts w:ascii="Times New Roman" w:hAnsi="Times New Roman" w:eastAsia="黑体"/>
          <w:sz w:val="28"/>
          <w:szCs w:val="28"/>
        </w:rPr>
        <w:fldChar w:fldCharType="separate"/>
      </w:r>
      <w:r>
        <w:rPr>
          <w:rFonts w:ascii="Times New Roman" w:hAnsi="Times New Roman" w:eastAsia="黑体"/>
          <w:sz w:val="28"/>
          <w:szCs w:val="28"/>
        </w:rPr>
        <w:t>3</w:t>
      </w:r>
      <w:r>
        <w:rPr>
          <w:rFonts w:ascii="Times New Roman" w:hAnsi="Times New Roman" w:eastAsia="黑体"/>
          <w:sz w:val="28"/>
          <w:szCs w:val="28"/>
        </w:rPr>
        <w:fldChar w:fldCharType="end"/>
      </w:r>
      <w:r>
        <w:rPr>
          <w:rFonts w:ascii="Times New Roman" w:hAnsi="Times New Roman" w:eastAsia="黑体"/>
          <w:sz w:val="28"/>
          <w:szCs w:val="28"/>
        </w:rPr>
        <w:fldChar w:fldCharType="end"/>
      </w:r>
    </w:p>
    <w:p>
      <w:pPr>
        <w:pStyle w:val="12"/>
        <w:tabs>
          <w:tab w:val="right" w:leader="dot" w:pos="8787"/>
        </w:tabs>
        <w:spacing w:after="0" w:line="360" w:lineRule="auto"/>
        <w:ind w:left="0" w:firstLine="440" w:firstLineChars="200"/>
        <w:rPr>
          <w:rFonts w:ascii="Times New Roman" w:hAnsi="Times New Roman" w:eastAsia="黑体"/>
          <w:sz w:val="28"/>
          <w:szCs w:val="28"/>
        </w:rPr>
      </w:pPr>
      <w:r>
        <w:fldChar w:fldCharType="begin"/>
      </w:r>
      <w:r>
        <w:instrText xml:space="preserve"> HYPERLINK \l "_Toc17851" </w:instrText>
      </w:r>
      <w:r>
        <w:fldChar w:fldCharType="separate"/>
      </w:r>
      <w:r>
        <w:rPr>
          <w:rFonts w:ascii="宋体" w:hAnsi="宋体" w:eastAsia="宋体" w:cs="宋体"/>
          <w:sz w:val="28"/>
          <w:szCs w:val="28"/>
        </w:rPr>
        <w:t>（二）现场</w:t>
      </w:r>
      <w:r>
        <w:rPr>
          <w:rFonts w:hint="eastAsia" w:ascii="宋体" w:hAnsi="宋体" w:eastAsia="宋体" w:cs="宋体"/>
          <w:sz w:val="28"/>
          <w:szCs w:val="28"/>
        </w:rPr>
        <w:t>施工</w:t>
      </w:r>
      <w:r>
        <w:rPr>
          <w:rFonts w:ascii="宋体" w:hAnsi="宋体" w:eastAsia="宋体" w:cs="宋体"/>
          <w:sz w:val="28"/>
          <w:szCs w:val="28"/>
        </w:rPr>
        <w:t>环境安全评估</w:t>
      </w:r>
      <w:r>
        <w:rPr>
          <w:rFonts w:ascii="Times New Roman" w:hAnsi="Times New Roman" w:eastAsia="黑体"/>
          <w:sz w:val="28"/>
          <w:szCs w:val="28"/>
        </w:rPr>
        <w:tab/>
      </w:r>
      <w:r>
        <w:rPr>
          <w:rFonts w:ascii="Times New Roman" w:hAnsi="Times New Roman" w:eastAsia="黑体"/>
          <w:sz w:val="28"/>
          <w:szCs w:val="28"/>
        </w:rPr>
        <w:fldChar w:fldCharType="begin"/>
      </w:r>
      <w:r>
        <w:rPr>
          <w:rFonts w:ascii="Times New Roman" w:hAnsi="Times New Roman" w:eastAsia="黑体"/>
          <w:sz w:val="28"/>
          <w:szCs w:val="28"/>
        </w:rPr>
        <w:instrText xml:space="preserve"> PAGEREF _Toc17851 \h </w:instrText>
      </w:r>
      <w:r>
        <w:rPr>
          <w:rFonts w:ascii="Times New Roman" w:hAnsi="Times New Roman" w:eastAsia="黑体"/>
          <w:sz w:val="28"/>
          <w:szCs w:val="28"/>
        </w:rPr>
        <w:fldChar w:fldCharType="separate"/>
      </w:r>
      <w:r>
        <w:rPr>
          <w:rFonts w:ascii="Times New Roman" w:hAnsi="Times New Roman" w:eastAsia="黑体"/>
          <w:sz w:val="28"/>
          <w:szCs w:val="28"/>
        </w:rPr>
        <w:t>18</w:t>
      </w:r>
      <w:r>
        <w:rPr>
          <w:rFonts w:ascii="Times New Roman" w:hAnsi="Times New Roman" w:eastAsia="黑体"/>
          <w:sz w:val="28"/>
          <w:szCs w:val="28"/>
        </w:rPr>
        <w:fldChar w:fldCharType="end"/>
      </w:r>
      <w:r>
        <w:rPr>
          <w:rFonts w:ascii="Times New Roman" w:hAnsi="Times New Roman" w:eastAsia="黑体"/>
          <w:sz w:val="28"/>
          <w:szCs w:val="28"/>
        </w:rPr>
        <w:fldChar w:fldCharType="end"/>
      </w:r>
    </w:p>
    <w:p>
      <w:pPr>
        <w:pStyle w:val="11"/>
        <w:tabs>
          <w:tab w:val="right" w:leader="dot" w:pos="8787"/>
        </w:tabs>
        <w:rPr>
          <w:rFonts w:ascii="Times New Roman" w:hAnsi="Times New Roman"/>
          <w:sz w:val="28"/>
          <w:szCs w:val="28"/>
        </w:rPr>
      </w:pPr>
      <w:r>
        <w:fldChar w:fldCharType="begin"/>
      </w:r>
      <w:r>
        <w:instrText xml:space="preserve"> HYPERLINK \l "_Toc15821" </w:instrText>
      </w:r>
      <w:r>
        <w:fldChar w:fldCharType="separate"/>
      </w:r>
      <w:r>
        <w:rPr>
          <w:rFonts w:ascii="Times New Roman" w:hAnsi="Times New Roman" w:eastAsia="黑体"/>
          <w:sz w:val="28"/>
          <w:szCs w:val="28"/>
        </w:rPr>
        <w:t>四、企业改进工作情况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_Toc15821 \h </w:instrText>
      </w:r>
      <w:r>
        <w:rPr>
          <w:rFonts w:ascii="Times New Roman" w:hAnsi="Times New Roman"/>
          <w:sz w:val="28"/>
          <w:szCs w:val="28"/>
        </w:rPr>
        <w:fldChar w:fldCharType="separate"/>
      </w:r>
      <w:r>
        <w:rPr>
          <w:rFonts w:ascii="Times New Roman" w:hAnsi="Times New Roman"/>
          <w:sz w:val="28"/>
          <w:szCs w:val="28"/>
        </w:rPr>
        <w:t>22</w:t>
      </w:r>
      <w:r>
        <w:rPr>
          <w:rFonts w:ascii="Times New Roman" w:hAnsi="Times New Roman"/>
          <w:sz w:val="28"/>
          <w:szCs w:val="28"/>
        </w:rPr>
        <w:fldChar w:fldCharType="end"/>
      </w:r>
      <w:r>
        <w:rPr>
          <w:rFonts w:ascii="Times New Roman" w:hAnsi="Times New Roman"/>
          <w:sz w:val="28"/>
          <w:szCs w:val="28"/>
        </w:rPr>
        <w:fldChar w:fldCharType="end"/>
      </w:r>
    </w:p>
    <w:p>
      <w:pPr>
        <w:pStyle w:val="11"/>
        <w:tabs>
          <w:tab w:val="right" w:leader="dot" w:pos="8787"/>
        </w:tabs>
        <w:rPr>
          <w:rFonts w:ascii="Times New Roman" w:hAnsi="Times New Roman"/>
          <w:sz w:val="28"/>
          <w:szCs w:val="28"/>
        </w:rPr>
      </w:pPr>
      <w:r>
        <w:fldChar w:fldCharType="begin"/>
      </w:r>
      <w:r>
        <w:instrText xml:space="preserve"> HYPERLINK \l "_Toc25123" </w:instrText>
      </w:r>
      <w:r>
        <w:fldChar w:fldCharType="separate"/>
      </w:r>
      <w:r>
        <w:rPr>
          <w:rFonts w:ascii="Times New Roman" w:hAnsi="Times New Roman" w:eastAsia="黑体"/>
          <w:sz w:val="28"/>
          <w:szCs w:val="28"/>
        </w:rPr>
        <w:t>五、</w:t>
      </w:r>
      <w:r>
        <w:rPr>
          <w:rFonts w:hint="eastAsia" w:ascii="黑体" w:hAnsi="黑体" w:eastAsia="黑体" w:cs="黑体"/>
          <w:sz w:val="28"/>
          <w:szCs w:val="28"/>
          <w:lang w:val="en-US" w:eastAsia="zh-CN"/>
        </w:rPr>
        <w:t>安全现状评估</w:t>
      </w:r>
      <w:r>
        <w:rPr>
          <w:rFonts w:ascii="Times New Roman" w:hAnsi="Times New Roman" w:eastAsia="黑体"/>
          <w:sz w:val="28"/>
          <w:szCs w:val="28"/>
        </w:rPr>
        <w:t>结论与建议</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_Toc25123 \h </w:instrText>
      </w:r>
      <w:r>
        <w:rPr>
          <w:rFonts w:ascii="Times New Roman" w:hAnsi="Times New Roman"/>
          <w:sz w:val="28"/>
          <w:szCs w:val="28"/>
        </w:rPr>
        <w:fldChar w:fldCharType="separate"/>
      </w:r>
      <w:r>
        <w:rPr>
          <w:rFonts w:ascii="Times New Roman" w:hAnsi="Times New Roman"/>
          <w:sz w:val="28"/>
          <w:szCs w:val="28"/>
        </w:rPr>
        <w:t>23</w:t>
      </w:r>
      <w:r>
        <w:rPr>
          <w:rFonts w:ascii="Times New Roman" w:hAnsi="Times New Roman"/>
          <w:sz w:val="28"/>
          <w:szCs w:val="28"/>
        </w:rPr>
        <w:fldChar w:fldCharType="end"/>
      </w:r>
      <w:r>
        <w:rPr>
          <w:rFonts w:ascii="Times New Roman" w:hAnsi="Times New Roman"/>
          <w:sz w:val="28"/>
          <w:szCs w:val="28"/>
        </w:rPr>
        <w:fldChar w:fldCharType="end"/>
      </w:r>
    </w:p>
    <w:p>
      <w:pPr>
        <w:pStyle w:val="12"/>
        <w:tabs>
          <w:tab w:val="right" w:leader="dot" w:pos="8787"/>
        </w:tabs>
        <w:spacing w:after="0" w:line="360" w:lineRule="auto"/>
        <w:ind w:left="0" w:firstLine="440" w:firstLineChars="200"/>
        <w:rPr>
          <w:rFonts w:ascii="Times New Roman" w:hAnsi="Times New Roman" w:eastAsia="黑体"/>
          <w:sz w:val="28"/>
          <w:szCs w:val="28"/>
        </w:rPr>
      </w:pPr>
      <w:r>
        <w:fldChar w:fldCharType="begin"/>
      </w:r>
      <w:r>
        <w:instrText xml:space="preserve"> HYPERLINK \l "_Toc9840" </w:instrText>
      </w:r>
      <w:r>
        <w:fldChar w:fldCharType="separate"/>
      </w:r>
      <w:r>
        <w:rPr>
          <w:rFonts w:ascii="宋体" w:hAnsi="宋体" w:eastAsia="宋体" w:cs="宋体"/>
          <w:sz w:val="28"/>
          <w:szCs w:val="28"/>
        </w:rPr>
        <w:t>（一）评估结论</w:t>
      </w:r>
      <w:r>
        <w:rPr>
          <w:rFonts w:ascii="Times New Roman" w:hAnsi="Times New Roman" w:eastAsia="黑体"/>
          <w:sz w:val="28"/>
          <w:szCs w:val="28"/>
        </w:rPr>
        <w:tab/>
      </w:r>
      <w:r>
        <w:rPr>
          <w:rFonts w:ascii="Times New Roman" w:hAnsi="Times New Roman" w:eastAsia="黑体"/>
          <w:sz w:val="28"/>
          <w:szCs w:val="28"/>
        </w:rPr>
        <w:fldChar w:fldCharType="begin"/>
      </w:r>
      <w:r>
        <w:rPr>
          <w:rFonts w:ascii="Times New Roman" w:hAnsi="Times New Roman" w:eastAsia="黑体"/>
          <w:sz w:val="28"/>
          <w:szCs w:val="28"/>
        </w:rPr>
        <w:instrText xml:space="preserve"> PAGEREF _Toc9840 \h </w:instrText>
      </w:r>
      <w:r>
        <w:rPr>
          <w:rFonts w:ascii="Times New Roman" w:hAnsi="Times New Roman" w:eastAsia="黑体"/>
          <w:sz w:val="28"/>
          <w:szCs w:val="28"/>
        </w:rPr>
        <w:fldChar w:fldCharType="separate"/>
      </w:r>
      <w:r>
        <w:rPr>
          <w:rFonts w:ascii="Times New Roman" w:hAnsi="Times New Roman" w:eastAsia="黑体"/>
          <w:sz w:val="28"/>
          <w:szCs w:val="28"/>
        </w:rPr>
        <w:t>23</w:t>
      </w:r>
      <w:r>
        <w:rPr>
          <w:rFonts w:ascii="Times New Roman" w:hAnsi="Times New Roman" w:eastAsia="黑体"/>
          <w:sz w:val="28"/>
          <w:szCs w:val="28"/>
        </w:rPr>
        <w:fldChar w:fldCharType="end"/>
      </w:r>
      <w:r>
        <w:rPr>
          <w:rFonts w:ascii="Times New Roman" w:hAnsi="Times New Roman" w:eastAsia="黑体"/>
          <w:sz w:val="28"/>
          <w:szCs w:val="28"/>
        </w:rPr>
        <w:fldChar w:fldCharType="end"/>
      </w:r>
    </w:p>
    <w:p>
      <w:pPr>
        <w:pStyle w:val="12"/>
        <w:tabs>
          <w:tab w:val="right" w:leader="dot" w:pos="8787"/>
        </w:tabs>
        <w:spacing w:after="0" w:line="360" w:lineRule="auto"/>
        <w:ind w:left="0" w:firstLine="440" w:firstLineChars="200"/>
        <w:rPr>
          <w:rFonts w:ascii="Times New Roman" w:hAnsi="Times New Roman" w:eastAsia="黑体"/>
          <w:sz w:val="28"/>
          <w:szCs w:val="28"/>
        </w:rPr>
      </w:pPr>
      <w:r>
        <w:fldChar w:fldCharType="begin"/>
      </w:r>
      <w:r>
        <w:instrText xml:space="preserve"> HYPERLINK \l "_Toc28170" </w:instrText>
      </w:r>
      <w:r>
        <w:fldChar w:fldCharType="separate"/>
      </w:r>
      <w:r>
        <w:rPr>
          <w:rFonts w:ascii="宋体" w:hAnsi="宋体" w:eastAsia="宋体" w:cs="宋体"/>
          <w:sz w:val="28"/>
          <w:szCs w:val="28"/>
        </w:rPr>
        <w:t>（二）工作提升建议</w:t>
      </w:r>
      <w:r>
        <w:rPr>
          <w:rFonts w:ascii="Times New Roman" w:hAnsi="Times New Roman" w:eastAsia="黑体"/>
          <w:sz w:val="28"/>
          <w:szCs w:val="28"/>
        </w:rPr>
        <w:tab/>
      </w:r>
      <w:r>
        <w:rPr>
          <w:rFonts w:ascii="Times New Roman" w:hAnsi="Times New Roman" w:eastAsia="黑体"/>
          <w:sz w:val="28"/>
          <w:szCs w:val="28"/>
        </w:rPr>
        <w:fldChar w:fldCharType="begin"/>
      </w:r>
      <w:r>
        <w:rPr>
          <w:rFonts w:ascii="Times New Roman" w:hAnsi="Times New Roman" w:eastAsia="黑体"/>
          <w:sz w:val="28"/>
          <w:szCs w:val="28"/>
        </w:rPr>
        <w:instrText xml:space="preserve"> PAGEREF _Toc28170 \h </w:instrText>
      </w:r>
      <w:r>
        <w:rPr>
          <w:rFonts w:ascii="Times New Roman" w:hAnsi="Times New Roman" w:eastAsia="黑体"/>
          <w:sz w:val="28"/>
          <w:szCs w:val="28"/>
        </w:rPr>
        <w:fldChar w:fldCharType="separate"/>
      </w:r>
      <w:r>
        <w:rPr>
          <w:rFonts w:ascii="Times New Roman" w:hAnsi="Times New Roman" w:eastAsia="黑体"/>
          <w:sz w:val="28"/>
          <w:szCs w:val="28"/>
        </w:rPr>
        <w:t>24</w:t>
      </w:r>
      <w:r>
        <w:rPr>
          <w:rFonts w:ascii="Times New Roman" w:hAnsi="Times New Roman" w:eastAsia="黑体"/>
          <w:sz w:val="28"/>
          <w:szCs w:val="28"/>
        </w:rPr>
        <w:fldChar w:fldCharType="end"/>
      </w:r>
      <w:r>
        <w:rPr>
          <w:rFonts w:ascii="Times New Roman" w:hAnsi="Times New Roman" w:eastAsia="黑体"/>
          <w:sz w:val="28"/>
          <w:szCs w:val="28"/>
        </w:rPr>
        <w:fldChar w:fldCharType="end"/>
      </w:r>
    </w:p>
    <w:p>
      <w:pPr>
        <w:pStyle w:val="2"/>
        <w:spacing w:before="240" w:after="240" w:line="360" w:lineRule="auto"/>
        <w:rPr>
          <w:rFonts w:ascii="黑体" w:hAnsi="黑体" w:eastAsia="黑体" w:cs="黑体"/>
          <w:szCs w:val="28"/>
        </w:rPr>
        <w:sectPr>
          <w:headerReference r:id="rId4" w:type="default"/>
          <w:footerReference r:id="rId5" w:type="default"/>
          <w:pgSz w:w="11906" w:h="16838"/>
          <w:pgMar w:top="1418" w:right="1588" w:bottom="1418" w:left="1531" w:header="851" w:footer="992" w:gutter="0"/>
          <w:cols w:space="425" w:num="1"/>
          <w:docGrid w:type="lines" w:linePitch="312" w:charSpace="0"/>
        </w:sectPr>
      </w:pPr>
      <w:r>
        <w:rPr>
          <w:rFonts w:ascii="Times New Roman" w:hAnsi="Times New Roman" w:eastAsia="黑体" w:cs="Times New Roman"/>
          <w:sz w:val="28"/>
          <w:szCs w:val="28"/>
        </w:rPr>
        <w:fldChar w:fldCharType="end"/>
      </w:r>
    </w:p>
    <w:p>
      <w:pPr>
        <w:pStyle w:val="2"/>
        <w:spacing w:before="240" w:after="240" w:line="360" w:lineRule="auto"/>
        <w:rPr>
          <w:rFonts w:ascii="黑体" w:hAnsi="黑体" w:eastAsia="黑体" w:cs="黑体"/>
          <w:sz w:val="28"/>
          <w:szCs w:val="28"/>
        </w:rPr>
      </w:pPr>
      <w:bookmarkStart w:id="3" w:name="_Toc9715"/>
      <w:r>
        <w:rPr>
          <w:rFonts w:hint="eastAsia" w:ascii="黑体" w:hAnsi="黑体" w:eastAsia="黑体" w:cs="黑体"/>
          <w:sz w:val="28"/>
          <w:szCs w:val="28"/>
        </w:rPr>
        <w:t>一、目的依据</w:t>
      </w:r>
      <w:bookmarkEnd w:id="2"/>
      <w:bookmarkEnd w:id="3"/>
    </w:p>
    <w:p>
      <w:pPr>
        <w:pStyle w:val="25"/>
        <w:spacing w:line="360" w:lineRule="auto"/>
        <w:ind w:firstLine="560"/>
        <w:rPr>
          <w:rFonts w:ascii="宋体" w:hAnsi="宋体" w:eastAsia="宋体"/>
          <w:sz w:val="28"/>
          <w:szCs w:val="28"/>
        </w:rPr>
      </w:pPr>
      <w:r>
        <w:rPr>
          <w:rFonts w:hint="eastAsia" w:ascii="宋体" w:hAnsi="宋体" w:eastAsia="宋体"/>
          <w:sz w:val="28"/>
          <w:szCs w:val="28"/>
        </w:rPr>
        <w:t>为充分发挥事故调查处理对加强和改进安全生产工作的促进作用，督促落实生产经营单位的安全生产主体责任，防范和减少事故发生，保障人民群众生命财产安全，依据《北京市生产安全事故整改和防范措施落实情况评估办法》</w:t>
      </w:r>
      <w:r>
        <w:rPr>
          <w:rFonts w:ascii="宋体" w:hAnsi="宋体" w:eastAsia="宋体"/>
          <w:sz w:val="28"/>
          <w:szCs w:val="28"/>
        </w:rPr>
        <w:t>等文件要求</w:t>
      </w:r>
      <w:r>
        <w:rPr>
          <w:rFonts w:hint="eastAsia" w:ascii="宋体" w:hAnsi="宋体" w:eastAsia="宋体"/>
          <w:sz w:val="28"/>
          <w:szCs w:val="28"/>
        </w:rPr>
        <w:t>，开展本次一般生产安全事故现场安全现状评估工作。</w:t>
      </w:r>
    </w:p>
    <w:p>
      <w:pPr>
        <w:pStyle w:val="2"/>
        <w:spacing w:before="240" w:after="240" w:line="360" w:lineRule="auto"/>
        <w:rPr>
          <w:rFonts w:ascii="黑体" w:hAnsi="黑体" w:eastAsia="黑体" w:cs="黑体"/>
          <w:sz w:val="28"/>
          <w:szCs w:val="28"/>
        </w:rPr>
      </w:pPr>
      <w:bookmarkStart w:id="4" w:name="_Toc26337"/>
      <w:bookmarkStart w:id="5" w:name="_Toc22597"/>
      <w:r>
        <w:rPr>
          <w:rFonts w:hint="eastAsia" w:ascii="黑体" w:hAnsi="黑体" w:eastAsia="黑体" w:cs="黑体"/>
          <w:sz w:val="28"/>
          <w:szCs w:val="28"/>
        </w:rPr>
        <w:t>二、工作</w:t>
      </w:r>
      <w:bookmarkEnd w:id="4"/>
      <w:r>
        <w:rPr>
          <w:rFonts w:hint="eastAsia" w:ascii="黑体" w:hAnsi="黑体" w:eastAsia="黑体" w:cs="黑体"/>
          <w:sz w:val="28"/>
          <w:szCs w:val="28"/>
        </w:rPr>
        <w:t>范围和方式</w:t>
      </w:r>
      <w:bookmarkEnd w:id="5"/>
    </w:p>
    <w:p>
      <w:pPr>
        <w:pStyle w:val="25"/>
        <w:spacing w:line="360" w:lineRule="auto"/>
        <w:ind w:firstLine="560"/>
        <w:rPr>
          <w:rFonts w:ascii="宋体" w:hAnsi="宋体" w:eastAsia="宋体"/>
          <w:sz w:val="28"/>
          <w:szCs w:val="28"/>
        </w:rPr>
      </w:pPr>
      <w:r>
        <w:rPr>
          <w:rFonts w:hint="eastAsia" w:ascii="宋体" w:hAnsi="宋体" w:eastAsia="宋体"/>
          <w:sz w:val="28"/>
          <w:szCs w:val="28"/>
        </w:rPr>
        <w:t>本次现场评估的时间为2023年8月11日。</w:t>
      </w:r>
    </w:p>
    <w:p>
      <w:pPr>
        <w:pStyle w:val="25"/>
        <w:spacing w:line="360" w:lineRule="auto"/>
        <w:ind w:firstLine="560"/>
        <w:rPr>
          <w:rFonts w:ascii="宋体" w:hAnsi="宋体" w:eastAsia="宋体"/>
          <w:sz w:val="28"/>
          <w:szCs w:val="28"/>
        </w:rPr>
      </w:pPr>
      <w:r>
        <w:rPr>
          <w:rFonts w:hint="eastAsia" w:ascii="宋体" w:hAnsi="宋体" w:eastAsia="宋体"/>
          <w:sz w:val="28"/>
          <w:szCs w:val="28"/>
        </w:rPr>
        <w:t>本次现场评估区域因氢燃料商用车及测试能力建设项目已建设完成，更换为本区另一建设项目现场——昌平区七辛北街(朱辛庄西路-七燕路)道路及管线工程（简称：七辛北街道路工程）。</w:t>
      </w:r>
    </w:p>
    <w:p>
      <w:pPr>
        <w:pStyle w:val="25"/>
        <w:spacing w:line="360" w:lineRule="auto"/>
        <w:ind w:firstLine="560"/>
        <w:rPr>
          <w:rFonts w:ascii="宋体" w:hAnsi="宋体" w:eastAsia="宋体"/>
          <w:sz w:val="28"/>
          <w:szCs w:val="28"/>
        </w:rPr>
      </w:pPr>
      <w:r>
        <w:rPr>
          <w:rFonts w:hint="eastAsia" w:ascii="宋体" w:hAnsi="宋体" w:eastAsia="宋体"/>
          <w:sz w:val="28"/>
          <w:szCs w:val="28"/>
        </w:rPr>
        <w:t>本次现场评估工作采取了资料核查、查阅文件、座谈问询、走访核查、专业评估等方式。</w:t>
      </w:r>
    </w:p>
    <w:p>
      <w:pPr>
        <w:pStyle w:val="3"/>
        <w:spacing w:before="120" w:after="120" w:line="360" w:lineRule="auto"/>
        <w:rPr>
          <w:sz w:val="28"/>
          <w:szCs w:val="21"/>
        </w:rPr>
      </w:pPr>
      <w:bookmarkStart w:id="6" w:name="_Toc10843"/>
      <w:r>
        <w:rPr>
          <w:rFonts w:hint="eastAsia"/>
          <w:sz w:val="28"/>
          <w:szCs w:val="21"/>
        </w:rPr>
        <w:t>（一）资料查阅</w:t>
      </w:r>
      <w:bookmarkEnd w:id="6"/>
    </w:p>
    <w:p>
      <w:pPr>
        <w:pStyle w:val="25"/>
        <w:spacing w:line="360" w:lineRule="auto"/>
        <w:ind w:firstLine="560"/>
        <w:rPr>
          <w:rFonts w:ascii="宋体" w:hAnsi="宋体" w:eastAsia="宋体"/>
          <w:sz w:val="28"/>
          <w:szCs w:val="28"/>
        </w:rPr>
      </w:pPr>
      <w:r>
        <w:rPr>
          <w:rFonts w:hint="eastAsia" w:ascii="宋体" w:hAnsi="宋体" w:eastAsia="宋体"/>
          <w:sz w:val="28"/>
          <w:szCs w:val="28"/>
        </w:rPr>
        <w:t>2023年8月7日、8月11日，城建远东建设公司提供了营业执照、</w:t>
      </w:r>
    </w:p>
    <w:p>
      <w:pPr>
        <w:pStyle w:val="25"/>
        <w:spacing w:line="360" w:lineRule="auto"/>
        <w:ind w:firstLine="0" w:firstLineChars="0"/>
        <w:rPr>
          <w:rFonts w:ascii="宋体" w:hAnsi="宋体" w:eastAsia="宋体"/>
          <w:sz w:val="28"/>
          <w:szCs w:val="28"/>
        </w:rPr>
      </w:pPr>
      <w:r>
        <w:rPr>
          <w:rFonts w:hint="eastAsia" w:ascii="宋体" w:hAnsi="宋体" w:eastAsia="宋体"/>
          <w:sz w:val="28"/>
          <w:szCs w:val="28"/>
        </w:rPr>
        <w:t>《整改报告》《全员安全生产责任制》《安全生产方针和目标管理制度》《施工生产安全奖惩制度》《安全生产管理机构和人员管理制度》《安全生产例会制度》《全员安全生产责任制度》《安全生产责任制考核和奖惩制度》《安全生产法律法规识别获取管理制度》《安全文件和档案管理制度》《安全生产费用提取和使用管理制度》《安全生产经费使用情况跟踪、监督管理制度》《各类现场管理制度》《安全生产教育和培训制度》《防护用品使用管理制度》《各类检查制度》、事故应急等管理制度资料，以及安全教育培训、重大危害、危险因素及其控制计划清单、隐患整改记录表、劳保用品发放记录、安全人员证书及培训等其他可以证明开展事故整改</w:t>
      </w:r>
      <w:r>
        <w:rPr>
          <w:rFonts w:hint="eastAsia" w:ascii="宋体" w:hAnsi="宋体" w:eastAsia="宋体"/>
          <w:sz w:val="28"/>
          <w:szCs w:val="28"/>
          <w:lang w:val="en-US" w:eastAsia="zh-CN"/>
        </w:rPr>
        <w:t>和防范</w:t>
      </w:r>
      <w:r>
        <w:rPr>
          <w:rFonts w:hint="eastAsia" w:ascii="宋体" w:hAnsi="宋体" w:eastAsia="宋体"/>
          <w:sz w:val="28"/>
          <w:szCs w:val="28"/>
        </w:rPr>
        <w:t>措施的相关资料。</w:t>
      </w:r>
      <w:r>
        <w:rPr>
          <w:rFonts w:hint="eastAsia" w:ascii="宋体" w:hAnsi="宋体" w:eastAsia="宋体"/>
          <w:sz w:val="28"/>
          <w:szCs w:val="28"/>
          <w:lang w:eastAsia="zh-CN"/>
        </w:rPr>
        <w:t>评估组</w:t>
      </w:r>
      <w:r>
        <w:rPr>
          <w:rFonts w:hint="eastAsia" w:ascii="宋体" w:hAnsi="宋体" w:eastAsia="宋体"/>
          <w:sz w:val="28"/>
          <w:szCs w:val="28"/>
        </w:rPr>
        <w:t>按照安全生产法律法规和《事故调查报告》中的事故间接原因、整改防范措施，对上述资料进行查阅。</w:t>
      </w:r>
    </w:p>
    <w:p>
      <w:pPr>
        <w:pStyle w:val="3"/>
        <w:spacing w:before="120" w:after="120" w:line="360" w:lineRule="auto"/>
        <w:rPr>
          <w:sz w:val="28"/>
          <w:szCs w:val="21"/>
        </w:rPr>
      </w:pPr>
      <w:bookmarkStart w:id="7" w:name="_Toc6441"/>
      <w:r>
        <w:rPr>
          <w:rFonts w:hint="eastAsia"/>
          <w:sz w:val="28"/>
          <w:szCs w:val="21"/>
        </w:rPr>
        <w:t>（二）座谈问询</w:t>
      </w:r>
      <w:bookmarkEnd w:id="7"/>
    </w:p>
    <w:p>
      <w:pPr>
        <w:pStyle w:val="25"/>
        <w:spacing w:line="360" w:lineRule="auto"/>
        <w:ind w:firstLine="560"/>
        <w:rPr>
          <w:rFonts w:ascii="宋体" w:hAnsi="宋体" w:eastAsia="宋体"/>
          <w:sz w:val="28"/>
          <w:szCs w:val="28"/>
        </w:rPr>
      </w:pPr>
      <w:r>
        <w:rPr>
          <w:rFonts w:hint="eastAsia" w:ascii="宋体" w:hAnsi="宋体" w:eastAsia="宋体"/>
          <w:sz w:val="28"/>
          <w:szCs w:val="28"/>
          <w:lang w:eastAsia="zh-CN"/>
        </w:rPr>
        <w:t>评估组</w:t>
      </w:r>
      <w:r>
        <w:rPr>
          <w:rFonts w:hint="eastAsia" w:ascii="宋体" w:hAnsi="宋体" w:eastAsia="宋体"/>
          <w:sz w:val="28"/>
          <w:szCs w:val="28"/>
        </w:rPr>
        <w:t>在城建远东建设公司新建设项目——昌平区七辛北街道路工程办公室组织召开专题会议，听取了原项目工程安全负责人关于整改工作的汇报以及新项目安全负责人讲解此项目的安全措施及落实工作。主要开展的工作包括一是针对双重预防机制建设方面，城建远东建设公司高度重视，深刻汲取事故教训，举一反三，健全全员安全生产责任制和安全生产规章制度、安全风险分级管控和隐患排查治理双重预防机制，并组织全员进行学习；二是针对人员配备和岗位落实方面，城建远东建设公司按照《建筑施工企业项目经理资质管理办法》等规定，对现有安全管理力量进行了梳理，结合定编要求，及时补充管理力量；三是</w:t>
      </w:r>
      <w:r>
        <w:rPr>
          <w:rFonts w:ascii="宋体" w:hAnsi="宋体" w:eastAsia="宋体"/>
          <w:sz w:val="28"/>
          <w:szCs w:val="28"/>
        </w:rPr>
        <w:t>已经组织全员学习《生产安全事故报告和调查处理条例》并严格执行此条例，</w:t>
      </w:r>
      <w:r>
        <w:rPr>
          <w:rFonts w:hint="eastAsia" w:ascii="宋体" w:hAnsi="宋体" w:eastAsia="宋体"/>
          <w:sz w:val="28"/>
          <w:szCs w:val="28"/>
        </w:rPr>
        <w:t>重新修订《生产安全事故应急救援预案》等。</w:t>
      </w:r>
    </w:p>
    <w:p>
      <w:pPr>
        <w:pStyle w:val="25"/>
        <w:spacing w:line="360" w:lineRule="auto"/>
        <w:ind w:firstLine="560"/>
        <w:jc w:val="left"/>
        <w:rPr>
          <w:rFonts w:ascii="宋体" w:hAnsi="宋体" w:eastAsia="宋体"/>
          <w:sz w:val="28"/>
          <w:szCs w:val="28"/>
        </w:rPr>
      </w:pPr>
    </w:p>
    <w:p>
      <w:pPr>
        <w:pStyle w:val="25"/>
        <w:spacing w:line="360" w:lineRule="auto"/>
        <w:ind w:firstLine="480"/>
        <w:jc w:val="center"/>
        <w:rPr>
          <w:rFonts w:ascii="宋体" w:hAnsi="宋体" w:eastAsia="宋体"/>
          <w:sz w:val="24"/>
          <w:szCs w:val="24"/>
        </w:rPr>
      </w:pPr>
      <w:r>
        <w:rPr>
          <w:rFonts w:ascii="宋体" w:hAnsi="宋体" w:eastAsia="宋体"/>
          <w:sz w:val="24"/>
          <w:szCs w:val="24"/>
        </w:rPr>
        <w:drawing>
          <wp:inline distT="0" distB="0" distL="114300" distR="114300">
            <wp:extent cx="4927600" cy="3695700"/>
            <wp:effectExtent l="0" t="0" r="6350" b="0"/>
            <wp:docPr id="4" name="图片 4" descr="704bf29ad60f136dce0a81ff1c4f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04bf29ad60f136dce0a81ff1c4f106"/>
                    <pic:cNvPicPr>
                      <a:picLocks noChangeAspect="1"/>
                    </pic:cNvPicPr>
                  </pic:nvPicPr>
                  <pic:blipFill>
                    <a:blip r:embed="rId8"/>
                    <a:stretch>
                      <a:fillRect/>
                    </a:stretch>
                  </pic:blipFill>
                  <pic:spPr>
                    <a:xfrm>
                      <a:off x="0" y="0"/>
                      <a:ext cx="4927600" cy="3695700"/>
                    </a:xfrm>
                    <a:prstGeom prst="rect">
                      <a:avLst/>
                    </a:prstGeom>
                  </pic:spPr>
                </pic:pic>
              </a:graphicData>
            </a:graphic>
          </wp:inline>
        </w:drawing>
      </w:r>
    </w:p>
    <w:p>
      <w:pPr>
        <w:pStyle w:val="25"/>
        <w:spacing w:line="360" w:lineRule="auto"/>
        <w:ind w:firstLine="480"/>
        <w:jc w:val="center"/>
        <w:rPr>
          <w:rFonts w:ascii="宋体" w:hAnsi="宋体" w:eastAsia="宋体"/>
          <w:sz w:val="24"/>
          <w:szCs w:val="24"/>
        </w:rPr>
      </w:pPr>
      <w:bookmarkStart w:id="8" w:name="_Toc12274"/>
      <w:r>
        <w:rPr>
          <w:rFonts w:hint="eastAsia" w:ascii="宋体" w:hAnsi="宋体" w:eastAsia="宋体"/>
          <w:sz w:val="24"/>
          <w:szCs w:val="24"/>
        </w:rPr>
        <w:t>图1  昌平区七辛北街道路及管线工程项目部座谈问询</w:t>
      </w:r>
      <w:bookmarkEnd w:id="8"/>
    </w:p>
    <w:p>
      <w:pPr>
        <w:pStyle w:val="3"/>
        <w:spacing w:before="120" w:after="120" w:line="360" w:lineRule="auto"/>
        <w:rPr>
          <w:sz w:val="28"/>
          <w:szCs w:val="21"/>
        </w:rPr>
      </w:pPr>
      <w:bookmarkStart w:id="9" w:name="_Toc31997"/>
      <w:r>
        <w:rPr>
          <w:rFonts w:hint="eastAsia"/>
          <w:sz w:val="28"/>
          <w:szCs w:val="21"/>
        </w:rPr>
        <w:t>（三）走访核查</w:t>
      </w:r>
      <w:bookmarkEnd w:id="9"/>
    </w:p>
    <w:p>
      <w:pPr>
        <w:pStyle w:val="25"/>
        <w:spacing w:line="360" w:lineRule="auto"/>
        <w:ind w:firstLine="560"/>
        <w:rPr>
          <w:rFonts w:ascii="宋体" w:hAnsi="宋体" w:eastAsia="宋体"/>
          <w:sz w:val="28"/>
          <w:szCs w:val="28"/>
        </w:rPr>
      </w:pPr>
      <w:r>
        <w:rPr>
          <w:rFonts w:hint="eastAsia" w:ascii="宋体" w:hAnsi="宋体" w:eastAsia="宋体"/>
          <w:sz w:val="28"/>
          <w:szCs w:val="28"/>
        </w:rPr>
        <w:t>本次评估邀请了建筑施工领域的技术专家对昌平区七辛北街道路工程施工现场进行实地安全</w:t>
      </w:r>
      <w:r>
        <w:rPr>
          <w:rFonts w:hint="eastAsia" w:ascii="宋体" w:hAnsi="宋体" w:eastAsia="宋体"/>
          <w:sz w:val="28"/>
          <w:szCs w:val="28"/>
          <w:lang w:val="en-US" w:eastAsia="zh-CN"/>
        </w:rPr>
        <w:t>现状</w:t>
      </w:r>
      <w:r>
        <w:rPr>
          <w:rFonts w:hint="eastAsia" w:ascii="宋体" w:hAnsi="宋体" w:eastAsia="宋体"/>
          <w:sz w:val="28"/>
          <w:szCs w:val="28"/>
        </w:rPr>
        <w:t>评估，重点查看了现场防护、施工管理等方面可能存在的安全问题。</w:t>
      </w:r>
    </w:p>
    <w:p>
      <w:pPr>
        <w:pStyle w:val="2"/>
        <w:spacing w:before="240" w:after="240" w:line="360" w:lineRule="auto"/>
        <w:rPr>
          <w:rFonts w:ascii="黑体" w:hAnsi="黑体" w:eastAsia="黑体" w:cs="黑体"/>
          <w:sz w:val="28"/>
          <w:szCs w:val="28"/>
        </w:rPr>
      </w:pPr>
      <w:bookmarkStart w:id="10" w:name="_Toc25212"/>
      <w:r>
        <w:rPr>
          <w:rFonts w:hint="eastAsia" w:ascii="黑体" w:hAnsi="黑体" w:eastAsia="黑体" w:cs="黑体"/>
          <w:sz w:val="28"/>
          <w:szCs w:val="28"/>
        </w:rPr>
        <w:t>三、安全现状评估</w:t>
      </w:r>
      <w:bookmarkEnd w:id="10"/>
    </w:p>
    <w:p>
      <w:pPr>
        <w:pStyle w:val="3"/>
        <w:spacing w:before="120" w:after="120" w:line="360" w:lineRule="auto"/>
        <w:rPr>
          <w:sz w:val="28"/>
          <w:szCs w:val="21"/>
        </w:rPr>
      </w:pPr>
      <w:bookmarkStart w:id="11" w:name="_Toc23040"/>
      <w:r>
        <w:rPr>
          <w:rFonts w:hint="eastAsia"/>
          <w:sz w:val="28"/>
          <w:szCs w:val="21"/>
        </w:rPr>
        <w:t>（一）现行安全管理制度制定及落实情况评估</w:t>
      </w:r>
      <w:bookmarkEnd w:id="11"/>
    </w:p>
    <w:p>
      <w:pPr>
        <w:pStyle w:val="25"/>
        <w:spacing w:line="360" w:lineRule="auto"/>
        <w:ind w:firstLine="560"/>
        <w:rPr>
          <w:rFonts w:ascii="宋体" w:hAnsi="宋体" w:eastAsia="宋体"/>
          <w:sz w:val="28"/>
          <w:szCs w:val="28"/>
        </w:rPr>
        <w:sectPr>
          <w:footerReference r:id="rId6" w:type="default"/>
          <w:pgSz w:w="11906" w:h="16838"/>
          <w:pgMar w:top="1418" w:right="1588" w:bottom="1418" w:left="1531" w:header="851" w:footer="992" w:gutter="0"/>
          <w:pgNumType w:start="1"/>
          <w:cols w:space="425" w:num="1"/>
          <w:docGrid w:type="lines" w:linePitch="312" w:charSpace="0"/>
        </w:sectPr>
      </w:pPr>
      <w:r>
        <w:rPr>
          <w:rFonts w:hint="eastAsia" w:ascii="宋体" w:hAnsi="宋体" w:eastAsia="宋体"/>
          <w:sz w:val="28"/>
          <w:szCs w:val="28"/>
          <w:lang w:eastAsia="zh-CN"/>
        </w:rPr>
        <w:t>评估组</w:t>
      </w:r>
      <w:r>
        <w:rPr>
          <w:rFonts w:hint="eastAsia" w:ascii="宋体" w:hAnsi="宋体" w:eastAsia="宋体"/>
          <w:sz w:val="28"/>
          <w:szCs w:val="28"/>
        </w:rPr>
        <w:t>对城建远东建设公司提供的制度文件、台帐、记录、档案等资料进行了评估，该单位昌平区七辛北街道路及管线工程现行安全管理制度及落实情况基本符合《中华人民共和国安全生产法》</w:t>
      </w:r>
      <w:r>
        <w:rPr>
          <w:rFonts w:hint="eastAsia" w:ascii="宋体" w:hAnsi="宋体" w:eastAsia="宋体"/>
          <w:sz w:val="28"/>
          <w:szCs w:val="28"/>
          <w:lang w:eastAsia="zh-CN"/>
        </w:rPr>
        <w:t>《建设工程安全生产管理条例》</w:t>
      </w:r>
      <w:r>
        <w:rPr>
          <w:rFonts w:hint="eastAsia" w:ascii="宋体" w:hAnsi="宋体" w:eastAsia="宋体"/>
          <w:sz w:val="28"/>
          <w:szCs w:val="28"/>
        </w:rPr>
        <w:t>等法律法规要求，详见下表。</w:t>
      </w:r>
    </w:p>
    <w:p>
      <w:pPr>
        <w:pStyle w:val="25"/>
        <w:spacing w:line="360" w:lineRule="auto"/>
        <w:ind w:firstLine="0" w:firstLineChars="0"/>
        <w:jc w:val="center"/>
        <w:outlineLvl w:val="2"/>
        <w:rPr>
          <w:rFonts w:ascii="Times New Roman" w:hAnsi="Times New Roman" w:eastAsia="宋体" w:cs="Times New Roman"/>
          <w:bCs/>
          <w:sz w:val="24"/>
          <w:szCs w:val="24"/>
        </w:rPr>
      </w:pPr>
      <w:bookmarkStart w:id="12" w:name="_Toc10908"/>
      <w:bookmarkStart w:id="13" w:name="_Toc27466"/>
      <w:bookmarkStart w:id="14" w:name="_Toc3770"/>
      <w:bookmarkStart w:id="15" w:name="_Toc17894"/>
      <w:bookmarkStart w:id="16" w:name="_Toc107394620"/>
      <w:bookmarkStart w:id="17" w:name="_Toc107394549"/>
      <w:r>
        <w:rPr>
          <w:rFonts w:ascii="Times New Roman" w:hAnsi="Times New Roman" w:eastAsia="宋体" w:cs="Times New Roman"/>
          <w:bCs/>
          <w:sz w:val="24"/>
          <w:szCs w:val="24"/>
        </w:rPr>
        <w:t>表1  城建远东建设公司、</w:t>
      </w:r>
      <w:r>
        <w:rPr>
          <w:rFonts w:ascii="Times New Roman" w:hAnsi="Times New Roman" w:eastAsia="宋体" w:cs="Times New Roman"/>
          <w:sz w:val="24"/>
          <w:szCs w:val="24"/>
        </w:rPr>
        <w:t>昌平区七辛北街道路工程</w:t>
      </w:r>
      <w:r>
        <w:rPr>
          <w:rFonts w:ascii="Times New Roman" w:hAnsi="Times New Roman" w:eastAsia="宋体" w:cs="Times New Roman"/>
          <w:bCs/>
          <w:sz w:val="24"/>
          <w:szCs w:val="24"/>
        </w:rPr>
        <w:t>安全管理制度制定及落实情况评估</w:t>
      </w:r>
      <w:bookmarkEnd w:id="12"/>
      <w:bookmarkEnd w:id="13"/>
      <w:bookmarkEnd w:id="14"/>
      <w:bookmarkEnd w:id="15"/>
    </w:p>
    <w:bookmarkEnd w:id="16"/>
    <w:bookmarkEnd w:id="17"/>
    <w:tbl>
      <w:tblPr>
        <w:tblStyle w:val="17"/>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28"/>
        <w:gridCol w:w="6090"/>
        <w:gridCol w:w="2821"/>
        <w:gridCol w:w="443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blHeader/>
        </w:trPr>
        <w:tc>
          <w:tcPr>
            <w:tcW w:w="292" w:type="pct"/>
            <w:tcBorders>
              <w:top w:val="single" w:color="auto" w:sz="12" w:space="0"/>
            </w:tcBorders>
            <w:vAlign w:val="center"/>
          </w:tcPr>
          <w:p>
            <w:pPr>
              <w:overflowPunct w:val="0"/>
              <w:autoSpaceDE w:val="0"/>
              <w:autoSpaceDN w:val="0"/>
              <w:adjustRightInd w:val="0"/>
              <w:jc w:val="center"/>
              <w:rPr>
                <w:rFonts w:ascii="Times New Roman" w:hAnsi="Times New Roman" w:eastAsia="宋体" w:cs="Times New Roman"/>
                <w:b/>
                <w:sz w:val="24"/>
                <w:szCs w:val="24"/>
                <w:lang w:val="zh-CN"/>
              </w:rPr>
            </w:pPr>
            <w:bookmarkStart w:id="18" w:name="_Toc32696"/>
            <w:bookmarkStart w:id="19" w:name="_Toc17157"/>
            <w:r>
              <w:rPr>
                <w:rFonts w:ascii="Times New Roman" w:hAnsi="Times New Roman" w:eastAsia="宋体" w:cs="Times New Roman"/>
                <w:b/>
                <w:sz w:val="24"/>
                <w:szCs w:val="24"/>
                <w:lang w:val="zh-CN"/>
              </w:rPr>
              <w:t>序号</w:t>
            </w:r>
          </w:p>
        </w:tc>
        <w:tc>
          <w:tcPr>
            <w:tcW w:w="2148" w:type="pct"/>
            <w:tcBorders>
              <w:top w:val="single" w:color="auto" w:sz="12" w:space="0"/>
            </w:tcBorders>
            <w:vAlign w:val="center"/>
          </w:tcPr>
          <w:p>
            <w:pPr>
              <w:overflowPunct w:val="0"/>
              <w:autoSpaceDE w:val="0"/>
              <w:autoSpaceDN w:val="0"/>
              <w:adjustRightInd w:val="0"/>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评估项目</w:t>
            </w:r>
          </w:p>
        </w:tc>
        <w:tc>
          <w:tcPr>
            <w:tcW w:w="995" w:type="pct"/>
            <w:tcBorders>
              <w:top w:val="single" w:color="auto" w:sz="12" w:space="0"/>
            </w:tcBorders>
            <w:vAlign w:val="center"/>
          </w:tcPr>
          <w:p>
            <w:pPr>
              <w:overflowPunct w:val="0"/>
              <w:autoSpaceDE w:val="0"/>
              <w:autoSpaceDN w:val="0"/>
              <w:adjustRightInd w:val="0"/>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评估依据</w:t>
            </w:r>
          </w:p>
        </w:tc>
        <w:tc>
          <w:tcPr>
            <w:tcW w:w="1564" w:type="pct"/>
            <w:tcBorders>
              <w:top w:val="single" w:color="auto" w:sz="12" w:space="0"/>
            </w:tcBorders>
            <w:vAlign w:val="center"/>
          </w:tcPr>
          <w:p>
            <w:pPr>
              <w:overflowPunct w:val="0"/>
              <w:autoSpaceDE w:val="0"/>
              <w:autoSpaceDN w:val="0"/>
              <w:adjustRightInd w:val="0"/>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评估情况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w:t>
            </w:r>
            <w:r>
              <w:rPr>
                <w:rFonts w:ascii="Times New Roman" w:hAnsi="Times New Roman" w:eastAsia="宋体" w:cs="Times New Roman"/>
                <w:sz w:val="24"/>
                <w:szCs w:val="24"/>
              </w:rPr>
              <w:t>《全员安全生产责任制》《安全生产方针和目标管理制度》《施工生产安全奖惩制度》《安全生产管理机构和人员管理制度》《安全生产例会制度》《全员安全生产责任制度》《安全生产责任制考核和奖惩制度》《安全生产法律法规识别获取管理制度》《安全文件和档案管理制度》《安全生产费用提取和使用管理制度》《安全生产经费使用情况跟踪、监督管理制度》《各类现场管理制度》《安全生产教育和培训制度》《防护用品使用管理制度》《各类检查制度》《生产安全事故应急救援预案》、事故应急等管理制度资料，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生产经营单位的全员安全生产责任制应当明确各岗位的责任人员、责任范围和考核标准等内容。</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《中华人民共和国安全生产法》第二十二条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w:t>
            </w:r>
            <w:r>
              <w:rPr>
                <w:rFonts w:ascii="Times New Roman" w:hAnsi="Times New Roman" w:eastAsia="宋体" w:cs="Times New Roman"/>
                <w:sz w:val="24"/>
                <w:szCs w:val="24"/>
              </w:rPr>
              <w:t>《</w:t>
            </w:r>
            <w:r>
              <w:rPr>
                <w:rFonts w:hint="eastAsia" w:ascii="Times New Roman" w:hAnsi="Times New Roman" w:eastAsia="宋体" w:cs="Times New Roman"/>
                <w:sz w:val="24"/>
                <w:szCs w:val="24"/>
              </w:rPr>
              <w:t>项目部</w:t>
            </w:r>
            <w:r>
              <w:rPr>
                <w:rFonts w:ascii="Times New Roman" w:hAnsi="Times New Roman" w:eastAsia="宋体" w:cs="Times New Roman"/>
                <w:sz w:val="24"/>
                <w:szCs w:val="24"/>
              </w:rPr>
              <w:t>安全生产责任制》</w:t>
            </w:r>
            <w:r>
              <w:rPr>
                <w:rFonts w:hint="eastAsia" w:ascii="Times New Roman" w:hAnsi="Times New Roman" w:eastAsia="宋体" w:cs="Times New Roman"/>
                <w:sz w:val="24"/>
                <w:szCs w:val="24"/>
              </w:rPr>
              <w:t>，责任制培训考核记录等</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color w:val="333333"/>
                <w:sz w:val="24"/>
                <w:szCs w:val="24"/>
                <w:shd w:val="clear" w:color="auto" w:fill="FFFFFF"/>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《中华人民共和国安全生产法》第二十三条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了劳保用品购买发票。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矿山、金属冶炼、建筑施工、运输单位和危险物品的生产、经营、储存、装卸单位，应当设置安全生产管理机构或者配备专职安全生产管理人员。</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《中华人民共和国安全生产法》第二十四条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了2名专职安全管理人员证书、企业项目负责人安全考核证书，</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生产经营单位的安全生产管理机构以及安全生产管理人员履行下列职责：</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（一）组织或者参与拟订本单位安全生产规章制度、操作规程和生产安全事故应急救援预案；</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（二）组织或者参与本单位安全生产教育和培训，如实记录安全生产教育和培训情况；</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（三）组织开展危险源辨识和评估，督促落实本单位重大危险源的安全管理措施；</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（四）组织或者参与本单位应急救援演练；</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（五）检查本单位的安全生产状况，及时排查生产安全事故隐患，提出改进安全生产管理的建议；</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（六）制止和纠正违章指挥、强令冒险作业、违反操作规程的行为；</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（七）督促落实本单位安全生产整改措施。</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《中华人民共和国安全生产法》第二十五条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w:t>
            </w:r>
            <w:r>
              <w:rPr>
                <w:rFonts w:ascii="Times New Roman" w:hAnsi="Times New Roman" w:eastAsia="宋体" w:cs="Times New Roman"/>
                <w:sz w:val="24"/>
                <w:szCs w:val="24"/>
              </w:rPr>
              <w:t>《全员安全生产责任制》《安全生产方针和目标管理制度》《施工生产安全奖惩制度》《安全生产管理机构和人员管理制度》《安全生产例会制度》《全员安全生产责任制度》《安全生产责任制考核和奖惩制度》《安全生产法律法规识别获取管理制度》《安全文件和档案管理制度》《安全生产费用提取和使用管理制度》《安全生产经费使用情况跟踪、监督管理制度》《各类现场管理制度》《安全生产教育和培训制度》《防护用品使用管理制度》《各类检查制度》《生产安全事故应急救援预案》、事故应急等管理制度资料，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生产经营单位的主要负责人和安全生产管理人员必须具备与本单位所从事的生产经营活动相应的安全生产知识和管理能力。</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危险物品的生产、经营、储存、装卸单位以及矿山、金属冶炼、建筑施工、运输单位的主要负责人和安全生产管理人员，应当由主管的负有安全生产监督管理职责的部门对其安全生产知识和管理能力考核合格。</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《中华人民共和国安全生产法》第二十七条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了《安全生产管理机构和人员管理制度》</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《中华人民共和国安全生产法》第二十八条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了《安全生产教育和培训制度》《安全技术交底》和培训记录</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生产经营单位应当建立安全风险分级管控制度，按照安全风险分级采取相应的管控措施。</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生产经营单位应当建立健全并落实生产安全事故隐患排查治理制度，采取技术、管理措施，及时发现并消除事故隐患。</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《中华人民共和国安全生产法》第四十一条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了《安全风险分级管控管理制度》《隐患排查治理管理办法》和项目重大危险源控制措施及风险评估、隐患整改回复等</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生产经营单位进行爆破、吊装、动火、临时用电以及国务院应急管理部门会同国务院有关部门规定的其他危险作业，应当安排专门人员进行现场安全管理，确保操作规程的遵守和安全措施的落实。</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《中华人民共和国安全生产法》第四十三条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了《施工现场临时用电安全管理制度》</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生产经营单位应当教育和督促从业人员严格执行本单位的安全生产规章制度和安全操作规程；并向从业人员如实告知作业场所和工作岗位存在的危险因素、防范措施以及事故应急措施。</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《中华人民共和国安全生产法》第四十四条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了《安全规章制度汇编》《生产安全事故应急救援预案》和项目危险源清单、安全隐患整改反馈表、培训记录</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生产经营单位必须为从业人员提供符合国家标准或者行业标准的劳动防护用品，并监督、教育从业人员按照使用规则佩戴、使用。</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《中华人民共和国安全生产法》第四十五条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了劳保用品购买发票和发放记录</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《中华人民共和国安全生产法》第四十六条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了项目危险源清单、安全隐患整改反馈表</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rPr>
                <w:rFonts w:ascii="Times New Roman" w:hAnsi="Times New Roman" w:eastAsia="宋体" w:cs="Times New Roman"/>
                <w:sz w:val="24"/>
                <w:szCs w:val="24"/>
              </w:rPr>
            </w:pPr>
            <w:r>
              <w:rPr>
                <w:rFonts w:ascii="Times New Roman" w:hAnsi="Times New Roman" w:eastAsia="宋体" w:cs="Times New Roman"/>
                <w:sz w:val="24"/>
                <w:szCs w:val="24"/>
              </w:rPr>
              <w:t>生产经营单位应当安排用于配备劳动防护用品、进行安全生产培训的经费。</w:t>
            </w:r>
          </w:p>
        </w:tc>
        <w:tc>
          <w:tcPr>
            <w:tcW w:w="995" w:type="pct"/>
            <w:vAlign w:val="center"/>
          </w:tcPr>
          <w:p>
            <w:pPr>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《中华人民共和国安全生产法》第四十七条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了劳保用品发放记录、培训记录</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8"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《中华人民共和国安全生产法》第四十八条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了《建设工程施工分承包安全生产管理协议书》</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rPr>
                <w:rFonts w:ascii="Times New Roman" w:hAnsi="Times New Roman" w:eastAsia="宋体" w:cs="Times New Roman"/>
                <w:sz w:val="24"/>
                <w:szCs w:val="24"/>
              </w:rPr>
            </w:pPr>
            <w:r>
              <w:rPr>
                <w:rFonts w:ascii="Times New Roman" w:hAnsi="Times New Roman" w:eastAsia="宋体" w:cs="Times New Roman"/>
                <w:sz w:val="24"/>
                <w:szCs w:val="24"/>
              </w:rPr>
              <w:t>生产经营单位发生生产安全事故时，单位的主要负责人应当立即组织抢救，并不得在事故调查处理期间擅离职守。</w:t>
            </w:r>
          </w:p>
        </w:tc>
        <w:tc>
          <w:tcPr>
            <w:tcW w:w="995" w:type="pct"/>
            <w:vAlign w:val="center"/>
          </w:tcPr>
          <w:p>
            <w:pPr>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《中华人民共和国安全生产法》第五十条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了《生产安全事故应急救援预案》《生产安全事故责任倒查制度》和生产安全事故条例学习记录</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rPr>
                <w:rFonts w:ascii="Times New Roman" w:hAnsi="Times New Roman" w:eastAsia="宋体" w:cs="Times New Roman"/>
                <w:sz w:val="24"/>
                <w:szCs w:val="24"/>
              </w:rPr>
            </w:pPr>
            <w:r>
              <w:rPr>
                <w:rFonts w:ascii="Times New Roman" w:hAnsi="Times New Roman" w:eastAsia="宋体" w:cs="Times New Roman"/>
                <w:sz w:val="24"/>
                <w:szCs w:val="24"/>
              </w:rPr>
              <w:t>生产经营单位必须依法参加工伤保险，为从业人员缴纳保险费。</w:t>
            </w:r>
          </w:p>
        </w:tc>
        <w:tc>
          <w:tcPr>
            <w:tcW w:w="995" w:type="pct"/>
            <w:vAlign w:val="center"/>
          </w:tcPr>
          <w:p>
            <w:pPr>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《中华人民共和国安全生产法》第五十一条</w:t>
            </w:r>
          </w:p>
        </w:tc>
        <w:tc>
          <w:tcPr>
            <w:tcW w:w="1564"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城建远东建设公司人员聘用合同含工伤保险。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rPr>
                <w:rFonts w:ascii="Times New Roman" w:hAnsi="Times New Roman" w:eastAsia="宋体" w:cs="Times New Roman"/>
                <w:sz w:val="24"/>
                <w:szCs w:val="24"/>
              </w:rPr>
            </w:pPr>
            <w:r>
              <w:rPr>
                <w:rFonts w:ascii="Times New Roman" w:hAnsi="Times New Roman" w:eastAsia="宋体" w:cs="Times New Roman"/>
                <w:sz w:val="24"/>
                <w:szCs w:val="24"/>
              </w:rPr>
              <w:t>生产经营单位应当制定本单位生产安全事故应急救援预案，与所在地县级以上地方人民政府组织制定的生产安全事故应急救援预案相衔接，并定期组织演练。</w:t>
            </w:r>
          </w:p>
        </w:tc>
        <w:tc>
          <w:tcPr>
            <w:tcW w:w="995" w:type="pct"/>
            <w:vAlign w:val="center"/>
          </w:tcPr>
          <w:p>
            <w:pPr>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《中华人民共和国安全生产法》第八十一条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了《生产安全事故应急救援预案》，项目演练见相关记录。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rPr>
                <w:rFonts w:ascii="Times New Roman" w:hAnsi="Times New Roman" w:eastAsia="宋体" w:cs="Times New Roman"/>
                <w:sz w:val="24"/>
                <w:szCs w:val="24"/>
              </w:rPr>
            </w:pPr>
            <w:r>
              <w:rPr>
                <w:rFonts w:ascii="Times New Roman" w:hAnsi="Times New Roman" w:eastAsia="宋体" w:cs="Times New Roman"/>
                <w:sz w:val="24"/>
                <w:szCs w:val="24"/>
              </w:rPr>
              <w:t>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tc>
        <w:tc>
          <w:tcPr>
            <w:tcW w:w="995" w:type="pct"/>
            <w:vAlign w:val="center"/>
          </w:tcPr>
          <w:p>
            <w:pPr>
              <w:jc w:val="center"/>
              <w:rPr>
                <w:rFonts w:ascii="Times New Roman" w:hAnsi="Times New Roman" w:eastAsia="宋体" w:cs="Times New Roman"/>
                <w:sz w:val="24"/>
                <w:szCs w:val="24"/>
              </w:rPr>
            </w:pPr>
            <w:r>
              <w:rPr>
                <w:rFonts w:ascii="Times New Roman" w:hAnsi="Times New Roman" w:eastAsia="宋体" w:cs="Times New Roman"/>
                <w:sz w:val="24"/>
                <w:szCs w:val="24"/>
              </w:rPr>
              <w:t>《中华人民共和国安全生产法》第八十三条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了《生产安全事故应急救援预案》《生产安全事故责任倒查制度》和生产安全事故条例学习记录</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施工单位从事建设工程的新建、扩建、改建和拆除等活动，应当具备国家规定的注册资本、专业技术人员、技术装备和安全生产等条件，依法取得相应等级的资质证书，并在其资质等级许可的范围内承揽工程。</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《建设工程安全生产管理条例》第二十条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了建筑企业资质证书D111005203和安全生产许可证（京）JZ安许证字〔2022〕010459</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w:t>
            </w:r>
            <w:bookmarkStart w:id="43" w:name="_GoBack"/>
            <w:r>
              <w:rPr>
                <w:rFonts w:ascii="Times New Roman" w:hAnsi="Times New Roman" w:eastAsia="宋体" w:cs="Times New Roman"/>
                <w:sz w:val="24"/>
                <w:szCs w:val="24"/>
              </w:rPr>
              <w:t>建设工程安全生产管理条例</w:t>
            </w:r>
            <w:bookmarkEnd w:id="43"/>
            <w:r>
              <w:rPr>
                <w:rFonts w:ascii="Times New Roman" w:hAnsi="Times New Roman" w:eastAsia="宋体" w:cs="Times New Roman"/>
                <w:sz w:val="24"/>
                <w:szCs w:val="24"/>
              </w:rPr>
              <w:t>》第二十一条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城建远东建设公司提供了</w:t>
            </w:r>
            <w:r>
              <w:rPr>
                <w:rFonts w:ascii="Times New Roman" w:hAnsi="Times New Roman" w:eastAsia="宋体" w:cs="Times New Roman"/>
                <w:sz w:val="24"/>
                <w:szCs w:val="24"/>
              </w:rPr>
              <w:t>《全员安全生产责任制》《安全生产方针和目标管理制度》《施工生产安全奖惩制度》《安全生产管理机构和人员管理制度》《安全生产例会制度》《全员安全生产责任制度》《安全生产责任制考核和奖惩制度》《安全生产法律法规识别获取管理制度》《安全文件和档案管理制度》《安全生产费用提取和使用管理制度》《安全生产经费使用情况跟踪、监督管理制度》《各类现场管理制度》《安全生产教育和培训制度》《防护用品使用管理制度》《各类检查制度》《生产安全事故应急救援预案》、事故应急等管理制度资料，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施工单位对列入建设工程概算的安全作业环境及安全施工措施所需费用，应当用于施工安全防护用具及设施的采购和更新、安全施工措施的落实、安全生产条件的改善，不得挪作他用。</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《建设工程安全生产管理条例》第二十二条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城建远东建设公司提供了劳保用品购买发票和发放记录</w:t>
            </w:r>
            <w:r>
              <w:rPr>
                <w:rFonts w:ascii="Times New Roman" w:hAnsi="Times New Roman" w:eastAsia="宋体" w:cs="Times New Roman"/>
                <w:sz w:val="24"/>
                <w:szCs w:val="24"/>
              </w:rPr>
              <w:t>，</w:t>
            </w:r>
            <w:r>
              <w:rPr>
                <w:rFonts w:hint="eastAsia" w:ascii="Times New Roman" w:hAnsi="Times New Roman" w:eastAsia="宋体" w:cs="Times New Roman"/>
                <w:sz w:val="24"/>
                <w:szCs w:val="24"/>
              </w:rPr>
              <w:t>其他支出未统一列明。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施工单位应当设立安全生产管理机构，配备专职安全生产管理人员。</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《建设工程安全生产管理条例》第二十三条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了项目的2名专职安全管理人员证书、企业项目负责人安全考核证书</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建设工程实行施工总承包的，由总承包单位对施工现场的安全生产负总责。</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总承包单位依法将建设工程分包给其他单位的，分包合同中应当明确各自的安全生产方面的权利、义务。</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总承包单位和分包单位对分包工程的安全生产。</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《建设工程安全生产管理条例》第二十四条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了《建设工程施工分承包安全生产管理协议书》</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垂直运输机械作业人员、安装拆卸工、爆破作业人员、起重信号工、登高架设作业人员等特种作业人员，必须按照国家有关规定经过专门的安全作业培训，并取得特种作业操作资格证书后，方可上岗作业。</w:t>
            </w:r>
          </w:p>
        </w:tc>
        <w:tc>
          <w:tcPr>
            <w:tcW w:w="995"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《建设工程安全生产管理条例》第二十五条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城建远东建设公司道路工程制定了《特种作业人员安全生产管理制度》，因目前未到相关施工阶段，暂未见相关资料。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(一)基坑支护与降水工程；</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(二)土方开挖工程；</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(三)模板工程；</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(四)起重吊装工程；</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(五)脚手架工程；</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(六)拆除、爆破工程；</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(七)国务院建设行政主管部门或者其他有关部门规定的其他危险性较大的工程。</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对前款所列工程中涉及深基坑、地下暗挖工程、高大模板工程的专项施工方案，施工单位还应当组织专家进行论证、审查。本条第一款规定的达到一定规模的危险性较大工程的标准，由国务院建设行政主管部门会同国务院其他有关部门制定。</w:t>
            </w:r>
          </w:p>
        </w:tc>
        <w:tc>
          <w:tcPr>
            <w:tcW w:w="995"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《建设工程安全生产管理条例》第二十六条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城建远东建设公司道路工程制定了《危险性较大分部分项工程安全管理制度》，管线专项防护措施，因目前未到相关施工阶段，暂未见相关资料。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建设工程施工前，施工单位负责项目管理的技术人员应当对有关安全施工的技术要求向施工作业班组、作业人员作出详细说明，并由双方签字确认。</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《建设工程安全生产管理条例》第二十七条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了《安全技术交底》记录</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施工单位应当根据不同施工阶段和周围环境及季节、气候的变化，在施工现场采取相应的安全施工措施。施工现场暂时停止施工的，施工单位应当做好现场防护，所需费用由责任方承担，或者按照合同约定执行。</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《建设工程安全生产管理条例》第二十八条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了《施工现场安全警示标志标牌管理制度》，施工现场已设置部分标识。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应当将施工现场的办公、生活区与作业区分开设置，并保持安全距离；办公、生活区的选址应当符合安全性要求。职工的膳食、饮水、休息场所等应当符合卫生标准。施工单位不得在尚未竣工的建筑物内设置员工集体宿舍。</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施工现场临时搭建的建筑物应当符合安全使用要求。施工现场使用的装配式活动房屋应当具有产品合格证。</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《建设工程安全生产管理条例》第二十九条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城建远东建设公司道路工程项目部目前租赁在工程100m外已建成建筑内，施工现场不设置宿舍，落实了相关要求。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施工单位对因建设工程施工可能造成损害的毗邻建筑物、构筑物和地下管线等，应当采取专项防护措施。</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施工单位应当遵守有关环境保护法律、法规的规定，在施工现场采取措施，防止或者减少粉尘、废气、废水、固体废物、噪声、振动和施工照明对人和环境的危害和污染。</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在城市市区内的建设工程，施工单位应当对施工现场实行封闭围挡。</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《建设工程安全生产管理条例》第三十条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城建远东建设公司道路工程制定了《文明施工管理制度》，因目前未到相关阶段，暂未见相关资料。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《建设工程安全生产管理条例》第三十一条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城建远东建设公司道路工程项目暂未见相关消防操作规程和物资台账。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施工单位应当向作业人员提供安全防护用具和安全防护服装，并书面告知危险岗位的操作规程和违章操作的危害。</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《建设工程安全生产管理条例》第三十二条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城建远东建设公司提供了劳动用品发放记录、培训记录和安全技术交底记录。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施工单位采购、租赁的安全防护用具、机械设备、施工机具及配件，应当具有生产(制造)许可证、产品合格证，并在进入施工现场前进行查验。</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施工现场的安全防护用具、机械设备、施工机具及配件必须由专人管理，定期进行检查、维修和保养，建立相应的资料档案，并按照国家有关规定及时报废。</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《建设工程安全生产管理条例》第三十四条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城建远东建设公司安全防护用品资质，暂未见相关资料。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在使用施工起重机械和整体提升脚手架、模板等自升式架设设施前，应当组织有关单位进行验收，也可以委托具有相应资质的检验检测机构进行验收；使用承租的机械设备和施工机具及配件的，由施工总承包单位、分包单位、出租单位和安装单位共同进行验收。验收合格的方可使用。</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《特种设备安全监察条例》规定的施工起重机械，在验收前应当经有相应资质的检验检测机构监督检验合格。</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施工单位应当自施工起重机械和整体提升脚手架、模板等自升式架设设施验收合格之日起30日内，向建设行政主管部门或者其他有关部门登记。登记标志应当置于或者附着于该设备的显著位置。</w:t>
            </w:r>
          </w:p>
        </w:tc>
        <w:tc>
          <w:tcPr>
            <w:tcW w:w="995"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w:t>
            </w:r>
            <w:r>
              <w:rPr>
                <w:rFonts w:hint="eastAsia" w:ascii="Times New Roman" w:hAnsi="Times New Roman" w:eastAsia="宋体" w:cs="Times New Roman"/>
                <w:sz w:val="24"/>
                <w:szCs w:val="24"/>
              </w:rPr>
              <w:t>三十五</w:t>
            </w:r>
            <w:r>
              <w:rPr>
                <w:rFonts w:ascii="Times New Roman" w:hAnsi="Times New Roman" w:eastAsia="宋体" w:cs="Times New Roman"/>
                <w:sz w:val="24"/>
                <w:szCs w:val="24"/>
              </w:rPr>
              <w:t>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城建远东建设公司道路工程制定了《特种设备安全管理制度》，因目前未到相关施工阶段，暂未见相关资料。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施工单位的主要负责人、项目负责人、专职安全生产管理人员应当经建设行政主管部门或者其他有关部门考核合格后方可任职。</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施工单位应当对管理人员和作业人员每年至少进行一次安全生产教育培训，其教育培训情况记入个人工作档案。安全生产教育培训考核不合格的人员，不得上岗。</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《建设工程安全生产管理条例》第三十六条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了《安全生产管理机构和人员管理制度》、培训记录，项目的2名专职安全管理人员证书、企业项目负责人安全考核证书</w:t>
            </w:r>
            <w:r>
              <w:rPr>
                <w:rFonts w:ascii="Times New Roman" w:hAnsi="Times New Roman" w:eastAsia="宋体" w:cs="Times New Roman"/>
                <w:sz w:val="24"/>
                <w:szCs w:val="24"/>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施工单位应当为施工现场从事危险作业的人员办理意外伤害保险。</w:t>
            </w:r>
          </w:p>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意外伤害保险费由施工单位支付。实行施工总承包的，由总承包单位支付意外伤害保险费。意外伤害保险期限自建设工程开工之日起至竣工验收合格止。</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《建设工程安全生产管理条例》第三十八条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城建远东建设公司目前要求劳务单位缴纳相关意外保险。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施工单位应当制定本单位生产安全事故应急救援预案，建立应急救援组织或者配备应急救援人员，配备必要的应急救援器材、设备，并定期组织演练。</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《建设工程安全生产管理条例》第四十八条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城建远东建设公司</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了《生产安全事故应急救援预案》，项目演练和人员队伍台账暂未见相关记录。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ind w:firstLine="17"/>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施工单位应当根据建设工程施工的特点、范围，对施工现场易发生重大事故的部位、环节进行监控，制定施工现场生产安全事故应急救工总承包的，由总承包单位统一组织编制建设工程生产安全事故应急救援预案，工程总承包单位和分包单位按照应急救援预案，各自建立应急救援组织救援人员，配备救援器材、设备，并定期组织演练。</w:t>
            </w:r>
          </w:p>
        </w:tc>
        <w:tc>
          <w:tcPr>
            <w:tcW w:w="995" w:type="pct"/>
            <w:vAlign w:val="center"/>
          </w:tcPr>
          <w:p>
            <w:pPr>
              <w:overflowPunct w:val="0"/>
              <w:jc w:val="center"/>
              <w:rPr>
                <w:rFonts w:ascii="Times New Roman" w:hAnsi="Times New Roman" w:eastAsia="宋体" w:cs="Times New Roman"/>
                <w:sz w:val="24"/>
                <w:szCs w:val="24"/>
              </w:rPr>
            </w:pPr>
            <w:r>
              <w:rPr>
                <w:rFonts w:ascii="Times New Roman" w:hAnsi="Times New Roman" w:eastAsia="宋体" w:cs="Times New Roman"/>
                <w:sz w:val="24"/>
                <w:szCs w:val="24"/>
              </w:rPr>
              <w:t>《建设工程安全生产管理条例》第四十九条</w:t>
            </w:r>
          </w:p>
        </w:tc>
        <w:tc>
          <w:tcPr>
            <w:tcW w:w="1564" w:type="pct"/>
            <w:vAlign w:val="center"/>
          </w:tcPr>
          <w:p>
            <w:pPr>
              <w:overflowPunct w:val="0"/>
              <w:rPr>
                <w:rFonts w:ascii="Times New Roman" w:hAnsi="Times New Roman" w:eastAsia="宋体" w:cs="Times New Roman"/>
                <w:sz w:val="24"/>
                <w:szCs w:val="24"/>
              </w:rPr>
            </w:pPr>
            <w:r>
              <w:rPr>
                <w:rFonts w:hint="eastAsia" w:ascii="Times New Roman" w:hAnsi="Times New Roman" w:eastAsia="宋体" w:cs="Times New Roman"/>
                <w:sz w:val="24"/>
                <w:szCs w:val="24"/>
              </w:rPr>
              <w:t>项目现场应急预案、应急演练和应急物资台账暂未见相关资料。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1"/>
              </w:numPr>
              <w:tabs>
                <w:tab w:val="left" w:pos="1260"/>
              </w:tabs>
              <w:overflowPunct w:val="0"/>
              <w:jc w:val="center"/>
              <w:rPr>
                <w:rFonts w:ascii="Times New Roman" w:hAnsi="Times New Roman" w:eastAsia="宋体" w:cs="Times New Roman"/>
                <w:sz w:val="24"/>
                <w:szCs w:val="24"/>
              </w:rPr>
            </w:pPr>
          </w:p>
        </w:tc>
        <w:tc>
          <w:tcPr>
            <w:tcW w:w="2148" w:type="pct"/>
            <w:vAlign w:val="center"/>
          </w:tcPr>
          <w:p>
            <w:pPr>
              <w:overflowPunct w:val="0"/>
              <w:rPr>
                <w:rFonts w:ascii="Times New Roman" w:hAnsi="Times New Roman" w:eastAsia="宋体" w:cs="Times New Roman"/>
                <w:sz w:val="24"/>
                <w:szCs w:val="24"/>
              </w:rPr>
            </w:pPr>
            <w:r>
              <w:rPr>
                <w:rFonts w:ascii="Times New Roman" w:hAnsi="Times New Roman" w:eastAsia="宋体" w:cs="Times New Roman"/>
                <w:sz w:val="24"/>
                <w:szCs w:val="24"/>
              </w:rPr>
              <w:t>其他事故的跟踪情况</w:t>
            </w:r>
          </w:p>
        </w:tc>
        <w:tc>
          <w:tcPr>
            <w:tcW w:w="2559" w:type="pct"/>
            <w:gridSpan w:val="2"/>
            <w:vAlign w:val="center"/>
          </w:tcPr>
          <w:p>
            <w:pPr>
              <w:overflowPunct w:val="0"/>
              <w:rPr>
                <w:rFonts w:ascii="Times New Roman" w:hAnsi="Times New Roman" w:eastAsia="宋体" w:cs="Times New Roman"/>
                <w:sz w:val="24"/>
                <w:szCs w:val="24"/>
                <w:shd w:val="clear" w:color="auto" w:fill="FFFFFF"/>
              </w:rPr>
            </w:pPr>
            <w:r>
              <w:rPr>
                <w:rFonts w:ascii="Times New Roman" w:hAnsi="Times New Roman" w:eastAsia="宋体" w:cs="Times New Roman"/>
                <w:sz w:val="24"/>
                <w:szCs w:val="24"/>
                <w:shd w:val="clear" w:color="auto" w:fill="FFFFFF"/>
              </w:rPr>
              <w:t>2022年氢燃料商用车及测试能力建设项目“3·7”一般生产安全事故发生后，截止本报告提交时间，昌平区七辛北街道路及管线工程现场暂未有其他一般生产安全事故发生。</w:t>
            </w:r>
          </w:p>
        </w:tc>
      </w:tr>
    </w:tbl>
    <w:p>
      <w:pPr>
        <w:pStyle w:val="25"/>
        <w:spacing w:line="360" w:lineRule="auto"/>
        <w:ind w:firstLine="560"/>
        <w:rPr>
          <w:rFonts w:ascii="宋体" w:hAnsi="宋体" w:eastAsia="宋体"/>
          <w:sz w:val="28"/>
          <w:szCs w:val="28"/>
        </w:rPr>
        <w:sectPr>
          <w:pgSz w:w="16838" w:h="11906" w:orient="landscape"/>
          <w:pgMar w:top="1803" w:right="1440" w:bottom="1803" w:left="1440" w:header="851" w:footer="992" w:gutter="0"/>
          <w:cols w:space="0" w:num="1"/>
          <w:docGrid w:type="lines" w:linePitch="395" w:charSpace="0"/>
        </w:sectPr>
      </w:pPr>
    </w:p>
    <w:p>
      <w:pPr>
        <w:pStyle w:val="25"/>
        <w:spacing w:line="360" w:lineRule="auto"/>
        <w:ind w:firstLine="560"/>
        <w:rPr>
          <w:rFonts w:ascii="宋体" w:hAnsi="宋体" w:eastAsia="宋体"/>
          <w:sz w:val="28"/>
          <w:szCs w:val="28"/>
        </w:rPr>
      </w:pPr>
      <w:r>
        <w:rPr>
          <w:rFonts w:hint="eastAsia" w:ascii="宋体" w:hAnsi="宋体" w:eastAsia="宋体"/>
          <w:sz w:val="28"/>
          <w:szCs w:val="28"/>
        </w:rPr>
        <w:t>通过按照法规要求进行评估，发现问题如下：</w:t>
      </w:r>
    </w:p>
    <w:p>
      <w:pPr>
        <w:pStyle w:val="25"/>
        <w:numPr>
          <w:ilvl w:val="0"/>
          <w:numId w:val="2"/>
        </w:numPr>
        <w:spacing w:line="360" w:lineRule="auto"/>
        <w:ind w:firstLine="560"/>
        <w:rPr>
          <w:rFonts w:ascii="宋体" w:hAnsi="宋体" w:eastAsia="宋体"/>
          <w:b/>
          <w:bCs/>
          <w:sz w:val="28"/>
          <w:szCs w:val="28"/>
        </w:rPr>
      </w:pPr>
      <w:r>
        <w:rPr>
          <w:rFonts w:hint="eastAsia" w:ascii="宋体" w:hAnsi="宋体" w:eastAsia="宋体"/>
          <w:b/>
          <w:bCs/>
          <w:sz w:val="28"/>
          <w:szCs w:val="28"/>
        </w:rPr>
        <w:t>安全管理</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rPr>
          <w:rFonts w:ascii="宋体" w:hAnsi="宋体" w:eastAsia="宋体"/>
          <w:sz w:val="28"/>
          <w:szCs w:val="28"/>
        </w:rPr>
      </w:pPr>
      <w:r>
        <w:rPr>
          <w:rFonts w:hint="eastAsia" w:ascii="宋体" w:hAnsi="宋体" w:eastAsia="宋体"/>
          <w:sz w:val="28"/>
          <w:szCs w:val="28"/>
        </w:rPr>
        <w:t>《中华人民共和国安全生产法》第五十一条、《建设工程安全生产管理条例》第三十八条均要求员工、作业人员参保工伤或意外保险。目前城建远东建设公司在职人员参保工伤保险，施工项目中要求劳务单位为作业人员参保意外险，但目前相关资料，安全管理档案未存。</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rPr>
          <w:rFonts w:ascii="宋体" w:hAnsi="宋体" w:eastAsia="宋体"/>
          <w:sz w:val="28"/>
          <w:szCs w:val="28"/>
        </w:rPr>
      </w:pPr>
      <w:r>
        <w:rPr>
          <w:rFonts w:hint="eastAsia" w:ascii="宋体" w:hAnsi="宋体" w:eastAsia="宋体"/>
          <w:sz w:val="28"/>
          <w:szCs w:val="28"/>
        </w:rPr>
        <w:t>建筑行业安全风险较高，事故发生频次较高、施工后果也较为严重。建议按照法规要求，施工总包单位要求所有现场施工作业人员参保意外险，其中危险作业人员必须参保；且“</w:t>
      </w:r>
      <w:r>
        <w:rPr>
          <w:rFonts w:ascii="Times New Roman" w:hAnsi="Times New Roman" w:eastAsia="宋体" w:cs="Times New Roman"/>
          <w:sz w:val="28"/>
          <w:szCs w:val="28"/>
        </w:rPr>
        <w:t>意外伤害保险期限自建设工程开工之日起至竣工验收合格止</w:t>
      </w:r>
      <w:r>
        <w:rPr>
          <w:rFonts w:hint="eastAsia" w:ascii="宋体" w:hAnsi="宋体" w:eastAsia="宋体"/>
          <w:sz w:val="28"/>
          <w:szCs w:val="28"/>
        </w:rPr>
        <w:t>”；将参保资料妥善保存至工程安全施工档案中，若发生突发事件，需要启动保障时，可随时查找。</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rPr>
          <w:rFonts w:ascii="宋体" w:hAnsi="宋体" w:eastAsia="宋体"/>
          <w:sz w:val="28"/>
          <w:szCs w:val="28"/>
        </w:rPr>
      </w:pPr>
      <w:r>
        <w:rPr>
          <w:rFonts w:hint="eastAsia" w:ascii="宋体" w:hAnsi="宋体" w:eastAsia="宋体"/>
          <w:sz w:val="28"/>
          <w:szCs w:val="28"/>
        </w:rPr>
        <w:t>《中华人民共和国安全生产法》第二十三条、《建设工程安全生产管理条例》第二十二条要求，安全措施费用专管支出。目前城建远东建设公司昌平区七辛北街道路工程提供了劳保用品购买发票和发放记录，其他支出未统一列明。</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rPr>
          <w:rFonts w:ascii="宋体" w:hAnsi="宋体" w:eastAsia="宋体"/>
          <w:sz w:val="28"/>
          <w:szCs w:val="28"/>
        </w:rPr>
      </w:pPr>
      <w:r>
        <w:rPr>
          <w:rFonts w:hint="eastAsia" w:ascii="宋体" w:hAnsi="宋体" w:eastAsia="宋体"/>
          <w:sz w:val="28"/>
          <w:szCs w:val="28"/>
        </w:rPr>
        <w:t>建议建立安全生产费用管理台账，列明各项费用支出明细，纳入工程安全施工档案中，务必确保专款专用。</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资料问题3</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rPr>
          <w:rFonts w:ascii="宋体" w:hAnsi="宋体" w:eastAsia="宋体"/>
          <w:sz w:val="28"/>
          <w:szCs w:val="28"/>
        </w:rPr>
      </w:pPr>
      <w:r>
        <w:rPr>
          <w:rFonts w:hint="eastAsia" w:ascii="宋体" w:hAnsi="宋体" w:eastAsia="宋体"/>
          <w:sz w:val="28"/>
          <w:szCs w:val="28"/>
        </w:rPr>
        <w:t>《建设工程安全生产管理条例》第三十四条要求是施工设备器具等应当具有生产(制造)许可证、产品合格证，且由专人管理，定期进行检查、维修和保养，建立相应的资料档案。目前，城建远东建设公司昌平区七辛北街道路工程安全防护用品有台账和发放记录，但合格资质，暂未见相关资料。</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建议措施3</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rPr>
          <w:rFonts w:ascii="宋体" w:hAnsi="宋体" w:eastAsia="宋体"/>
          <w:sz w:val="28"/>
          <w:szCs w:val="28"/>
        </w:rPr>
      </w:pPr>
      <w:r>
        <w:rPr>
          <w:rFonts w:hint="eastAsia" w:ascii="宋体" w:hAnsi="宋体" w:eastAsia="宋体"/>
          <w:sz w:val="28"/>
          <w:szCs w:val="28"/>
        </w:rPr>
        <w:t>按法规要求采购合格产品，入场前检查，留存好相应资质、合格证书等，专人管理，纳入安全施工档案中，随时备查。</w:t>
      </w:r>
    </w:p>
    <w:p>
      <w:pPr>
        <w:pStyle w:val="25"/>
        <w:numPr>
          <w:ilvl w:val="0"/>
          <w:numId w:val="2"/>
        </w:numPr>
        <w:spacing w:line="360" w:lineRule="auto"/>
        <w:ind w:firstLine="560"/>
        <w:rPr>
          <w:rFonts w:ascii="宋体" w:hAnsi="宋体" w:eastAsia="宋体"/>
          <w:b/>
          <w:bCs/>
          <w:sz w:val="28"/>
          <w:szCs w:val="28"/>
        </w:rPr>
      </w:pPr>
      <w:r>
        <w:rPr>
          <w:rFonts w:hint="eastAsia" w:ascii="宋体" w:hAnsi="宋体" w:eastAsia="宋体"/>
          <w:b/>
          <w:bCs/>
          <w:sz w:val="28"/>
          <w:szCs w:val="28"/>
        </w:rPr>
        <w:t>消防安全</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资料问题4</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rPr>
          <w:rFonts w:ascii="宋体" w:hAnsi="宋体" w:eastAsia="宋体"/>
          <w:sz w:val="28"/>
          <w:szCs w:val="28"/>
        </w:rPr>
      </w:pPr>
      <w:r>
        <w:rPr>
          <w:rFonts w:hint="eastAsia" w:ascii="宋体" w:hAnsi="宋体" w:eastAsia="宋体"/>
          <w:sz w:val="28"/>
          <w:szCs w:val="28"/>
        </w:rPr>
        <w:t>《建设工程安全生产管理条例》第三十一条要求，施工单位应当在施工现场建立消防安全责任制度，确定消防安全责任人，设置消防设施和器材，并在施工现场入口处设置明显标志。城建远东建设公司昌平区七辛北街道路工程现场暂未见相关消防操作规程和物资台账。</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建议措施4</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rPr>
          <w:rFonts w:ascii="宋体" w:hAnsi="宋体" w:eastAsia="宋体"/>
          <w:sz w:val="28"/>
          <w:szCs w:val="28"/>
        </w:rPr>
      </w:pPr>
      <w:r>
        <w:rPr>
          <w:rFonts w:hint="eastAsia" w:ascii="宋体" w:hAnsi="宋体" w:eastAsia="宋体"/>
          <w:sz w:val="28"/>
          <w:szCs w:val="28"/>
        </w:rPr>
        <w:t>城建远东建设公司已建立相关制度，昌平区七辛北街道路工程项目现场应尽快结合施工特点，进行补充和完善，消防安全管理的相关资料，应统一纳入安全施工档案中，专人管理、及时更新。</w:t>
      </w:r>
    </w:p>
    <w:p>
      <w:pPr>
        <w:pStyle w:val="25"/>
        <w:numPr>
          <w:ilvl w:val="0"/>
          <w:numId w:val="2"/>
        </w:numPr>
        <w:spacing w:line="360" w:lineRule="auto"/>
        <w:ind w:firstLine="560"/>
        <w:rPr>
          <w:rFonts w:ascii="宋体" w:hAnsi="宋体" w:eastAsia="宋体"/>
          <w:b/>
          <w:bCs/>
          <w:sz w:val="28"/>
          <w:szCs w:val="28"/>
        </w:rPr>
      </w:pPr>
      <w:r>
        <w:rPr>
          <w:rFonts w:hint="eastAsia" w:ascii="宋体" w:hAnsi="宋体" w:eastAsia="宋体"/>
          <w:b/>
          <w:bCs/>
          <w:sz w:val="28"/>
          <w:szCs w:val="28"/>
        </w:rPr>
        <w:t>应急管理</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资料问题5</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rPr>
          <w:rFonts w:ascii="宋体" w:hAnsi="宋体" w:eastAsia="宋体"/>
          <w:sz w:val="28"/>
          <w:szCs w:val="28"/>
        </w:rPr>
      </w:pPr>
      <w:r>
        <w:rPr>
          <w:rFonts w:hint="eastAsia" w:ascii="宋体" w:hAnsi="宋体" w:eastAsia="宋体"/>
          <w:sz w:val="28"/>
          <w:szCs w:val="28"/>
        </w:rPr>
        <w:t>《建设工程安全生产管理条例》第四十八条、第四十九条要求，施工单位应根据建设工程施工的特点、范围，制定施工现场生产安全事故应急救援预案，建立应急救援组织救援人员，配备救援器材、设备，并定期组织演练。城建远东建设公司提供了《生产安全事故应急救援预案》，昌平区七辛北街道路工程项目现场应急预案、应急演练和应急物资台账暂未见相关资料。</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建议措施5</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pPr>
      <w:r>
        <w:rPr>
          <w:rFonts w:hint="eastAsia" w:ascii="宋体" w:hAnsi="宋体" w:eastAsia="宋体"/>
          <w:sz w:val="28"/>
          <w:szCs w:val="28"/>
        </w:rPr>
        <w:t>项目现场应尽快结合施工特点，进行修订完善应急预案，成立救援队伍，建立应急物资台账，明确数量和存放场所，定期维保。施工现场组织应急演练前，需提前制定演练方案，特别是安全保障方案，防止因演练导致的突发安全事件。</w:t>
      </w:r>
    </w:p>
    <w:bookmarkEnd w:id="18"/>
    <w:bookmarkEnd w:id="19"/>
    <w:p>
      <w:pPr>
        <w:pStyle w:val="3"/>
        <w:spacing w:before="120" w:after="120" w:line="360" w:lineRule="auto"/>
        <w:rPr>
          <w:sz w:val="28"/>
          <w:szCs w:val="21"/>
        </w:rPr>
      </w:pPr>
      <w:bookmarkStart w:id="20" w:name="_Toc17851"/>
      <w:r>
        <w:rPr>
          <w:rFonts w:hint="eastAsia"/>
          <w:sz w:val="28"/>
          <w:szCs w:val="21"/>
        </w:rPr>
        <w:t>（二）现场施工环境安全评估</w:t>
      </w:r>
      <w:bookmarkEnd w:id="20"/>
    </w:p>
    <w:p>
      <w:pPr>
        <w:pStyle w:val="25"/>
        <w:spacing w:line="360" w:lineRule="auto"/>
        <w:ind w:firstLine="560"/>
        <w:rPr>
          <w:rFonts w:ascii="宋体" w:hAnsi="宋体" w:eastAsia="宋体"/>
          <w:sz w:val="28"/>
          <w:szCs w:val="28"/>
        </w:rPr>
      </w:pPr>
      <w:r>
        <w:rPr>
          <w:rFonts w:hint="eastAsia" w:ascii="宋体" w:hAnsi="宋体" w:eastAsia="宋体"/>
          <w:sz w:val="28"/>
          <w:szCs w:val="28"/>
        </w:rPr>
        <w:t>本次评估邀请了建筑施工领域的技术专家对昌平区七辛北街道路工程施工现场进行实地安全评估，重点查看了现场防护、施工管理等方面可能存在的安全问题。因现场工程未与北京建工、电力等单位完全交接，本次评估仅对现状施工阶段，此阶段暂不涉及危大工程。</w:t>
      </w:r>
    </w:p>
    <w:p>
      <w:pPr>
        <w:pStyle w:val="25"/>
        <w:spacing w:line="360" w:lineRule="auto"/>
        <w:ind w:firstLine="560"/>
        <w:rPr>
          <w:rFonts w:ascii="宋体" w:hAnsi="宋体" w:eastAsia="宋体"/>
          <w:b/>
          <w:bCs/>
          <w:sz w:val="28"/>
          <w:szCs w:val="28"/>
        </w:rPr>
      </w:pPr>
      <w:r>
        <w:rPr>
          <w:rFonts w:hint="eastAsia" w:ascii="宋体" w:hAnsi="宋体" w:eastAsia="宋体"/>
          <w:b/>
          <w:bCs/>
          <w:sz w:val="28"/>
          <w:szCs w:val="28"/>
        </w:rPr>
        <w:t>1、基坑</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现场问题1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rPr>
          <w:rFonts w:ascii="宋体" w:hAnsi="宋体" w:eastAsia="宋体"/>
          <w:sz w:val="28"/>
          <w:szCs w:val="28"/>
        </w:rPr>
      </w:pPr>
      <w:r>
        <w:rPr>
          <w:rFonts w:hint="eastAsia" w:ascii="宋体" w:hAnsi="宋体" w:eastAsia="宋体"/>
          <w:sz w:val="28"/>
          <w:szCs w:val="28"/>
        </w:rPr>
        <w:t>基坑临边防护高度不足</w:t>
      </w:r>
      <w:r>
        <w:rPr>
          <w:rFonts w:ascii="Times New Roman" w:hAnsi="Times New Roman" w:eastAsia="宋体" w:cs="Times New Roman"/>
          <w:sz w:val="28"/>
          <w:szCs w:val="28"/>
        </w:rPr>
        <w:t>1.2m</w:t>
      </w:r>
      <w:r>
        <w:rPr>
          <w:rFonts w:hint="eastAsia" w:ascii="宋体" w:hAnsi="宋体" w:eastAsia="宋体"/>
          <w:sz w:val="28"/>
          <w:szCs w:val="28"/>
        </w:rPr>
        <w:t>；缺少中间一道横杆。</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rPr>
          <w:rFonts w:ascii="宋体" w:hAnsi="宋体" w:eastAsia="宋体"/>
          <w:sz w:val="28"/>
          <w:szCs w:val="28"/>
        </w:rPr>
      </w:pPr>
      <w:r>
        <w:rPr>
          <w:rFonts w:hint="eastAsia" w:ascii="宋体" w:hAnsi="宋体" w:eastAsia="宋体"/>
          <w:sz w:val="28"/>
          <w:szCs w:val="28"/>
        </w:rPr>
        <w:t>基坑开挖高层度达到2m及以上时，防护栏杆应为两道横杆，上杆距地面高度应为1.2m，下杆应在上杆和挡脚板中间设置。防护栏杆立杆间距不应大于2m,内侧满挂密目安全网，下设不小于180mm 高挡脚板。防护栏杆的水平杆、立杆需刷间距为400mm 红白相间的警示油漆。</w:t>
      </w:r>
    </w:p>
    <w:p>
      <w:pPr>
        <w:pStyle w:val="25"/>
        <w:spacing w:line="360" w:lineRule="auto"/>
        <w:ind w:firstLine="0" w:firstLineChars="0"/>
        <w:jc w:val="center"/>
        <w:rPr>
          <w:rFonts w:ascii="宋体" w:hAnsi="宋体" w:eastAsia="宋体"/>
          <w:sz w:val="28"/>
          <w:szCs w:val="28"/>
        </w:rPr>
      </w:pPr>
      <w:r>
        <w:rPr>
          <w:rFonts w:hint="eastAsia" w:ascii="Times New Roman" w:hAnsi="Times New Roman" w:eastAsia="宋体" w:cs="宋体"/>
          <w:color w:val="000000"/>
          <w:sz w:val="24"/>
          <w:szCs w:val="21"/>
        </w:rPr>
        <w:drawing>
          <wp:inline distT="0" distB="0" distL="114300" distR="114300">
            <wp:extent cx="3597275" cy="2698750"/>
            <wp:effectExtent l="0" t="0" r="3175" b="6350"/>
            <wp:docPr id="1" name="图片 1" descr="1fdaaafe5b04ab139529e02d835e7d1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fdaaafe5b04ab139529e02d835e7d13_"/>
                    <pic:cNvPicPr>
                      <a:picLocks noChangeAspect="1"/>
                    </pic:cNvPicPr>
                  </pic:nvPicPr>
                  <pic:blipFill>
                    <a:blip r:embed="rId9"/>
                    <a:stretch>
                      <a:fillRect/>
                    </a:stretch>
                  </pic:blipFill>
                  <pic:spPr>
                    <a:xfrm>
                      <a:off x="0" y="0"/>
                      <a:ext cx="3597275" cy="2698750"/>
                    </a:xfrm>
                    <a:prstGeom prst="rect">
                      <a:avLst/>
                    </a:prstGeom>
                  </pic:spPr>
                </pic:pic>
              </a:graphicData>
            </a:graphic>
          </wp:inline>
        </w:drawing>
      </w:r>
    </w:p>
    <w:p>
      <w:pPr>
        <w:pStyle w:val="25"/>
        <w:spacing w:line="360" w:lineRule="auto"/>
        <w:ind w:firstLine="0" w:firstLineChars="0"/>
        <w:jc w:val="center"/>
        <w:outlineLvl w:val="1"/>
        <w:rPr>
          <w:rFonts w:ascii="宋体" w:hAnsi="宋体" w:eastAsia="宋体"/>
          <w:bCs/>
          <w:sz w:val="24"/>
          <w:szCs w:val="24"/>
        </w:rPr>
      </w:pPr>
      <w:bookmarkStart w:id="21" w:name="_Toc17488"/>
      <w:bookmarkStart w:id="22" w:name="_Toc14680"/>
      <w:bookmarkStart w:id="23" w:name="_Toc9327"/>
      <w:bookmarkStart w:id="24" w:name="_Toc30263"/>
      <w:r>
        <w:rPr>
          <w:rFonts w:hint="eastAsia" w:ascii="宋体" w:hAnsi="宋体" w:eastAsia="宋体"/>
          <w:bCs/>
          <w:sz w:val="24"/>
          <w:szCs w:val="24"/>
        </w:rPr>
        <w:t xml:space="preserve">图2 </w:t>
      </w:r>
      <w:bookmarkEnd w:id="21"/>
      <w:bookmarkEnd w:id="22"/>
      <w:r>
        <w:rPr>
          <w:rFonts w:hint="eastAsia" w:ascii="宋体" w:hAnsi="宋体" w:eastAsia="宋体"/>
          <w:bCs/>
          <w:sz w:val="24"/>
          <w:szCs w:val="24"/>
        </w:rPr>
        <w:t>基坑临边防护不足</w:t>
      </w:r>
      <w:bookmarkEnd w:id="23"/>
      <w:bookmarkEnd w:id="24"/>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现场问题2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numPr>
          <w:ilvl w:val="0"/>
          <w:numId w:val="3"/>
        </w:numPr>
        <w:spacing w:line="360" w:lineRule="auto"/>
        <w:ind w:firstLine="560"/>
        <w:rPr>
          <w:rFonts w:ascii="宋体" w:hAnsi="宋体" w:eastAsia="宋体"/>
          <w:sz w:val="28"/>
          <w:szCs w:val="28"/>
        </w:rPr>
      </w:pPr>
      <w:r>
        <w:rPr>
          <w:rFonts w:hint="eastAsia" w:ascii="宋体" w:hAnsi="宋体" w:eastAsia="宋体"/>
          <w:sz w:val="28"/>
          <w:szCs w:val="28"/>
        </w:rPr>
        <w:t>局部基坑放坡坡度不满足专项施工方案要求；</w:t>
      </w:r>
    </w:p>
    <w:p>
      <w:pPr>
        <w:pStyle w:val="25"/>
        <w:numPr>
          <w:ilvl w:val="0"/>
          <w:numId w:val="3"/>
        </w:numPr>
        <w:spacing w:line="360" w:lineRule="auto"/>
        <w:ind w:firstLine="560"/>
        <w:rPr>
          <w:rFonts w:ascii="宋体" w:hAnsi="宋体" w:eastAsia="宋体"/>
          <w:sz w:val="28"/>
          <w:szCs w:val="28"/>
        </w:rPr>
      </w:pPr>
      <w:r>
        <w:rPr>
          <w:rFonts w:hint="eastAsia" w:ascii="宋体" w:hAnsi="宋体" w:eastAsia="宋体"/>
          <w:sz w:val="28"/>
          <w:szCs w:val="28"/>
        </w:rPr>
        <w:t>边坡由于雨水冲刷有滑坡风险。</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rPr>
          <w:rFonts w:ascii="宋体" w:hAnsi="宋体" w:eastAsia="宋体"/>
          <w:sz w:val="28"/>
          <w:szCs w:val="28"/>
        </w:rPr>
      </w:pPr>
      <w:r>
        <w:rPr>
          <w:rFonts w:hint="eastAsia" w:ascii="宋体" w:hAnsi="宋体" w:eastAsia="宋体"/>
          <w:sz w:val="28"/>
          <w:szCs w:val="28"/>
        </w:rPr>
        <w:t>按照专项施工方案尽快修整。</w:t>
      </w:r>
    </w:p>
    <w:p>
      <w:pPr>
        <w:pStyle w:val="25"/>
        <w:spacing w:line="360" w:lineRule="auto"/>
        <w:ind w:firstLine="0" w:firstLineChars="0"/>
        <w:jc w:val="center"/>
        <w:rPr>
          <w:rFonts w:ascii="宋体" w:hAnsi="宋体" w:eastAsia="宋体"/>
          <w:sz w:val="28"/>
          <w:szCs w:val="28"/>
        </w:rPr>
      </w:pPr>
      <w:r>
        <w:rPr>
          <w:rFonts w:hint="eastAsia" w:ascii="Times New Roman" w:hAnsi="Times New Roman" w:eastAsia="宋体" w:cs="宋体"/>
          <w:color w:val="000000"/>
          <w:sz w:val="24"/>
          <w:szCs w:val="21"/>
        </w:rPr>
        <w:drawing>
          <wp:inline distT="0" distB="0" distL="114300" distR="114300">
            <wp:extent cx="3597275" cy="2698750"/>
            <wp:effectExtent l="0" t="0" r="3175" b="6350"/>
            <wp:docPr id="11" name="图片 11" descr="1fdaaafe5b04ab139529e02d835e7d1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fdaaafe5b04ab139529e02d835e7d13_"/>
                    <pic:cNvPicPr>
                      <a:picLocks noChangeAspect="1"/>
                    </pic:cNvPicPr>
                  </pic:nvPicPr>
                  <pic:blipFill>
                    <a:blip r:embed="rId9"/>
                    <a:stretch>
                      <a:fillRect/>
                    </a:stretch>
                  </pic:blipFill>
                  <pic:spPr>
                    <a:xfrm>
                      <a:off x="0" y="0"/>
                      <a:ext cx="3597275" cy="2698750"/>
                    </a:xfrm>
                    <a:prstGeom prst="rect">
                      <a:avLst/>
                    </a:prstGeom>
                  </pic:spPr>
                </pic:pic>
              </a:graphicData>
            </a:graphic>
          </wp:inline>
        </w:drawing>
      </w:r>
    </w:p>
    <w:p>
      <w:pPr>
        <w:pStyle w:val="25"/>
        <w:spacing w:line="360" w:lineRule="auto"/>
        <w:ind w:firstLine="0" w:firstLineChars="0"/>
        <w:jc w:val="center"/>
        <w:outlineLvl w:val="1"/>
        <w:rPr>
          <w:rFonts w:ascii="宋体" w:hAnsi="宋体" w:eastAsia="宋体"/>
          <w:bCs/>
          <w:sz w:val="24"/>
          <w:szCs w:val="24"/>
        </w:rPr>
      </w:pPr>
      <w:bookmarkStart w:id="25" w:name="_Toc6098"/>
      <w:bookmarkStart w:id="26" w:name="_Toc9512"/>
      <w:r>
        <w:rPr>
          <w:rFonts w:hint="eastAsia" w:ascii="宋体" w:hAnsi="宋体" w:eastAsia="宋体"/>
          <w:bCs/>
          <w:sz w:val="24"/>
          <w:szCs w:val="24"/>
        </w:rPr>
        <w:t>图3 基坑边坡</w:t>
      </w:r>
      <w:bookmarkEnd w:id="25"/>
      <w:bookmarkEnd w:id="26"/>
    </w:p>
    <w:p>
      <w:pPr>
        <w:pStyle w:val="25"/>
        <w:numPr>
          <w:ilvl w:val="0"/>
          <w:numId w:val="4"/>
        </w:numPr>
        <w:spacing w:line="360" w:lineRule="auto"/>
        <w:ind w:firstLine="560"/>
        <w:rPr>
          <w:rFonts w:ascii="宋体" w:hAnsi="宋体" w:eastAsia="宋体"/>
          <w:b/>
          <w:bCs/>
          <w:sz w:val="28"/>
          <w:szCs w:val="28"/>
        </w:rPr>
      </w:pPr>
      <w:r>
        <w:rPr>
          <w:rFonts w:hint="eastAsia" w:ascii="宋体" w:hAnsi="宋体" w:eastAsia="宋体"/>
          <w:b/>
          <w:bCs/>
          <w:sz w:val="28"/>
          <w:szCs w:val="28"/>
        </w:rPr>
        <w:t>施工现场</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现场问题3</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jc w:val="left"/>
        <w:rPr>
          <w:rFonts w:ascii="宋体" w:hAnsi="宋体" w:eastAsia="宋体"/>
          <w:sz w:val="28"/>
          <w:szCs w:val="28"/>
        </w:rPr>
      </w:pPr>
      <w:r>
        <w:rPr>
          <w:rFonts w:hint="eastAsia" w:ascii="宋体" w:hAnsi="宋体" w:eastAsia="宋体"/>
          <w:sz w:val="28"/>
          <w:szCs w:val="28"/>
          <w:lang w:eastAsia="zh-CN"/>
        </w:rPr>
        <w:t>评估组</w:t>
      </w:r>
      <w:r>
        <w:rPr>
          <w:rFonts w:hint="eastAsia" w:ascii="宋体" w:hAnsi="宋体" w:eastAsia="宋体"/>
          <w:sz w:val="28"/>
          <w:szCs w:val="28"/>
        </w:rPr>
        <w:t>在施工现场未发现有消防器材。</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建议措施3</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jc w:val="left"/>
        <w:rPr>
          <w:rFonts w:ascii="宋体" w:hAnsi="宋体" w:eastAsia="宋体"/>
          <w:sz w:val="28"/>
          <w:szCs w:val="28"/>
        </w:rPr>
      </w:pPr>
      <w:r>
        <w:rPr>
          <w:rFonts w:hint="eastAsia" w:ascii="宋体" w:hAnsi="宋体" w:eastAsia="宋体"/>
          <w:sz w:val="28"/>
          <w:szCs w:val="28"/>
        </w:rPr>
        <w:t>虽然现状施工阶段暂未有临时用房和设施、也未设置临时用电，但还需要按照标准建立消防安全管理制度、制定消防措施、布置灭火器材等。</w:t>
      </w:r>
    </w:p>
    <w:p>
      <w:pPr>
        <w:pStyle w:val="25"/>
        <w:spacing w:line="360" w:lineRule="auto"/>
        <w:ind w:firstLine="360"/>
        <w:jc w:val="center"/>
        <w:rPr>
          <w:rFonts w:ascii="宋体" w:hAnsi="宋体" w:eastAsia="宋体" w:cs="宋体"/>
          <w:kern w:val="0"/>
          <w:sz w:val="18"/>
          <w:szCs w:val="18"/>
        </w:rPr>
      </w:pPr>
      <w:r>
        <w:rPr>
          <w:rFonts w:ascii="宋体" w:hAnsi="宋体" w:eastAsia="宋体" w:cs="宋体"/>
          <w:kern w:val="0"/>
          <w:sz w:val="18"/>
          <w:szCs w:val="18"/>
        </w:rPr>
        <w:drawing>
          <wp:inline distT="0" distB="0" distL="114300" distR="114300">
            <wp:extent cx="2905125" cy="3874135"/>
            <wp:effectExtent l="0" t="0" r="9525" b="12065"/>
            <wp:docPr id="17" name="图片 17" descr="c50b464afa6f61520167c49dfca6a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50b464afa6f61520167c49dfca6a1b"/>
                    <pic:cNvPicPr>
                      <a:picLocks noChangeAspect="1"/>
                    </pic:cNvPicPr>
                  </pic:nvPicPr>
                  <pic:blipFill>
                    <a:blip r:embed="rId10"/>
                    <a:stretch>
                      <a:fillRect/>
                    </a:stretch>
                  </pic:blipFill>
                  <pic:spPr>
                    <a:xfrm>
                      <a:off x="0" y="0"/>
                      <a:ext cx="2905125" cy="3874135"/>
                    </a:xfrm>
                    <a:prstGeom prst="rect">
                      <a:avLst/>
                    </a:prstGeom>
                  </pic:spPr>
                </pic:pic>
              </a:graphicData>
            </a:graphic>
          </wp:inline>
        </w:drawing>
      </w:r>
    </w:p>
    <w:p>
      <w:pPr>
        <w:pStyle w:val="25"/>
        <w:spacing w:line="360" w:lineRule="auto"/>
        <w:ind w:firstLine="0" w:firstLineChars="0"/>
        <w:jc w:val="center"/>
        <w:outlineLvl w:val="1"/>
        <w:rPr>
          <w:rFonts w:ascii="宋体" w:hAnsi="宋体" w:eastAsia="宋体"/>
          <w:bCs/>
          <w:sz w:val="24"/>
          <w:szCs w:val="24"/>
        </w:rPr>
      </w:pPr>
      <w:bookmarkStart w:id="27" w:name="_Toc24590"/>
      <w:bookmarkStart w:id="28" w:name="_Toc17016"/>
      <w:bookmarkStart w:id="29" w:name="_Toc17749"/>
      <w:bookmarkStart w:id="30" w:name="_Toc21583"/>
      <w:r>
        <w:rPr>
          <w:rFonts w:hint="eastAsia" w:ascii="宋体" w:hAnsi="宋体" w:eastAsia="宋体"/>
          <w:bCs/>
          <w:sz w:val="24"/>
          <w:szCs w:val="24"/>
        </w:rPr>
        <w:t xml:space="preserve">图4 </w:t>
      </w:r>
      <w:bookmarkEnd w:id="27"/>
      <w:bookmarkEnd w:id="28"/>
      <w:bookmarkEnd w:id="29"/>
      <w:bookmarkEnd w:id="30"/>
      <w:r>
        <w:rPr>
          <w:rFonts w:hint="eastAsia" w:ascii="宋体" w:hAnsi="宋体" w:eastAsia="宋体"/>
          <w:bCs/>
          <w:sz w:val="24"/>
          <w:szCs w:val="24"/>
        </w:rPr>
        <w:t>施工现场</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现场问题4</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numPr>
          <w:ilvl w:val="0"/>
          <w:numId w:val="5"/>
        </w:numPr>
        <w:spacing w:line="360" w:lineRule="auto"/>
        <w:ind w:firstLine="560"/>
        <w:rPr>
          <w:rFonts w:ascii="宋体" w:hAnsi="宋体" w:eastAsia="宋体"/>
          <w:sz w:val="28"/>
          <w:szCs w:val="28"/>
        </w:rPr>
      </w:pPr>
      <w:r>
        <w:rPr>
          <w:rFonts w:hint="eastAsia" w:ascii="宋体" w:hAnsi="宋体" w:eastAsia="宋体"/>
          <w:sz w:val="28"/>
          <w:szCs w:val="28"/>
        </w:rPr>
        <w:t>施工现场部分电缆沿地面敷设无防护措施；</w:t>
      </w:r>
    </w:p>
    <w:p>
      <w:pPr>
        <w:pStyle w:val="25"/>
        <w:numPr>
          <w:ilvl w:val="0"/>
          <w:numId w:val="5"/>
        </w:numPr>
        <w:spacing w:line="360" w:lineRule="auto"/>
        <w:ind w:firstLine="560"/>
        <w:rPr>
          <w:rFonts w:ascii="宋体" w:hAnsi="宋体" w:eastAsia="宋体"/>
          <w:sz w:val="28"/>
          <w:szCs w:val="28"/>
        </w:rPr>
      </w:pPr>
      <w:r>
        <w:rPr>
          <w:rFonts w:hint="eastAsia" w:ascii="宋体" w:hAnsi="宋体" w:eastAsia="宋体"/>
          <w:sz w:val="28"/>
          <w:szCs w:val="28"/>
        </w:rPr>
        <w:t>部分电缆直接悬挂在钢管上无绝缘措施；</w:t>
      </w:r>
    </w:p>
    <w:p>
      <w:pPr>
        <w:pStyle w:val="25"/>
        <w:numPr>
          <w:ilvl w:val="0"/>
          <w:numId w:val="5"/>
        </w:numPr>
        <w:spacing w:line="360" w:lineRule="auto"/>
        <w:ind w:firstLine="560"/>
        <w:rPr>
          <w:rFonts w:ascii="宋体" w:hAnsi="宋体" w:eastAsia="宋体"/>
          <w:sz w:val="28"/>
          <w:szCs w:val="28"/>
        </w:rPr>
      </w:pPr>
      <w:r>
        <w:rPr>
          <w:rFonts w:hint="eastAsia" w:ascii="宋体" w:hAnsi="宋体" w:eastAsia="宋体"/>
          <w:sz w:val="28"/>
          <w:szCs w:val="28"/>
        </w:rPr>
        <w:t>局部电缆有破损。</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建议措施4</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spacing w:line="360" w:lineRule="auto"/>
        <w:ind w:firstLine="560"/>
        <w:rPr>
          <w:rFonts w:ascii="宋体" w:hAnsi="宋体" w:eastAsia="宋体"/>
          <w:sz w:val="28"/>
          <w:szCs w:val="28"/>
        </w:rPr>
      </w:pPr>
      <w:r>
        <w:rPr>
          <w:rFonts w:hint="eastAsia" w:ascii="宋体" w:hAnsi="宋体" w:eastAsia="宋体"/>
          <w:sz w:val="28"/>
          <w:szCs w:val="28"/>
        </w:rPr>
        <w:t>现阶段虽然无临时用电，但在敷设电缆过程中，也需严格遵守《施工现场临时用电》安全技术规范。若电缆无用，应及时清除。</w:t>
      </w:r>
    </w:p>
    <w:p>
      <w:pPr>
        <w:pStyle w:val="25"/>
        <w:spacing w:line="360" w:lineRule="auto"/>
        <w:ind w:firstLine="0" w:firstLineChars="0"/>
        <w:jc w:val="center"/>
        <w:rPr>
          <w:rFonts w:ascii="宋体" w:hAnsi="宋体" w:eastAsia="宋体"/>
          <w:sz w:val="28"/>
          <w:szCs w:val="28"/>
        </w:rPr>
      </w:pPr>
      <w:bookmarkStart w:id="31" w:name="_Toc3080"/>
      <w:r>
        <w:rPr>
          <w:rFonts w:hint="eastAsia" w:ascii="Times New Roman" w:hAnsi="Times New Roman" w:eastAsia="宋体" w:cs="宋体"/>
          <w:color w:val="000000"/>
          <w:sz w:val="24"/>
          <w:szCs w:val="21"/>
        </w:rPr>
        <w:drawing>
          <wp:inline distT="0" distB="0" distL="114300" distR="114300">
            <wp:extent cx="4300855" cy="3227070"/>
            <wp:effectExtent l="0" t="0" r="4445" b="11430"/>
            <wp:docPr id="12" name="图片 12" descr="13c197a49888c78ccaa8a7df1da4779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3c197a49888c78ccaa8a7df1da4779d_"/>
                    <pic:cNvPicPr>
                      <a:picLocks noChangeAspect="1"/>
                    </pic:cNvPicPr>
                  </pic:nvPicPr>
                  <pic:blipFill>
                    <a:blip r:embed="rId11"/>
                    <a:stretch>
                      <a:fillRect/>
                    </a:stretch>
                  </pic:blipFill>
                  <pic:spPr>
                    <a:xfrm>
                      <a:off x="0" y="0"/>
                      <a:ext cx="4300855" cy="3227070"/>
                    </a:xfrm>
                    <a:prstGeom prst="rect">
                      <a:avLst/>
                    </a:prstGeom>
                  </pic:spPr>
                </pic:pic>
              </a:graphicData>
            </a:graphic>
          </wp:inline>
        </w:drawing>
      </w:r>
    </w:p>
    <w:p>
      <w:pPr>
        <w:pStyle w:val="25"/>
        <w:spacing w:line="360" w:lineRule="auto"/>
        <w:ind w:firstLine="0" w:firstLineChars="0"/>
        <w:jc w:val="center"/>
        <w:outlineLvl w:val="1"/>
        <w:rPr>
          <w:rFonts w:ascii="宋体" w:hAnsi="宋体" w:eastAsia="宋体"/>
          <w:bCs/>
          <w:sz w:val="24"/>
          <w:szCs w:val="24"/>
        </w:rPr>
      </w:pPr>
      <w:bookmarkStart w:id="32" w:name="_Toc9812"/>
      <w:bookmarkStart w:id="33" w:name="_Toc7524"/>
      <w:bookmarkStart w:id="34" w:name="_Toc21314"/>
      <w:bookmarkStart w:id="35" w:name="_Toc13642"/>
      <w:r>
        <w:rPr>
          <w:rFonts w:hint="eastAsia" w:ascii="宋体" w:hAnsi="宋体" w:eastAsia="宋体"/>
          <w:bCs/>
          <w:sz w:val="24"/>
          <w:szCs w:val="24"/>
        </w:rPr>
        <w:t xml:space="preserve">图5 </w:t>
      </w:r>
      <w:bookmarkEnd w:id="32"/>
      <w:bookmarkEnd w:id="33"/>
      <w:r>
        <w:rPr>
          <w:rFonts w:hint="eastAsia" w:ascii="宋体" w:hAnsi="宋体" w:eastAsia="宋体"/>
          <w:bCs/>
          <w:sz w:val="24"/>
          <w:szCs w:val="24"/>
        </w:rPr>
        <w:t>地面裸露电缆</w:t>
      </w:r>
      <w:bookmarkEnd w:id="34"/>
      <w:bookmarkEnd w:id="35"/>
    </w:p>
    <w:p>
      <w:pPr>
        <w:pStyle w:val="25"/>
        <w:numPr>
          <w:ilvl w:val="0"/>
          <w:numId w:val="4"/>
        </w:numPr>
        <w:spacing w:line="360" w:lineRule="auto"/>
        <w:ind w:firstLine="560"/>
        <w:rPr>
          <w:rFonts w:ascii="宋体" w:hAnsi="宋体" w:eastAsia="宋体"/>
          <w:b/>
          <w:bCs/>
          <w:sz w:val="28"/>
          <w:szCs w:val="28"/>
        </w:rPr>
      </w:pPr>
      <w:r>
        <w:rPr>
          <w:rFonts w:hint="eastAsia" w:ascii="宋体" w:hAnsi="宋体" w:eastAsia="宋体"/>
          <w:b/>
          <w:bCs/>
          <w:sz w:val="28"/>
          <w:szCs w:val="28"/>
        </w:rPr>
        <w:t>施工管理</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现场问题</w:t>
      </w:r>
      <w:r>
        <w:rPr>
          <w:rFonts w:hint="eastAsia" w:ascii="仿宋_GB2312" w:hAnsi="宋体" w:eastAsia="仿宋_GB2312" w:cs="仿宋_GB2312"/>
          <w:b/>
          <w:bCs/>
          <w:color w:val="000000"/>
          <w:kern w:val="0"/>
          <w:sz w:val="28"/>
          <w:szCs w:val="28"/>
          <w:lang w:val="en-US" w:eastAsia="zh-CN" w:bidi="ar"/>
        </w:rPr>
        <w:t>5</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numPr>
          <w:ilvl w:val="0"/>
          <w:numId w:val="6"/>
        </w:numPr>
        <w:spacing w:line="360" w:lineRule="auto"/>
        <w:ind w:firstLine="560"/>
        <w:rPr>
          <w:rFonts w:ascii="宋体" w:hAnsi="宋体" w:eastAsia="宋体"/>
          <w:sz w:val="28"/>
          <w:szCs w:val="28"/>
        </w:rPr>
      </w:pPr>
      <w:r>
        <w:rPr>
          <w:rFonts w:hint="eastAsia" w:ascii="宋体" w:hAnsi="宋体" w:eastAsia="宋体"/>
          <w:sz w:val="28"/>
          <w:szCs w:val="28"/>
        </w:rPr>
        <w:t>部分三级安全教育记录日期填写有误；</w:t>
      </w:r>
    </w:p>
    <w:p>
      <w:pPr>
        <w:pStyle w:val="25"/>
        <w:numPr>
          <w:ilvl w:val="0"/>
          <w:numId w:val="6"/>
        </w:numPr>
        <w:spacing w:line="360" w:lineRule="auto"/>
        <w:ind w:firstLine="560"/>
        <w:rPr>
          <w:rFonts w:ascii="宋体" w:hAnsi="宋体" w:eastAsia="宋体"/>
          <w:sz w:val="28"/>
          <w:szCs w:val="28"/>
        </w:rPr>
      </w:pPr>
      <w:r>
        <w:rPr>
          <w:rFonts w:hint="eastAsia" w:ascii="宋体" w:hAnsi="宋体" w:eastAsia="宋体"/>
          <w:sz w:val="28"/>
          <w:szCs w:val="28"/>
        </w:rPr>
        <w:t>缺少密目网生产厂家资质，合格证，检测报告等质量证明文件；</w:t>
      </w:r>
    </w:p>
    <w:p>
      <w:pPr>
        <w:pStyle w:val="25"/>
        <w:numPr>
          <w:ilvl w:val="0"/>
          <w:numId w:val="6"/>
        </w:numPr>
        <w:spacing w:line="360" w:lineRule="auto"/>
        <w:ind w:firstLine="560"/>
        <w:rPr>
          <w:rFonts w:ascii="宋体" w:hAnsi="宋体" w:eastAsia="宋体"/>
          <w:sz w:val="28"/>
          <w:szCs w:val="28"/>
        </w:rPr>
      </w:pPr>
      <w:r>
        <w:rPr>
          <w:rFonts w:hint="eastAsia" w:ascii="宋体" w:hAnsi="宋体" w:eastAsia="宋体"/>
          <w:sz w:val="28"/>
          <w:szCs w:val="28"/>
        </w:rPr>
        <w:t>安全生产责任制缺少7月份考核；考核表扣分项缺少扣分原因说明。</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5</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5"/>
        <w:numPr>
          <w:ilvl w:val="0"/>
          <w:numId w:val="7"/>
        </w:numPr>
        <w:spacing w:line="360" w:lineRule="auto"/>
        <w:ind w:firstLine="560"/>
        <w:rPr>
          <w:rFonts w:ascii="宋体" w:hAnsi="宋体" w:eastAsia="宋体"/>
          <w:sz w:val="28"/>
          <w:szCs w:val="28"/>
        </w:rPr>
      </w:pPr>
      <w:r>
        <w:rPr>
          <w:rFonts w:hint="eastAsia" w:ascii="宋体" w:hAnsi="宋体" w:eastAsia="宋体"/>
          <w:sz w:val="28"/>
          <w:szCs w:val="28"/>
        </w:rPr>
        <w:t>严格按照安全教育、考核等相关制度，落实工作记录；</w:t>
      </w:r>
    </w:p>
    <w:p>
      <w:pPr>
        <w:pStyle w:val="25"/>
        <w:numPr>
          <w:ilvl w:val="0"/>
          <w:numId w:val="7"/>
        </w:numPr>
        <w:spacing w:line="360" w:lineRule="auto"/>
        <w:ind w:firstLine="560"/>
        <w:rPr>
          <w:rFonts w:ascii="宋体" w:hAnsi="宋体" w:eastAsia="宋体"/>
          <w:sz w:val="28"/>
          <w:szCs w:val="28"/>
        </w:rPr>
      </w:pPr>
      <w:r>
        <w:rPr>
          <w:rFonts w:hint="eastAsia" w:ascii="宋体" w:hAnsi="宋体" w:eastAsia="宋体"/>
          <w:sz w:val="28"/>
          <w:szCs w:val="28"/>
        </w:rPr>
        <w:t>安全防护用品须选取资质达标单位，妥善保存各类证明文件，存入施工安全档案；</w:t>
      </w:r>
    </w:p>
    <w:p>
      <w:pPr>
        <w:pStyle w:val="2"/>
        <w:spacing w:before="240" w:after="240" w:line="360" w:lineRule="auto"/>
        <w:rPr>
          <w:rFonts w:ascii="黑体" w:hAnsi="黑体" w:eastAsia="黑体" w:cs="黑体"/>
          <w:sz w:val="28"/>
          <w:szCs w:val="28"/>
        </w:rPr>
      </w:pPr>
      <w:bookmarkStart w:id="36" w:name="_Toc15821"/>
      <w:r>
        <w:rPr>
          <w:rFonts w:hint="eastAsia" w:ascii="黑体" w:hAnsi="黑体" w:eastAsia="黑体" w:cs="黑体"/>
          <w:sz w:val="28"/>
          <w:szCs w:val="28"/>
        </w:rPr>
        <w:t>四、企业改进工作情况</w:t>
      </w:r>
      <w:bookmarkEnd w:id="36"/>
    </w:p>
    <w:bookmarkEnd w:id="31"/>
    <w:p>
      <w:pPr>
        <w:pStyle w:val="25"/>
        <w:spacing w:line="360" w:lineRule="auto"/>
        <w:ind w:firstLine="560"/>
        <w:rPr>
          <w:rFonts w:hint="eastAsia" w:ascii="宋体" w:hAnsi="宋体" w:eastAsia="宋体"/>
          <w:sz w:val="28"/>
          <w:szCs w:val="28"/>
          <w:highlight w:val="none"/>
          <w:lang w:val="en-US" w:eastAsia="zh-CN"/>
        </w:rPr>
      </w:pPr>
      <w:r>
        <w:rPr>
          <w:rFonts w:hint="eastAsia" w:ascii="宋体" w:hAnsi="宋体" w:eastAsia="宋体"/>
          <w:sz w:val="28"/>
          <w:szCs w:val="28"/>
          <w:highlight w:val="none"/>
        </w:rPr>
        <w:t>目前</w:t>
      </w:r>
      <w:r>
        <w:rPr>
          <w:rFonts w:hint="eastAsia" w:ascii="宋体" w:hAnsi="宋体" w:eastAsia="宋体"/>
          <w:sz w:val="28"/>
          <w:szCs w:val="28"/>
          <w:highlight w:val="none"/>
          <w:lang w:eastAsia="zh-CN"/>
        </w:rPr>
        <w:t>，</w:t>
      </w:r>
      <w:r>
        <w:rPr>
          <w:rFonts w:hint="eastAsia" w:ascii="宋体" w:hAnsi="宋体" w:eastAsia="宋体"/>
          <w:sz w:val="28"/>
          <w:szCs w:val="28"/>
          <w:highlight w:val="none"/>
        </w:rPr>
        <w:t>城建远东建设公司已对昌平区七辛北街道路工程现场评估中发现的问题</w:t>
      </w:r>
      <w:r>
        <w:rPr>
          <w:rFonts w:hint="eastAsia" w:ascii="宋体" w:hAnsi="宋体" w:eastAsia="宋体"/>
          <w:sz w:val="28"/>
          <w:szCs w:val="28"/>
          <w:highlight w:val="none"/>
          <w:lang w:val="en-US" w:eastAsia="zh-CN"/>
        </w:rPr>
        <w:t>全部整改，包括完善相关方案、记录，联系采购厂家确认营业执照、资质、安全生产许可证和检验报告，以及不满足专项施工方案的边坡也立即组织人员进行了回填整改。</w:t>
      </w:r>
    </w:p>
    <w:p>
      <w:pPr>
        <w:pStyle w:val="25"/>
        <w:spacing w:line="360" w:lineRule="auto"/>
        <w:ind w:left="0" w:leftChars="0" w:firstLine="0" w:firstLineChars="0"/>
        <w:rPr>
          <w:rFonts w:hint="eastAsia" w:ascii="宋体" w:hAnsi="宋体" w:eastAsia="宋体"/>
          <w:sz w:val="28"/>
          <w:szCs w:val="28"/>
        </w:rPr>
      </w:pPr>
      <w:r>
        <w:rPr>
          <w:rFonts w:hint="eastAsia" w:ascii="宋体" w:hAnsi="宋体" w:eastAsia="宋体"/>
          <w:sz w:val="28"/>
          <w:szCs w:val="28"/>
        </w:rPr>
        <w:drawing>
          <wp:inline distT="0" distB="0" distL="114300" distR="114300">
            <wp:extent cx="2741930" cy="3674110"/>
            <wp:effectExtent l="0" t="0" r="1270" b="889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741930" cy="3674110"/>
                    </a:xfrm>
                    <a:prstGeom prst="rect">
                      <a:avLst/>
                    </a:prstGeom>
                  </pic:spPr>
                </pic:pic>
              </a:graphicData>
            </a:graphic>
          </wp:inline>
        </w:drawing>
      </w:r>
      <w:r>
        <w:rPr>
          <w:rFonts w:hint="eastAsia" w:ascii="宋体" w:hAnsi="宋体" w:eastAsia="宋体"/>
          <w:sz w:val="28"/>
          <w:szCs w:val="28"/>
        </w:rPr>
        <w:drawing>
          <wp:inline distT="0" distB="0" distL="114300" distR="114300">
            <wp:extent cx="2809875" cy="3616325"/>
            <wp:effectExtent l="0" t="0" r="9525" b="317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809875" cy="3616325"/>
                    </a:xfrm>
                    <a:prstGeom prst="rect">
                      <a:avLst/>
                    </a:prstGeom>
                  </pic:spPr>
                </pic:pic>
              </a:graphicData>
            </a:graphic>
          </wp:inline>
        </w:drawing>
      </w:r>
      <w:r>
        <w:rPr>
          <w:rFonts w:hint="eastAsia" w:ascii="宋体" w:hAnsi="宋体" w:eastAsia="宋体"/>
          <w:sz w:val="28"/>
          <w:szCs w:val="28"/>
        </w:rPr>
        <w:drawing>
          <wp:inline distT="0" distB="0" distL="114300" distR="114300">
            <wp:extent cx="2796540" cy="1978660"/>
            <wp:effectExtent l="0" t="0" r="10160" b="254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96540" cy="1978660"/>
                    </a:xfrm>
                    <a:prstGeom prst="rect">
                      <a:avLst/>
                    </a:prstGeom>
                  </pic:spPr>
                </pic:pic>
              </a:graphicData>
            </a:graphic>
          </wp:inline>
        </w:drawing>
      </w:r>
      <w:r>
        <w:rPr>
          <w:rFonts w:hint="eastAsia" w:ascii="宋体" w:hAnsi="宋体" w:eastAsia="宋体"/>
          <w:sz w:val="28"/>
          <w:szCs w:val="28"/>
        </w:rPr>
        <w:drawing>
          <wp:inline distT="0" distB="0" distL="114300" distR="114300">
            <wp:extent cx="2745740" cy="1975485"/>
            <wp:effectExtent l="0" t="0" r="10160" b="57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5740" cy="1975485"/>
                    </a:xfrm>
                    <a:prstGeom prst="rect">
                      <a:avLst/>
                    </a:prstGeom>
                  </pic:spPr>
                </pic:pic>
              </a:graphicData>
            </a:graphic>
          </wp:inline>
        </w:drawing>
      </w:r>
    </w:p>
    <w:p>
      <w:pPr>
        <w:pStyle w:val="25"/>
        <w:spacing w:line="360" w:lineRule="auto"/>
        <w:ind w:left="0" w:leftChars="0" w:firstLine="0" w:firstLineChars="0"/>
        <w:rPr>
          <w:rFonts w:hint="eastAsia" w:ascii="宋体" w:hAnsi="宋体" w:eastAsia="宋体"/>
          <w:sz w:val="28"/>
          <w:szCs w:val="28"/>
        </w:rPr>
      </w:pPr>
    </w:p>
    <w:p>
      <w:pPr>
        <w:pStyle w:val="25"/>
        <w:spacing w:line="360" w:lineRule="auto"/>
        <w:ind w:left="0" w:leftChars="0" w:firstLine="0" w:firstLineChars="0"/>
        <w:rPr>
          <w:rFonts w:hint="eastAsia" w:ascii="宋体" w:hAnsi="宋体" w:eastAsia="宋体"/>
          <w:sz w:val="28"/>
          <w:szCs w:val="28"/>
        </w:rPr>
      </w:pPr>
    </w:p>
    <w:p>
      <w:pPr>
        <w:pStyle w:val="25"/>
        <w:spacing w:line="360" w:lineRule="auto"/>
        <w:ind w:left="0" w:leftChars="0" w:firstLine="0" w:firstLineChars="0"/>
        <w:rPr>
          <w:rFonts w:hint="eastAsia" w:ascii="宋体" w:hAnsi="宋体" w:eastAsia="宋体"/>
          <w:sz w:val="28"/>
          <w:szCs w:val="28"/>
        </w:rPr>
      </w:pPr>
      <w:r>
        <w:rPr>
          <w:rFonts w:hint="eastAsia" w:ascii="宋体" w:hAnsi="宋体" w:eastAsia="宋体"/>
          <w:sz w:val="28"/>
          <w:szCs w:val="28"/>
        </w:rPr>
        <w:drawing>
          <wp:inline distT="0" distB="0" distL="114300" distR="114300">
            <wp:extent cx="2404745" cy="2205990"/>
            <wp:effectExtent l="0" t="0" r="8255" b="381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16">
                      <a:extLst>
                        <a:ext uri="{28A0092B-C50C-407E-A947-70E740481C1C}">
                          <a14:useLocalDpi xmlns:a14="http://schemas.microsoft.com/office/drawing/2010/main" val="0"/>
                        </a:ext>
                      </a:extLst>
                    </a:blip>
                    <a:srcRect l="3334" r="10920" b="42997"/>
                    <a:stretch>
                      <a:fillRect/>
                    </a:stretch>
                  </pic:blipFill>
                  <pic:spPr>
                    <a:xfrm>
                      <a:off x="0" y="0"/>
                      <a:ext cx="2404745" cy="2205990"/>
                    </a:xfrm>
                    <a:prstGeom prst="rect">
                      <a:avLst/>
                    </a:prstGeom>
                    <a:ln>
                      <a:noFill/>
                    </a:ln>
                  </pic:spPr>
                </pic:pic>
              </a:graphicData>
            </a:graphic>
          </wp:inline>
        </w:drawing>
      </w:r>
      <w:r>
        <w:rPr>
          <w:rFonts w:hint="eastAsia" w:ascii="宋体" w:hAnsi="宋体" w:eastAsia="宋体"/>
          <w:sz w:val="28"/>
          <w:szCs w:val="28"/>
        </w:rPr>
        <w:drawing>
          <wp:inline distT="0" distB="0" distL="114300" distR="114300">
            <wp:extent cx="2957830" cy="2129155"/>
            <wp:effectExtent l="0" t="0" r="1270" b="44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957830" cy="2129155"/>
                    </a:xfrm>
                    <a:prstGeom prst="rect">
                      <a:avLst/>
                    </a:prstGeom>
                  </pic:spPr>
                </pic:pic>
              </a:graphicData>
            </a:graphic>
          </wp:inline>
        </w:drawing>
      </w:r>
    </w:p>
    <w:p>
      <w:pPr>
        <w:pStyle w:val="25"/>
        <w:spacing w:line="360" w:lineRule="auto"/>
        <w:ind w:firstLine="0" w:firstLineChars="0"/>
        <w:jc w:val="center"/>
        <w:outlineLvl w:val="1"/>
        <w:rPr>
          <w:rFonts w:hint="default" w:ascii="宋体" w:hAnsi="宋体" w:eastAsia="宋体"/>
          <w:bCs/>
          <w:sz w:val="24"/>
          <w:szCs w:val="24"/>
          <w:lang w:val="en-US" w:eastAsia="zh-CN"/>
        </w:rPr>
      </w:pPr>
      <w:r>
        <w:rPr>
          <w:rFonts w:hint="eastAsia" w:ascii="宋体" w:hAnsi="宋体" w:eastAsia="宋体"/>
          <w:bCs/>
          <w:sz w:val="24"/>
          <w:szCs w:val="24"/>
        </w:rPr>
        <w:t>图</w:t>
      </w:r>
      <w:r>
        <w:rPr>
          <w:rFonts w:hint="eastAsia" w:ascii="宋体" w:hAnsi="宋体" w:eastAsia="宋体"/>
          <w:bCs/>
          <w:sz w:val="24"/>
          <w:szCs w:val="24"/>
          <w:lang w:val="en-US" w:eastAsia="zh-CN"/>
        </w:rPr>
        <w:t>6</w:t>
      </w:r>
      <w:r>
        <w:rPr>
          <w:rFonts w:hint="eastAsia" w:ascii="宋体" w:hAnsi="宋体" w:eastAsia="宋体"/>
          <w:bCs/>
          <w:sz w:val="24"/>
          <w:szCs w:val="24"/>
        </w:rPr>
        <w:t xml:space="preserve"> </w:t>
      </w:r>
      <w:r>
        <w:rPr>
          <w:rFonts w:hint="eastAsia" w:ascii="宋体" w:hAnsi="宋体" w:eastAsia="宋体"/>
          <w:bCs/>
          <w:sz w:val="24"/>
          <w:szCs w:val="24"/>
          <w:lang w:val="en-US" w:eastAsia="zh-CN"/>
        </w:rPr>
        <w:t>已完善相关记录</w:t>
      </w:r>
    </w:p>
    <w:p>
      <w:pPr>
        <w:pStyle w:val="25"/>
        <w:spacing w:line="360" w:lineRule="auto"/>
        <w:ind w:left="0" w:leftChars="0" w:firstLine="0" w:firstLineChars="0"/>
        <w:jc w:val="center"/>
        <w:rPr>
          <w:rFonts w:hint="eastAsia" w:ascii="宋体" w:hAnsi="宋体" w:eastAsia="宋体"/>
          <w:bCs/>
          <w:sz w:val="24"/>
          <w:szCs w:val="24"/>
        </w:rPr>
      </w:pPr>
      <w:r>
        <w:rPr>
          <w:rFonts w:hint="eastAsia" w:ascii="宋体" w:hAnsi="宋体" w:eastAsia="宋体"/>
          <w:bCs/>
          <w:sz w:val="24"/>
          <w:szCs w:val="24"/>
        </w:rPr>
        <w:drawing>
          <wp:inline distT="0" distB="0" distL="114300" distR="114300">
            <wp:extent cx="3899535" cy="2943225"/>
            <wp:effectExtent l="0" t="0" r="12065" b="3175"/>
            <wp:docPr id="3" name="图片 3" descr="882cc4a15383b16bc62a7e374608c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82cc4a15383b16bc62a7e374608cfd"/>
                    <pic:cNvPicPr>
                      <a:picLocks noChangeAspect="1"/>
                    </pic:cNvPicPr>
                  </pic:nvPicPr>
                  <pic:blipFill>
                    <a:blip r:embed="rId18"/>
                    <a:srcRect l="17147" t="4358" r="9217"/>
                    <a:stretch>
                      <a:fillRect/>
                    </a:stretch>
                  </pic:blipFill>
                  <pic:spPr>
                    <a:xfrm>
                      <a:off x="0" y="0"/>
                      <a:ext cx="3899757" cy="2943225"/>
                    </a:xfrm>
                    <a:prstGeom prst="rect">
                      <a:avLst/>
                    </a:prstGeom>
                  </pic:spPr>
                </pic:pic>
              </a:graphicData>
            </a:graphic>
          </wp:inline>
        </w:drawing>
      </w:r>
    </w:p>
    <w:p>
      <w:pPr>
        <w:pStyle w:val="25"/>
        <w:spacing w:line="360" w:lineRule="auto"/>
        <w:ind w:firstLine="0" w:firstLineChars="0"/>
        <w:jc w:val="center"/>
        <w:outlineLvl w:val="1"/>
        <w:rPr>
          <w:rFonts w:hint="default" w:ascii="宋体" w:hAnsi="宋体" w:eastAsia="宋体"/>
          <w:bCs/>
          <w:sz w:val="24"/>
          <w:szCs w:val="24"/>
          <w:lang w:val="en-US" w:eastAsia="zh-CN"/>
        </w:rPr>
      </w:pPr>
      <w:r>
        <w:rPr>
          <w:rFonts w:hint="eastAsia" w:ascii="宋体" w:hAnsi="宋体" w:eastAsia="宋体"/>
          <w:bCs/>
          <w:sz w:val="24"/>
          <w:szCs w:val="24"/>
        </w:rPr>
        <w:t>图</w:t>
      </w:r>
      <w:r>
        <w:rPr>
          <w:rFonts w:hint="eastAsia" w:ascii="宋体" w:hAnsi="宋体" w:eastAsia="宋体"/>
          <w:bCs/>
          <w:sz w:val="24"/>
          <w:szCs w:val="24"/>
          <w:lang w:val="en-US" w:eastAsia="zh-CN"/>
        </w:rPr>
        <w:t>7</w:t>
      </w:r>
      <w:r>
        <w:rPr>
          <w:rFonts w:hint="eastAsia" w:ascii="宋体" w:hAnsi="宋体" w:eastAsia="宋体"/>
          <w:bCs/>
          <w:sz w:val="24"/>
          <w:szCs w:val="24"/>
        </w:rPr>
        <w:t xml:space="preserve"> </w:t>
      </w:r>
      <w:r>
        <w:rPr>
          <w:rFonts w:hint="eastAsia" w:ascii="宋体" w:hAnsi="宋体" w:eastAsia="宋体"/>
          <w:bCs/>
          <w:sz w:val="24"/>
          <w:szCs w:val="24"/>
          <w:lang w:val="en-US" w:eastAsia="zh-CN"/>
        </w:rPr>
        <w:t>已回填完毕基坑</w:t>
      </w:r>
    </w:p>
    <w:p>
      <w:pPr>
        <w:pStyle w:val="2"/>
        <w:spacing w:before="240" w:after="240" w:line="360" w:lineRule="auto"/>
        <w:rPr>
          <w:rFonts w:ascii="黑体" w:hAnsi="黑体" w:eastAsia="黑体" w:cs="黑体"/>
          <w:sz w:val="28"/>
          <w:szCs w:val="28"/>
        </w:rPr>
      </w:pPr>
      <w:bookmarkStart w:id="37" w:name="_Toc25123"/>
      <w:bookmarkStart w:id="38" w:name="_Toc7490"/>
      <w:r>
        <w:rPr>
          <w:rFonts w:hint="eastAsia" w:ascii="黑体" w:hAnsi="黑体" w:eastAsia="黑体" w:cs="黑体"/>
          <w:sz w:val="28"/>
          <w:szCs w:val="28"/>
        </w:rPr>
        <w:t>五、</w:t>
      </w:r>
      <w:r>
        <w:rPr>
          <w:rFonts w:hint="eastAsia" w:ascii="黑体" w:hAnsi="黑体" w:eastAsia="黑体" w:cs="黑体"/>
          <w:sz w:val="28"/>
          <w:szCs w:val="28"/>
          <w:lang w:val="en-US" w:eastAsia="zh-CN"/>
        </w:rPr>
        <w:t>安全现状</w:t>
      </w:r>
      <w:r>
        <w:rPr>
          <w:rFonts w:hint="eastAsia" w:ascii="黑体" w:hAnsi="黑体" w:eastAsia="黑体" w:cs="黑体"/>
          <w:sz w:val="28"/>
          <w:szCs w:val="28"/>
        </w:rPr>
        <w:t>评估结论与建议</w:t>
      </w:r>
      <w:bookmarkEnd w:id="37"/>
      <w:bookmarkEnd w:id="38"/>
    </w:p>
    <w:p>
      <w:pPr>
        <w:pStyle w:val="3"/>
        <w:spacing w:before="120" w:after="120" w:line="360" w:lineRule="auto"/>
        <w:rPr>
          <w:sz w:val="28"/>
          <w:szCs w:val="21"/>
        </w:rPr>
      </w:pPr>
      <w:bookmarkStart w:id="39" w:name="_Toc4980"/>
      <w:bookmarkStart w:id="40" w:name="_Toc9840"/>
      <w:r>
        <w:rPr>
          <w:rFonts w:hint="eastAsia"/>
          <w:sz w:val="28"/>
          <w:szCs w:val="21"/>
        </w:rPr>
        <w:t>（一）评估结论</w:t>
      </w:r>
      <w:bookmarkEnd w:id="39"/>
      <w:bookmarkEnd w:id="40"/>
    </w:p>
    <w:p>
      <w:pPr>
        <w:pStyle w:val="25"/>
        <w:spacing w:line="360" w:lineRule="auto"/>
        <w:ind w:firstLine="560"/>
        <w:rPr>
          <w:rFonts w:ascii="宋体" w:hAnsi="宋体" w:eastAsia="宋体"/>
          <w:sz w:val="24"/>
          <w:szCs w:val="24"/>
        </w:rPr>
      </w:pPr>
      <w:r>
        <w:rPr>
          <w:rFonts w:hint="eastAsia" w:ascii="宋体" w:hAnsi="宋体" w:eastAsia="宋体"/>
          <w:sz w:val="28"/>
          <w:szCs w:val="28"/>
          <w:lang w:eastAsia="zh-CN"/>
        </w:rPr>
        <w:t>评估组</w:t>
      </w:r>
      <w:r>
        <w:rPr>
          <w:rFonts w:hint="eastAsia" w:ascii="宋体" w:hAnsi="宋体" w:eastAsia="宋体"/>
          <w:sz w:val="28"/>
          <w:szCs w:val="28"/>
        </w:rPr>
        <w:t>按照安全生产法律法规和《事故调查报告》中的事故间接原因、整改防范措施，对上述材料和现场环境进行评估，结合专家意见和企业整改工作情况，最终一致认为城建远东建设公司昌平区七辛北街道路工程现行制度、管理措施和现场安全状态基本符合《中华人民共和国安全生产法》《建设工程安全生产管理条例》相关规定。</w:t>
      </w:r>
    </w:p>
    <w:p>
      <w:pPr>
        <w:pStyle w:val="3"/>
        <w:spacing w:before="120" w:after="120" w:line="360" w:lineRule="auto"/>
        <w:rPr>
          <w:sz w:val="28"/>
          <w:szCs w:val="21"/>
        </w:rPr>
      </w:pPr>
      <w:bookmarkStart w:id="41" w:name="_Toc28170"/>
      <w:bookmarkStart w:id="42" w:name="_Toc20081"/>
      <w:r>
        <w:rPr>
          <w:rFonts w:hint="eastAsia"/>
          <w:sz w:val="28"/>
          <w:szCs w:val="21"/>
        </w:rPr>
        <w:t>（二）工作提升建议</w:t>
      </w:r>
      <w:bookmarkEnd w:id="41"/>
      <w:bookmarkEnd w:id="42"/>
    </w:p>
    <w:p>
      <w:pPr>
        <w:pStyle w:val="25"/>
        <w:spacing w:line="360" w:lineRule="auto"/>
        <w:ind w:firstLine="560"/>
        <w:rPr>
          <w:rFonts w:ascii="宋体" w:hAnsi="宋体" w:eastAsia="宋体"/>
          <w:sz w:val="28"/>
          <w:szCs w:val="28"/>
          <w:lang w:val="zh-CN"/>
        </w:rPr>
      </w:pPr>
      <w:r>
        <w:rPr>
          <w:rFonts w:ascii="宋体" w:hAnsi="宋体" w:eastAsia="宋体"/>
          <w:sz w:val="28"/>
          <w:szCs w:val="28"/>
          <w:lang w:val="zh-CN"/>
        </w:rPr>
        <w:t>根据本次评估过程及结论，</w:t>
      </w:r>
      <w:r>
        <w:rPr>
          <w:rFonts w:hint="eastAsia" w:ascii="宋体" w:hAnsi="宋体" w:eastAsia="宋体"/>
          <w:sz w:val="28"/>
          <w:szCs w:val="28"/>
        </w:rPr>
        <w:t>评估组</w:t>
      </w:r>
      <w:r>
        <w:rPr>
          <w:rFonts w:ascii="宋体" w:hAnsi="宋体" w:eastAsia="宋体"/>
          <w:sz w:val="28"/>
          <w:szCs w:val="28"/>
          <w:lang w:val="zh-CN"/>
        </w:rPr>
        <w:t>对</w:t>
      </w:r>
      <w:r>
        <w:rPr>
          <w:rFonts w:hint="eastAsia" w:ascii="宋体" w:hAnsi="宋体" w:eastAsia="宋体"/>
          <w:sz w:val="28"/>
          <w:szCs w:val="28"/>
        </w:rPr>
        <w:t>城建远东建设公司</w:t>
      </w:r>
      <w:r>
        <w:rPr>
          <w:rFonts w:ascii="宋体" w:hAnsi="宋体" w:eastAsia="宋体"/>
          <w:sz w:val="28"/>
          <w:szCs w:val="28"/>
          <w:lang w:val="zh-CN"/>
        </w:rPr>
        <w:t>提出以下</w:t>
      </w:r>
      <w:r>
        <w:rPr>
          <w:rFonts w:hint="eastAsia" w:ascii="宋体" w:hAnsi="宋体" w:eastAsia="宋体"/>
          <w:sz w:val="28"/>
          <w:szCs w:val="28"/>
        </w:rPr>
        <w:t>安全工作</w:t>
      </w:r>
      <w:r>
        <w:rPr>
          <w:rFonts w:ascii="宋体" w:hAnsi="宋体" w:eastAsia="宋体"/>
          <w:sz w:val="28"/>
          <w:szCs w:val="28"/>
          <w:lang w:val="zh-CN"/>
        </w:rPr>
        <w:t>建议措施</w:t>
      </w:r>
      <w:r>
        <w:rPr>
          <w:rFonts w:hint="eastAsia" w:ascii="宋体" w:hAnsi="宋体" w:eastAsia="宋体"/>
          <w:sz w:val="28"/>
          <w:szCs w:val="28"/>
          <w:lang w:val="zh-CN"/>
        </w:rPr>
        <w:t>（</w:t>
      </w:r>
      <w:r>
        <w:rPr>
          <w:rFonts w:hint="eastAsia" w:ascii="宋体" w:hAnsi="宋体" w:eastAsia="宋体"/>
          <w:sz w:val="28"/>
          <w:szCs w:val="28"/>
        </w:rPr>
        <w:t>不局限于本次事故</w:t>
      </w:r>
      <w:r>
        <w:rPr>
          <w:rFonts w:hint="eastAsia" w:ascii="宋体" w:hAnsi="宋体" w:eastAsia="宋体"/>
          <w:sz w:val="28"/>
          <w:szCs w:val="28"/>
          <w:lang w:val="zh-CN"/>
        </w:rPr>
        <w:t>）</w:t>
      </w:r>
      <w:r>
        <w:rPr>
          <w:rFonts w:ascii="宋体" w:hAnsi="宋体" w:eastAsia="宋体"/>
          <w:sz w:val="28"/>
          <w:szCs w:val="28"/>
          <w:lang w:val="zh-CN"/>
        </w:rPr>
        <w:t>：</w:t>
      </w:r>
    </w:p>
    <w:p>
      <w:pPr>
        <w:pStyle w:val="25"/>
        <w:spacing w:line="360" w:lineRule="auto"/>
        <w:ind w:firstLine="562"/>
        <w:rPr>
          <w:rFonts w:ascii="宋体" w:hAnsi="宋体" w:eastAsia="宋体"/>
          <w:b/>
          <w:bCs/>
          <w:sz w:val="28"/>
          <w:szCs w:val="28"/>
        </w:rPr>
      </w:pPr>
      <w:r>
        <w:rPr>
          <w:rFonts w:hint="eastAsia" w:ascii="宋体" w:hAnsi="宋体" w:eastAsia="宋体"/>
          <w:b/>
          <w:bCs/>
          <w:sz w:val="28"/>
          <w:szCs w:val="28"/>
        </w:rPr>
        <w:t>1、危大工程、有限空间需警惕</w:t>
      </w:r>
    </w:p>
    <w:p>
      <w:pPr>
        <w:pStyle w:val="25"/>
        <w:spacing w:line="360" w:lineRule="auto"/>
        <w:ind w:firstLine="560"/>
        <w:rPr>
          <w:rFonts w:ascii="宋体" w:hAnsi="宋体" w:eastAsia="宋体"/>
          <w:sz w:val="28"/>
          <w:szCs w:val="28"/>
        </w:rPr>
      </w:pPr>
      <w:r>
        <w:rPr>
          <w:rFonts w:hint="eastAsia" w:ascii="宋体" w:hAnsi="宋体" w:eastAsia="宋体"/>
          <w:sz w:val="28"/>
          <w:szCs w:val="28"/>
        </w:rPr>
        <w:t>目前，昌平区七辛北街道路工程属于刚开工建设阶段，施工场地还尚未完整移交，但按照施工方案，此次工程有危险性较大分部分项工程和有限空间作施工活动。对于风险较高的作业活动，施工单位要严格按照《危险性较大的分部分项工程安全管理规定》《北京市房屋建筑和市政基础设施工程有限空间作业安全管理规定》中要求进行施工。</w:t>
      </w:r>
    </w:p>
    <w:p>
      <w:pPr>
        <w:pStyle w:val="25"/>
        <w:spacing w:line="360" w:lineRule="auto"/>
        <w:ind w:firstLine="560"/>
        <w:rPr>
          <w:rFonts w:ascii="宋体" w:hAnsi="宋体" w:eastAsia="宋体"/>
          <w:sz w:val="28"/>
          <w:szCs w:val="28"/>
        </w:rPr>
      </w:pPr>
      <w:r>
        <w:rPr>
          <w:rFonts w:hint="eastAsia" w:ascii="宋体" w:hAnsi="宋体" w:eastAsia="宋体"/>
          <w:sz w:val="28"/>
          <w:szCs w:val="28"/>
        </w:rPr>
        <w:t>对于危大工程，</w:t>
      </w:r>
      <w:r>
        <w:rPr>
          <w:rFonts w:ascii="宋体" w:hAnsi="宋体" w:eastAsia="宋体"/>
          <w:sz w:val="28"/>
          <w:szCs w:val="28"/>
        </w:rPr>
        <w:t>施工单位应当在施工组织设计中编制安全技术措施和施工现场临时用电方案，编制专项施工方案，并附具安全验算结果，经施工单位技术负责人、总监理工程师签字后实施</w:t>
      </w:r>
      <w:r>
        <w:rPr>
          <w:rFonts w:hint="eastAsia" w:ascii="宋体" w:hAnsi="宋体" w:eastAsia="宋体"/>
          <w:sz w:val="28"/>
          <w:szCs w:val="28"/>
        </w:rPr>
        <w:t>，施工作业前做好安全技术交底，施工人员需签字确认，</w:t>
      </w:r>
      <w:r>
        <w:rPr>
          <w:rFonts w:ascii="宋体" w:hAnsi="宋体" w:eastAsia="宋体"/>
          <w:sz w:val="28"/>
          <w:szCs w:val="28"/>
        </w:rPr>
        <w:t>由专职安全生产管理人员进行现场监督</w:t>
      </w:r>
      <w:r>
        <w:rPr>
          <w:rFonts w:hint="eastAsia" w:ascii="宋体" w:hAnsi="宋体" w:eastAsia="宋体"/>
          <w:sz w:val="28"/>
          <w:szCs w:val="28"/>
        </w:rPr>
        <w:t>。</w:t>
      </w:r>
    </w:p>
    <w:p>
      <w:pPr>
        <w:pStyle w:val="25"/>
        <w:spacing w:line="360" w:lineRule="auto"/>
        <w:ind w:firstLine="560"/>
        <w:rPr>
          <w:rFonts w:ascii="宋体" w:hAnsi="宋体" w:eastAsia="宋体"/>
          <w:sz w:val="28"/>
          <w:szCs w:val="28"/>
        </w:rPr>
      </w:pPr>
      <w:r>
        <w:rPr>
          <w:rFonts w:hint="eastAsia" w:ascii="宋体" w:hAnsi="宋体" w:eastAsia="宋体"/>
          <w:sz w:val="28"/>
          <w:szCs w:val="28"/>
        </w:rPr>
        <w:t>对于现场有限空间，施工单位应充分应用《北京市房屋建筑和市政基础设施工程施工安全风险分级管控技术指南》，对有限空间作业进行事前风险识别，提前研判和风险分析，风险评价定级后，采取相应的有限空间安全风险控制措施。作业前，必须严格执行“先检测、再通风、后作业”的原则，根据施工现场有限空间作业实际情况，对有限空间内部可能存在的危害因素进行检测，未经检测或检测不合格的，严禁作业人员进入有限空间进行施工作业。</w:t>
      </w:r>
    </w:p>
    <w:p>
      <w:pPr>
        <w:pStyle w:val="25"/>
        <w:spacing w:line="360" w:lineRule="auto"/>
        <w:ind w:firstLine="562"/>
        <w:rPr>
          <w:rFonts w:ascii="宋体" w:hAnsi="宋体" w:eastAsia="宋体"/>
          <w:b/>
          <w:bCs/>
          <w:sz w:val="28"/>
          <w:szCs w:val="28"/>
        </w:rPr>
      </w:pPr>
      <w:r>
        <w:rPr>
          <w:rFonts w:hint="eastAsia" w:ascii="宋体" w:hAnsi="宋体" w:eastAsia="宋体"/>
          <w:b/>
          <w:bCs/>
          <w:sz w:val="28"/>
          <w:szCs w:val="28"/>
        </w:rPr>
        <w:t>2、施工安全管理档案需重视</w:t>
      </w:r>
    </w:p>
    <w:p>
      <w:pPr>
        <w:pStyle w:val="25"/>
        <w:spacing w:line="360" w:lineRule="auto"/>
        <w:ind w:firstLine="560"/>
        <w:rPr>
          <w:rFonts w:ascii="宋体" w:hAnsi="宋体" w:eastAsia="宋体"/>
          <w:sz w:val="28"/>
          <w:szCs w:val="28"/>
        </w:rPr>
      </w:pPr>
      <w:r>
        <w:rPr>
          <w:rFonts w:hint="eastAsia" w:ascii="宋体" w:hAnsi="宋体" w:eastAsia="宋体"/>
          <w:sz w:val="28"/>
          <w:szCs w:val="28"/>
        </w:rPr>
        <w:t>施工项目一般划分为多个阶段，各阶段工序皆对应不同的安全管理需求，为规范施工过程的安全生产管理，安全档案必须建立完善、专人主管、妥善储存。安全档案的主要内容对应《建设工程安全生产管理条例》，包括且不限于安全生产责任制及考核、安全管理人员证书、安全生产协议、安全措施费用支出台账、安全教育培训、意外保险、安全操作规程、特种作业人员/特种设备管理（证书、资质、验收单等）、专项施工方案（包括防护措施）、危大工程管理（方案、论证、安全技术交底、现场监护检查）、文明施工管理、消防管理、应急救援管理等；各项内容的具体工作参考《建筑施工安全检查标准》（JGJ 59-2011）准备。安全档案管理工作贯穿项目建设全过程,可以真实记录项目建设过程中所有信息资料,还原项目建设全过程,同时也是有效的工作落实凭证。</w:t>
      </w:r>
    </w:p>
    <w:p>
      <w:pPr>
        <w:pStyle w:val="25"/>
        <w:spacing w:line="360" w:lineRule="auto"/>
        <w:ind w:firstLine="562"/>
        <w:rPr>
          <w:rFonts w:ascii="宋体" w:hAnsi="宋体" w:eastAsia="宋体"/>
          <w:b/>
          <w:bCs/>
          <w:sz w:val="28"/>
          <w:szCs w:val="28"/>
        </w:rPr>
      </w:pPr>
      <w:r>
        <w:rPr>
          <w:rFonts w:hint="eastAsia" w:ascii="宋体" w:hAnsi="宋体" w:eastAsia="宋体"/>
          <w:b/>
          <w:bCs/>
          <w:sz w:val="28"/>
          <w:szCs w:val="28"/>
        </w:rPr>
        <w:t>3、双重预防机制需主动落实</w:t>
      </w:r>
    </w:p>
    <w:p>
      <w:pPr>
        <w:pStyle w:val="25"/>
        <w:spacing w:line="360" w:lineRule="auto"/>
        <w:ind w:firstLine="560"/>
        <w:rPr>
          <w:rFonts w:ascii="宋体" w:hAnsi="宋体" w:eastAsia="宋体"/>
          <w:sz w:val="28"/>
          <w:szCs w:val="28"/>
        </w:rPr>
      </w:pPr>
      <w:r>
        <w:rPr>
          <w:rFonts w:ascii="宋体" w:hAnsi="宋体" w:eastAsia="宋体"/>
          <w:sz w:val="28"/>
          <w:szCs w:val="28"/>
        </w:rPr>
        <w:t>人的不安全行为始终是</w:t>
      </w:r>
      <w:r>
        <w:rPr>
          <w:rFonts w:hint="eastAsia" w:ascii="宋体" w:hAnsi="宋体" w:eastAsia="宋体"/>
          <w:sz w:val="28"/>
          <w:szCs w:val="28"/>
        </w:rPr>
        <w:t>导致突发事件</w:t>
      </w:r>
      <w:r>
        <w:rPr>
          <w:rFonts w:ascii="宋体" w:hAnsi="宋体" w:eastAsia="宋体"/>
          <w:sz w:val="28"/>
          <w:szCs w:val="28"/>
        </w:rPr>
        <w:t>的关键</w:t>
      </w:r>
      <w:r>
        <w:rPr>
          <w:rFonts w:hint="eastAsia" w:ascii="宋体" w:hAnsi="宋体" w:eastAsia="宋体"/>
          <w:sz w:val="28"/>
          <w:szCs w:val="28"/>
        </w:rPr>
        <w:t>因素</w:t>
      </w:r>
      <w:r>
        <w:rPr>
          <w:rFonts w:ascii="宋体" w:hAnsi="宋体" w:eastAsia="宋体"/>
          <w:sz w:val="28"/>
          <w:szCs w:val="28"/>
        </w:rPr>
        <w:t>，总包、承包单位需要严格加强对分包、劳务单位的管理，对于阶段工程任务要求具体施工单位严格按照安全管理制度、安全技术交底、安全操作规程进行落实，并要求各单位提供落实记录，包括人员安排、培训教育、现场检查等</w:t>
      </w:r>
      <w:r>
        <w:rPr>
          <w:rFonts w:hint="eastAsia" w:ascii="宋体" w:hAnsi="宋体" w:eastAsia="宋体"/>
          <w:sz w:val="28"/>
          <w:szCs w:val="28"/>
        </w:rPr>
        <w:t>。</w:t>
      </w:r>
    </w:p>
    <w:p>
      <w:pPr>
        <w:pStyle w:val="25"/>
        <w:spacing w:line="360" w:lineRule="auto"/>
        <w:ind w:firstLine="560"/>
        <w:rPr>
          <w:rFonts w:ascii="宋体" w:hAnsi="宋体" w:eastAsia="宋体"/>
          <w:sz w:val="28"/>
          <w:szCs w:val="28"/>
        </w:rPr>
      </w:pPr>
      <w:r>
        <w:rPr>
          <w:rFonts w:ascii="宋体" w:hAnsi="宋体" w:eastAsia="宋体"/>
          <w:sz w:val="28"/>
          <w:szCs w:val="28"/>
        </w:rPr>
        <w:t>总包、承包单位要</w:t>
      </w:r>
      <w:r>
        <w:rPr>
          <w:rFonts w:hint="eastAsia" w:ascii="宋体" w:hAnsi="宋体" w:eastAsia="宋体"/>
          <w:sz w:val="28"/>
          <w:szCs w:val="28"/>
        </w:rPr>
        <w:t>负起安全生产责任主体意识，要将施工安全风险分级管控和隐患排查治理工作纳入企业安全生产责任制，建立双重预防各项工作制度、明确工作职责、制定监督检查计划，重点管控重大和较大风险，重点落实重大事故隐患整改情况；安全管理人员要加强作业现场安全检查，及时发现并消除施工人员违反安全技术交底违规冒险的隐患。</w:t>
      </w:r>
    </w:p>
    <w:sectPr>
      <w:pgSz w:w="11906" w:h="16838"/>
      <w:pgMar w:top="1418" w:right="1588" w:bottom="141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3686837"/>
    </w:sdtPr>
    <w:sdtEndPr>
      <w:rPr>
        <w:rFonts w:ascii="Times New Roman" w:hAnsi="Times New Roman" w:cs="Times New Roman"/>
      </w:rPr>
    </w:sdtEndPr>
    <w:sdtContent>
      <w:p>
        <w:pPr>
          <w:pStyle w:val="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A00FFC"/>
    <w:multiLevelType w:val="singleLevel"/>
    <w:tmpl w:val="9EA00FFC"/>
    <w:lvl w:ilvl="0" w:tentative="0">
      <w:start w:val="1"/>
      <w:numFmt w:val="decimal"/>
      <w:suff w:val="nothing"/>
      <w:lvlText w:val="（%1）"/>
      <w:lvlJc w:val="left"/>
    </w:lvl>
  </w:abstractNum>
  <w:abstractNum w:abstractNumId="1">
    <w:nsid w:val="D00F02BB"/>
    <w:multiLevelType w:val="singleLevel"/>
    <w:tmpl w:val="D00F02BB"/>
    <w:lvl w:ilvl="0" w:tentative="0">
      <w:start w:val="2"/>
      <w:numFmt w:val="decimal"/>
      <w:suff w:val="nothing"/>
      <w:lvlText w:val="%1、"/>
      <w:lvlJc w:val="left"/>
    </w:lvl>
  </w:abstractNum>
  <w:abstractNum w:abstractNumId="2">
    <w:nsid w:val="D2B5834C"/>
    <w:multiLevelType w:val="singleLevel"/>
    <w:tmpl w:val="D2B5834C"/>
    <w:lvl w:ilvl="0" w:tentative="0">
      <w:start w:val="1"/>
      <w:numFmt w:val="decimal"/>
      <w:suff w:val="nothing"/>
      <w:lvlText w:val="（%1）"/>
      <w:lvlJc w:val="left"/>
    </w:lvl>
  </w:abstractNum>
  <w:abstractNum w:abstractNumId="3">
    <w:nsid w:val="D3E5FB2D"/>
    <w:multiLevelType w:val="singleLevel"/>
    <w:tmpl w:val="D3E5FB2D"/>
    <w:lvl w:ilvl="0" w:tentative="0">
      <w:start w:val="1"/>
      <w:numFmt w:val="decimal"/>
      <w:suff w:val="nothing"/>
      <w:lvlText w:val="%1、"/>
      <w:lvlJc w:val="left"/>
    </w:lvl>
  </w:abstractNum>
  <w:abstractNum w:abstractNumId="4">
    <w:nsid w:val="F142E6B5"/>
    <w:multiLevelType w:val="singleLevel"/>
    <w:tmpl w:val="F142E6B5"/>
    <w:lvl w:ilvl="0" w:tentative="0">
      <w:start w:val="1"/>
      <w:numFmt w:val="decimal"/>
      <w:suff w:val="nothing"/>
      <w:lvlText w:val="（%1）"/>
      <w:lvlJc w:val="left"/>
    </w:lvl>
  </w:abstractNum>
  <w:abstractNum w:abstractNumId="5">
    <w:nsid w:val="0175CFA3"/>
    <w:multiLevelType w:val="singleLevel"/>
    <w:tmpl w:val="0175CFA3"/>
    <w:lvl w:ilvl="0" w:tentative="0">
      <w:start w:val="1"/>
      <w:numFmt w:val="decimal"/>
      <w:suff w:val="nothing"/>
      <w:lvlText w:val="（%1）"/>
      <w:lvlJc w:val="left"/>
    </w:lvl>
  </w:abstractNum>
  <w:abstractNum w:abstractNumId="6">
    <w:nsid w:val="0E0B0173"/>
    <w:multiLevelType w:val="multilevel"/>
    <w:tmpl w:val="0E0B0173"/>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3"/>
  </w:num>
  <w:num w:numId="3">
    <w:abstractNumId w:val="4"/>
  </w:num>
  <w:num w:numId="4">
    <w:abstractNumId w:val="1"/>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val="1"/>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172A27"/>
    <w:rsid w:val="00033FC3"/>
    <w:rsid w:val="00035633"/>
    <w:rsid w:val="0004493C"/>
    <w:rsid w:val="000661DA"/>
    <w:rsid w:val="0007127B"/>
    <w:rsid w:val="000D68EE"/>
    <w:rsid w:val="000F5A8B"/>
    <w:rsid w:val="00100F64"/>
    <w:rsid w:val="0010441E"/>
    <w:rsid w:val="00124065"/>
    <w:rsid w:val="00172A27"/>
    <w:rsid w:val="001918DD"/>
    <w:rsid w:val="001A4E27"/>
    <w:rsid w:val="001D73DD"/>
    <w:rsid w:val="001F11A0"/>
    <w:rsid w:val="001F5F52"/>
    <w:rsid w:val="0020432B"/>
    <w:rsid w:val="00206050"/>
    <w:rsid w:val="00216BDE"/>
    <w:rsid w:val="0024609C"/>
    <w:rsid w:val="002525EF"/>
    <w:rsid w:val="00265D8A"/>
    <w:rsid w:val="00276841"/>
    <w:rsid w:val="00285FDF"/>
    <w:rsid w:val="00293808"/>
    <w:rsid w:val="002E54FA"/>
    <w:rsid w:val="002F42B3"/>
    <w:rsid w:val="00312755"/>
    <w:rsid w:val="003652DC"/>
    <w:rsid w:val="00392D5E"/>
    <w:rsid w:val="00394E2E"/>
    <w:rsid w:val="003A5EF0"/>
    <w:rsid w:val="00421CD2"/>
    <w:rsid w:val="00427EC7"/>
    <w:rsid w:val="004335F3"/>
    <w:rsid w:val="0046075B"/>
    <w:rsid w:val="004B45DB"/>
    <w:rsid w:val="004C14AE"/>
    <w:rsid w:val="004F3DD5"/>
    <w:rsid w:val="00500508"/>
    <w:rsid w:val="00516A53"/>
    <w:rsid w:val="00525288"/>
    <w:rsid w:val="00526DFE"/>
    <w:rsid w:val="00560B1C"/>
    <w:rsid w:val="005735B4"/>
    <w:rsid w:val="0059462D"/>
    <w:rsid w:val="005A7985"/>
    <w:rsid w:val="005C7C6E"/>
    <w:rsid w:val="00602FA4"/>
    <w:rsid w:val="00612973"/>
    <w:rsid w:val="00621377"/>
    <w:rsid w:val="00621BC5"/>
    <w:rsid w:val="00622D25"/>
    <w:rsid w:val="00623CA5"/>
    <w:rsid w:val="0064528A"/>
    <w:rsid w:val="00657D5D"/>
    <w:rsid w:val="00664357"/>
    <w:rsid w:val="0067215B"/>
    <w:rsid w:val="00685AE8"/>
    <w:rsid w:val="0068657E"/>
    <w:rsid w:val="006A48DC"/>
    <w:rsid w:val="006A7018"/>
    <w:rsid w:val="006F5C9D"/>
    <w:rsid w:val="006F623D"/>
    <w:rsid w:val="00704DA4"/>
    <w:rsid w:val="00722B11"/>
    <w:rsid w:val="007231B2"/>
    <w:rsid w:val="00740EDE"/>
    <w:rsid w:val="007457D2"/>
    <w:rsid w:val="007504CD"/>
    <w:rsid w:val="00751E0C"/>
    <w:rsid w:val="00756B9D"/>
    <w:rsid w:val="0079226E"/>
    <w:rsid w:val="007B185F"/>
    <w:rsid w:val="007D0737"/>
    <w:rsid w:val="007D7F25"/>
    <w:rsid w:val="007E7BED"/>
    <w:rsid w:val="007F21CF"/>
    <w:rsid w:val="007F5965"/>
    <w:rsid w:val="007F62C7"/>
    <w:rsid w:val="00804A15"/>
    <w:rsid w:val="00827BA8"/>
    <w:rsid w:val="00835E4B"/>
    <w:rsid w:val="00860D5D"/>
    <w:rsid w:val="00860D77"/>
    <w:rsid w:val="00860F0F"/>
    <w:rsid w:val="008A7E92"/>
    <w:rsid w:val="008B6603"/>
    <w:rsid w:val="008D096F"/>
    <w:rsid w:val="008D39F0"/>
    <w:rsid w:val="008F2364"/>
    <w:rsid w:val="008F79A1"/>
    <w:rsid w:val="009010E1"/>
    <w:rsid w:val="00905FCF"/>
    <w:rsid w:val="00921852"/>
    <w:rsid w:val="00977D59"/>
    <w:rsid w:val="00982048"/>
    <w:rsid w:val="00986675"/>
    <w:rsid w:val="00996894"/>
    <w:rsid w:val="009A0772"/>
    <w:rsid w:val="009A492D"/>
    <w:rsid w:val="009B19DD"/>
    <w:rsid w:val="009E52CD"/>
    <w:rsid w:val="009E588A"/>
    <w:rsid w:val="009F3D38"/>
    <w:rsid w:val="00A43CA0"/>
    <w:rsid w:val="00A43CE8"/>
    <w:rsid w:val="00A52C59"/>
    <w:rsid w:val="00A64E51"/>
    <w:rsid w:val="00A826B8"/>
    <w:rsid w:val="00AA16EA"/>
    <w:rsid w:val="00AA34A4"/>
    <w:rsid w:val="00AA454F"/>
    <w:rsid w:val="00AB0554"/>
    <w:rsid w:val="00AB39CE"/>
    <w:rsid w:val="00AD1929"/>
    <w:rsid w:val="00AE0F20"/>
    <w:rsid w:val="00AE2E97"/>
    <w:rsid w:val="00AF6861"/>
    <w:rsid w:val="00B0045A"/>
    <w:rsid w:val="00B145E9"/>
    <w:rsid w:val="00B33A8F"/>
    <w:rsid w:val="00B54F6F"/>
    <w:rsid w:val="00B754B8"/>
    <w:rsid w:val="00BA6F2E"/>
    <w:rsid w:val="00BA719E"/>
    <w:rsid w:val="00BC07F9"/>
    <w:rsid w:val="00BF3D4E"/>
    <w:rsid w:val="00BF3E7A"/>
    <w:rsid w:val="00BF4191"/>
    <w:rsid w:val="00C13A45"/>
    <w:rsid w:val="00C2450C"/>
    <w:rsid w:val="00C47644"/>
    <w:rsid w:val="00C6109B"/>
    <w:rsid w:val="00C6750F"/>
    <w:rsid w:val="00C90AE7"/>
    <w:rsid w:val="00CA64A8"/>
    <w:rsid w:val="00CA6FC6"/>
    <w:rsid w:val="00CA7CD9"/>
    <w:rsid w:val="00CE2B07"/>
    <w:rsid w:val="00CE5D44"/>
    <w:rsid w:val="00D05A8E"/>
    <w:rsid w:val="00D05F1E"/>
    <w:rsid w:val="00D1095E"/>
    <w:rsid w:val="00D24999"/>
    <w:rsid w:val="00D40F88"/>
    <w:rsid w:val="00D63D4F"/>
    <w:rsid w:val="00D83316"/>
    <w:rsid w:val="00D93ECE"/>
    <w:rsid w:val="00D962D4"/>
    <w:rsid w:val="00DB74D4"/>
    <w:rsid w:val="00DC2FAA"/>
    <w:rsid w:val="00DF1CA1"/>
    <w:rsid w:val="00E46AA2"/>
    <w:rsid w:val="00E52B35"/>
    <w:rsid w:val="00E8104B"/>
    <w:rsid w:val="00E81FE2"/>
    <w:rsid w:val="00EA6877"/>
    <w:rsid w:val="00ED2273"/>
    <w:rsid w:val="00ED79DA"/>
    <w:rsid w:val="00EF37D2"/>
    <w:rsid w:val="00F0015F"/>
    <w:rsid w:val="00F0390F"/>
    <w:rsid w:val="00F26953"/>
    <w:rsid w:val="00F34F30"/>
    <w:rsid w:val="00F36DE9"/>
    <w:rsid w:val="00F42427"/>
    <w:rsid w:val="00F53279"/>
    <w:rsid w:val="00FA7A84"/>
    <w:rsid w:val="00FC5229"/>
    <w:rsid w:val="00FD1A37"/>
    <w:rsid w:val="00FE172C"/>
    <w:rsid w:val="00FF0A5A"/>
    <w:rsid w:val="021311B0"/>
    <w:rsid w:val="071F6E1C"/>
    <w:rsid w:val="08A01F6E"/>
    <w:rsid w:val="097C7C49"/>
    <w:rsid w:val="0B8E5EBB"/>
    <w:rsid w:val="0E71037E"/>
    <w:rsid w:val="100C51FC"/>
    <w:rsid w:val="180D715A"/>
    <w:rsid w:val="194859F8"/>
    <w:rsid w:val="19CA4A8E"/>
    <w:rsid w:val="1B467B77"/>
    <w:rsid w:val="1D13560D"/>
    <w:rsid w:val="1EAD3489"/>
    <w:rsid w:val="1F124808"/>
    <w:rsid w:val="218A4E78"/>
    <w:rsid w:val="243F2B28"/>
    <w:rsid w:val="267F7489"/>
    <w:rsid w:val="2758784D"/>
    <w:rsid w:val="27697D30"/>
    <w:rsid w:val="2878627F"/>
    <w:rsid w:val="29BD5C6D"/>
    <w:rsid w:val="2AAF7569"/>
    <w:rsid w:val="32F86C10"/>
    <w:rsid w:val="341A1D21"/>
    <w:rsid w:val="35BE3446"/>
    <w:rsid w:val="36B158FD"/>
    <w:rsid w:val="3729169F"/>
    <w:rsid w:val="3A330AC8"/>
    <w:rsid w:val="3C146687"/>
    <w:rsid w:val="3D1B79C1"/>
    <w:rsid w:val="3DB94D57"/>
    <w:rsid w:val="3DE003F4"/>
    <w:rsid w:val="3DFA0B12"/>
    <w:rsid w:val="4465587E"/>
    <w:rsid w:val="46B45C34"/>
    <w:rsid w:val="49820821"/>
    <w:rsid w:val="49FE7B06"/>
    <w:rsid w:val="4ECA1194"/>
    <w:rsid w:val="52903990"/>
    <w:rsid w:val="53F31DDA"/>
    <w:rsid w:val="555B55F4"/>
    <w:rsid w:val="556E38DA"/>
    <w:rsid w:val="557850E0"/>
    <w:rsid w:val="55882F61"/>
    <w:rsid w:val="55AC1F4E"/>
    <w:rsid w:val="56420F92"/>
    <w:rsid w:val="57890AF4"/>
    <w:rsid w:val="59324BF8"/>
    <w:rsid w:val="5976568E"/>
    <w:rsid w:val="5B4052B6"/>
    <w:rsid w:val="5E4946D1"/>
    <w:rsid w:val="5F5F2947"/>
    <w:rsid w:val="6A732C5E"/>
    <w:rsid w:val="6B8C1AB4"/>
    <w:rsid w:val="6C0E2107"/>
    <w:rsid w:val="6DB1063B"/>
    <w:rsid w:val="6F68734C"/>
    <w:rsid w:val="729B63C0"/>
    <w:rsid w:val="751F3C9D"/>
    <w:rsid w:val="753260FA"/>
    <w:rsid w:val="78272E45"/>
    <w:rsid w:val="79E729F7"/>
    <w:rsid w:val="7C072619"/>
    <w:rsid w:val="7C6A0859"/>
    <w:rsid w:val="7ED46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81"/>
    <w:unhideWhenUsed/>
    <w:qFormat/>
    <w:uiPriority w:val="99"/>
    <w:pPr>
      <w:jc w:val="left"/>
    </w:pPr>
  </w:style>
  <w:style w:type="paragraph" w:styleId="5">
    <w:name w:val="Body Text"/>
    <w:basedOn w:val="1"/>
    <w:next w:val="1"/>
    <w:unhideWhenUsed/>
    <w:qFormat/>
    <w:uiPriority w:val="99"/>
    <w:pPr>
      <w:spacing w:after="120"/>
    </w:pPr>
  </w:style>
  <w:style w:type="paragraph" w:styleId="6">
    <w:name w:val="Body Text Indent"/>
    <w:basedOn w:val="1"/>
    <w:next w:val="1"/>
    <w:qFormat/>
    <w:uiPriority w:val="0"/>
    <w:pPr>
      <w:spacing w:after="120"/>
      <w:ind w:left="420" w:leftChars="200"/>
    </w:pPr>
  </w:style>
  <w:style w:type="paragraph" w:styleId="7">
    <w:name w:val="toc 3"/>
    <w:basedOn w:val="1"/>
    <w:next w:val="1"/>
    <w:unhideWhenUsed/>
    <w:qFormat/>
    <w:uiPriority w:val="39"/>
    <w:pPr>
      <w:widowControl/>
      <w:spacing w:after="100" w:line="259" w:lineRule="auto"/>
      <w:ind w:left="440"/>
      <w:jc w:val="left"/>
    </w:pPr>
    <w:rPr>
      <w:rFonts w:cs="Times New Roman"/>
      <w:kern w:val="0"/>
      <w:sz w:val="22"/>
    </w:rPr>
  </w:style>
  <w:style w:type="paragraph" w:styleId="8">
    <w:name w:val="Balloon Text"/>
    <w:basedOn w:val="1"/>
    <w:link w:val="30"/>
    <w:unhideWhenUsed/>
    <w:qFormat/>
    <w:uiPriority w:val="0"/>
    <w:rPr>
      <w:sz w:val="18"/>
      <w:szCs w:val="18"/>
    </w:rPr>
  </w:style>
  <w:style w:type="paragraph" w:styleId="9">
    <w:name w:val="footer"/>
    <w:basedOn w:val="1"/>
    <w:link w:val="27"/>
    <w:unhideWhenUsed/>
    <w:qFormat/>
    <w:uiPriority w:val="0"/>
    <w:pPr>
      <w:tabs>
        <w:tab w:val="center" w:pos="4153"/>
        <w:tab w:val="right" w:pos="8306"/>
      </w:tabs>
      <w:snapToGrid w:val="0"/>
      <w:jc w:val="left"/>
    </w:pPr>
    <w:rPr>
      <w:sz w:val="18"/>
      <w:szCs w:val="18"/>
    </w:rPr>
  </w:style>
  <w:style w:type="paragraph" w:styleId="10">
    <w:name w:val="header"/>
    <w:basedOn w:val="1"/>
    <w:link w:val="26"/>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spacing w:after="100" w:line="259" w:lineRule="auto"/>
      <w:jc w:val="left"/>
    </w:pPr>
    <w:rPr>
      <w:rFonts w:cs="Times New Roman"/>
      <w:kern w:val="0"/>
      <w:sz w:val="22"/>
    </w:rPr>
  </w:style>
  <w:style w:type="paragraph" w:styleId="12">
    <w:name w:val="toc 2"/>
    <w:basedOn w:val="1"/>
    <w:next w:val="1"/>
    <w:unhideWhenUsed/>
    <w:qFormat/>
    <w:uiPriority w:val="39"/>
    <w:pPr>
      <w:widowControl/>
      <w:spacing w:after="100" w:line="259" w:lineRule="auto"/>
      <w:ind w:left="220"/>
      <w:jc w:val="left"/>
    </w:pPr>
    <w:rPr>
      <w:rFonts w:cs="Times New Roman"/>
      <w:kern w:val="0"/>
      <w:sz w:val="22"/>
    </w:rPr>
  </w:style>
  <w:style w:type="paragraph" w:styleId="13">
    <w:name w:val="HTML Preformatted"/>
    <w:basedOn w:val="1"/>
    <w:link w:val="28"/>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annotation subject"/>
    <w:basedOn w:val="4"/>
    <w:next w:val="4"/>
    <w:link w:val="82"/>
    <w:qFormat/>
    <w:uiPriority w:val="0"/>
    <w:rPr>
      <w:b/>
      <w:bCs/>
    </w:rPr>
  </w:style>
  <w:style w:type="paragraph" w:styleId="16">
    <w:name w:val="Body Text First Indent 2"/>
    <w:basedOn w:val="6"/>
    <w:next w:val="1"/>
    <w:qFormat/>
    <w:uiPriority w:val="0"/>
    <w:pPr>
      <w:ind w:firstLine="210"/>
    </w:pPr>
    <w:rPr>
      <w:szCs w:val="20"/>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FollowedHyperlink"/>
    <w:basedOn w:val="19"/>
    <w:semiHidden/>
    <w:unhideWhenUsed/>
    <w:qFormat/>
    <w:uiPriority w:val="99"/>
    <w:rPr>
      <w:color w:val="800080"/>
      <w:u w:val="single"/>
    </w:rPr>
  </w:style>
  <w:style w:type="character" w:styleId="22">
    <w:name w:val="Hyperlink"/>
    <w:basedOn w:val="19"/>
    <w:unhideWhenUsed/>
    <w:qFormat/>
    <w:uiPriority w:val="99"/>
    <w:rPr>
      <w:color w:val="0563C1" w:themeColor="hyperlink"/>
      <w:u w:val="single"/>
      <w14:textFill>
        <w14:solidFill>
          <w14:schemeClr w14:val="hlink"/>
        </w14:solidFill>
      </w14:textFill>
    </w:rPr>
  </w:style>
  <w:style w:type="character" w:styleId="23">
    <w:name w:val="annotation reference"/>
    <w:basedOn w:val="19"/>
    <w:qFormat/>
    <w:uiPriority w:val="0"/>
    <w:rPr>
      <w:sz w:val="21"/>
      <w:szCs w:val="21"/>
    </w:rPr>
  </w:style>
  <w:style w:type="character" w:customStyle="1" w:styleId="24">
    <w:name w:val="标题 1 字符"/>
    <w:basedOn w:val="19"/>
    <w:link w:val="2"/>
    <w:qFormat/>
    <w:uiPriority w:val="9"/>
    <w:rPr>
      <w:b/>
      <w:bCs/>
      <w:kern w:val="44"/>
      <w:sz w:val="44"/>
      <w:szCs w:val="44"/>
    </w:rPr>
  </w:style>
  <w:style w:type="paragraph" w:styleId="25">
    <w:name w:val="List Paragraph"/>
    <w:basedOn w:val="1"/>
    <w:qFormat/>
    <w:uiPriority w:val="34"/>
    <w:pPr>
      <w:ind w:firstLine="420" w:firstLineChars="200"/>
    </w:pPr>
  </w:style>
  <w:style w:type="character" w:customStyle="1" w:styleId="26">
    <w:name w:val="页眉 字符"/>
    <w:basedOn w:val="19"/>
    <w:link w:val="10"/>
    <w:qFormat/>
    <w:uiPriority w:val="0"/>
    <w:rPr>
      <w:sz w:val="18"/>
      <w:szCs w:val="18"/>
    </w:rPr>
  </w:style>
  <w:style w:type="character" w:customStyle="1" w:styleId="27">
    <w:name w:val="页脚 字符"/>
    <w:basedOn w:val="19"/>
    <w:link w:val="9"/>
    <w:qFormat/>
    <w:uiPriority w:val="0"/>
    <w:rPr>
      <w:sz w:val="18"/>
      <w:szCs w:val="18"/>
    </w:rPr>
  </w:style>
  <w:style w:type="character" w:customStyle="1" w:styleId="28">
    <w:name w:val="HTML 预设格式 字符"/>
    <w:basedOn w:val="19"/>
    <w:link w:val="13"/>
    <w:semiHidden/>
    <w:qFormat/>
    <w:uiPriority w:val="99"/>
    <w:rPr>
      <w:rFonts w:ascii="宋体" w:hAnsi="宋体" w:eastAsia="宋体" w:cs="宋体"/>
      <w:kern w:val="0"/>
      <w:sz w:val="24"/>
      <w:szCs w:val="24"/>
    </w:rPr>
  </w:style>
  <w:style w:type="paragraph" w:customStyle="1" w:styleId="29">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0">
    <w:name w:val="批注框文本 字符"/>
    <w:basedOn w:val="19"/>
    <w:link w:val="8"/>
    <w:qFormat/>
    <w:uiPriority w:val="0"/>
    <w:rPr>
      <w:sz w:val="18"/>
      <w:szCs w:val="18"/>
    </w:rPr>
  </w:style>
  <w:style w:type="paragraph" w:customStyle="1" w:styleId="31">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2">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3">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4">
    <w:name w:val="xl67"/>
    <w:basedOn w:val="1"/>
    <w:qFormat/>
    <w:uiPriority w:val="0"/>
    <w:pPr>
      <w:widowControl/>
      <w:spacing w:before="100" w:beforeAutospacing="1" w:after="100" w:afterAutospacing="1"/>
      <w:jc w:val="center"/>
      <w:textAlignment w:val="center"/>
    </w:pPr>
    <w:rPr>
      <w:rFonts w:ascii="宋体" w:hAnsi="宋体" w:eastAsia="宋体" w:cs="宋体"/>
      <w:kern w:val="0"/>
      <w:sz w:val="32"/>
      <w:szCs w:val="32"/>
    </w:rPr>
  </w:style>
  <w:style w:type="paragraph" w:customStyle="1" w:styleId="35">
    <w:name w:val="xl6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6">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37">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3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0">
    <w:name w:val="xl73"/>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1">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2">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3">
    <w:name w:val="xl76"/>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4">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6">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7">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8">
    <w:name w:val="xl81"/>
    <w:basedOn w:val="1"/>
    <w:qFormat/>
    <w:uiPriority w:val="0"/>
    <w:pPr>
      <w:widowControl/>
      <w:spacing w:before="100" w:beforeAutospacing="1" w:after="100" w:afterAutospacing="1"/>
      <w:jc w:val="left"/>
      <w:textAlignment w:val="center"/>
    </w:pPr>
    <w:rPr>
      <w:rFonts w:ascii="宋体" w:hAnsi="宋体" w:eastAsia="宋体" w:cs="宋体"/>
      <w:kern w:val="0"/>
      <w:sz w:val="18"/>
      <w:szCs w:val="18"/>
    </w:rPr>
  </w:style>
  <w:style w:type="paragraph" w:customStyle="1" w:styleId="4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0">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1">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52">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3">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4">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5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7">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8">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9">
    <w:name w:val="xl9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0">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1">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Calibri" w:hAnsi="Calibri" w:eastAsia="宋体" w:cs="Calibri"/>
      <w:kern w:val="0"/>
      <w:szCs w:val="21"/>
    </w:rPr>
  </w:style>
  <w:style w:type="paragraph" w:customStyle="1" w:styleId="62">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3">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4">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5">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6">
    <w:name w:val="xl9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7">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8">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9">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0">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1">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2">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74">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5">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b/>
      <w:bCs/>
      <w:kern w:val="0"/>
      <w:sz w:val="20"/>
      <w:szCs w:val="20"/>
    </w:rPr>
  </w:style>
  <w:style w:type="paragraph" w:customStyle="1" w:styleId="76">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b/>
      <w:bCs/>
      <w:kern w:val="0"/>
      <w:sz w:val="20"/>
      <w:szCs w:val="20"/>
    </w:rPr>
  </w:style>
  <w:style w:type="paragraph" w:customStyle="1" w:styleId="77">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78">
    <w:name w:val="cf01"/>
    <w:basedOn w:val="19"/>
    <w:qFormat/>
    <w:uiPriority w:val="0"/>
    <w:rPr>
      <w:rFonts w:hint="eastAsia" w:ascii="Microsoft YaHei UI" w:hAnsi="Microsoft YaHei UI" w:eastAsia="Microsoft YaHei UI"/>
      <w:sz w:val="18"/>
      <w:szCs w:val="18"/>
    </w:rPr>
  </w:style>
  <w:style w:type="paragraph" w:customStyle="1" w:styleId="79">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0">
    <w:name w:val="批注文字 字符"/>
    <w:basedOn w:val="19"/>
    <w:qFormat/>
    <w:uiPriority w:val="99"/>
    <w:rPr>
      <w:rFonts w:asciiTheme="minorHAnsi" w:hAnsiTheme="minorHAnsi" w:eastAsiaTheme="minorEastAsia" w:cstheme="minorBidi"/>
      <w:kern w:val="2"/>
      <w:sz w:val="21"/>
      <w:szCs w:val="22"/>
    </w:rPr>
  </w:style>
  <w:style w:type="character" w:customStyle="1" w:styleId="81">
    <w:name w:val="批注文字 字符1"/>
    <w:basedOn w:val="19"/>
    <w:link w:val="4"/>
    <w:qFormat/>
    <w:uiPriority w:val="99"/>
    <w:rPr>
      <w:rFonts w:asciiTheme="minorHAnsi" w:hAnsiTheme="minorHAnsi" w:eastAsiaTheme="minorEastAsia" w:cstheme="minorBidi"/>
      <w:kern w:val="2"/>
      <w:sz w:val="21"/>
      <w:szCs w:val="22"/>
    </w:rPr>
  </w:style>
  <w:style w:type="character" w:customStyle="1" w:styleId="82">
    <w:name w:val="批注主题 字符"/>
    <w:basedOn w:val="81"/>
    <w:link w:val="15"/>
    <w:qFormat/>
    <w:uiPriority w:val="0"/>
    <w:rPr>
      <w:rFonts w:asciiTheme="minorHAnsi" w:hAnsiTheme="minorHAnsi" w:eastAsiaTheme="minorEastAsia" w:cstheme="minorBidi"/>
      <w:b/>
      <w:bCs/>
      <w:kern w:val="2"/>
      <w:sz w:val="21"/>
      <w:szCs w:val="22"/>
    </w:rPr>
  </w:style>
  <w:style w:type="paragraph" w:customStyle="1" w:styleId="83">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4">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5">
    <w:name w:val="cf11"/>
    <w:basedOn w:val="19"/>
    <w:qFormat/>
    <w:uiPriority w:val="0"/>
    <w:rPr>
      <w:rFonts w:hint="eastAsia" w:ascii="Microsoft YaHei UI" w:hAnsi="Microsoft YaHei UI" w:eastAsia="Microsoft YaHei UI"/>
      <w:sz w:val="18"/>
      <w:szCs w:val="18"/>
    </w:rPr>
  </w:style>
  <w:style w:type="paragraph" w:customStyle="1" w:styleId="86">
    <w:name w:val="WPSOffice手动目录 1"/>
    <w:qFormat/>
    <w:uiPriority w:val="0"/>
    <w:rPr>
      <w:rFonts w:ascii="Times New Roman" w:hAnsi="Times New Roman" w:eastAsia="宋体" w:cs="Times New Roman"/>
      <w:lang w:val="en-US" w:eastAsia="zh-CN" w:bidi="ar-SA"/>
    </w:rPr>
  </w:style>
  <w:style w:type="paragraph" w:customStyle="1" w:styleId="8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88">
    <w:name w:val="WPSOffice手动目录 3"/>
    <w:qFormat/>
    <w:uiPriority w:val="0"/>
    <w:pPr>
      <w:ind w:left="400"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8062E3-6527-4945-B372-F0664392E16F}">
  <ds:schemaRefs/>
</ds:datastoreItem>
</file>

<file path=docProps/app.xml><?xml version="1.0" encoding="utf-8"?>
<Properties xmlns="http://schemas.openxmlformats.org/officeDocument/2006/extended-properties" xmlns:vt="http://schemas.openxmlformats.org/officeDocument/2006/docPropsVTypes">
  <Template>Normal.dotm</Template>
  <Company>LG</Company>
  <Pages>28</Pages>
  <Words>12152</Words>
  <Characters>12225</Characters>
  <Lines>93</Lines>
  <Paragraphs>26</Paragraphs>
  <TotalTime>3</TotalTime>
  <ScaleCrop>false</ScaleCrop>
  <LinksUpToDate>false</LinksUpToDate>
  <CharactersWithSpaces>12251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2022-12-15T08:13:00Z</dcterms:created>
  <dc:creator>FENG</dc:creator>
  <cp:lastModifiedBy>调查科</cp:lastModifiedBy>
  <cp:lastPrinted>2017-12-14T13:52:00Z</cp:lastPrinted>
  <dcterms:modified xsi:type="dcterms:W3CDTF">2026-01-21T02:18:32Z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094131EB9E24440F9D7DF554C91707CA_13</vt:lpwstr>
  </property>
</Properties>
</file>