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16CF12">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p>
    <w:p w14:paraId="6B1C04B3">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p>
    <w:p w14:paraId="2BCAC0B0">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石油科技交流中心游泳馆</w:t>
      </w:r>
      <w:r>
        <w:rPr>
          <w:rFonts w:hint="eastAsia" w:ascii="Times New Roman" w:hAnsi="Times New Roman" w:eastAsia="黑体" w:cs="Times New Roman"/>
          <w:b w:val="0"/>
          <w:bCs w:val="0"/>
          <w:sz w:val="48"/>
          <w:szCs w:val="48"/>
          <w:lang w:val="en-US" w:eastAsia="zh-CN"/>
        </w:rPr>
        <w:t>“</w:t>
      </w:r>
      <w:r>
        <w:rPr>
          <w:rFonts w:hint="default" w:ascii="Times New Roman" w:hAnsi="Times New Roman" w:eastAsia="黑体" w:cs="Times New Roman"/>
          <w:b w:val="0"/>
          <w:bCs w:val="0"/>
          <w:sz w:val="48"/>
          <w:szCs w:val="48"/>
          <w:lang w:val="en-US" w:eastAsia="zh-CN"/>
        </w:rPr>
        <w:t>3</w:t>
      </w:r>
      <w:r>
        <w:rPr>
          <w:rFonts w:hint="eastAsia" w:ascii="Times New Roman" w:hAnsi="Times New Roman" w:eastAsia="黑体" w:cs="Times New Roman"/>
          <w:b w:val="0"/>
          <w:bCs w:val="0"/>
          <w:sz w:val="48"/>
          <w:szCs w:val="48"/>
          <w:lang w:val="en-US" w:eastAsia="zh-CN"/>
        </w:rPr>
        <w:t>·</w:t>
      </w:r>
      <w:r>
        <w:rPr>
          <w:rFonts w:hint="default" w:ascii="Times New Roman" w:hAnsi="Times New Roman" w:eastAsia="黑体" w:cs="Times New Roman"/>
          <w:b w:val="0"/>
          <w:bCs w:val="0"/>
          <w:sz w:val="48"/>
          <w:szCs w:val="48"/>
          <w:lang w:val="en-US" w:eastAsia="zh-CN"/>
        </w:rPr>
        <w:t>17</w:t>
      </w:r>
      <w:r>
        <w:rPr>
          <w:rFonts w:hint="eastAsia" w:ascii="Times New Roman" w:hAnsi="Times New Roman" w:eastAsia="黑体" w:cs="Times New Roman"/>
          <w:b w:val="0"/>
          <w:bCs w:val="0"/>
          <w:sz w:val="48"/>
          <w:szCs w:val="48"/>
          <w:lang w:val="en-US" w:eastAsia="zh-CN"/>
        </w:rPr>
        <w:t>”</w:t>
      </w:r>
    </w:p>
    <w:p w14:paraId="660CBD8F">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一般生产安全事故整改和防范措施落实</w:t>
      </w:r>
    </w:p>
    <w:p w14:paraId="187A9DA0">
      <w:pPr>
        <w:pageBreakBefore w:val="0"/>
        <w:kinsoku/>
        <w:wordWrap/>
        <w:overflowPunct w:val="0"/>
        <w:topLinePunct w:val="0"/>
        <w:bidi w:val="0"/>
        <w:snapToGrid/>
        <w:spacing w:line="72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lang w:val="en-US" w:eastAsia="zh-CN"/>
        </w:rPr>
        <w:t>专项评估报告</w:t>
      </w:r>
    </w:p>
    <w:p w14:paraId="162D4775">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1F99593E">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39B5AAB5">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5AC1DFC0">
      <w:pPr>
        <w:pStyle w:val="5"/>
        <w:rPr>
          <w:rFonts w:hint="default" w:ascii="Times New Roman" w:hAnsi="Times New Roman" w:eastAsia="黑体" w:cs="Times New Roman"/>
          <w:b w:val="0"/>
          <w:bCs w:val="0"/>
          <w:sz w:val="48"/>
          <w:szCs w:val="48"/>
        </w:rPr>
      </w:pPr>
    </w:p>
    <w:p w14:paraId="3D91186D">
      <w:pPr>
        <w:rPr>
          <w:rFonts w:hint="default" w:ascii="Times New Roman" w:hAnsi="Times New Roman" w:eastAsia="黑体" w:cs="Times New Roman"/>
          <w:b w:val="0"/>
          <w:bCs w:val="0"/>
          <w:sz w:val="48"/>
          <w:szCs w:val="48"/>
        </w:rPr>
      </w:pPr>
    </w:p>
    <w:p w14:paraId="66C656C4">
      <w:pPr>
        <w:pageBreakBefore w:val="0"/>
        <w:kinsoku/>
        <w:wordWrap/>
        <w:overflowPunct w:val="0"/>
        <w:topLinePunct w:val="0"/>
        <w:bidi w:val="0"/>
        <w:snapToGrid/>
        <w:spacing w:line="480" w:lineRule="auto"/>
        <w:ind w:firstLine="803"/>
        <w:jc w:val="center"/>
        <w:textAlignment w:val="auto"/>
        <w:rPr>
          <w:rFonts w:hint="default" w:ascii="Times New Roman" w:hAnsi="Times New Roman" w:eastAsia="黑体" w:cs="Times New Roman"/>
          <w:b w:val="0"/>
          <w:bCs w:val="0"/>
          <w:sz w:val="48"/>
          <w:szCs w:val="48"/>
        </w:rPr>
      </w:pPr>
    </w:p>
    <w:p w14:paraId="630AD6EF">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41743EDE">
      <w:pPr>
        <w:pStyle w:val="5"/>
        <w:rPr>
          <w:rFonts w:hint="default" w:ascii="Times New Roman" w:hAnsi="Times New Roman" w:eastAsia="黑体" w:cs="Times New Roman"/>
          <w:b w:val="0"/>
          <w:bCs w:val="0"/>
          <w:sz w:val="48"/>
          <w:szCs w:val="48"/>
        </w:rPr>
      </w:pPr>
    </w:p>
    <w:p w14:paraId="7B3D9CB1">
      <w:pPr>
        <w:rPr>
          <w:rFonts w:hint="default" w:ascii="Times New Roman" w:hAnsi="Times New Roman" w:eastAsia="黑体" w:cs="Times New Roman"/>
          <w:b w:val="0"/>
          <w:bCs w:val="0"/>
          <w:sz w:val="48"/>
          <w:szCs w:val="48"/>
        </w:rPr>
      </w:pPr>
    </w:p>
    <w:p w14:paraId="0EA9493D">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165556C9">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rPr>
      </w:pPr>
    </w:p>
    <w:p w14:paraId="31230E94">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lang w:val="en-US" w:eastAsia="zh-CN"/>
        </w:rPr>
      </w:pPr>
      <w:r>
        <w:rPr>
          <w:rFonts w:hint="default" w:ascii="Times New Roman" w:hAnsi="Times New Roman" w:eastAsia="黑体" w:cs="Times New Roman"/>
          <w:b w:val="0"/>
          <w:bCs w:val="0"/>
          <w:sz w:val="48"/>
          <w:szCs w:val="48"/>
        </w:rPr>
        <w:t>202</w:t>
      </w:r>
      <w:r>
        <w:rPr>
          <w:rFonts w:hint="default" w:ascii="Times New Roman" w:hAnsi="Times New Roman" w:eastAsia="黑体" w:cs="Times New Roman"/>
          <w:b w:val="0"/>
          <w:bCs w:val="0"/>
          <w:sz w:val="48"/>
          <w:szCs w:val="48"/>
          <w:lang w:val="en-US" w:eastAsia="zh-CN"/>
        </w:rPr>
        <w:t>4</w:t>
      </w:r>
      <w:r>
        <w:rPr>
          <w:rFonts w:hint="default" w:ascii="Times New Roman" w:hAnsi="Times New Roman" w:eastAsia="黑体" w:cs="Times New Roman"/>
          <w:b w:val="0"/>
          <w:bCs w:val="0"/>
          <w:sz w:val="48"/>
          <w:szCs w:val="48"/>
        </w:rPr>
        <w:t>年</w:t>
      </w:r>
      <w:r>
        <w:rPr>
          <w:rFonts w:hint="default" w:ascii="Times New Roman" w:hAnsi="Times New Roman" w:eastAsia="黑体" w:cs="Times New Roman"/>
          <w:b w:val="0"/>
          <w:bCs w:val="0"/>
          <w:sz w:val="48"/>
          <w:szCs w:val="48"/>
          <w:lang w:val="en-US" w:eastAsia="zh-CN"/>
        </w:rPr>
        <w:t>4月</w:t>
      </w:r>
    </w:p>
    <w:p w14:paraId="1CE13C0E">
      <w:pPr>
        <w:pageBreakBefore w:val="0"/>
        <w:kinsoku/>
        <w:wordWrap/>
        <w:overflowPunct w:val="0"/>
        <w:topLinePunct w:val="0"/>
        <w:bidi w:val="0"/>
        <w:snapToGrid/>
        <w:spacing w:line="480" w:lineRule="auto"/>
        <w:ind w:firstLine="0" w:firstLineChars="0"/>
        <w:jc w:val="center"/>
        <w:textAlignment w:val="auto"/>
        <w:rPr>
          <w:rFonts w:hint="default" w:ascii="Times New Roman" w:hAnsi="Times New Roman" w:eastAsia="黑体" w:cs="Times New Roman"/>
          <w:b w:val="0"/>
          <w:bCs w:val="0"/>
          <w:sz w:val="48"/>
          <w:szCs w:val="48"/>
          <w:lang w:val="en-US" w:eastAsia="zh-CN"/>
        </w:rPr>
      </w:pPr>
    </w:p>
    <w:p w14:paraId="332D04AE">
      <w:pPr>
        <w:pageBreakBefore w:val="0"/>
        <w:kinsoku/>
        <w:wordWrap/>
        <w:overflowPunct w:val="0"/>
        <w:topLinePunct w:val="0"/>
        <w:bidi w:val="0"/>
        <w:snapToGrid/>
        <w:spacing w:line="480" w:lineRule="auto"/>
        <w:ind w:firstLine="0" w:firstLineChars="0"/>
        <w:jc w:val="both"/>
        <w:textAlignment w:val="auto"/>
        <w:rPr>
          <w:rFonts w:hint="default" w:ascii="Times New Roman" w:hAnsi="Times New Roman" w:eastAsia="宋体" w:cs="Times New Roman"/>
          <w:b/>
          <w:bCs/>
          <w:sz w:val="40"/>
          <w:szCs w:val="44"/>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type="lines" w:linePitch="312" w:charSpace="0"/>
        </w:sectPr>
      </w:pPr>
      <w:r>
        <w:rPr>
          <w:rFonts w:hint="default" w:ascii="Times New Roman" w:hAnsi="Times New Roman" w:eastAsia="黑体" w:cs="Times New Roman"/>
          <w:b w:val="0"/>
          <w:bCs w:val="0"/>
          <w:sz w:val="48"/>
          <w:szCs w:val="48"/>
          <w:lang w:val="en-US" w:eastAsia="zh-CN"/>
        </w:rPr>
        <w:t xml:space="preserve">    </w:t>
      </w:r>
      <w:r>
        <w:rPr>
          <w:rFonts w:hint="default" w:ascii="Times New Roman" w:hAnsi="Times New Roman" w:cs="Times New Roman"/>
          <w:b/>
          <w:bCs/>
          <w:sz w:val="40"/>
          <w:szCs w:val="44"/>
          <w:lang w:val="en-US" w:eastAsia="zh-CN"/>
        </w:rPr>
        <w:t xml:space="preserve">                                                                                                                                                                                                                                                                                                                                                                                                                                                                                                                                                </w:t>
      </w:r>
    </w:p>
    <w:p w14:paraId="022E7AAA">
      <w:pPr>
        <w:pStyle w:val="31"/>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p>
    <w:p w14:paraId="5C9FBFF8">
      <w:pPr>
        <w:pStyle w:val="31"/>
        <w:pageBreakBefore w:val="0"/>
        <w:kinsoku/>
        <w:wordWrap/>
        <w:overflowPunct w:val="0"/>
        <w:topLinePunct w:val="0"/>
        <w:autoSpaceDE/>
        <w:autoSpaceDN/>
        <w:bidi w:val="0"/>
        <w:adjustRightInd/>
        <w:snapToGrid/>
        <w:spacing w:before="0" w:line="360" w:lineRule="auto"/>
        <w:ind w:firstLine="0" w:firstLineChars="0"/>
        <w:jc w:val="center"/>
        <w:textAlignment w:val="auto"/>
        <w:rPr>
          <w:rFonts w:hint="default" w:ascii="Times New Roman" w:hAnsi="Times New Roman" w:eastAsia="宋体" w:cs="Times New Roman"/>
          <w:b/>
          <w:bCs/>
          <w:color w:val="auto"/>
          <w:lang w:val="zh-CN"/>
        </w:rPr>
      </w:pPr>
      <w:r>
        <w:rPr>
          <w:rFonts w:hint="default" w:ascii="Times New Roman" w:hAnsi="Times New Roman" w:eastAsia="宋体" w:cs="Times New Roman"/>
          <w:b/>
          <w:bCs/>
          <w:color w:val="auto"/>
          <w:lang w:val="zh-CN"/>
        </w:rPr>
        <w:t>目 录</w:t>
      </w:r>
    </w:p>
    <w:p w14:paraId="0239F844">
      <w:pPr>
        <w:pageBreakBefore w:val="0"/>
        <w:kinsoku/>
        <w:wordWrap/>
        <w:topLinePunct w:val="0"/>
        <w:autoSpaceDE/>
        <w:autoSpaceDN/>
        <w:bidi w:val="0"/>
        <w:adjustRightInd/>
        <w:snapToGrid/>
        <w:spacing w:line="360" w:lineRule="auto"/>
        <w:ind w:firstLine="0" w:firstLineChars="0"/>
        <w:textAlignment w:val="auto"/>
        <w:rPr>
          <w:rFonts w:hint="default" w:ascii="Times New Roman" w:hAnsi="Times New Roman" w:cs="Times New Roman"/>
          <w:lang w:val="zh-CN"/>
        </w:rPr>
      </w:pPr>
    </w:p>
    <w:p w14:paraId="6219247D">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TOC \o "1-3" \h \z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_Toc28228 </w:instrText>
      </w:r>
      <w:r>
        <w:rPr>
          <w:rFonts w:hint="default" w:ascii="Times New Roman" w:hAnsi="Times New Roman" w:cs="Times New Roman"/>
        </w:rPr>
        <w:fldChar w:fldCharType="separate"/>
      </w:r>
      <w:r>
        <w:rPr>
          <w:rFonts w:hint="default" w:ascii="Times New Roman" w:hAnsi="Times New Roman" w:cs="Times New Roman"/>
          <w:kern w:val="0"/>
          <w:szCs w:val="44"/>
          <w:lang w:val="zh-CN"/>
        </w:rPr>
        <w:t>第1章 编制说明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_Toc28228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4C616816">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_Toc2641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1.1 评估目的</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_Toc2641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E322513">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_Toc14064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1.2 评估的依据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_Toc14064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C0B7A6F">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_Toc50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1.3 评估对象及范围</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_Toc50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3A9928A">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_Toc702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1.4 评估过程</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_Toc702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751DF04B">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_Toc15634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rPr>
        <w:t>2</w:t>
      </w:r>
      <w:r>
        <w:rPr>
          <w:rFonts w:hint="default" w:ascii="Times New Roman" w:hAnsi="Times New Roman" w:cs="Times New Roman"/>
          <w:kern w:val="0"/>
          <w:szCs w:val="44"/>
          <w:lang w:val="zh-CN"/>
        </w:rPr>
        <w:t>章 事故</w:t>
      </w:r>
      <w:r>
        <w:rPr>
          <w:rFonts w:hint="default" w:ascii="Times New Roman" w:hAnsi="Times New Roman" w:cs="Times New Roman"/>
          <w:kern w:val="0"/>
          <w:szCs w:val="44"/>
        </w:rPr>
        <w:t>有关情况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_Toc15634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5D1E351">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_Toc29020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2.1 事故单位情况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_Toc29020 \h </w:instrText>
      </w:r>
      <w:r>
        <w:rPr>
          <w:rFonts w:hint="default" w:ascii="Times New Roman" w:hAnsi="Times New Roman" w:cs="Times New Roman"/>
        </w:rPr>
        <w:fldChar w:fldCharType="separate"/>
      </w:r>
      <w:r>
        <w:rPr>
          <w:rFonts w:hint="default" w:ascii="Times New Roman" w:hAnsi="Times New Roman" w:cs="Times New Roman"/>
        </w:rPr>
        <w:t>2</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1791262">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_Toc28442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2.2 事故发生经过</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_Toc28442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612AFC80">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_Toc6329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rPr>
        <w:t>2.3 事故原因分析</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_Toc6329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5CD7F5F">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_Toc6977 </w:instrText>
      </w:r>
      <w:r>
        <w:rPr>
          <w:rFonts w:hint="default" w:ascii="Times New Roman" w:hAnsi="Times New Roman" w:cs="Times New Roman"/>
          <w:bCs/>
          <w:lang w:val="zh-CN"/>
        </w:rPr>
        <w:fldChar w:fldCharType="separate"/>
      </w:r>
      <w:r>
        <w:rPr>
          <w:rFonts w:hint="default" w:ascii="Times New Roman" w:hAnsi="Times New Roman" w:cs="Times New Roman"/>
          <w:szCs w:val="28"/>
        </w:rPr>
        <w:t>2.3.1事故直接原因</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_Toc6977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9BFDD26">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_Toc7598 </w:instrText>
      </w:r>
      <w:r>
        <w:rPr>
          <w:rFonts w:hint="default" w:ascii="Times New Roman" w:hAnsi="Times New Roman" w:cs="Times New Roman"/>
          <w:bCs/>
          <w:lang w:val="zh-CN"/>
        </w:rPr>
        <w:fldChar w:fldCharType="separate"/>
      </w:r>
      <w:r>
        <w:rPr>
          <w:rFonts w:hint="default" w:ascii="Times New Roman" w:hAnsi="Times New Roman" w:cs="Times New Roman"/>
          <w:szCs w:val="28"/>
        </w:rPr>
        <w:t>2.3.2事故间接原因</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_Toc7598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37B01B3A">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_Toc8139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3</w:t>
      </w:r>
      <w:r>
        <w:rPr>
          <w:rFonts w:hint="default" w:ascii="Times New Roman" w:hAnsi="Times New Roman" w:cs="Times New Roman"/>
          <w:kern w:val="0"/>
          <w:szCs w:val="44"/>
          <w:lang w:val="zh-CN"/>
        </w:rPr>
        <w:t>章 事故</w:t>
      </w:r>
      <w:r>
        <w:rPr>
          <w:rFonts w:hint="default" w:ascii="Times New Roman" w:hAnsi="Times New Roman" w:cs="Times New Roman"/>
          <w:kern w:val="0"/>
          <w:szCs w:val="44"/>
          <w:lang w:val="en-US" w:eastAsia="zh-CN"/>
        </w:rPr>
        <w:t>责任追究和处罚落实</w:t>
      </w:r>
      <w:r>
        <w:rPr>
          <w:rFonts w:hint="default" w:ascii="Times New Roman" w:hAnsi="Times New Roman" w:cs="Times New Roman"/>
          <w:kern w:val="0"/>
          <w:szCs w:val="44"/>
        </w:rPr>
        <w:t>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_Toc8139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A4793DE">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_Toc18161 </w:instrText>
      </w:r>
      <w:r>
        <w:rPr>
          <w:rFonts w:hint="default" w:ascii="Times New Roman" w:hAnsi="Times New Roman" w:cs="Times New Roman"/>
          <w:bCs/>
          <w:lang w:val="zh-CN"/>
        </w:rPr>
        <w:fldChar w:fldCharType="separate"/>
      </w:r>
      <w:r>
        <w:rPr>
          <w:rFonts w:hint="default" w:ascii="Times New Roman" w:hAnsi="Times New Roman" w:eastAsia="宋体" w:cs="Times New Roman"/>
          <w:bCs/>
          <w:kern w:val="0"/>
          <w:szCs w:val="28"/>
          <w:lang w:val="en-US" w:eastAsia="zh-CN"/>
        </w:rPr>
        <w:t>3.</w:t>
      </w:r>
      <w:r>
        <w:rPr>
          <w:rFonts w:hint="default" w:ascii="Times New Roman" w:hAnsi="Times New Roman" w:cs="Times New Roman"/>
          <w:bCs/>
          <w:kern w:val="0"/>
          <w:szCs w:val="28"/>
          <w:lang w:val="en-US" w:eastAsia="zh-CN"/>
        </w:rPr>
        <w:t>1</w:t>
      </w:r>
      <w:r>
        <w:rPr>
          <w:rFonts w:hint="default" w:ascii="Times New Roman" w:hAnsi="Times New Roman" w:eastAsia="宋体" w:cs="Times New Roman"/>
          <w:bCs/>
          <w:kern w:val="0"/>
          <w:szCs w:val="28"/>
          <w:lang w:val="en-US" w:eastAsia="zh-CN"/>
        </w:rPr>
        <w:t xml:space="preserve"> </w:t>
      </w:r>
      <w:r>
        <w:rPr>
          <w:rFonts w:hint="default" w:ascii="Times New Roman" w:hAnsi="Times New Roman" w:cs="Times New Roman"/>
          <w:szCs w:val="28"/>
          <w:lang w:val="en-US" w:eastAsia="zh-CN"/>
        </w:rPr>
        <w:t>追究刑事责任的人员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_Toc18161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986780B">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_Toc11260 </w:instrText>
      </w:r>
      <w:r>
        <w:rPr>
          <w:rFonts w:hint="default" w:ascii="Times New Roman" w:hAnsi="Times New Roman" w:cs="Times New Roman"/>
          <w:bCs/>
          <w:lang w:val="zh-CN"/>
        </w:rPr>
        <w:fldChar w:fldCharType="separate"/>
      </w:r>
      <w:r>
        <w:rPr>
          <w:rFonts w:hint="default" w:ascii="Times New Roman" w:hAnsi="Times New Roman" w:eastAsia="宋体" w:cs="Times New Roman"/>
          <w:bCs/>
          <w:kern w:val="0"/>
          <w:szCs w:val="28"/>
          <w:lang w:val="en-US" w:eastAsia="zh-CN"/>
        </w:rPr>
        <w:t>3.</w:t>
      </w:r>
      <w:r>
        <w:rPr>
          <w:rFonts w:hint="default" w:ascii="Times New Roman" w:hAnsi="Times New Roman" w:cs="Times New Roman"/>
          <w:bCs/>
          <w:kern w:val="0"/>
          <w:szCs w:val="28"/>
          <w:lang w:val="en-US" w:eastAsia="zh-CN"/>
        </w:rPr>
        <w:t>2</w:t>
      </w:r>
      <w:r>
        <w:rPr>
          <w:rFonts w:hint="default" w:ascii="Times New Roman" w:hAnsi="Times New Roman" w:eastAsia="宋体" w:cs="Times New Roman"/>
          <w:bCs/>
          <w:kern w:val="0"/>
          <w:szCs w:val="28"/>
          <w:lang w:val="en-US" w:eastAsia="zh-CN"/>
        </w:rPr>
        <w:t xml:space="preserve"> 给予行政处罚的单位及人员</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_Toc11260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5A810328">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_Toc1173 </w:instrText>
      </w:r>
      <w:r>
        <w:rPr>
          <w:rFonts w:hint="default" w:ascii="Times New Roman" w:hAnsi="Times New Roman" w:cs="Times New Roman"/>
          <w:bCs/>
          <w:lang w:val="zh-CN"/>
        </w:rPr>
        <w:fldChar w:fldCharType="separate"/>
      </w:r>
      <w:r>
        <w:rPr>
          <w:rFonts w:hint="default" w:ascii="Times New Roman" w:hAnsi="Times New Roman" w:cs="Times New Roman"/>
          <w:kern w:val="0"/>
          <w:szCs w:val="44"/>
          <w:lang w:val="zh-CN"/>
        </w:rPr>
        <w:t>第</w:t>
      </w:r>
      <w:r>
        <w:rPr>
          <w:rFonts w:hint="default" w:ascii="Times New Roman" w:hAnsi="Times New Roman" w:cs="Times New Roman"/>
          <w:kern w:val="0"/>
          <w:szCs w:val="44"/>
          <w:lang w:val="en-US" w:eastAsia="zh-CN"/>
        </w:rPr>
        <w:t>4</w:t>
      </w:r>
      <w:r>
        <w:rPr>
          <w:rFonts w:hint="default" w:ascii="Times New Roman" w:hAnsi="Times New Roman" w:cs="Times New Roman"/>
          <w:kern w:val="0"/>
          <w:szCs w:val="44"/>
          <w:lang w:val="zh-CN"/>
        </w:rPr>
        <w:t>章 事故责任单位整改</w:t>
      </w:r>
      <w:r>
        <w:rPr>
          <w:rFonts w:hint="default" w:ascii="Times New Roman" w:hAnsi="Times New Roman" w:cs="Times New Roman"/>
          <w:kern w:val="0"/>
          <w:szCs w:val="44"/>
          <w:lang w:val="en-US" w:eastAsia="zh-CN"/>
        </w:rPr>
        <w:t>和防范</w:t>
      </w:r>
      <w:r>
        <w:rPr>
          <w:rFonts w:hint="default" w:ascii="Times New Roman" w:hAnsi="Times New Roman" w:cs="Times New Roman"/>
          <w:kern w:val="0"/>
          <w:szCs w:val="44"/>
          <w:lang w:val="zh-CN"/>
        </w:rPr>
        <w:t>措施落实情况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_Toc1173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EA5FBAA">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_Toc24071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 xml:space="preserve">.1 </w:t>
      </w:r>
      <w:r>
        <w:rPr>
          <w:rFonts w:hint="default" w:ascii="Times New Roman" w:hAnsi="Times New Roman" w:cs="Times New Roman"/>
          <w:bCs/>
          <w:kern w:val="0"/>
          <w:szCs w:val="28"/>
          <w:lang w:val="en-US" w:eastAsia="zh-CN"/>
        </w:rPr>
        <w:t>石油科技交流中心落实情况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_Toc24071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1D7F78FB">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_Toc30893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4.1.1 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_Toc30893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6</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4629107">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_Toc443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4.1.2 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_Toc443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7</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0EFBE83">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_Toc12736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4.1.3 安全现状评估情况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_Toc12736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8</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31990A93">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_Toc32143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2</w:t>
      </w:r>
      <w:r>
        <w:rPr>
          <w:rFonts w:hint="default" w:ascii="Times New Roman" w:hAnsi="Times New Roman" w:eastAsia="宋体" w:cs="Times New Roman"/>
          <w:bCs/>
          <w:kern w:val="0"/>
          <w:szCs w:val="28"/>
        </w:rPr>
        <w:t xml:space="preserve"> </w:t>
      </w:r>
      <w:r>
        <w:rPr>
          <w:rFonts w:hint="default" w:ascii="Times New Roman" w:hAnsi="Times New Roman" w:cs="Times New Roman"/>
          <w:bCs/>
          <w:kern w:val="0"/>
          <w:szCs w:val="28"/>
          <w:lang w:val="en-US" w:eastAsia="zh-CN"/>
        </w:rPr>
        <w:t>区体育局落实情况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_Toc32143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22EF174E">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_Toc3641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4.2.1 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_Toc3641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79D288D0">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_Toc10476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4.2.2 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_Toc10476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9</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34867FFE">
      <w:pPr>
        <w:pStyle w:val="15"/>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_Toc14323 </w:instrText>
      </w:r>
      <w:r>
        <w:rPr>
          <w:rFonts w:hint="default" w:ascii="Times New Roman" w:hAnsi="Times New Roman" w:cs="Times New Roman"/>
          <w:bCs/>
          <w:lang w:val="zh-CN"/>
        </w:rPr>
        <w:fldChar w:fldCharType="separate"/>
      </w:r>
      <w:r>
        <w:rPr>
          <w:rFonts w:hint="default" w:ascii="Times New Roman" w:hAnsi="Times New Roman" w:cs="Times New Roman"/>
          <w:bCs/>
          <w:kern w:val="0"/>
          <w:szCs w:val="28"/>
          <w:lang w:val="en-US" w:eastAsia="zh-CN"/>
        </w:rPr>
        <w:t>4</w:t>
      </w:r>
      <w:r>
        <w:rPr>
          <w:rFonts w:hint="default" w:ascii="Times New Roman" w:hAnsi="Times New Roman" w:eastAsia="宋体" w:cs="Times New Roman"/>
          <w:bCs/>
          <w:kern w:val="0"/>
          <w:szCs w:val="28"/>
        </w:rPr>
        <w:t>.</w:t>
      </w:r>
      <w:r>
        <w:rPr>
          <w:rFonts w:hint="default" w:ascii="Times New Roman" w:hAnsi="Times New Roman" w:cs="Times New Roman"/>
          <w:bCs/>
          <w:kern w:val="0"/>
          <w:szCs w:val="28"/>
          <w:lang w:val="en-US" w:eastAsia="zh-CN"/>
        </w:rPr>
        <w:t>3</w:t>
      </w:r>
      <w:r>
        <w:rPr>
          <w:rFonts w:hint="default" w:ascii="Times New Roman" w:hAnsi="Times New Roman" w:eastAsia="宋体" w:cs="Times New Roman"/>
          <w:bCs/>
          <w:kern w:val="0"/>
          <w:szCs w:val="28"/>
        </w:rPr>
        <w:t xml:space="preserve"> </w:t>
      </w:r>
      <w:r>
        <w:rPr>
          <w:rFonts w:hint="default" w:ascii="Times New Roman" w:hAnsi="Times New Roman" w:cs="Times New Roman"/>
          <w:bCs/>
          <w:kern w:val="0"/>
          <w:szCs w:val="28"/>
          <w:lang w:val="en-US" w:eastAsia="zh-CN"/>
        </w:rPr>
        <w:t>沙河镇政府落实情况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_Toc14323 \h </w:instrText>
      </w:r>
      <w:r>
        <w:rPr>
          <w:rFonts w:hint="default" w:ascii="Times New Roman" w:hAnsi="Times New Roman" w:cs="Times New Roman"/>
        </w:rPr>
        <w:fldChar w:fldCharType="separate"/>
      </w:r>
      <w:r>
        <w:rPr>
          <w:rFonts w:hint="default" w:ascii="Times New Roman" w:hAnsi="Times New Roman" w:cs="Times New Roman"/>
        </w:rPr>
        <w:t>11</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0CA09898">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_Toc24041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4.3.1 事故整改和防范措施</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_Toc24041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4F4DF0A8">
      <w:pPr>
        <w:pStyle w:val="9"/>
        <w:keepNext w:val="0"/>
        <w:keepLines w:val="0"/>
        <w:pageBreakBefore w:val="0"/>
        <w:widowControl w:val="0"/>
        <w:tabs>
          <w:tab w:val="right" w:leader="dot" w:pos="8306"/>
        </w:tabs>
        <w:kinsoku/>
        <w:wordWrap/>
        <w:overflowPunct/>
        <w:topLinePunct w:val="0"/>
        <w:autoSpaceDE/>
        <w:autoSpaceDN/>
        <w:bidi w:val="0"/>
        <w:adjustRightInd/>
        <w:snapToGrid/>
        <w:ind w:left="0" w:leftChars="0" w:firstLine="1120" w:firstLineChars="400"/>
        <w:textAlignment w:val="auto"/>
        <w:rPr>
          <w:rFonts w:hint="default" w:ascii="Times New Roman" w:hAnsi="Times New Roman" w:cs="Times New Roman"/>
          <w:bCs/>
          <w:lang w:val="zh-C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_Toc24981 </w:instrText>
      </w:r>
      <w:r>
        <w:rPr>
          <w:rFonts w:hint="default" w:ascii="Times New Roman" w:hAnsi="Times New Roman" w:cs="Times New Roman"/>
          <w:bCs/>
          <w:lang w:val="zh-CN"/>
        </w:rPr>
        <w:fldChar w:fldCharType="separate"/>
      </w:r>
      <w:r>
        <w:rPr>
          <w:rFonts w:hint="default" w:ascii="Times New Roman" w:hAnsi="Times New Roman" w:cs="Times New Roman"/>
          <w:bCs/>
          <w:lang w:val="en-US" w:eastAsia="zh-CN"/>
        </w:rPr>
        <w:t>4.3.2 具体落实情况</w:t>
      </w:r>
      <w:r>
        <w:rPr>
          <w:rFonts w:hint="default" w:ascii="Times New Roman" w:hAnsi="Times New Roman" w:cs="Times New Roman"/>
          <w:bCs/>
          <w:lang w:val="zh-CN"/>
        </w:rPr>
        <w:tab/>
      </w: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PAGEREF _Toc24981 \h </w:instrText>
      </w:r>
      <w:r>
        <w:rPr>
          <w:rFonts w:hint="default" w:ascii="Times New Roman" w:hAnsi="Times New Roman" w:cs="Times New Roman"/>
          <w:bCs/>
          <w:lang w:val="zh-CN"/>
        </w:rPr>
        <w:fldChar w:fldCharType="separate"/>
      </w:r>
      <w:r>
        <w:rPr>
          <w:rFonts w:hint="default" w:ascii="Times New Roman" w:hAnsi="Times New Roman" w:cs="Times New Roman"/>
          <w:bCs/>
          <w:lang w:val="zh-CN"/>
        </w:rPr>
        <w:t>11</w:t>
      </w:r>
      <w:r>
        <w:rPr>
          <w:rFonts w:hint="default" w:ascii="Times New Roman" w:hAnsi="Times New Roman" w:cs="Times New Roman"/>
          <w:bCs/>
          <w:lang w:val="zh-CN"/>
        </w:rPr>
        <w:fldChar w:fldCharType="end"/>
      </w:r>
      <w:r>
        <w:rPr>
          <w:rFonts w:hint="default" w:ascii="Times New Roman" w:hAnsi="Times New Roman" w:cs="Times New Roman"/>
          <w:bCs/>
          <w:lang w:val="zh-CN"/>
        </w:rPr>
        <w:fldChar w:fldCharType="end"/>
      </w:r>
    </w:p>
    <w:p w14:paraId="5C103630">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rPr>
      </w:pPr>
      <w:r>
        <w:rPr>
          <w:rFonts w:hint="default" w:ascii="Times New Roman" w:hAnsi="Times New Roman" w:cs="Times New Roman"/>
          <w:bCs/>
          <w:lang w:val="zh-CN"/>
        </w:rPr>
        <w:fldChar w:fldCharType="begin"/>
      </w:r>
      <w:r>
        <w:rPr>
          <w:rFonts w:hint="default" w:ascii="Times New Roman" w:hAnsi="Times New Roman" w:cs="Times New Roman"/>
          <w:bCs/>
          <w:lang w:val="zh-CN"/>
        </w:rPr>
        <w:instrText xml:space="preserve"> HYPERLINK \l _Toc27098 </w:instrText>
      </w:r>
      <w:r>
        <w:rPr>
          <w:rFonts w:hint="default" w:ascii="Times New Roman" w:hAnsi="Times New Roman" w:cs="Times New Roman"/>
          <w:bCs/>
          <w:lang w:val="zh-CN"/>
        </w:rPr>
        <w:fldChar w:fldCharType="separate"/>
      </w:r>
      <w:r>
        <w:rPr>
          <w:rFonts w:hint="default" w:ascii="Times New Roman" w:hAnsi="Times New Roman" w:eastAsia="宋体" w:cs="Times New Roman"/>
          <w:kern w:val="0"/>
          <w:szCs w:val="44"/>
          <w:lang w:val="zh-CN"/>
        </w:rPr>
        <w:t>第5章 评估结论</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_Toc27098 \h </w:instrText>
      </w:r>
      <w:r>
        <w:rPr>
          <w:rFonts w:hint="default" w:ascii="Times New Roman" w:hAnsi="Times New Roman" w:cs="Times New Roman"/>
        </w:rPr>
        <w:fldChar w:fldCharType="separate"/>
      </w:r>
      <w:r>
        <w:rPr>
          <w:rFonts w:hint="default" w:ascii="Times New Roman" w:hAnsi="Times New Roman" w:cs="Times New Roman"/>
        </w:rPr>
        <w:t>14</w:t>
      </w:r>
      <w:r>
        <w:rPr>
          <w:rFonts w:hint="default" w:ascii="Times New Roman" w:hAnsi="Times New Roman" w:cs="Times New Roman"/>
        </w:rPr>
        <w:fldChar w:fldCharType="end"/>
      </w:r>
      <w:r>
        <w:rPr>
          <w:rFonts w:hint="default" w:ascii="Times New Roman" w:hAnsi="Times New Roman" w:cs="Times New Roman"/>
          <w:bCs/>
          <w:lang w:val="zh-CN"/>
        </w:rPr>
        <w:fldChar w:fldCharType="end"/>
      </w:r>
    </w:p>
    <w:p w14:paraId="4C0FE295">
      <w:pPr>
        <w:pStyle w:val="13"/>
        <w:keepNext w:val="0"/>
        <w:keepLines w:val="0"/>
        <w:pageBreakBefore w:val="0"/>
        <w:widowControl w:val="0"/>
        <w:tabs>
          <w:tab w:val="right" w:leader="dot" w:pos="8306"/>
        </w:tabs>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rPr>
      </w:pPr>
      <w:r>
        <w:rPr>
          <w:rFonts w:hint="default" w:ascii="Times New Roman" w:hAnsi="Times New Roman" w:cs="Times New Roman"/>
          <w:bCs/>
          <w:lang w:val="zh-CN"/>
        </w:rPr>
        <w:fldChar w:fldCharType="end"/>
      </w:r>
    </w:p>
    <w:p w14:paraId="25C1F533">
      <w:pPr>
        <w:pageBreakBefore w:val="0"/>
        <w:kinsoku/>
        <w:wordWrap/>
        <w:overflowPunct w:val="0"/>
        <w:topLinePunct w:val="0"/>
        <w:bidi w:val="0"/>
        <w:snapToGrid/>
        <w:spacing w:line="480" w:lineRule="auto"/>
        <w:ind w:firstLine="803"/>
        <w:jc w:val="center"/>
        <w:textAlignment w:val="auto"/>
        <w:rPr>
          <w:rFonts w:hint="default" w:ascii="Times New Roman" w:hAnsi="Times New Roman" w:cs="Times New Roman"/>
          <w:b/>
          <w:bCs/>
          <w:sz w:val="40"/>
          <w:szCs w:val="44"/>
        </w:rPr>
        <w:sectPr>
          <w:footerReference r:id="rId11" w:type="default"/>
          <w:pgSz w:w="11906" w:h="16838"/>
          <w:pgMar w:top="1440" w:right="1800" w:bottom="1440" w:left="1800" w:header="851" w:footer="992" w:gutter="0"/>
          <w:pgNumType w:fmt="upperRoman" w:start="1"/>
          <w:cols w:space="720" w:num="1"/>
          <w:docGrid w:type="lines" w:linePitch="312" w:charSpace="0"/>
        </w:sectPr>
      </w:pPr>
    </w:p>
    <w:p w14:paraId="50F9A3F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0" w:name="_Toc6024"/>
      <w:bookmarkStart w:id="1" w:name="_Toc28228"/>
      <w:bookmarkStart w:id="2" w:name="_Toc529967234"/>
      <w:bookmarkStart w:id="3" w:name="_Toc14693"/>
      <w:r>
        <w:rPr>
          <w:rFonts w:hint="default" w:ascii="Times New Roman" w:hAnsi="Times New Roman" w:cs="Times New Roman"/>
          <w:b/>
          <w:kern w:val="0"/>
          <w:sz w:val="32"/>
          <w:szCs w:val="44"/>
          <w:lang w:val="zh-CN"/>
        </w:rPr>
        <w:t>第1章 编制说明</w:t>
      </w:r>
      <w:bookmarkEnd w:id="0"/>
      <w:bookmarkEnd w:id="1"/>
      <w:bookmarkEnd w:id="2"/>
      <w:bookmarkEnd w:id="3"/>
    </w:p>
    <w:p w14:paraId="15126A84">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4" w:name="_Toc2641"/>
      <w:bookmarkStart w:id="5" w:name="_Toc529967235"/>
      <w:bookmarkStart w:id="6" w:name="_Toc9366"/>
      <w:bookmarkStart w:id="7" w:name="_Toc12759"/>
      <w:r>
        <w:rPr>
          <w:rFonts w:hint="default" w:ascii="Times New Roman" w:hAnsi="Times New Roman" w:cs="Times New Roman"/>
          <w:b/>
          <w:bCs/>
          <w:kern w:val="0"/>
          <w:szCs w:val="28"/>
        </w:rPr>
        <w:t>1.1 评估目的</w:t>
      </w:r>
      <w:bookmarkEnd w:id="4"/>
      <w:bookmarkEnd w:id="5"/>
      <w:bookmarkEnd w:id="6"/>
      <w:bookmarkEnd w:id="7"/>
    </w:p>
    <w:p w14:paraId="75CEDFE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对石油科技交流中心游泳馆</w:t>
      </w:r>
      <w:r>
        <w:rPr>
          <w:rFonts w:hint="eastAsia" w:ascii="Times New Roman" w:hAnsi="Times New Roman" w:cs="Times New Roman"/>
          <w:lang w:eastAsia="zh-CN"/>
        </w:rPr>
        <w:t>“</w:t>
      </w:r>
      <w:r>
        <w:rPr>
          <w:rFonts w:hint="default" w:ascii="Times New Roman" w:hAnsi="Times New Roman" w:cs="Times New Roman"/>
        </w:rPr>
        <w:t>3</w:t>
      </w:r>
      <w:r>
        <w:rPr>
          <w:rFonts w:hint="eastAsia" w:ascii="Times New Roman" w:hAnsi="Times New Roman" w:cs="Times New Roman"/>
          <w:lang w:eastAsia="zh-CN"/>
        </w:rPr>
        <w:t>·</w:t>
      </w:r>
      <w:r>
        <w:rPr>
          <w:rFonts w:hint="default" w:ascii="Times New Roman" w:hAnsi="Times New Roman" w:cs="Times New Roman"/>
        </w:rPr>
        <w:t>17</w:t>
      </w:r>
      <w:r>
        <w:rPr>
          <w:rFonts w:hint="eastAsia" w:ascii="Times New Roman" w:hAnsi="Times New Roman" w:cs="Times New Roman"/>
          <w:lang w:eastAsia="zh-CN"/>
        </w:rPr>
        <w:t>”</w:t>
      </w:r>
      <w:r>
        <w:rPr>
          <w:rFonts w:hint="default" w:ascii="Times New Roman" w:hAnsi="Times New Roman" w:cs="Times New Roman"/>
        </w:rPr>
        <w:t>一般生产安全事故整改</w:t>
      </w:r>
      <w:r>
        <w:rPr>
          <w:rFonts w:hint="default" w:ascii="Times New Roman" w:hAnsi="Times New Roman" w:cs="Times New Roman"/>
          <w:lang w:val="en-US" w:eastAsia="zh-CN"/>
        </w:rPr>
        <w:t>和防范</w:t>
      </w:r>
      <w:r>
        <w:rPr>
          <w:rFonts w:hint="default" w:ascii="Times New Roman" w:hAnsi="Times New Roman" w:cs="Times New Roman"/>
        </w:rPr>
        <w:t>措施落实情况评估的主要目的有：</w:t>
      </w:r>
    </w:p>
    <w:p w14:paraId="281739C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1. 进一步监督企业对安全生产违法行为进行整改，对事故隐患进行排查，采取纠正预防措施，切实加强安全生产工作；</w:t>
      </w:r>
    </w:p>
    <w:p w14:paraId="751EFF2B">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2. 排查企业存在的同类事故隐患和安全风险，进一步落实企业安全生产主体责任，进一步</w:t>
      </w:r>
      <w:r>
        <w:rPr>
          <w:rFonts w:hint="default" w:ascii="Times New Roman" w:hAnsi="Times New Roman" w:cs="Times New Roman"/>
          <w:lang w:val="en-US" w:eastAsia="zh-CN"/>
        </w:rPr>
        <w:t>评估分析</w:t>
      </w:r>
      <w:r>
        <w:rPr>
          <w:rFonts w:hint="default" w:ascii="Times New Roman" w:hAnsi="Times New Roman" w:cs="Times New Roman"/>
        </w:rPr>
        <w:t>事故责任追究和整改措施</w:t>
      </w:r>
      <w:r>
        <w:rPr>
          <w:rFonts w:hint="default" w:ascii="Times New Roman" w:hAnsi="Times New Roman" w:cs="Times New Roman"/>
          <w:lang w:val="en-US" w:eastAsia="zh-CN"/>
        </w:rPr>
        <w:t>落实情况</w:t>
      </w:r>
      <w:r>
        <w:rPr>
          <w:rFonts w:hint="default" w:ascii="Times New Roman" w:hAnsi="Times New Roman" w:cs="Times New Roman"/>
        </w:rPr>
        <w:t>，切实加强企业安全生产工作。</w:t>
      </w:r>
    </w:p>
    <w:p w14:paraId="06AC9962">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8" w:name="_Toc13196"/>
      <w:bookmarkStart w:id="9" w:name="_Toc529967236"/>
      <w:bookmarkStart w:id="10" w:name="_Toc14064"/>
      <w:bookmarkStart w:id="11" w:name="_Toc715"/>
      <w:r>
        <w:rPr>
          <w:rFonts w:hint="default" w:ascii="Times New Roman" w:hAnsi="Times New Roman" w:cs="Times New Roman"/>
          <w:b/>
          <w:bCs/>
          <w:kern w:val="0"/>
          <w:szCs w:val="28"/>
        </w:rPr>
        <w:t>1.2 评估的依据</w:t>
      </w:r>
      <w:bookmarkEnd w:id="8"/>
      <w:bookmarkEnd w:id="9"/>
      <w:bookmarkEnd w:id="10"/>
      <w:bookmarkEnd w:id="11"/>
    </w:p>
    <w:p w14:paraId="2DB73C7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eastAsia="zh-CN"/>
        </w:rPr>
        <w:t>石油科技交流中心游泳馆</w:t>
      </w:r>
      <w:r>
        <w:rPr>
          <w:rFonts w:hint="eastAsia" w:ascii="Times New Roman" w:hAnsi="Times New Roman" w:cs="Times New Roman"/>
          <w:lang w:eastAsia="zh-CN"/>
        </w:rPr>
        <w:t>“</w:t>
      </w:r>
      <w:r>
        <w:rPr>
          <w:rFonts w:hint="default" w:ascii="Times New Roman" w:hAnsi="Times New Roman" w:cs="Times New Roman"/>
          <w:lang w:val="en-US" w:eastAsia="zh-CN"/>
        </w:rPr>
        <w:t>3</w:t>
      </w:r>
      <w:r>
        <w:rPr>
          <w:rFonts w:hint="eastAsia" w:ascii="Times New Roman" w:hAnsi="Times New Roman" w:cs="Times New Roman"/>
          <w:lang w:val="en-US" w:eastAsia="zh-CN"/>
        </w:rPr>
        <w:t>·</w:t>
      </w:r>
      <w:r>
        <w:rPr>
          <w:rFonts w:hint="default" w:ascii="Times New Roman" w:hAnsi="Times New Roman" w:cs="Times New Roman"/>
          <w:lang w:val="en-US" w:eastAsia="zh-CN"/>
        </w:rPr>
        <w:t>17</w:t>
      </w:r>
      <w:r>
        <w:rPr>
          <w:rFonts w:hint="eastAsia" w:ascii="Times New Roman" w:hAnsi="Times New Roman" w:cs="Times New Roman"/>
          <w:lang w:eastAsia="zh-CN"/>
        </w:rPr>
        <w:t>”</w:t>
      </w:r>
      <w:r>
        <w:rPr>
          <w:rFonts w:hint="default" w:ascii="Times New Roman" w:hAnsi="Times New Roman" w:cs="Times New Roman"/>
        </w:rPr>
        <w:t>一般生产安全事故整改</w:t>
      </w:r>
      <w:r>
        <w:rPr>
          <w:rFonts w:hint="default" w:ascii="Times New Roman" w:hAnsi="Times New Roman" w:cs="Times New Roman"/>
          <w:lang w:val="en-US" w:eastAsia="zh-CN"/>
        </w:rPr>
        <w:t>和防范</w:t>
      </w:r>
      <w:r>
        <w:rPr>
          <w:rFonts w:hint="default" w:ascii="Times New Roman" w:hAnsi="Times New Roman" w:cs="Times New Roman"/>
        </w:rPr>
        <w:t>措施落实情况评估工作，主要依据如下：</w:t>
      </w:r>
    </w:p>
    <w:p w14:paraId="77B9D7CA">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1.《中华人民共和国安全生产法》</w:t>
      </w:r>
    </w:p>
    <w:p w14:paraId="4DAFE03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szCs w:val="28"/>
        </w:rPr>
      </w:pPr>
      <w:r>
        <w:rPr>
          <w:rFonts w:hint="default" w:ascii="Times New Roman" w:hAnsi="Times New Roman" w:cs="Times New Roman"/>
          <w:szCs w:val="28"/>
          <w:lang w:val="en-US" w:eastAsia="zh-CN"/>
        </w:rPr>
        <w:t>2</w:t>
      </w:r>
      <w:r>
        <w:rPr>
          <w:rFonts w:hint="default" w:ascii="Times New Roman" w:hAnsi="Times New Roman" w:cs="Times New Roman"/>
          <w:szCs w:val="28"/>
        </w:rPr>
        <w:t>.《生产安全事故报告和调查处理条例》</w:t>
      </w:r>
    </w:p>
    <w:p w14:paraId="1321985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szCs w:val="28"/>
        </w:rPr>
      </w:pPr>
      <w:r>
        <w:rPr>
          <w:rFonts w:hint="default" w:ascii="Times New Roman" w:hAnsi="Times New Roman" w:cs="Times New Roman"/>
          <w:szCs w:val="28"/>
          <w:lang w:val="en-US" w:eastAsia="zh-CN"/>
        </w:rPr>
        <w:t>3</w:t>
      </w:r>
      <w:r>
        <w:rPr>
          <w:rFonts w:hint="default" w:ascii="Times New Roman" w:hAnsi="Times New Roman" w:cs="Times New Roman"/>
          <w:szCs w:val="28"/>
        </w:rPr>
        <w:t>.《北京市生产安全事故隐患排查治理办法》</w:t>
      </w:r>
    </w:p>
    <w:p w14:paraId="40C6D6E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.《北京市生产安全事故整改和防范措施落实情况评估办法》</w:t>
      </w:r>
    </w:p>
    <w:p w14:paraId="4096DD1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《北京市体育运动项目经营单位安全生产规定》</w:t>
      </w:r>
    </w:p>
    <w:p w14:paraId="49177DE7">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w:t>
      </w:r>
      <w:r>
        <w:rPr>
          <w:rFonts w:hint="default" w:ascii="Times New Roman" w:hAnsi="Times New Roman" w:eastAsia="宋体" w:cs="Times New Roman"/>
          <w:lang w:val="en-US" w:eastAsia="zh-CN"/>
        </w:rPr>
        <w:t>体育场所开放条件与技术要求（第一部分：游泳场所）</w:t>
      </w:r>
      <w:r>
        <w:rPr>
          <w:rFonts w:hint="default" w:ascii="Times New Roman" w:hAnsi="Times New Roman" w:cs="Times New Roman"/>
        </w:rPr>
        <w:t>》</w:t>
      </w:r>
    </w:p>
    <w:p w14:paraId="72BD463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w:t>
      </w:r>
      <w:r>
        <w:rPr>
          <w:rFonts w:hint="default" w:ascii="Times New Roman" w:hAnsi="Times New Roman" w:cs="Times New Roman"/>
          <w:lang w:eastAsia="zh-CN"/>
        </w:rPr>
        <w:t>石油科技交流中心游泳馆</w:t>
      </w:r>
      <w:r>
        <w:rPr>
          <w:rFonts w:hint="eastAsia" w:ascii="Times New Roman" w:hAnsi="Times New Roman" w:cs="Times New Roman"/>
          <w:lang w:eastAsia="zh-CN"/>
        </w:rPr>
        <w:t>“</w:t>
      </w:r>
      <w:r>
        <w:rPr>
          <w:rFonts w:hint="default" w:ascii="Times New Roman" w:hAnsi="Times New Roman" w:cs="Times New Roman"/>
          <w:lang w:val="en-US" w:eastAsia="zh-CN"/>
        </w:rPr>
        <w:t>3</w:t>
      </w:r>
      <w:r>
        <w:rPr>
          <w:rFonts w:hint="eastAsia" w:ascii="Times New Roman" w:hAnsi="Times New Roman" w:cs="Times New Roman"/>
          <w:lang w:val="en-US" w:eastAsia="zh-CN"/>
        </w:rPr>
        <w:t>·</w:t>
      </w:r>
      <w:r>
        <w:rPr>
          <w:rFonts w:hint="default" w:ascii="Times New Roman" w:hAnsi="Times New Roman" w:cs="Times New Roman"/>
          <w:lang w:val="en-US" w:eastAsia="zh-CN"/>
        </w:rPr>
        <w:t>17</w:t>
      </w:r>
      <w:r>
        <w:rPr>
          <w:rFonts w:hint="eastAsia" w:ascii="Times New Roman" w:hAnsi="Times New Roman" w:cs="Times New Roman"/>
          <w:lang w:eastAsia="zh-CN"/>
        </w:rPr>
        <w:t>”</w:t>
      </w:r>
      <w:r>
        <w:rPr>
          <w:rFonts w:hint="default" w:ascii="Times New Roman" w:hAnsi="Times New Roman" w:cs="Times New Roman"/>
        </w:rPr>
        <w:t>一般生产安全事故调查报告》</w:t>
      </w:r>
    </w:p>
    <w:p w14:paraId="43D9BBD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rPr>
        <w:t>其他有关法律法规和标准规范</w:t>
      </w:r>
    </w:p>
    <w:p w14:paraId="1D671CE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lang w:val="en-US" w:eastAsia="zh-CN"/>
        </w:rPr>
        <w:t>9</w:t>
      </w:r>
      <w:r>
        <w:rPr>
          <w:rFonts w:hint="default" w:ascii="Times New Roman" w:hAnsi="Times New Roman" w:cs="Times New Roman"/>
        </w:rPr>
        <w:t>.</w:t>
      </w:r>
      <w:r>
        <w:rPr>
          <w:rFonts w:hint="default" w:ascii="Times New Roman" w:hAnsi="Times New Roman" w:cs="Times New Roman"/>
          <w:lang w:val="en-US" w:eastAsia="zh-CN"/>
        </w:rPr>
        <w:t xml:space="preserve"> </w:t>
      </w:r>
      <w:r>
        <w:rPr>
          <w:rFonts w:hint="default" w:ascii="Times New Roman" w:hAnsi="Times New Roman" w:cs="Times New Roman"/>
        </w:rPr>
        <w:t>涉及单位及企业提供的资料</w:t>
      </w:r>
    </w:p>
    <w:p w14:paraId="4E5EF503">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2" w:name="_Toc13824"/>
      <w:bookmarkStart w:id="13" w:name="_Toc18174"/>
      <w:bookmarkStart w:id="14" w:name="_Toc50"/>
      <w:bookmarkStart w:id="15" w:name="_Toc529967238"/>
      <w:r>
        <w:rPr>
          <w:rFonts w:hint="default" w:ascii="Times New Roman" w:hAnsi="Times New Roman" w:cs="Times New Roman"/>
          <w:b/>
          <w:bCs/>
          <w:kern w:val="0"/>
          <w:szCs w:val="28"/>
        </w:rPr>
        <w:t>1.3 评估对象及范围</w:t>
      </w:r>
      <w:bookmarkEnd w:id="12"/>
      <w:bookmarkEnd w:id="13"/>
      <w:bookmarkEnd w:id="14"/>
      <w:bookmarkEnd w:id="15"/>
    </w:p>
    <w:p w14:paraId="07498C9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根据《</w:t>
      </w:r>
      <w:r>
        <w:rPr>
          <w:rFonts w:hint="default" w:ascii="Times New Roman" w:hAnsi="Times New Roman" w:cs="Times New Roman"/>
          <w:lang w:eastAsia="zh-CN"/>
        </w:rPr>
        <w:t>石油科技交流中心游泳馆</w:t>
      </w:r>
      <w:r>
        <w:rPr>
          <w:rFonts w:hint="eastAsia" w:ascii="Times New Roman" w:hAnsi="Times New Roman" w:cs="Times New Roman"/>
          <w:lang w:eastAsia="zh-CN"/>
        </w:rPr>
        <w:t>“</w:t>
      </w:r>
      <w:r>
        <w:rPr>
          <w:rFonts w:hint="default" w:ascii="Times New Roman" w:hAnsi="Times New Roman" w:cs="Times New Roman"/>
          <w:lang w:val="en-US" w:eastAsia="zh-CN"/>
        </w:rPr>
        <w:t>3</w:t>
      </w:r>
      <w:r>
        <w:rPr>
          <w:rFonts w:hint="eastAsia" w:ascii="Times New Roman" w:hAnsi="Times New Roman" w:cs="Times New Roman"/>
          <w:lang w:val="en-US" w:eastAsia="zh-CN"/>
        </w:rPr>
        <w:t>·</w:t>
      </w:r>
      <w:r>
        <w:rPr>
          <w:rFonts w:hint="default" w:ascii="Times New Roman" w:hAnsi="Times New Roman" w:cs="Times New Roman"/>
          <w:lang w:val="en-US" w:eastAsia="zh-CN"/>
        </w:rPr>
        <w:t>17</w:t>
      </w:r>
      <w:r>
        <w:rPr>
          <w:rFonts w:hint="eastAsia" w:ascii="Times New Roman" w:hAnsi="Times New Roman" w:cs="Times New Roman"/>
          <w:lang w:eastAsia="zh-CN"/>
        </w:rPr>
        <w:t>”</w:t>
      </w:r>
      <w:r>
        <w:rPr>
          <w:rFonts w:hint="default" w:ascii="Times New Roman" w:hAnsi="Times New Roman" w:cs="Times New Roman"/>
        </w:rPr>
        <w:t>一般生产安全事故调查报告》（以下简称《事故调查报告》）中明确的被调查单位或个人，本次事故整改</w:t>
      </w:r>
      <w:r>
        <w:rPr>
          <w:rFonts w:hint="default" w:ascii="Times New Roman" w:hAnsi="Times New Roman" w:cs="Times New Roman"/>
          <w:lang w:val="en-US" w:eastAsia="zh-CN"/>
        </w:rPr>
        <w:t>和防范</w:t>
      </w:r>
      <w:r>
        <w:rPr>
          <w:rFonts w:hint="default" w:ascii="Times New Roman" w:hAnsi="Times New Roman" w:cs="Times New Roman"/>
        </w:rPr>
        <w:t>措施落实评估工作的评估对象是北京华服物业管理有限责任公司石油科技交流中心（以下简称：石油科技交流中心）</w:t>
      </w:r>
      <w:r>
        <w:rPr>
          <w:rFonts w:hint="default" w:ascii="Times New Roman" w:hAnsi="Times New Roman" w:cs="Times New Roman"/>
          <w:b w:val="0"/>
          <w:bCs w:val="0"/>
        </w:rPr>
        <w:t>，</w:t>
      </w:r>
      <w:r>
        <w:rPr>
          <w:rFonts w:hint="default" w:ascii="Times New Roman" w:hAnsi="Times New Roman" w:cs="Times New Roman"/>
        </w:rPr>
        <w:t>评估内容依据《事故调查报告》中明确的责任追究和整改防范措施要求，对被调查单位的落实事故整改</w:t>
      </w:r>
      <w:r>
        <w:rPr>
          <w:rFonts w:hint="default" w:ascii="Times New Roman" w:hAnsi="Times New Roman" w:cs="Times New Roman"/>
          <w:lang w:val="en-US" w:eastAsia="zh-CN"/>
        </w:rPr>
        <w:t>和防范</w:t>
      </w:r>
      <w:r>
        <w:rPr>
          <w:rFonts w:hint="default" w:ascii="Times New Roman" w:hAnsi="Times New Roman" w:cs="Times New Roman"/>
        </w:rPr>
        <w:t>措施采取的具体举措以及工作成效进行评估，主要从</w:t>
      </w:r>
      <w:r>
        <w:rPr>
          <w:rFonts w:hint="default" w:ascii="Times New Roman" w:hAnsi="Times New Roman" w:cs="Times New Roman"/>
          <w:lang w:val="en-US" w:eastAsia="zh-CN"/>
        </w:rPr>
        <w:t>两</w:t>
      </w:r>
      <w:r>
        <w:rPr>
          <w:rFonts w:hint="default" w:ascii="Times New Roman" w:hAnsi="Times New Roman" w:cs="Times New Roman"/>
        </w:rPr>
        <w:t>个方面开展评估工作：</w:t>
      </w:r>
    </w:p>
    <w:p w14:paraId="10469865">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（1）评估</w:t>
      </w:r>
      <w:r>
        <w:rPr>
          <w:rFonts w:hint="default" w:ascii="Times New Roman" w:hAnsi="Times New Roman" w:cs="Times New Roman"/>
          <w:lang w:val="en-US" w:eastAsia="zh-CN"/>
        </w:rPr>
        <w:t>事故单位</w:t>
      </w:r>
      <w:r>
        <w:rPr>
          <w:rFonts w:hint="default" w:ascii="Times New Roman" w:hAnsi="Times New Roman" w:cs="Times New Roman"/>
        </w:rPr>
        <w:t>的整改</w:t>
      </w:r>
      <w:r>
        <w:rPr>
          <w:rFonts w:hint="default" w:ascii="Times New Roman" w:hAnsi="Times New Roman" w:cs="Times New Roman"/>
          <w:lang w:val="en-US" w:eastAsia="zh-CN"/>
        </w:rPr>
        <w:t>和防范</w:t>
      </w:r>
      <w:r>
        <w:rPr>
          <w:rFonts w:hint="default" w:ascii="Times New Roman" w:hAnsi="Times New Roman" w:cs="Times New Roman"/>
        </w:rPr>
        <w:t>措施</w:t>
      </w:r>
      <w:r>
        <w:rPr>
          <w:rFonts w:hint="default" w:ascii="Times New Roman" w:hAnsi="Times New Roman" w:cs="Times New Roman"/>
          <w:lang w:val="en-US" w:eastAsia="zh-CN"/>
        </w:rPr>
        <w:t>的</w:t>
      </w:r>
      <w:r>
        <w:rPr>
          <w:rFonts w:hint="default" w:ascii="Times New Roman" w:hAnsi="Times New Roman" w:cs="Times New Roman"/>
        </w:rPr>
        <w:t>落实</w:t>
      </w:r>
      <w:r>
        <w:rPr>
          <w:rFonts w:hint="default" w:ascii="Times New Roman" w:hAnsi="Times New Roman" w:cs="Times New Roman"/>
          <w:lang w:val="en-US" w:eastAsia="zh-CN"/>
        </w:rPr>
        <w:t>情况</w:t>
      </w:r>
      <w:r>
        <w:rPr>
          <w:rFonts w:hint="default" w:ascii="Times New Roman" w:hAnsi="Times New Roman" w:cs="Times New Roman"/>
        </w:rPr>
        <w:t>；</w:t>
      </w:r>
    </w:p>
    <w:p w14:paraId="5900209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w:t>
      </w:r>
      <w:r>
        <w:rPr>
          <w:rFonts w:hint="default" w:ascii="Times New Roman" w:hAnsi="Times New Roman" w:cs="Times New Roman"/>
          <w:lang w:val="en-US" w:eastAsia="zh-CN"/>
        </w:rPr>
        <w:t>2</w:t>
      </w:r>
      <w:r>
        <w:rPr>
          <w:rFonts w:hint="default" w:ascii="Times New Roman" w:hAnsi="Times New Roman" w:cs="Times New Roman"/>
        </w:rPr>
        <w:t>）评估事故单位的安全现状。</w:t>
      </w:r>
    </w:p>
    <w:p w14:paraId="446CE429">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16" w:name="_Toc702"/>
      <w:bookmarkStart w:id="17" w:name="_Toc529967239"/>
      <w:bookmarkStart w:id="18" w:name="_Toc22805"/>
      <w:bookmarkStart w:id="19" w:name="_Toc30183"/>
      <w:r>
        <w:rPr>
          <w:rFonts w:hint="default" w:ascii="Times New Roman" w:hAnsi="Times New Roman" w:cs="Times New Roman"/>
          <w:b/>
          <w:bCs/>
          <w:kern w:val="0"/>
          <w:szCs w:val="28"/>
        </w:rPr>
        <w:t>1.4 评估过程</w:t>
      </w:r>
      <w:bookmarkEnd w:id="16"/>
      <w:bookmarkEnd w:id="17"/>
      <w:bookmarkEnd w:id="18"/>
      <w:bookmarkEnd w:id="19"/>
    </w:p>
    <w:p w14:paraId="7B2BB85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highlight w:val="none"/>
        </w:rPr>
        <w:t>根据北京市</w:t>
      </w:r>
      <w:r>
        <w:rPr>
          <w:rFonts w:hint="default" w:ascii="Times New Roman" w:hAnsi="Times New Roman" w:cs="Times New Roman"/>
          <w:highlight w:val="none"/>
          <w:lang w:eastAsia="zh-CN"/>
        </w:rPr>
        <w:t>昌平</w:t>
      </w:r>
      <w:r>
        <w:rPr>
          <w:rFonts w:hint="default" w:ascii="Times New Roman" w:hAnsi="Times New Roman" w:cs="Times New Roman"/>
          <w:highlight w:val="none"/>
        </w:rPr>
        <w:t>区应急管理局</w:t>
      </w:r>
      <w:r>
        <w:rPr>
          <w:rFonts w:hint="default" w:ascii="Times New Roman" w:hAnsi="Times New Roman" w:cs="Times New Roman"/>
          <w:highlight w:val="none"/>
          <w:lang w:eastAsia="zh-CN"/>
        </w:rPr>
        <w:t>（</w:t>
      </w:r>
      <w:r>
        <w:rPr>
          <w:rFonts w:hint="default" w:ascii="Times New Roman" w:hAnsi="Times New Roman" w:cs="Times New Roman"/>
          <w:highlight w:val="none"/>
          <w:lang w:val="en-US" w:eastAsia="zh-CN"/>
        </w:rPr>
        <w:t>以下简称：区应急管理局</w:t>
      </w:r>
      <w:r>
        <w:rPr>
          <w:rFonts w:hint="default" w:ascii="Times New Roman" w:hAnsi="Times New Roman" w:cs="Times New Roman"/>
          <w:highlight w:val="none"/>
          <w:lang w:eastAsia="zh-CN"/>
        </w:rPr>
        <w:t>）</w:t>
      </w:r>
      <w:r>
        <w:rPr>
          <w:rFonts w:hint="default" w:ascii="Times New Roman" w:hAnsi="Times New Roman" w:cs="Times New Roman"/>
          <w:highlight w:val="none"/>
        </w:rPr>
        <w:t>工作要求，组建</w:t>
      </w:r>
      <w:r>
        <w:rPr>
          <w:rFonts w:hint="default" w:ascii="Times New Roman" w:hAnsi="Times New Roman" w:cs="Times New Roman"/>
          <w:szCs w:val="28"/>
          <w:highlight w:val="none"/>
          <w:lang w:eastAsia="zh-CN"/>
        </w:rPr>
        <w:t>评估组</w:t>
      </w:r>
      <w:r>
        <w:rPr>
          <w:rFonts w:hint="default" w:ascii="Times New Roman" w:hAnsi="Times New Roman" w:cs="Times New Roman"/>
          <w:szCs w:val="28"/>
          <w:highlight w:val="none"/>
        </w:rPr>
        <w:t>，多次组织召开会议对评估工作进行研讨，对企业和事故现场开展现场调研、收集资料、勘查问询等工作，</w:t>
      </w:r>
      <w:r>
        <w:rPr>
          <w:rFonts w:hint="default" w:ascii="Times New Roman" w:hAnsi="Times New Roman" w:cs="Times New Roman"/>
          <w:szCs w:val="28"/>
        </w:rPr>
        <w:t>评估企业整改情况，并</w:t>
      </w:r>
      <w:r>
        <w:rPr>
          <w:rFonts w:hint="default" w:ascii="Times New Roman" w:hAnsi="Times New Roman" w:cs="Times New Roman"/>
        </w:rPr>
        <w:t>组织编制了《</w:t>
      </w:r>
      <w:r>
        <w:rPr>
          <w:rFonts w:hint="default" w:ascii="Times New Roman" w:hAnsi="Times New Roman" w:cs="Times New Roman"/>
          <w:lang w:eastAsia="zh-CN"/>
        </w:rPr>
        <w:t>石油科技交流中心游泳馆</w:t>
      </w:r>
      <w:r>
        <w:rPr>
          <w:rFonts w:hint="eastAsia" w:ascii="Times New Roman" w:hAnsi="Times New Roman" w:cs="Times New Roman"/>
          <w:lang w:eastAsia="zh-CN"/>
        </w:rPr>
        <w:t>“</w:t>
      </w:r>
      <w:r>
        <w:rPr>
          <w:rFonts w:hint="default" w:ascii="Times New Roman" w:hAnsi="Times New Roman" w:cs="Times New Roman"/>
          <w:lang w:val="en-US" w:eastAsia="zh-CN"/>
        </w:rPr>
        <w:t>3</w:t>
      </w:r>
      <w:r>
        <w:rPr>
          <w:rFonts w:hint="eastAsia" w:ascii="Times New Roman" w:hAnsi="Times New Roman" w:cs="Times New Roman"/>
          <w:lang w:val="en-US" w:eastAsia="zh-CN"/>
        </w:rPr>
        <w:t>·</w:t>
      </w:r>
      <w:r>
        <w:rPr>
          <w:rFonts w:hint="default" w:ascii="Times New Roman" w:hAnsi="Times New Roman" w:cs="Times New Roman"/>
          <w:lang w:val="en-US" w:eastAsia="zh-CN"/>
        </w:rPr>
        <w:t>17</w:t>
      </w:r>
      <w:r>
        <w:rPr>
          <w:rFonts w:hint="eastAsia" w:ascii="Times New Roman" w:hAnsi="Times New Roman" w:cs="Times New Roman"/>
          <w:lang w:eastAsia="zh-CN"/>
        </w:rPr>
        <w:t>”</w:t>
      </w:r>
      <w:r>
        <w:rPr>
          <w:rFonts w:hint="default" w:ascii="Times New Roman" w:hAnsi="Times New Roman" w:cs="Times New Roman"/>
        </w:rPr>
        <w:t>一般生产安全事故整改和防范措施落实专项评估报告》</w:t>
      </w:r>
      <w:r>
        <w:rPr>
          <w:rFonts w:hint="default" w:ascii="Times New Roman" w:hAnsi="Times New Roman" w:cs="Times New Roman"/>
          <w:lang w:val="en-US" w:eastAsia="zh-CN"/>
        </w:rPr>
        <w:t>和《</w:t>
      </w:r>
      <w:r>
        <w:rPr>
          <w:rFonts w:hint="default" w:ascii="Times New Roman" w:hAnsi="Times New Roman" w:cs="Times New Roman"/>
          <w:lang w:eastAsia="zh-CN"/>
        </w:rPr>
        <w:t>石油科技交流中心游泳馆</w:t>
      </w:r>
      <w:r>
        <w:rPr>
          <w:rFonts w:hint="eastAsia" w:ascii="Times New Roman" w:hAnsi="Times New Roman" w:cs="Times New Roman"/>
          <w:lang w:eastAsia="zh-CN"/>
        </w:rPr>
        <w:t>“</w:t>
      </w:r>
      <w:r>
        <w:rPr>
          <w:rFonts w:hint="default" w:ascii="Times New Roman" w:hAnsi="Times New Roman" w:cs="Times New Roman"/>
          <w:lang w:val="en-US" w:eastAsia="zh-CN"/>
        </w:rPr>
        <w:t>3</w:t>
      </w:r>
      <w:r>
        <w:rPr>
          <w:rFonts w:hint="eastAsia" w:ascii="Times New Roman" w:hAnsi="Times New Roman" w:cs="Times New Roman"/>
          <w:lang w:val="en-US" w:eastAsia="zh-CN"/>
        </w:rPr>
        <w:t>·</w:t>
      </w:r>
      <w:r>
        <w:rPr>
          <w:rFonts w:hint="default" w:ascii="Times New Roman" w:hAnsi="Times New Roman" w:cs="Times New Roman"/>
          <w:lang w:val="en-US" w:eastAsia="zh-CN"/>
        </w:rPr>
        <w:t>17</w:t>
      </w:r>
      <w:r>
        <w:rPr>
          <w:rFonts w:hint="eastAsia" w:ascii="Times New Roman" w:hAnsi="Times New Roman" w:cs="Times New Roman"/>
          <w:lang w:eastAsia="zh-CN"/>
        </w:rPr>
        <w:t>”</w:t>
      </w:r>
      <w:r>
        <w:rPr>
          <w:rFonts w:hint="default" w:ascii="Times New Roman" w:hAnsi="Times New Roman" w:cs="Times New Roman"/>
          <w:lang w:val="en-US" w:eastAsia="zh-CN"/>
        </w:rPr>
        <w:t>一般生产安全事故安全现状评估报告》</w:t>
      </w:r>
      <w:r>
        <w:rPr>
          <w:rFonts w:hint="default" w:ascii="Times New Roman" w:hAnsi="Times New Roman" w:cs="Times New Roman"/>
        </w:rPr>
        <w:t>。</w:t>
      </w:r>
    </w:p>
    <w:p w14:paraId="68973BE9">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20" w:name="_Toc1831"/>
      <w:bookmarkStart w:id="21" w:name="_Toc21660"/>
      <w:bookmarkStart w:id="22" w:name="_Toc15634"/>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rPr>
        <w:t>2</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rPr>
        <w:t>有关情况</w:t>
      </w:r>
      <w:bookmarkEnd w:id="20"/>
      <w:bookmarkEnd w:id="21"/>
      <w:bookmarkEnd w:id="22"/>
    </w:p>
    <w:p w14:paraId="1CFD994A">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3" w:name="_Toc16542"/>
      <w:bookmarkStart w:id="24" w:name="_Toc3755"/>
      <w:bookmarkStart w:id="25" w:name="_Toc29020"/>
      <w:r>
        <w:rPr>
          <w:rFonts w:hint="default" w:ascii="Times New Roman" w:hAnsi="Times New Roman" w:cs="Times New Roman"/>
          <w:b/>
          <w:bCs/>
          <w:kern w:val="0"/>
          <w:szCs w:val="28"/>
        </w:rPr>
        <w:t>2.1 事故单位情况</w:t>
      </w:r>
      <w:bookmarkEnd w:id="23"/>
      <w:bookmarkEnd w:id="24"/>
      <w:bookmarkEnd w:id="25"/>
    </w:p>
    <w:p w14:paraId="2DB8940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rPr>
      </w:pPr>
      <w:r>
        <w:rPr>
          <w:rFonts w:hint="default" w:ascii="Times New Roman" w:hAnsi="Times New Roman" w:cs="Times New Roman"/>
        </w:rPr>
        <w:t>石油科技交流中心现有员工约410人；由４座建筑楼体构成，占地面积6.2万平方米，建筑面积16.16万平方米，2015年12月14日试营业。现拥有客房812间，床位1095个；餐饮区域包括宴会厅、西餐厅、中餐厅和13个包间；会议室有30个，包含大型报告厅1个；健身设施包括游泳馆、健身房、乒乓球室、羽毛球室、网球馆、篮球馆、台球厅等。</w:t>
      </w:r>
    </w:p>
    <w:p w14:paraId="382BD061">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rPr>
      </w:pPr>
      <w:r>
        <w:rPr>
          <w:rFonts w:hint="default" w:ascii="Times New Roman" w:hAnsi="Times New Roman" w:cs="Times New Roman"/>
        </w:rPr>
        <w:t>石油科技交流中心地下一层游泳馆，泳池呈南北向；长25m、宽 21m、水面面积525㎡；自西向东依次分为1至8号8条泳道, 每条泳道均有分水线隔开；深水区位于泳池1至6号泳道，深度由南向北从1.6m加深至2.2m，浅水区位于泳池7至8号2条泳道，深度为1.2m，浅水区与深水区之间设有白色塑料栏杆（高出水面50公分）。</w:t>
      </w:r>
    </w:p>
    <w:p w14:paraId="3FDB838E">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6" w:name="_Toc17639"/>
      <w:bookmarkStart w:id="27" w:name="_Toc28442"/>
      <w:bookmarkStart w:id="28" w:name="_Toc31714"/>
      <w:r>
        <w:rPr>
          <w:rFonts w:hint="default" w:ascii="Times New Roman" w:hAnsi="Times New Roman" w:cs="Times New Roman"/>
          <w:b/>
          <w:bCs/>
          <w:kern w:val="0"/>
          <w:szCs w:val="28"/>
        </w:rPr>
        <w:t>2.2 事故发生经过</w:t>
      </w:r>
      <w:bookmarkEnd w:id="26"/>
      <w:bookmarkEnd w:id="27"/>
      <w:bookmarkEnd w:id="28"/>
    </w:p>
    <w:p w14:paraId="46A07D8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2023年3月17日10时，交流中心游泳馆照常开放，救生员黄某、张某2人在泳池边巡视。</w:t>
      </w:r>
    </w:p>
    <w:p w14:paraId="06F84BCA">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10时30分许，张某到食堂吃饭，黄某1人在泳池边巡视。</w:t>
      </w:r>
    </w:p>
    <w:p w14:paraId="03265BF0">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11时许，黄某到食堂吃饭，张某1人在泳池边巡视。</w:t>
      </w:r>
    </w:p>
    <w:p w14:paraId="56569E3B">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16时6分许，交流中心游泳馆前台张某给陶某夫妻2人办理泳池入场登记手续。</w:t>
      </w:r>
    </w:p>
    <w:p w14:paraId="5D57A9D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16时7分许，陶某夫妻2人分别进入更衣室。</w:t>
      </w:r>
    </w:p>
    <w:p w14:paraId="1CDA8BE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16时16分6秒，陶某在泳池2号泳道下水游泳。</w:t>
      </w:r>
    </w:p>
    <w:p w14:paraId="4A2B2AD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16时28分17秒，陶某游至2号泳道北侧岸边。</w:t>
      </w:r>
    </w:p>
    <w:p w14:paraId="0D4E5C9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16时29分57秒，泳池2号泳道北侧岸边泛起水花。</w:t>
      </w:r>
    </w:p>
    <w:p w14:paraId="656E412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16时32分14秒，张某巡视至泳池西侧救生椅附近，听到泳客呼喊</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有人溺水</w:t>
      </w:r>
      <w:r>
        <w:rPr>
          <w:rFonts w:hint="eastAsia" w:ascii="Times New Roman" w:hAnsi="Times New Roman" w:cs="Times New Roman"/>
          <w:lang w:val="en-US" w:eastAsia="zh-CN"/>
        </w:rPr>
        <w:t>”</w:t>
      </w:r>
      <w:r>
        <w:rPr>
          <w:rFonts w:hint="default" w:ascii="Times New Roman" w:hAnsi="Times New Roman" w:eastAsia="宋体" w:cs="Times New Roman"/>
          <w:lang w:val="en-US" w:eastAsia="zh-CN"/>
        </w:rPr>
        <w:t>，张某转身入水进行施救，同时呼喊坐在泳池北侧救生椅第二级台阶上的黄某进行救援。</w:t>
      </w:r>
    </w:p>
    <w:p w14:paraId="4F3AA4B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16时32分29秒许，张某将陶某双手交叉托出水面，黄某和一名泳客在泳池北侧岸边将陶某提上岸，并将其平躺放置于防滑垫上，头朝东，脚朝西。</w:t>
      </w:r>
    </w:p>
    <w:p w14:paraId="016B1D3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16时32分35秒许，张某查看陶某是否有意识的同时，黄某对陶某进行心肺复苏，张某便跑到前台让张某拨打120。</w:t>
      </w:r>
    </w:p>
    <w:p w14:paraId="50E6EFC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16时33分许，张某拨打120；张某返回泳池北侧，与黄某轮流对陶某进行心肺复苏。</w:t>
      </w:r>
    </w:p>
    <w:p w14:paraId="110C96FA">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16时46分许，耿某与驻会医生到达泳池北侧，驻会医生对陶某进行抢救。</w:t>
      </w:r>
    </w:p>
    <w:p w14:paraId="251D0932">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16时49分许，120急救人员到达现场，对陶某进行抢救。</w:t>
      </w:r>
    </w:p>
    <w:p w14:paraId="3ACF33AB">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17时许，120急救人员将陶某送至昌平区医院抢救，后经抢救无效死亡。</w:t>
      </w:r>
    </w:p>
    <w:p w14:paraId="50226CD3">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死者：陶某，男，65岁，北京人。</w:t>
      </w:r>
    </w:p>
    <w:p w14:paraId="577537A8">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cs="Times New Roman"/>
          <w:b/>
          <w:bCs/>
          <w:kern w:val="0"/>
          <w:szCs w:val="28"/>
        </w:rPr>
      </w:pPr>
      <w:bookmarkStart w:id="29" w:name="_Toc6329"/>
      <w:r>
        <w:rPr>
          <w:rFonts w:hint="default" w:ascii="Times New Roman" w:hAnsi="Times New Roman" w:cs="Times New Roman"/>
          <w:b/>
          <w:bCs/>
          <w:kern w:val="0"/>
          <w:szCs w:val="28"/>
        </w:rPr>
        <w:t>2.3 事故原因分析</w:t>
      </w:r>
      <w:bookmarkEnd w:id="29"/>
    </w:p>
    <w:p w14:paraId="3B40EDF8">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事故调查组依法对事故现场进行了认真勘验调查，并查阅了有关资料，对事故涉及相关人员进行了询问，查明了事故原因及性质。</w:t>
      </w:r>
    </w:p>
    <w:p w14:paraId="4C1EDA77">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0" w:name="_Toc6977"/>
      <w:bookmarkStart w:id="31" w:name="_Toc21948"/>
      <w:bookmarkStart w:id="32" w:name="OLE_LINK9"/>
      <w:r>
        <w:rPr>
          <w:rFonts w:hint="default" w:ascii="Times New Roman" w:hAnsi="Times New Roman" w:cs="Times New Roman"/>
          <w:b/>
          <w:szCs w:val="28"/>
        </w:rPr>
        <w:t>2.3.1事故直接原因</w:t>
      </w:r>
      <w:bookmarkEnd w:id="30"/>
      <w:bookmarkEnd w:id="31"/>
    </w:p>
    <w:p w14:paraId="13F1687F">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cs="Times New Roman"/>
          <w:lang w:val="en-US" w:eastAsia="zh-CN"/>
        </w:rPr>
        <w:t>刘石油科技交流中心游泳馆在仅有 2 名救生员巡视的情况下，未第一时间发现从浅水区游至深水区发生溺水的陶某是导致事故发生的直接原因。</w:t>
      </w:r>
    </w:p>
    <w:p w14:paraId="42A97F9B">
      <w:pPr>
        <w:keepNext/>
        <w:keepLines/>
        <w:widowControl/>
        <w:overflowPunct w:val="0"/>
        <w:spacing w:line="560" w:lineRule="exact"/>
        <w:ind w:firstLine="0" w:firstLineChars="0"/>
        <w:outlineLvl w:val="2"/>
        <w:rPr>
          <w:rFonts w:hint="default" w:ascii="Times New Roman" w:hAnsi="Times New Roman" w:cs="Times New Roman"/>
          <w:b/>
          <w:szCs w:val="28"/>
        </w:rPr>
      </w:pPr>
      <w:bookmarkStart w:id="33" w:name="_Toc31886"/>
      <w:bookmarkStart w:id="34" w:name="_Toc7598"/>
      <w:r>
        <w:rPr>
          <w:rFonts w:hint="default" w:ascii="Times New Roman" w:hAnsi="Times New Roman" w:cs="Times New Roman"/>
          <w:b/>
          <w:szCs w:val="28"/>
        </w:rPr>
        <w:t>2.3.2事故间接原因</w:t>
      </w:r>
      <w:bookmarkEnd w:id="33"/>
      <w:bookmarkEnd w:id="34"/>
    </w:p>
    <w:p w14:paraId="4F950B99">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石油科技交流中心。一是安全教育培训缺失，会议部副经理王某调整岗位后未重新接受安全教育培训上岗；张某、黄某、方某、张某等4名游泳救生员入职时，均未接受安全教育培训直接上岗。二是安全生产教育和培训档案不健全，未如实记录管理人员及工作人员的安全生产教育和培训的时间、内容、参加人员以及考核结果。三是安全设备维护保养不到位，3月1日交流中心游泳馆东南角摄像头损坏后，未定期检测保证其正常运转。四是隐患排查治理落实不到位，未采取相应的管控措施及时消除游泳救生员配备不足的事故隐患，且未如实记录事故隐患排查治理情况。五是未向游泳救生员及前台服务人员如实告知作业场所和工作岗位存在的危险因素、防范措施</w:t>
      </w:r>
      <w:r>
        <w:rPr>
          <w:rFonts w:hint="default" w:ascii="Times New Roman" w:hAnsi="Times New Roman" w:cs="Times New Roman"/>
          <w:lang w:val="en-US" w:eastAsia="zh-CN"/>
        </w:rPr>
        <w:t>。</w:t>
      </w:r>
    </w:p>
    <w:bookmarkEnd w:id="32"/>
    <w:p w14:paraId="3CCA5DD9">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rPr>
      </w:pPr>
      <w:bookmarkStart w:id="35" w:name="_Toc8139"/>
      <w:bookmarkStart w:id="36" w:name="_Toc7020"/>
      <w:bookmarkStart w:id="37" w:name="_Toc5560"/>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3</w:t>
      </w:r>
      <w:r>
        <w:rPr>
          <w:rFonts w:hint="default" w:ascii="Times New Roman" w:hAnsi="Times New Roman" w:cs="Times New Roman"/>
          <w:b/>
          <w:kern w:val="0"/>
          <w:sz w:val="32"/>
          <w:szCs w:val="44"/>
          <w:lang w:val="zh-CN"/>
        </w:rPr>
        <w:t>章 事故</w:t>
      </w:r>
      <w:r>
        <w:rPr>
          <w:rFonts w:hint="default" w:ascii="Times New Roman" w:hAnsi="Times New Roman" w:cs="Times New Roman"/>
          <w:b/>
          <w:kern w:val="0"/>
          <w:sz w:val="32"/>
          <w:szCs w:val="44"/>
          <w:lang w:val="en-US" w:eastAsia="zh-CN"/>
        </w:rPr>
        <w:t>责任追究和处罚落实</w:t>
      </w:r>
      <w:r>
        <w:rPr>
          <w:rFonts w:hint="default" w:ascii="Times New Roman" w:hAnsi="Times New Roman" w:cs="Times New Roman"/>
          <w:b/>
          <w:kern w:val="0"/>
          <w:sz w:val="32"/>
          <w:szCs w:val="44"/>
        </w:rPr>
        <w:t>情况</w:t>
      </w:r>
      <w:bookmarkEnd w:id="35"/>
      <w:bookmarkEnd w:id="36"/>
      <w:bookmarkEnd w:id="37"/>
    </w:p>
    <w:p w14:paraId="3A7B46CC">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38" w:name="_Toc11240"/>
      <w:bookmarkStart w:id="39" w:name="_Toc5073"/>
      <w:bookmarkStart w:id="40" w:name="_Toc18161"/>
      <w:r>
        <w:rPr>
          <w:rFonts w:hint="default" w:ascii="Times New Roman" w:hAnsi="Times New Roman" w:eastAsia="宋体" w:cs="Times New Roman"/>
          <w:b/>
          <w:bCs/>
          <w:kern w:val="0"/>
          <w:szCs w:val="28"/>
          <w:lang w:val="en-US" w:eastAsia="zh-CN"/>
        </w:rPr>
        <w:t>3.</w:t>
      </w:r>
      <w:r>
        <w:rPr>
          <w:rFonts w:hint="default" w:ascii="Times New Roman" w:hAnsi="Times New Roman" w:cs="Times New Roman"/>
          <w:b/>
          <w:bCs/>
          <w:kern w:val="0"/>
          <w:szCs w:val="28"/>
          <w:lang w:val="en-US" w:eastAsia="zh-CN"/>
        </w:rPr>
        <w:t>1</w:t>
      </w:r>
      <w:r>
        <w:rPr>
          <w:rFonts w:hint="default" w:ascii="Times New Roman" w:hAnsi="Times New Roman" w:eastAsia="宋体" w:cs="Times New Roman"/>
          <w:b/>
          <w:bCs/>
          <w:kern w:val="0"/>
          <w:szCs w:val="28"/>
          <w:lang w:val="en-US" w:eastAsia="zh-CN"/>
        </w:rPr>
        <w:t xml:space="preserve"> </w:t>
      </w:r>
      <w:bookmarkEnd w:id="38"/>
      <w:bookmarkEnd w:id="39"/>
      <w:r>
        <w:rPr>
          <w:rFonts w:hint="default" w:ascii="Times New Roman" w:hAnsi="Times New Roman" w:cs="Times New Roman"/>
          <w:b/>
          <w:szCs w:val="28"/>
          <w:lang w:val="en-US" w:eastAsia="zh-CN"/>
        </w:rPr>
        <w:t>追究刑事责任的人员</w:t>
      </w:r>
      <w:bookmarkEnd w:id="40"/>
    </w:p>
    <w:p w14:paraId="69A0652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w:t>
      </w:r>
      <w:r>
        <w:rPr>
          <w:rFonts w:hint="default" w:ascii="Times New Roman" w:hAnsi="Times New Roman" w:eastAsia="宋体" w:cs="Times New Roman"/>
          <w:lang w:eastAsia="zh-CN"/>
        </w:rPr>
        <w:t>追究刑事责任的人员</w:t>
      </w:r>
      <w:r>
        <w:rPr>
          <w:rFonts w:hint="default" w:ascii="Times New Roman" w:hAnsi="Times New Roman" w:eastAsia="宋体" w:cs="Times New Roman"/>
          <w:lang w:val="en-US" w:eastAsia="zh-CN"/>
        </w:rPr>
        <w:t>如下：</w:t>
      </w:r>
    </w:p>
    <w:p w14:paraId="29782054">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bookmarkStart w:id="41" w:name="_Toc15906"/>
      <w:bookmarkStart w:id="42" w:name="_Toc32016"/>
      <w:bookmarkStart w:id="43" w:name="_Toc529967245"/>
      <w:r>
        <w:rPr>
          <w:rFonts w:hint="default" w:ascii="Times New Roman" w:hAnsi="Times New Roman" w:eastAsia="宋体" w:cs="Times New Roman"/>
          <w:lang w:val="zh-CN" w:eastAsia="zh-CN"/>
        </w:rPr>
        <w:t>1.耿某，因涉嫌重大责任事故罪，公安部门已追究其刑事责任；</w:t>
      </w:r>
    </w:p>
    <w:p w14:paraId="63B6D2DD">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2.王某，因涉嫌重大责任事故罪，公安部门已追究其刑事责任</w:t>
      </w:r>
      <w:r>
        <w:rPr>
          <w:rFonts w:hint="default" w:ascii="Times New Roman" w:hAnsi="Times New Roman" w:cs="Times New Roman"/>
          <w:lang w:val="zh-CN" w:eastAsia="zh-CN"/>
        </w:rPr>
        <w:t>。</w:t>
      </w:r>
    </w:p>
    <w:p w14:paraId="2CA5733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eastAsia="宋体" w:cs="Times New Roman"/>
          <w:b/>
          <w:bCs/>
          <w:kern w:val="0"/>
          <w:szCs w:val="28"/>
          <w:lang w:val="en-US" w:eastAsia="zh-CN"/>
        </w:rPr>
      </w:pPr>
      <w:bookmarkStart w:id="44" w:name="_Toc10395"/>
      <w:bookmarkStart w:id="45" w:name="_Toc11260"/>
      <w:r>
        <w:rPr>
          <w:rFonts w:hint="default" w:ascii="Times New Roman" w:hAnsi="Times New Roman" w:eastAsia="宋体" w:cs="Times New Roman"/>
          <w:b/>
          <w:bCs/>
          <w:kern w:val="0"/>
          <w:szCs w:val="28"/>
          <w:lang w:val="en-US" w:eastAsia="zh-CN"/>
        </w:rPr>
        <w:t>3.</w:t>
      </w:r>
      <w:r>
        <w:rPr>
          <w:rFonts w:hint="default" w:ascii="Times New Roman" w:hAnsi="Times New Roman" w:cs="Times New Roman"/>
          <w:b/>
          <w:bCs/>
          <w:kern w:val="0"/>
          <w:szCs w:val="28"/>
          <w:lang w:val="en-US" w:eastAsia="zh-CN"/>
        </w:rPr>
        <w:t>2</w:t>
      </w:r>
      <w:r>
        <w:rPr>
          <w:rFonts w:hint="default" w:ascii="Times New Roman" w:hAnsi="Times New Roman" w:eastAsia="宋体" w:cs="Times New Roman"/>
          <w:b/>
          <w:bCs/>
          <w:kern w:val="0"/>
          <w:szCs w:val="28"/>
          <w:lang w:val="en-US" w:eastAsia="zh-CN"/>
        </w:rPr>
        <w:t xml:space="preserve"> </w:t>
      </w:r>
      <w:bookmarkEnd w:id="44"/>
      <w:r>
        <w:rPr>
          <w:rFonts w:hint="default" w:ascii="Times New Roman" w:hAnsi="Times New Roman" w:eastAsia="宋体" w:cs="Times New Roman"/>
          <w:b/>
          <w:bCs/>
          <w:kern w:val="0"/>
          <w:szCs w:val="28"/>
          <w:lang w:val="en-US" w:eastAsia="zh-CN"/>
        </w:rPr>
        <w:t>给予行政处罚的单位及人员</w:t>
      </w:r>
      <w:bookmarkEnd w:id="45"/>
    </w:p>
    <w:p w14:paraId="1C50E97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rPr>
        <w:t>据相关法律、法规规定，依据事故调查核实的情况和事故原因分析，</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eastAsia="zh-CN"/>
        </w:rPr>
        <w:t>》</w:t>
      </w:r>
      <w:r>
        <w:rPr>
          <w:rFonts w:hint="default" w:ascii="Times New Roman" w:hAnsi="Times New Roman" w:eastAsia="宋体" w:cs="Times New Roman"/>
          <w:lang w:val="en-US" w:eastAsia="zh-CN"/>
        </w:rPr>
        <w:t>提出给予行政处罚的单位及人员如下：</w:t>
      </w:r>
    </w:p>
    <w:p w14:paraId="690FB8AF">
      <w:pPr>
        <w:keepNext w:val="0"/>
        <w:keepLines w:val="0"/>
        <w:pageBreakBefore w:val="0"/>
        <w:widowControl w:val="0"/>
        <w:numPr>
          <w:ilvl w:val="0"/>
          <w:numId w:val="1"/>
        </w:numPr>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石油科技交流中心，违反了《中华人民共和国安全生产法》第二十八条第一款、第四款、第三十六条第二款、第四十一条第二款、第四十四条第一款、《生产经营单位安全培训规定》第十七条第一款、《体育场所开放条件与技术要求（第一部分：游泳场所）》（GB19079.1-2013）第7.2款的规定，对此次事故负有管理责任。依据《中华人民共和国安全生产法》第一百一十四条第（一）项的规定，结合《北京市安全生产行政处罚自由裁量基准》中《中华人民共和国安全生产法》相关规定裁量基准（三十六），建议</w:t>
      </w:r>
      <w:r>
        <w:rPr>
          <w:rFonts w:hint="default" w:ascii="Times New Roman" w:hAnsi="Times New Roman" w:cs="Times New Roman"/>
          <w:lang w:val="en-US" w:eastAsia="zh-CN"/>
        </w:rPr>
        <w:t>区应急管理局</w:t>
      </w:r>
      <w:r>
        <w:rPr>
          <w:rFonts w:hint="default" w:ascii="Times New Roman" w:hAnsi="Times New Roman" w:eastAsia="宋体" w:cs="Times New Roman"/>
          <w:lang w:val="en-US" w:eastAsia="zh-CN"/>
        </w:rPr>
        <w:t>给予石油科技交流中心罚款30万元以上70万元以下的行政处罚</w:t>
      </w:r>
      <w:r>
        <w:rPr>
          <w:rFonts w:hint="default" w:ascii="Times New Roman" w:hAnsi="Times New Roman" w:cs="Times New Roman"/>
          <w:lang w:val="en-US" w:eastAsia="zh-CN"/>
        </w:rPr>
        <w:t>。</w:t>
      </w:r>
    </w:p>
    <w:p w14:paraId="1AB0F498">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已根据《事故调查报告》的上述要求，依法对石油科技交流中心处以人民币</w:t>
      </w:r>
      <w:r>
        <w:rPr>
          <w:rFonts w:hint="default" w:ascii="Times New Roman" w:hAnsi="Times New Roman" w:cs="Times New Roman"/>
          <w:highlight w:val="none"/>
          <w:lang w:val="en-US" w:eastAsia="zh-CN"/>
        </w:rPr>
        <w:t>叁拾肆</w:t>
      </w:r>
      <w:r>
        <w:rPr>
          <w:rFonts w:hint="default" w:ascii="Times New Roman" w:hAnsi="Times New Roman" w:eastAsia="宋体" w:cs="Times New Roman"/>
          <w:highlight w:val="none"/>
          <w:lang w:val="en-US" w:eastAsia="zh-CN"/>
        </w:rPr>
        <w:t>万元的行政处罚（处罚决定书编号：（昌）应急（事故）罚〔202</w:t>
      </w:r>
      <w:r>
        <w:rPr>
          <w:rFonts w:hint="default" w:ascii="Times New Roman" w:hAnsi="Times New Roman" w:cs="Times New Roman"/>
          <w:highlight w:val="none"/>
          <w:lang w:val="en-US" w:eastAsia="zh-CN"/>
        </w:rPr>
        <w:t>3</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009</w:t>
      </w:r>
      <w:r>
        <w:rPr>
          <w:rFonts w:hint="default" w:ascii="Times New Roman" w:hAnsi="Times New Roman" w:eastAsia="宋体" w:cs="Times New Roman"/>
          <w:highlight w:val="none"/>
          <w:lang w:val="en-US" w:eastAsia="zh-CN"/>
        </w:rPr>
        <w:t>-1号），</w:t>
      </w:r>
      <w:r>
        <w:rPr>
          <w:rFonts w:hint="default" w:ascii="Times New Roman" w:hAnsi="Times New Roman" w:cs="Times New Roman"/>
          <w:highlight w:val="none"/>
          <w:lang w:val="en-US" w:eastAsia="zh-CN"/>
        </w:rPr>
        <w:t>单位</w:t>
      </w:r>
      <w:r>
        <w:rPr>
          <w:rFonts w:hint="default" w:ascii="Times New Roman" w:hAnsi="Times New Roman" w:eastAsia="宋体" w:cs="Times New Roman"/>
          <w:highlight w:val="none"/>
          <w:lang w:val="en-US" w:eastAsia="zh-CN"/>
        </w:rPr>
        <w:t>罚款已缴纳。</w:t>
      </w:r>
    </w:p>
    <w:p w14:paraId="0CE3941C">
      <w:pPr>
        <w:pageBreakBefore w:val="0"/>
        <w:numPr>
          <w:ilvl w:val="0"/>
          <w:numId w:val="1"/>
        </w:numPr>
        <w:kinsoku/>
        <w:wordWrap/>
        <w:overflowPunct w:val="0"/>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石油科技交流中心党支部书记吕某，违反了《中华人民共和国安全生产法》第二十一条第（二）、（五）项的规定。依据《中华人民共和国安全生产法》第九十五条第（一）项的规定，结合《北京市安全生产行政处罚自由裁量基准》中《中华人民共和国安全生产法》相关规定裁量基准（四），建议</w:t>
      </w:r>
      <w:r>
        <w:rPr>
          <w:rFonts w:hint="default" w:ascii="Times New Roman" w:hAnsi="Times New Roman" w:cs="Times New Roman"/>
          <w:lang w:val="zh-CN" w:eastAsia="zh-CN"/>
        </w:rPr>
        <w:t>区应急管理局</w:t>
      </w:r>
      <w:r>
        <w:rPr>
          <w:rFonts w:hint="default" w:ascii="Times New Roman" w:hAnsi="Times New Roman" w:eastAsia="宋体" w:cs="Times New Roman"/>
          <w:lang w:val="zh-CN" w:eastAsia="zh-CN"/>
        </w:rPr>
        <w:t>给予吕某罚款上一年年度收入40%的行政处罚。</w:t>
      </w:r>
    </w:p>
    <w:p w14:paraId="68F32950">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en-US" w:eastAsia="zh-CN"/>
        </w:rPr>
      </w:pPr>
      <w:r>
        <w:rPr>
          <w:rFonts w:hint="default" w:ascii="Times New Roman" w:hAnsi="Times New Roman" w:cs="Times New Roman"/>
          <w:highlight w:val="none"/>
          <w:lang w:val="en-US" w:eastAsia="zh-CN"/>
        </w:rPr>
        <w:t>区应急管理局</w:t>
      </w:r>
      <w:r>
        <w:rPr>
          <w:rFonts w:hint="default" w:ascii="Times New Roman" w:hAnsi="Times New Roman" w:eastAsia="宋体" w:cs="Times New Roman"/>
          <w:highlight w:val="none"/>
          <w:lang w:val="en-US" w:eastAsia="zh-CN"/>
        </w:rPr>
        <w:t>已根据《事故调查报告》的上述要求，依法对</w:t>
      </w:r>
      <w:r>
        <w:rPr>
          <w:rFonts w:hint="default" w:ascii="Times New Roman" w:hAnsi="Times New Roman" w:eastAsia="宋体" w:cs="Times New Roman"/>
          <w:highlight w:val="none"/>
          <w:lang w:val="zh-CN" w:eastAsia="zh-CN"/>
        </w:rPr>
        <w:t>吕某</w:t>
      </w:r>
      <w:r>
        <w:rPr>
          <w:rFonts w:hint="default" w:ascii="Times New Roman" w:hAnsi="Times New Roman" w:eastAsia="宋体" w:cs="Times New Roman"/>
          <w:highlight w:val="none"/>
          <w:lang w:val="en-US" w:eastAsia="zh-CN"/>
        </w:rPr>
        <w:t>处以人民币</w:t>
      </w:r>
      <w:r>
        <w:rPr>
          <w:rFonts w:hint="default" w:ascii="Times New Roman" w:hAnsi="Times New Roman" w:cs="Times New Roman"/>
          <w:highlight w:val="none"/>
          <w:lang w:val="en-US" w:eastAsia="zh-CN"/>
        </w:rPr>
        <w:t>陆万伍任</w:t>
      </w:r>
      <w:r>
        <w:rPr>
          <w:rFonts w:hint="eastAsia" w:ascii="Times New Roman" w:hAnsi="Times New Roman" w:cs="Times New Roman"/>
          <w:highlight w:val="none"/>
          <w:lang w:val="en-US" w:eastAsia="zh-CN"/>
        </w:rPr>
        <w:t>叁佰</w:t>
      </w:r>
      <w:r>
        <w:rPr>
          <w:rFonts w:hint="default" w:ascii="Times New Roman" w:hAnsi="Times New Roman" w:cs="Times New Roman"/>
          <w:highlight w:val="none"/>
          <w:lang w:val="en-US" w:eastAsia="zh-CN"/>
        </w:rPr>
        <w:t>贰拾伍元陆角</w:t>
      </w:r>
      <w:r>
        <w:rPr>
          <w:rFonts w:hint="default" w:ascii="Times New Roman" w:hAnsi="Times New Roman" w:eastAsia="宋体" w:cs="Times New Roman"/>
          <w:highlight w:val="none"/>
          <w:lang w:val="en-US" w:eastAsia="zh-CN"/>
        </w:rPr>
        <w:t>万元的行政处罚（处罚决定书编号：（昌）应急（事故）罚〔202</w:t>
      </w:r>
      <w:r>
        <w:rPr>
          <w:rFonts w:hint="default" w:ascii="Times New Roman" w:hAnsi="Times New Roman" w:cs="Times New Roman"/>
          <w:highlight w:val="none"/>
          <w:lang w:val="en-US" w:eastAsia="zh-CN"/>
        </w:rPr>
        <w:t>3</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009</w:t>
      </w:r>
      <w:r>
        <w:rPr>
          <w:rFonts w:hint="default" w:ascii="Times New Roman" w:hAnsi="Times New Roman" w:eastAsia="宋体" w:cs="Times New Roman"/>
          <w:highlight w:val="none"/>
          <w:lang w:val="en-US" w:eastAsia="zh-CN"/>
        </w:rPr>
        <w:t>-</w:t>
      </w:r>
      <w:r>
        <w:rPr>
          <w:rFonts w:hint="default" w:ascii="Times New Roman" w:hAnsi="Times New Roman" w:cs="Times New Roman"/>
          <w:highlight w:val="none"/>
          <w:lang w:val="en-US" w:eastAsia="zh-CN"/>
        </w:rPr>
        <w:t>2</w:t>
      </w:r>
      <w:r>
        <w:rPr>
          <w:rFonts w:hint="default" w:ascii="Times New Roman" w:hAnsi="Times New Roman" w:eastAsia="宋体" w:cs="Times New Roman"/>
          <w:highlight w:val="none"/>
          <w:lang w:val="en-US" w:eastAsia="zh-CN"/>
        </w:rPr>
        <w:t>号），</w:t>
      </w:r>
      <w:r>
        <w:rPr>
          <w:rFonts w:hint="default" w:ascii="Times New Roman" w:hAnsi="Times New Roman" w:cs="Times New Roman"/>
          <w:highlight w:val="none"/>
          <w:lang w:val="en-US" w:eastAsia="zh-CN"/>
        </w:rPr>
        <w:t>人员</w:t>
      </w:r>
      <w:r>
        <w:rPr>
          <w:rFonts w:hint="default" w:ascii="Times New Roman" w:hAnsi="Times New Roman" w:eastAsia="宋体" w:cs="Times New Roman"/>
          <w:highlight w:val="none"/>
          <w:lang w:val="en-US" w:eastAsia="zh-CN"/>
        </w:rPr>
        <w:t>罚款已缴纳。</w:t>
      </w:r>
    </w:p>
    <w:p w14:paraId="7590CC4F">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cs="Times New Roman"/>
          <w:b/>
          <w:kern w:val="0"/>
          <w:sz w:val="32"/>
          <w:szCs w:val="44"/>
          <w:lang w:val="zh-CN"/>
        </w:rPr>
      </w:pPr>
      <w:bookmarkStart w:id="46" w:name="_Toc1173"/>
      <w:r>
        <w:rPr>
          <w:rFonts w:hint="default" w:ascii="Times New Roman" w:hAnsi="Times New Roman" w:cs="Times New Roman"/>
          <w:b/>
          <w:kern w:val="0"/>
          <w:sz w:val="32"/>
          <w:szCs w:val="44"/>
          <w:lang w:val="zh-CN"/>
        </w:rPr>
        <w:t>第</w:t>
      </w:r>
      <w:r>
        <w:rPr>
          <w:rFonts w:hint="default" w:ascii="Times New Roman" w:hAnsi="Times New Roman" w:cs="Times New Roman"/>
          <w:b/>
          <w:kern w:val="0"/>
          <w:sz w:val="32"/>
          <w:szCs w:val="44"/>
          <w:lang w:val="en-US" w:eastAsia="zh-CN"/>
        </w:rPr>
        <w:t>4</w:t>
      </w:r>
      <w:r>
        <w:rPr>
          <w:rFonts w:hint="default" w:ascii="Times New Roman" w:hAnsi="Times New Roman" w:cs="Times New Roman"/>
          <w:b/>
          <w:kern w:val="0"/>
          <w:sz w:val="32"/>
          <w:szCs w:val="44"/>
          <w:lang w:val="zh-CN"/>
        </w:rPr>
        <w:t>章 事故责任单位整改</w:t>
      </w:r>
      <w:r>
        <w:rPr>
          <w:rFonts w:hint="default" w:ascii="Times New Roman" w:hAnsi="Times New Roman" w:cs="Times New Roman"/>
          <w:b/>
          <w:kern w:val="0"/>
          <w:sz w:val="32"/>
          <w:szCs w:val="44"/>
          <w:lang w:val="en-US" w:eastAsia="zh-CN"/>
        </w:rPr>
        <w:t>和防范</w:t>
      </w:r>
      <w:r>
        <w:rPr>
          <w:rFonts w:hint="default" w:ascii="Times New Roman" w:hAnsi="Times New Roman" w:cs="Times New Roman"/>
          <w:b/>
          <w:kern w:val="0"/>
          <w:sz w:val="32"/>
          <w:szCs w:val="44"/>
          <w:lang w:val="zh-CN"/>
        </w:rPr>
        <w:t>措施落实情况</w:t>
      </w:r>
      <w:bookmarkEnd w:id="41"/>
      <w:bookmarkEnd w:id="42"/>
      <w:bookmarkEnd w:id="43"/>
      <w:bookmarkEnd w:id="46"/>
    </w:p>
    <w:p w14:paraId="3891E67B">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rPr>
      </w:pPr>
      <w:bookmarkStart w:id="47" w:name="_Toc24071"/>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 xml:space="preserve">.1 </w:t>
      </w:r>
      <w:r>
        <w:rPr>
          <w:rFonts w:hint="default" w:ascii="Times New Roman" w:hAnsi="Times New Roman" w:cs="Times New Roman"/>
          <w:b/>
          <w:bCs/>
          <w:kern w:val="0"/>
          <w:szCs w:val="28"/>
          <w:lang w:val="en-US" w:eastAsia="zh-CN"/>
        </w:rPr>
        <w:t>石油科技交流中心落实情况</w:t>
      </w:r>
      <w:bookmarkEnd w:id="47"/>
    </w:p>
    <w:p w14:paraId="398D4F51">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48" w:name="_Toc30893"/>
      <w:bookmarkStart w:id="49" w:name="_Toc5115"/>
      <w:bookmarkStart w:id="50" w:name="_Toc8729"/>
      <w:bookmarkStart w:id="51" w:name="_Toc107394614"/>
      <w:bookmarkStart w:id="52" w:name="_Toc107394543"/>
      <w:r>
        <w:rPr>
          <w:rFonts w:hint="default" w:ascii="Times New Roman" w:hAnsi="Times New Roman" w:cs="Times New Roman"/>
          <w:b/>
          <w:szCs w:val="28"/>
          <w:lang w:val="en-US" w:eastAsia="zh-CN"/>
        </w:rPr>
        <w:t>4.1.1 事故整改和防范措施</w:t>
      </w:r>
      <w:bookmarkEnd w:id="48"/>
      <w:bookmarkEnd w:id="49"/>
      <w:bookmarkEnd w:id="50"/>
    </w:p>
    <w:p w14:paraId="097FAB2C">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cs="Times New Roman"/>
          <w:lang w:val="zh-CN" w:eastAsia="zh-CN"/>
        </w:rPr>
        <w:t>《</w:t>
      </w:r>
      <w:r>
        <w:rPr>
          <w:rFonts w:hint="default" w:ascii="Times New Roman" w:hAnsi="Times New Roman" w:cs="Times New Roman"/>
          <w:lang w:val="en-US" w:eastAsia="zh-CN"/>
        </w:rPr>
        <w:t>事故调查报告</w:t>
      </w:r>
      <w:r>
        <w:rPr>
          <w:rFonts w:hint="default" w:ascii="Times New Roman" w:hAnsi="Times New Roman" w:cs="Times New Roman"/>
          <w:lang w:val="zh-CN" w:eastAsia="zh-CN"/>
        </w:rPr>
        <w:t>》</w:t>
      </w:r>
      <w:r>
        <w:rPr>
          <w:rFonts w:hint="default" w:ascii="Times New Roman" w:hAnsi="Times New Roman" w:eastAsia="宋体" w:cs="Times New Roman"/>
          <w:lang w:val="zh-CN" w:eastAsia="zh-CN"/>
        </w:rPr>
        <w:t>提出以下建议措施：</w:t>
      </w:r>
    </w:p>
    <w:p w14:paraId="2060FDF6">
      <w:pPr>
        <w:pageBreakBefore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要加强从业人员安全教育培训，尤其是换岗、新上岗等员工的安全教育培训工作，坚决杜绝未经安全教育培训合格的人员上岗；要加强安全管理，严格按照《体育场所开放条件与技术要求（第一部分：游泳场所）》（GB19079.1-2013）要求，配齐游泳救生员相关人员和安全设备设施，同时明确具体的岗位职责；加强对体育项目场所的安全风险辨识和安全隐患排查治理，及时向员工通报安全风险等级划分</w:t>
      </w:r>
    </w:p>
    <w:p w14:paraId="2922A0B0">
      <w:pPr>
        <w:pageBreakBefore w:val="0"/>
        <w:kinsoku/>
        <w:wordWrap/>
        <w:overflowPunct w:val="0"/>
        <w:topLinePunct w:val="0"/>
        <w:autoSpaceDE/>
        <w:autoSpaceDN/>
        <w:bidi w:val="0"/>
        <w:adjustRightInd/>
        <w:snapToGrid/>
        <w:spacing w:line="560" w:lineRule="exact"/>
        <w:ind w:left="0" w:leftChars="0" w:firstLine="0" w:firstLineChars="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及防控措施、安全隐患排查治理情况、作业场所和工作岗位存在的危险因素、防范措施等；定期对游泳馆的监控、急救装备等安全设备进行检测、维护、保养，保证其正常运转；同时还要定期组织员工开展应急救援演练，有效提高员工日常巡查力度及处突能力，防止类似事故发生</w:t>
      </w:r>
      <w:r>
        <w:rPr>
          <w:rFonts w:hint="default" w:ascii="Times New Roman" w:hAnsi="Times New Roman" w:cs="Times New Roman"/>
          <w:lang w:val="zh-CN" w:eastAsia="zh-CN"/>
        </w:rPr>
        <w:t>。</w:t>
      </w:r>
    </w:p>
    <w:bookmarkEnd w:id="51"/>
    <w:bookmarkEnd w:id="52"/>
    <w:p w14:paraId="3432FD47">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53" w:name="_Toc443"/>
      <w:r>
        <w:rPr>
          <w:rFonts w:hint="default" w:ascii="Times New Roman" w:hAnsi="Times New Roman" w:cs="Times New Roman"/>
          <w:b/>
          <w:szCs w:val="28"/>
          <w:lang w:val="en-US" w:eastAsia="zh-CN"/>
        </w:rPr>
        <w:t>4.1.2 具体落实情况</w:t>
      </w:r>
      <w:bookmarkEnd w:id="53"/>
    </w:p>
    <w:p w14:paraId="2A55C38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cs="Times New Roman"/>
          <w:lang w:val="en-US" w:eastAsia="zh-CN"/>
        </w:rPr>
        <w:t>企业</w:t>
      </w:r>
      <w:r>
        <w:rPr>
          <w:rFonts w:hint="default" w:ascii="Times New Roman" w:hAnsi="Times New Roman" w:eastAsia="宋体" w:cs="Times New Roman"/>
          <w:lang w:val="zh-CN" w:eastAsia="zh-CN"/>
        </w:rPr>
        <w:t>相关负责人参加</w:t>
      </w:r>
      <w:r>
        <w:rPr>
          <w:rFonts w:hint="default" w:ascii="Times New Roman" w:hAnsi="Times New Roman" w:eastAsia="宋体" w:cs="Times New Roman"/>
          <w:lang w:val="en-US" w:eastAsia="zh-CN"/>
        </w:rPr>
        <w:t>了</w:t>
      </w:r>
      <w:r>
        <w:rPr>
          <w:rFonts w:hint="default" w:ascii="Times New Roman" w:hAnsi="Times New Roman" w:cs="Times New Roman"/>
          <w:lang w:val="zh-CN" w:eastAsia="zh-CN"/>
        </w:rPr>
        <w:t>区应急管理局</w:t>
      </w:r>
      <w:r>
        <w:rPr>
          <w:rFonts w:hint="default" w:ascii="Times New Roman" w:hAnsi="Times New Roman" w:cs="Times New Roman"/>
          <w:lang w:val="en-US" w:eastAsia="zh-CN"/>
        </w:rPr>
        <w:t>在3月25日</w:t>
      </w:r>
      <w:r>
        <w:rPr>
          <w:rFonts w:hint="default" w:ascii="Times New Roman" w:hAnsi="Times New Roman" w:eastAsia="宋体" w:cs="Times New Roman"/>
          <w:lang w:val="zh-CN" w:eastAsia="zh-CN"/>
        </w:rPr>
        <w:t>组织的</w:t>
      </w:r>
      <w:r>
        <w:rPr>
          <w:rFonts w:hint="default" w:ascii="Times New Roman" w:hAnsi="Times New Roman" w:cs="Times New Roman"/>
          <w:lang w:val="en-US" w:eastAsia="zh-CN"/>
        </w:rPr>
        <w:t>事故整改落实和评估</w:t>
      </w:r>
      <w:r>
        <w:rPr>
          <w:rFonts w:hint="default" w:ascii="Times New Roman" w:hAnsi="Times New Roman" w:eastAsia="宋体" w:cs="Times New Roman"/>
          <w:lang w:val="zh-CN" w:eastAsia="zh-CN"/>
        </w:rPr>
        <w:t>工作会，明确</w:t>
      </w:r>
      <w:r>
        <w:rPr>
          <w:rFonts w:hint="default" w:ascii="Times New Roman" w:hAnsi="Times New Roman" w:cs="Times New Roman"/>
          <w:lang w:val="en-US" w:eastAsia="zh-CN"/>
        </w:rPr>
        <w:t>了</w:t>
      </w:r>
      <w:r>
        <w:rPr>
          <w:rFonts w:hint="default" w:ascii="Times New Roman" w:hAnsi="Times New Roman" w:eastAsia="宋体" w:cs="Times New Roman"/>
          <w:lang w:val="zh-CN" w:eastAsia="zh-CN"/>
        </w:rPr>
        <w:t>事后评估工作的内容及具体要求，</w:t>
      </w:r>
      <w:r>
        <w:rPr>
          <w:rFonts w:hint="default" w:ascii="Times New Roman" w:hAnsi="Times New Roman" w:cs="Times New Roman"/>
          <w:lang w:val="en-US" w:eastAsia="zh-CN"/>
        </w:rPr>
        <w:t>并表示积极</w:t>
      </w:r>
      <w:r>
        <w:rPr>
          <w:rFonts w:hint="default" w:ascii="Times New Roman" w:hAnsi="Times New Roman" w:eastAsia="宋体" w:cs="Times New Roman"/>
          <w:lang w:val="zh-CN" w:eastAsia="zh-CN"/>
        </w:rPr>
        <w:t>配合评估工作组完成事后评估工作。</w:t>
      </w:r>
    </w:p>
    <w:p w14:paraId="0482FA3E">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cs="Times New Roman"/>
          <w:highlight w:val="none"/>
          <w:lang w:val="en-US" w:eastAsia="zh-CN"/>
        </w:rPr>
        <w:t>4月15日，评估组</w:t>
      </w:r>
      <w:r>
        <w:rPr>
          <w:rFonts w:hint="default" w:ascii="Times New Roman" w:hAnsi="Times New Roman" w:eastAsia="宋体" w:cs="Times New Roman"/>
          <w:lang w:val="zh-CN" w:eastAsia="zh-CN"/>
        </w:rPr>
        <w:t>对</w:t>
      </w:r>
      <w:r>
        <w:rPr>
          <w:rFonts w:hint="default" w:ascii="Times New Roman" w:hAnsi="Times New Roman" w:cs="Times New Roman"/>
          <w:sz w:val="28"/>
          <w:szCs w:val="28"/>
          <w:lang w:val="en-US" w:eastAsia="zh-CN"/>
        </w:rPr>
        <w:t>石油科技交流中心</w:t>
      </w:r>
      <w:r>
        <w:rPr>
          <w:rFonts w:hint="default" w:ascii="Times New Roman" w:hAnsi="Times New Roman" w:eastAsia="宋体" w:cs="Times New Roman"/>
          <w:lang w:val="zh-CN" w:eastAsia="zh-CN"/>
        </w:rPr>
        <w:t>相关负责人进行访谈，同时组织人员赴事故现场调研，检查事故现场相关措施的落实情况。经现场核实，</w:t>
      </w:r>
      <w:r>
        <w:rPr>
          <w:rFonts w:hint="default" w:ascii="Times New Roman" w:hAnsi="Times New Roman" w:eastAsia="宋体" w:cs="Times New Roman"/>
          <w:lang w:val="en-US" w:eastAsia="zh-CN"/>
        </w:rPr>
        <w:t>事发</w:t>
      </w:r>
      <w:r>
        <w:rPr>
          <w:rFonts w:hint="default" w:ascii="Times New Roman" w:hAnsi="Times New Roman" w:eastAsia="宋体" w:cs="Times New Roman"/>
          <w:lang w:val="zh-CN" w:eastAsia="zh-CN"/>
        </w:rPr>
        <w:t>现场处于</w:t>
      </w:r>
      <w:r>
        <w:rPr>
          <w:rFonts w:hint="default" w:ascii="Times New Roman" w:hAnsi="Times New Roman" w:eastAsia="宋体" w:cs="Times New Roman"/>
          <w:lang w:val="en-US" w:eastAsia="zh-CN"/>
        </w:rPr>
        <w:t>正常运营状态，</w:t>
      </w:r>
      <w:r>
        <w:rPr>
          <w:rFonts w:hint="default" w:ascii="Times New Roman" w:hAnsi="Times New Roman" w:cs="Times New Roman"/>
          <w:lang w:val="en-US" w:eastAsia="zh-CN"/>
        </w:rPr>
        <w:t>评估组</w:t>
      </w:r>
      <w:r>
        <w:rPr>
          <w:rFonts w:hint="default" w:ascii="Times New Roman" w:hAnsi="Times New Roman" w:eastAsia="宋体" w:cs="Times New Roman"/>
          <w:lang w:val="en-US" w:eastAsia="zh-CN"/>
        </w:rPr>
        <w:t>针对事发</w:t>
      </w:r>
      <w:r>
        <w:rPr>
          <w:rFonts w:hint="default" w:ascii="Times New Roman" w:hAnsi="Times New Roman" w:cs="Times New Roman"/>
          <w:lang w:val="en-US" w:eastAsia="zh-CN"/>
        </w:rPr>
        <w:t>游泳馆的整改报告、</w:t>
      </w:r>
      <w:r>
        <w:rPr>
          <w:rFonts w:hint="default" w:ascii="Times New Roman" w:hAnsi="Times New Roman" w:eastAsia="宋体" w:cs="Times New Roman"/>
          <w:lang w:val="en-US" w:eastAsia="zh-CN"/>
        </w:rPr>
        <w:t>现行安全管理</w:t>
      </w:r>
      <w:r>
        <w:rPr>
          <w:rFonts w:hint="default" w:ascii="Times New Roman" w:hAnsi="Times New Roman" w:cs="Times New Roman"/>
          <w:lang w:val="en-US" w:eastAsia="zh-CN"/>
        </w:rPr>
        <w:t>资料</w:t>
      </w:r>
      <w:r>
        <w:rPr>
          <w:rFonts w:hint="default" w:ascii="Times New Roman" w:hAnsi="Times New Roman" w:eastAsia="宋体" w:cs="Times New Roman"/>
          <w:lang w:val="en-US" w:eastAsia="zh-CN"/>
        </w:rPr>
        <w:t>、重点设备设施进行了询问和查看</w:t>
      </w:r>
      <w:r>
        <w:rPr>
          <w:rFonts w:hint="default" w:ascii="Times New Roman" w:hAnsi="Times New Roman" w:eastAsia="宋体" w:cs="Times New Roman"/>
          <w:lang w:val="zh-CN" w:eastAsia="zh-CN"/>
        </w:rPr>
        <w:t>。</w:t>
      </w:r>
    </w:p>
    <w:p w14:paraId="144102B5">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highlight w:val="none"/>
          <w:lang w:val="zh-CN" w:eastAsia="zh-CN"/>
        </w:rPr>
        <w:t>依据《事故调查报告》中的</w:t>
      </w:r>
      <w:r>
        <w:rPr>
          <w:rFonts w:hint="default" w:ascii="Times New Roman" w:hAnsi="Times New Roman" w:eastAsia="宋体" w:cs="Times New Roman"/>
          <w:highlight w:val="none"/>
          <w:lang w:val="en-US" w:eastAsia="zh-CN"/>
        </w:rPr>
        <w:t>事故</w:t>
      </w:r>
      <w:r>
        <w:rPr>
          <w:rFonts w:hint="default" w:ascii="Times New Roman" w:hAnsi="Times New Roman" w:eastAsia="宋体" w:cs="Times New Roman"/>
          <w:lang w:val="en-US" w:eastAsia="zh-CN"/>
        </w:rPr>
        <w:t>间接原因和</w:t>
      </w:r>
      <w:r>
        <w:rPr>
          <w:rFonts w:hint="default" w:ascii="Times New Roman" w:hAnsi="Times New Roman" w:cs="Times New Roman"/>
          <w:lang w:val="en-US" w:eastAsia="zh-CN"/>
        </w:rPr>
        <w:t>整改</w:t>
      </w:r>
      <w:r>
        <w:rPr>
          <w:rFonts w:hint="default" w:ascii="Times New Roman" w:hAnsi="Times New Roman" w:eastAsia="宋体" w:cs="Times New Roman"/>
          <w:lang w:val="zh-CN" w:eastAsia="zh-CN"/>
        </w:rPr>
        <w:t>防范措施，结合</w:t>
      </w:r>
      <w:r>
        <w:rPr>
          <w:rFonts w:hint="default" w:ascii="Times New Roman" w:hAnsi="Times New Roman" w:eastAsia="宋体" w:cs="Times New Roman"/>
          <w:lang w:val="en-US" w:eastAsia="zh-CN"/>
        </w:rPr>
        <w:t>相关</w:t>
      </w:r>
      <w:r>
        <w:rPr>
          <w:rFonts w:hint="default" w:ascii="Times New Roman" w:hAnsi="Times New Roman" w:eastAsia="宋体" w:cs="Times New Roman"/>
          <w:lang w:val="zh-CN" w:eastAsia="zh-CN"/>
        </w:rPr>
        <w:t>法律法规</w:t>
      </w:r>
      <w:r>
        <w:rPr>
          <w:rFonts w:hint="default" w:ascii="Times New Roman" w:hAnsi="Times New Roman" w:eastAsia="宋体" w:cs="Times New Roman"/>
          <w:lang w:val="en-US" w:eastAsia="zh-CN"/>
        </w:rPr>
        <w:t>和提供的资料</w:t>
      </w:r>
      <w:r>
        <w:rPr>
          <w:rFonts w:hint="default" w:ascii="Times New Roman" w:hAnsi="Times New Roman" w:eastAsia="宋体" w:cs="Times New Roman"/>
          <w:lang w:val="zh-CN" w:eastAsia="zh-CN"/>
        </w:rPr>
        <w:t>，</w:t>
      </w:r>
      <w:r>
        <w:rPr>
          <w:rFonts w:hint="default" w:ascii="Times New Roman" w:hAnsi="Times New Roman" w:cs="Times New Roman"/>
          <w:lang w:val="en-US" w:eastAsia="zh-CN"/>
        </w:rPr>
        <w:t>评估组</w:t>
      </w:r>
      <w:r>
        <w:rPr>
          <w:rFonts w:hint="default" w:ascii="Times New Roman" w:hAnsi="Times New Roman" w:eastAsia="宋体" w:cs="Times New Roman"/>
          <w:lang w:val="zh-CN" w:eastAsia="zh-CN"/>
        </w:rPr>
        <w:t>从</w:t>
      </w:r>
      <w:r>
        <w:rPr>
          <w:rFonts w:hint="default" w:ascii="Times New Roman" w:hAnsi="Times New Roman" w:eastAsia="宋体" w:cs="Times New Roman"/>
          <w:lang w:val="en-US" w:eastAsia="zh-CN"/>
        </w:rPr>
        <w:t>以下</w:t>
      </w:r>
      <w:r>
        <w:rPr>
          <w:rFonts w:hint="default" w:ascii="Times New Roman" w:hAnsi="Times New Roman" w:eastAsia="宋体" w:cs="Times New Roman"/>
          <w:lang w:val="zh-CN" w:eastAsia="zh-CN"/>
        </w:rPr>
        <w:t>方面</w:t>
      </w:r>
      <w:r>
        <w:rPr>
          <w:rFonts w:hint="default" w:ascii="Times New Roman" w:hAnsi="Times New Roman" w:cs="Times New Roman"/>
          <w:lang w:val="en-US" w:eastAsia="zh-CN"/>
        </w:rPr>
        <w:t>说明</w:t>
      </w:r>
      <w:r>
        <w:rPr>
          <w:rFonts w:hint="default" w:ascii="Times New Roman" w:hAnsi="Times New Roman" w:cs="Times New Roman"/>
          <w:sz w:val="28"/>
          <w:szCs w:val="28"/>
          <w:lang w:val="en-US" w:eastAsia="zh-CN"/>
        </w:rPr>
        <w:t>石油科技交流中心</w:t>
      </w:r>
      <w:r>
        <w:rPr>
          <w:rFonts w:hint="default" w:ascii="Times New Roman" w:hAnsi="Times New Roman" w:cs="Times New Roman"/>
          <w:lang w:val="en-US" w:eastAsia="zh-CN"/>
        </w:rPr>
        <w:t>的整改措施</w:t>
      </w:r>
      <w:r>
        <w:rPr>
          <w:rFonts w:hint="default" w:ascii="Times New Roman" w:hAnsi="Times New Roman" w:eastAsia="宋体" w:cs="Times New Roman"/>
          <w:lang w:val="zh-CN" w:eastAsia="zh-CN"/>
        </w:rPr>
        <w:t>具体落实情况</w:t>
      </w:r>
      <w:r>
        <w:rPr>
          <w:rFonts w:hint="default" w:ascii="Times New Roman" w:hAnsi="Times New Roman" w:cs="Times New Roman"/>
          <w:lang w:val="zh-CN" w:eastAsia="zh-CN"/>
        </w:rPr>
        <w:t>。</w:t>
      </w:r>
    </w:p>
    <w:p w14:paraId="56B8E720">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一是与专业</w:t>
      </w:r>
      <w:r>
        <w:rPr>
          <w:rFonts w:hint="eastAsia" w:ascii="Times New Roman" w:hAnsi="Times New Roman" w:cs="Times New Roman"/>
          <w:b w:val="0"/>
          <w:bCs w:val="0"/>
          <w:highlight w:val="none"/>
          <w:lang w:val="en-US" w:eastAsia="zh-CN"/>
        </w:rPr>
        <w:t>机</w:t>
      </w:r>
      <w:r>
        <w:rPr>
          <w:rFonts w:hint="default" w:ascii="Times New Roman" w:hAnsi="Times New Roman" w:cs="Times New Roman"/>
          <w:b w:val="0"/>
          <w:bCs w:val="0"/>
          <w:highlight w:val="none"/>
          <w:lang w:val="en-US" w:eastAsia="zh-CN"/>
        </w:rPr>
        <w:t>构进行合作，配齐救生员数量，提高应急反应质量和速度。按照国家标准，配齐救生员，确保在岗救生员数量符合标准。游泳馆现有救生员8名，保证同时在岗救生员4名。</w:t>
      </w:r>
    </w:p>
    <w:p w14:paraId="685A7BAD">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二是健全游泳馆应急处置程序。建立健全高危人群（老人，小孩，孕妇，重度肥胖等）的应急处置程序，做到重点盯防，提前进行预防，保证泳客的安全。</w:t>
      </w:r>
    </w:p>
    <w:p w14:paraId="10E88020">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三是完善泳池巡查制度，与质安部进行联动，对游泳馆进行巡查并填写《检查记录表》，做到互相监督，确保泳池救生员工作状态和工作质量。</w:t>
      </w:r>
    </w:p>
    <w:p w14:paraId="652406A1">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四是增加对游泳者的安全提示和温馨提示并张贴于吧台和泳池显著位置，对有可能发生的人员</w:t>
      </w:r>
      <w:r>
        <w:rPr>
          <w:rFonts w:hint="eastAsia" w:ascii="Times New Roman" w:hAnsi="Times New Roman" w:cs="Times New Roman"/>
          <w:b w:val="0"/>
          <w:bCs w:val="0"/>
          <w:highlight w:val="none"/>
          <w:lang w:val="en-US" w:eastAsia="zh-CN"/>
        </w:rPr>
        <w:t>意外</w:t>
      </w:r>
      <w:r>
        <w:rPr>
          <w:rFonts w:hint="default" w:ascii="Times New Roman" w:hAnsi="Times New Roman" w:cs="Times New Roman"/>
          <w:b w:val="0"/>
          <w:bCs w:val="0"/>
          <w:highlight w:val="none"/>
          <w:lang w:val="en-US" w:eastAsia="zh-CN"/>
        </w:rPr>
        <w:t>进行告知和劝阻，并对工作人员进行培训，提前预防，避免事故的发生。</w:t>
      </w:r>
    </w:p>
    <w:p w14:paraId="6476B6E0">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五是加大救生员和服务人员的培训力度和教育力度。树立安全意识，使每名员工熟练掌握应急预案内容及工作流程，合规操作，避免意外发生；严格执行上岗前的考核制度，考核不合格严禁上岗；每季度开展一次泳池溺水应急演练，使事故发生时能在第一时间进行处置；宣贯事故报送制度，在事故发生后向直接监管部门进行报告，并服从指挥，使游泳馆在第一时间作出正确举措。</w:t>
      </w:r>
    </w:p>
    <w:p w14:paraId="317BEC90">
      <w:pPr>
        <w:keepNext w:val="0"/>
        <w:keepLines w:val="0"/>
        <w:pageBreakBefore w:val="0"/>
        <w:widowControl w:val="0"/>
        <w:kinsoku/>
        <w:wordWrap/>
        <w:overflowPunct w:val="0"/>
        <w:topLinePunct w:val="0"/>
        <w:autoSpaceDE/>
        <w:autoSpaceDN/>
        <w:bidi w:val="0"/>
        <w:adjustRightInd/>
        <w:snapToGrid/>
        <w:spacing w:line="560" w:lineRule="exact"/>
        <w:ind w:firstLine="560"/>
        <w:textAlignment w:val="auto"/>
        <w:rPr>
          <w:rFonts w:hint="default" w:ascii="Times New Roman" w:hAnsi="Times New Roman" w:cs="Times New Roman"/>
          <w:b w:val="0"/>
          <w:bCs w:val="0"/>
          <w:highlight w:val="none"/>
          <w:lang w:val="en-US" w:eastAsia="zh-CN"/>
        </w:rPr>
      </w:pPr>
      <w:r>
        <w:rPr>
          <w:rFonts w:hint="default" w:ascii="Times New Roman" w:hAnsi="Times New Roman" w:cs="Times New Roman"/>
          <w:b w:val="0"/>
          <w:bCs w:val="0"/>
          <w:highlight w:val="none"/>
          <w:lang w:val="en-US" w:eastAsia="zh-CN"/>
        </w:rPr>
        <w:t>六是结合昌平区体育局的建议，对游泳馆进行升级改造，包括对泳池增加地膜，减少里面</w:t>
      </w:r>
      <w:r>
        <w:rPr>
          <w:rFonts w:hint="eastAsia" w:ascii="Times New Roman" w:hAnsi="Times New Roman" w:cs="Times New Roman"/>
          <w:b w:val="0"/>
          <w:bCs w:val="0"/>
          <w:highlight w:val="none"/>
          <w:lang w:val="en-US" w:eastAsia="zh-CN"/>
        </w:rPr>
        <w:t>眩光</w:t>
      </w:r>
      <w:r>
        <w:rPr>
          <w:rFonts w:hint="default" w:ascii="Times New Roman" w:hAnsi="Times New Roman" w:cs="Times New Roman"/>
          <w:b w:val="0"/>
          <w:bCs w:val="0"/>
          <w:highlight w:val="none"/>
          <w:lang w:val="en-US" w:eastAsia="zh-CN"/>
        </w:rPr>
        <w:t>；游泳馆增加灯光，使泳池水底更清晰；对泳池内泳梯进行更换，增加接触面和防滑效果，调整泳池巡察路线；增加游泳馆监控设备，杜绝监控死角，在吧台设置血压仪检测仪，对泳客健康进行提前观测，避免有可能发生的意外；增加急救设备，购置AED和制氧仪，提高在面对意外时的人员应急处置效果。</w:t>
      </w:r>
    </w:p>
    <w:p w14:paraId="076E606C">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default" w:ascii="Times New Roman" w:hAnsi="Times New Roman" w:cs="Times New Roman"/>
          <w:b/>
          <w:bCs/>
          <w:lang w:val="en-US" w:eastAsia="zh-CN"/>
        </w:rPr>
      </w:pPr>
      <w:r>
        <w:rPr>
          <w:rFonts w:hint="default" w:ascii="Times New Roman" w:hAnsi="Times New Roman" w:cs="Times New Roman"/>
          <w:b w:val="0"/>
          <w:bCs w:val="0"/>
          <w:lang w:val="en-US" w:eastAsia="zh-CN"/>
        </w:rPr>
        <w:t>综上，可证明</w:t>
      </w:r>
      <w:r>
        <w:rPr>
          <w:rFonts w:hint="default" w:ascii="Times New Roman" w:hAnsi="Times New Roman" w:cs="Times New Roman"/>
          <w:sz w:val="28"/>
          <w:szCs w:val="28"/>
          <w:lang w:val="en-US" w:eastAsia="zh-CN"/>
        </w:rPr>
        <w:t>石油科技交流中心</w:t>
      </w:r>
      <w:r>
        <w:rPr>
          <w:rFonts w:hint="default" w:ascii="Times New Roman" w:hAnsi="Times New Roman" w:cs="Times New Roman"/>
          <w:b w:val="0"/>
          <w:bCs w:val="0"/>
          <w:lang w:val="en-US" w:eastAsia="zh-CN"/>
        </w:rPr>
        <w:t>在事故发生后已基本落实了《事故调查报告》中提出的防范和整改措施。</w:t>
      </w:r>
    </w:p>
    <w:p w14:paraId="5A25774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54" w:name="_Toc12736"/>
      <w:bookmarkStart w:id="55" w:name="_Toc14640"/>
      <w:bookmarkStart w:id="56" w:name="_Toc15147"/>
      <w:r>
        <w:rPr>
          <w:rFonts w:hint="default" w:ascii="Times New Roman" w:hAnsi="Times New Roman" w:cs="Times New Roman"/>
          <w:b/>
          <w:szCs w:val="28"/>
          <w:lang w:val="en-US" w:eastAsia="zh-CN"/>
        </w:rPr>
        <w:t>4.1.3 安全现状评估情况</w:t>
      </w:r>
      <w:bookmarkEnd w:id="54"/>
      <w:bookmarkEnd w:id="55"/>
      <w:bookmarkEnd w:id="56"/>
    </w:p>
    <w:p w14:paraId="2BFA4572">
      <w:pPr>
        <w:pStyle w:val="35"/>
        <w:spacing w:line="360" w:lineRule="auto"/>
        <w:ind w:firstLine="480"/>
        <w:rPr>
          <w:rFonts w:hint="default" w:ascii="Times New Roman" w:hAnsi="Times New Roman" w:eastAsia="宋体" w:cs="Times New Roman"/>
          <w:sz w:val="28"/>
          <w:szCs w:val="28"/>
          <w:lang w:val="en-US" w:eastAsia="zh-CN"/>
        </w:rPr>
      </w:pPr>
      <w:r>
        <w:rPr>
          <w:rFonts w:hint="default" w:ascii="Times New Roman" w:hAnsi="Times New Roman" w:cs="Times New Roman"/>
          <w:lang w:val="zh-CN" w:eastAsia="zh-CN"/>
        </w:rPr>
        <w:t>评估组</w:t>
      </w:r>
      <w:r>
        <w:rPr>
          <w:rFonts w:hint="default" w:ascii="Times New Roman" w:hAnsi="Times New Roman" w:cs="Times New Roman"/>
          <w:lang w:val="en-US" w:eastAsia="zh-CN"/>
        </w:rPr>
        <w:t>于</w:t>
      </w:r>
      <w:r>
        <w:rPr>
          <w:rFonts w:hint="default" w:ascii="Times New Roman" w:hAnsi="Times New Roman" w:eastAsia="宋体" w:cs="Times New Roman"/>
          <w:sz w:val="28"/>
          <w:szCs w:val="28"/>
          <w:lang w:val="en-US" w:eastAsia="zh-CN"/>
        </w:rPr>
        <w:t>202</w:t>
      </w:r>
      <w:r>
        <w:rPr>
          <w:rFonts w:hint="default" w:ascii="Times New Roman" w:hAnsi="Times New Roman" w:cs="Times New Roman"/>
          <w:sz w:val="28"/>
          <w:szCs w:val="28"/>
          <w:lang w:val="en-US" w:eastAsia="zh-CN"/>
        </w:rPr>
        <w:t>4</w:t>
      </w:r>
      <w:r>
        <w:rPr>
          <w:rFonts w:hint="default" w:ascii="Times New Roman" w:hAnsi="Times New Roman" w:eastAsia="宋体" w:cs="Times New Roman"/>
          <w:sz w:val="28"/>
          <w:szCs w:val="28"/>
          <w:lang w:val="en-US" w:eastAsia="zh-CN"/>
        </w:rPr>
        <w:t>年</w:t>
      </w:r>
      <w:r>
        <w:rPr>
          <w:rFonts w:hint="default" w:ascii="Times New Roman" w:hAnsi="Times New Roman" w:cs="Times New Roman"/>
          <w:sz w:val="28"/>
          <w:szCs w:val="28"/>
          <w:lang w:val="en-US" w:eastAsia="zh-CN"/>
        </w:rPr>
        <w:t>4</w:t>
      </w:r>
      <w:r>
        <w:rPr>
          <w:rFonts w:hint="default" w:ascii="Times New Roman" w:hAnsi="Times New Roman" w:eastAsia="宋体" w:cs="Times New Roman"/>
          <w:sz w:val="28"/>
          <w:szCs w:val="28"/>
          <w:lang w:val="en-US" w:eastAsia="zh-CN"/>
        </w:rPr>
        <w:t>月1</w:t>
      </w:r>
      <w:r>
        <w:rPr>
          <w:rFonts w:hint="default" w:ascii="Times New Roman" w:hAnsi="Times New Roman" w:cs="Times New Roman"/>
          <w:sz w:val="28"/>
          <w:szCs w:val="28"/>
          <w:lang w:val="en-US" w:eastAsia="zh-CN"/>
        </w:rPr>
        <w:t>5</w:t>
      </w:r>
      <w:r>
        <w:rPr>
          <w:rFonts w:hint="default" w:ascii="Times New Roman" w:hAnsi="Times New Roman" w:eastAsia="宋体" w:cs="Times New Roman"/>
          <w:sz w:val="28"/>
          <w:szCs w:val="28"/>
          <w:lang w:val="en-US" w:eastAsia="zh-CN"/>
        </w:rPr>
        <w:t>日邀请了安全生产领域的技术专家对</w:t>
      </w:r>
      <w:r>
        <w:rPr>
          <w:rFonts w:hint="default" w:ascii="Times New Roman" w:hAnsi="Times New Roman" w:cs="Times New Roman"/>
          <w:sz w:val="28"/>
          <w:szCs w:val="28"/>
          <w:lang w:val="en-US" w:eastAsia="zh-CN"/>
        </w:rPr>
        <w:t>石油科技交流中心游泳馆进行了安全现状评估，</w:t>
      </w:r>
      <w:r>
        <w:rPr>
          <w:rFonts w:hint="default" w:ascii="Times New Roman" w:hAnsi="Times New Roman" w:eastAsia="宋体" w:cs="Times New Roman"/>
          <w:sz w:val="28"/>
          <w:szCs w:val="28"/>
          <w:lang w:val="en-US" w:eastAsia="zh-CN"/>
        </w:rPr>
        <w:t>评估区域为</w:t>
      </w:r>
      <w:r>
        <w:rPr>
          <w:rFonts w:hint="default" w:ascii="Times New Roman" w:hAnsi="Times New Roman" w:cs="Times New Roman"/>
          <w:sz w:val="28"/>
          <w:szCs w:val="28"/>
          <w:lang w:val="en-US" w:eastAsia="zh-CN"/>
        </w:rPr>
        <w:t>游泳场所、更衣室、水处理间及配电室</w:t>
      </w:r>
      <w:r>
        <w:rPr>
          <w:rFonts w:hint="default" w:ascii="Times New Roman" w:hAnsi="Times New Roman" w:eastAsia="宋体" w:cs="Times New Roman"/>
          <w:sz w:val="28"/>
          <w:szCs w:val="28"/>
          <w:lang w:val="en-US" w:eastAsia="zh-CN"/>
        </w:rPr>
        <w:t>。</w:t>
      </w:r>
      <w:r>
        <w:rPr>
          <w:rFonts w:hint="default" w:ascii="Times New Roman" w:hAnsi="Times New Roman" w:cs="Times New Roman"/>
          <w:sz w:val="28"/>
          <w:szCs w:val="28"/>
          <w:lang w:val="en-US" w:eastAsia="zh-CN"/>
        </w:rPr>
        <w:t xml:space="preserve"> </w:t>
      </w:r>
    </w:p>
    <w:p w14:paraId="4193CF8F">
      <w:pPr>
        <w:pStyle w:val="35"/>
        <w:spacing w:line="360" w:lineRule="auto"/>
        <w:ind w:firstLine="480"/>
        <w:rPr>
          <w:rFonts w:hint="default" w:ascii="Times New Roman" w:hAnsi="Times New Roman" w:cs="Times New Roman"/>
          <w:lang w:val="en-US" w:eastAsia="zh-CN"/>
        </w:rPr>
      </w:pPr>
      <w:r>
        <w:rPr>
          <w:rFonts w:hint="default" w:ascii="Times New Roman" w:hAnsi="Times New Roman" w:eastAsia="宋体" w:cs="Times New Roman"/>
          <w:sz w:val="28"/>
          <w:szCs w:val="28"/>
          <w:lang w:val="en-US" w:eastAsia="zh-CN"/>
        </w:rPr>
        <w:t>按照安全生产法律法规和《事故调查报告》中的事故间接原因、整改防范措施，对上述材料和现场环境进</w:t>
      </w:r>
      <w:r>
        <w:rPr>
          <w:rFonts w:hint="default" w:ascii="Times New Roman" w:hAnsi="Times New Roman" w:eastAsia="宋体" w:cs="Times New Roman"/>
          <w:sz w:val="28"/>
          <w:szCs w:val="28"/>
          <w:highlight w:val="none"/>
          <w:lang w:val="en-US" w:eastAsia="zh-CN"/>
        </w:rPr>
        <w:t>行评估，</w:t>
      </w:r>
      <w:r>
        <w:rPr>
          <w:rFonts w:hint="default" w:ascii="Times New Roman" w:hAnsi="Times New Roman" w:eastAsia="宋体" w:cs="Times New Roman"/>
          <w:sz w:val="28"/>
          <w:szCs w:val="28"/>
          <w:lang w:val="en-US" w:eastAsia="zh-CN"/>
        </w:rPr>
        <w:t>结合专家意见和企业整改工作情况，</w:t>
      </w:r>
      <w:r>
        <w:rPr>
          <w:rFonts w:hint="default" w:ascii="Times New Roman" w:hAnsi="Times New Roman" w:eastAsia="宋体" w:cs="Times New Roman"/>
          <w:sz w:val="28"/>
          <w:szCs w:val="28"/>
          <w:highlight w:val="none"/>
          <w:lang w:val="en-US" w:eastAsia="zh-CN"/>
        </w:rPr>
        <w:t>最终一致认为</w:t>
      </w:r>
      <w:r>
        <w:rPr>
          <w:rFonts w:hint="default" w:ascii="Times New Roman" w:hAnsi="Times New Roman" w:cs="Times New Roman"/>
          <w:sz w:val="28"/>
          <w:szCs w:val="28"/>
          <w:lang w:val="en-US" w:eastAsia="zh-CN"/>
        </w:rPr>
        <w:t>石油科技交流中心游泳馆</w:t>
      </w:r>
      <w:r>
        <w:rPr>
          <w:rFonts w:hint="default" w:ascii="Times New Roman" w:hAnsi="Times New Roman" w:eastAsia="宋体" w:cs="Times New Roman"/>
          <w:sz w:val="28"/>
          <w:szCs w:val="28"/>
          <w:lang w:val="en-US" w:eastAsia="zh-CN"/>
        </w:rPr>
        <w:t>现行制度、管理措施和现场安全状态基本符合</w:t>
      </w:r>
      <w:r>
        <w:rPr>
          <w:rFonts w:hint="default" w:ascii="Times New Roman" w:hAnsi="Times New Roman" w:cs="Times New Roman"/>
          <w:sz w:val="28"/>
          <w:szCs w:val="28"/>
          <w:lang w:val="en-US" w:eastAsia="zh-CN"/>
        </w:rPr>
        <w:t>《中华人民共和国安全生产法》</w:t>
      </w:r>
      <w:r>
        <w:rPr>
          <w:rFonts w:hint="default" w:ascii="Times New Roman" w:hAnsi="Times New Roman" w:eastAsia="宋体" w:cs="Times New Roman"/>
          <w:lang w:val="zh-CN" w:eastAsia="zh-CN"/>
        </w:rPr>
        <w:t>《体育场所开放条件与技术要求（第一部分：游泳场所）》（GB19079.1-2013）</w:t>
      </w:r>
      <w:r>
        <w:rPr>
          <w:rFonts w:hint="eastAsia" w:ascii="宋体" w:hAnsi="宋体"/>
          <w:sz w:val="28"/>
          <w:szCs w:val="28"/>
          <w:lang w:val="en-US" w:eastAsia="zh-CN"/>
        </w:rPr>
        <w:t>等</w:t>
      </w:r>
      <w:r>
        <w:rPr>
          <w:rFonts w:hint="eastAsia" w:ascii="宋体" w:hAnsi="宋体" w:eastAsia="宋体"/>
          <w:sz w:val="28"/>
          <w:szCs w:val="28"/>
          <w:lang w:val="en-US" w:eastAsia="zh-CN"/>
        </w:rPr>
        <w:t>相关</w:t>
      </w:r>
      <w:r>
        <w:rPr>
          <w:rFonts w:hint="eastAsia" w:ascii="宋体" w:hAnsi="宋体"/>
          <w:sz w:val="28"/>
          <w:szCs w:val="28"/>
          <w:lang w:val="en-US" w:eastAsia="zh-CN"/>
        </w:rPr>
        <w:t>法律法规，</w:t>
      </w:r>
      <w:r>
        <w:rPr>
          <w:rFonts w:hint="default" w:ascii="Times New Roman" w:hAnsi="Times New Roman" w:eastAsia="宋体" w:cs="Times New Roman"/>
          <w:lang w:val="en-US" w:eastAsia="zh-CN"/>
        </w:rPr>
        <w:t>详见《</w:t>
      </w:r>
      <w:r>
        <w:rPr>
          <w:rFonts w:hint="default" w:ascii="Times New Roman" w:hAnsi="Times New Roman" w:cs="Times New Roman"/>
          <w:lang w:eastAsia="zh-CN"/>
        </w:rPr>
        <w:t>石油科技交流中心游泳馆</w:t>
      </w:r>
      <w:r>
        <w:rPr>
          <w:rFonts w:hint="eastAsia" w:ascii="Times New Roman" w:hAnsi="Times New Roman" w:cs="Times New Roman"/>
          <w:lang w:eastAsia="zh-CN"/>
        </w:rPr>
        <w:t>“</w:t>
      </w:r>
      <w:r>
        <w:rPr>
          <w:rFonts w:hint="default" w:ascii="Times New Roman" w:hAnsi="Times New Roman" w:cs="Times New Roman"/>
          <w:lang w:val="en-US" w:eastAsia="zh-CN"/>
        </w:rPr>
        <w:t>3</w:t>
      </w:r>
      <w:r>
        <w:rPr>
          <w:rFonts w:hint="eastAsia" w:ascii="Times New Roman" w:hAnsi="Times New Roman" w:cs="Times New Roman"/>
          <w:lang w:val="en-US" w:eastAsia="zh-CN"/>
        </w:rPr>
        <w:t>·</w:t>
      </w:r>
      <w:r>
        <w:rPr>
          <w:rFonts w:hint="default" w:ascii="Times New Roman" w:hAnsi="Times New Roman" w:cs="Times New Roman"/>
          <w:lang w:val="en-US" w:eastAsia="zh-CN"/>
        </w:rPr>
        <w:t>17</w:t>
      </w:r>
      <w:r>
        <w:rPr>
          <w:rFonts w:hint="eastAsia" w:ascii="Times New Roman" w:hAnsi="Times New Roman" w:cs="Times New Roman"/>
          <w:lang w:eastAsia="zh-CN"/>
        </w:rPr>
        <w:t>”</w:t>
      </w:r>
      <w:r>
        <w:rPr>
          <w:rFonts w:hint="default" w:ascii="Times New Roman" w:hAnsi="Times New Roman" w:eastAsia="宋体" w:cs="Times New Roman"/>
          <w:lang w:val="en-US" w:eastAsia="zh-CN"/>
        </w:rPr>
        <w:t>一般生产安全事故现场安全现状评估报告》</w:t>
      </w:r>
      <w:r>
        <w:rPr>
          <w:rFonts w:hint="default" w:ascii="Times New Roman" w:hAnsi="Times New Roman" w:cs="Times New Roman"/>
          <w:lang w:val="en-US" w:eastAsia="zh-CN"/>
        </w:rPr>
        <w:t>（简称《安全现状评估报告》）。</w:t>
      </w:r>
    </w:p>
    <w:p w14:paraId="6CC39021">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57" w:name="_Toc4602"/>
      <w:bookmarkStart w:id="58" w:name="_Toc32143"/>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default" w:ascii="Times New Roman" w:hAnsi="Times New Roman" w:cs="Times New Roman"/>
          <w:b/>
          <w:bCs/>
          <w:kern w:val="0"/>
          <w:szCs w:val="28"/>
          <w:lang w:val="en-US" w:eastAsia="zh-CN"/>
        </w:rPr>
        <w:t>2</w:t>
      </w:r>
      <w:r>
        <w:rPr>
          <w:rFonts w:hint="default" w:ascii="Times New Roman" w:hAnsi="Times New Roman" w:eastAsia="宋体" w:cs="Times New Roman"/>
          <w:b/>
          <w:bCs/>
          <w:kern w:val="0"/>
          <w:szCs w:val="28"/>
        </w:rPr>
        <w:t xml:space="preserve"> </w:t>
      </w:r>
      <w:r>
        <w:rPr>
          <w:rFonts w:hint="default" w:ascii="Times New Roman" w:hAnsi="Times New Roman" w:cs="Times New Roman"/>
          <w:b/>
          <w:bCs/>
          <w:kern w:val="0"/>
          <w:szCs w:val="28"/>
          <w:lang w:val="en-US" w:eastAsia="zh-CN"/>
        </w:rPr>
        <w:t>区体育局落实情况</w:t>
      </w:r>
      <w:bookmarkEnd w:id="57"/>
      <w:bookmarkEnd w:id="58"/>
    </w:p>
    <w:p w14:paraId="4FAE078F">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59" w:name="_Toc3641"/>
      <w:bookmarkStart w:id="60" w:name="_Toc10040"/>
      <w:r>
        <w:rPr>
          <w:rFonts w:hint="default" w:ascii="Times New Roman" w:hAnsi="Times New Roman" w:cs="Times New Roman"/>
          <w:b/>
          <w:szCs w:val="28"/>
          <w:lang w:val="en-US" w:eastAsia="zh-CN"/>
        </w:rPr>
        <w:t>4.2.1 事故整改和防范措施</w:t>
      </w:r>
      <w:bookmarkEnd w:id="59"/>
      <w:bookmarkEnd w:id="60"/>
    </w:p>
    <w:p w14:paraId="54E12C87">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0F8ACF50">
      <w:pPr>
        <w:pStyle w:val="35"/>
        <w:spacing w:line="360" w:lineRule="auto"/>
        <w:ind w:firstLine="480"/>
        <w:rPr>
          <w:rFonts w:hint="default" w:ascii="Times New Roman" w:hAnsi="Times New Roman" w:cs="Times New Roman"/>
          <w:lang w:val="en-US" w:eastAsia="zh-CN"/>
        </w:rPr>
      </w:pPr>
      <w:r>
        <w:rPr>
          <w:rFonts w:hint="default" w:ascii="Times New Roman" w:hAnsi="Times New Roman" w:cs="Times New Roman"/>
          <w:lang w:val="en-US" w:eastAsia="zh-CN"/>
        </w:rPr>
        <w:t>要督促生产经营单位严格落实安全生产主体责任；加强对体育场所尤其是游泳场馆的安全生产监督管理，全面督促生产经营单位开展安全风险管控和隐患自查自改工作；强化执法措施，加强对体育场所尤其是游泳场馆的日常监管执法，严查《高危险性体育项目经营许可证》与实际经营责任人员是否一致、游泳馆的设备设施配备是否齐全、游泳救生员配备是否符合标准、安全规章制度是否落实、警示标识是否设置等安全问题，对监管执法过程中发现的违法行为，要依法依规严肃处理。</w:t>
      </w:r>
    </w:p>
    <w:p w14:paraId="7B583109">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1" w:name="_Toc10476"/>
      <w:bookmarkStart w:id="62" w:name="_Toc13982"/>
      <w:r>
        <w:rPr>
          <w:rFonts w:hint="default" w:ascii="Times New Roman" w:hAnsi="Times New Roman" w:cs="Times New Roman"/>
          <w:b/>
          <w:szCs w:val="28"/>
          <w:lang w:val="en-US" w:eastAsia="zh-CN"/>
        </w:rPr>
        <w:t>4.2.2 具体落实情况</w:t>
      </w:r>
      <w:bookmarkEnd w:id="61"/>
      <w:bookmarkEnd w:id="62"/>
    </w:p>
    <w:p w14:paraId="200DE5DE">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区体育局具体落实工作如下。</w:t>
      </w:r>
    </w:p>
    <w:p w14:paraId="56C74AE3">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1.加强游泳馆安全检查力度</w:t>
      </w:r>
    </w:p>
    <w:p w14:paraId="67187ECB">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一是结合区安全生产专项整治深化年和</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能力提升年两个主题,组织60余家高危体育运动项目经营单位召开2023年昌平区体育经营单位安全生产培训会。要求各游泳场馆救生员人数未达到标准人数的游泳场馆自行停业整改，救生员在岗时必须统一着装，加强巡视，严禁玩手机、聊天等现象。</w:t>
      </w:r>
    </w:p>
    <w:p w14:paraId="26617573">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是宣贯《安贵险》《北京市安全生产条例》要求名经营单位结合自身实际开展自查，自觉落实企业安全生产主体责任，保障安全稳定。并于2023年3月22日，向全区体育经营单位下发了《关于沙河地区游泳馆发生突发事件的通报》，要求各游泳场所汲取教训，救生员人数未达到标准的游泳场馆自行停业整改，凡正常营业的游泳场馆救生员在岗时必须统一着装。游泳场馆必须投保安全生产责任保险。遇突发事件，及时上报，避免瞒报迟报。</w:t>
      </w:r>
    </w:p>
    <w:p w14:paraId="31BD4021">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三是继续抓好安全生产工作。做好重点体育经营单位安全检查工作，强化主要风险点管理，采取</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四不两直</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方式结合突击检查，随机抽查、</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回头看</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等多种方式坚持对全区游泳经营场所开展检查。</w:t>
      </w:r>
    </w:p>
    <w:p w14:paraId="418C9521">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2.下一步工作</w:t>
      </w:r>
    </w:p>
    <w:p w14:paraId="160D9711">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是要务实抓好安全生产和火灾隐患大排查大整治专项工作，不断推进昌平区体育行业项目生产经营单位安全隐患消除工作，检查重点包括消防安全、用电安全、危险化学品安全管理、有限空间和危险作业安全管理等重点内容，针对检查出来的隐患确定整改期限，责任到人，确保隐患整改和闭环管理，取得实实在在成效。</w:t>
      </w:r>
    </w:p>
    <w:p w14:paraId="0A09C3B9">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二是加大对游泳场馆、健身房等重点场所的救生员在岗人数、持证着装等情况的检查力度，对健身房、游泳馆等重要体育场所，特别是已进入夏季健身高峰期，督促各场所建立健全事故隐患排查治理制度并有效落实，对排查发现的问题要落实整改措施。</w:t>
      </w:r>
    </w:p>
    <w:p w14:paraId="62C27089">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三是加大对不达标、不合规以及屡教不改的游泳场馆的处罚力度，从严、从重、从高处罚。警示相关单位和个人自觉履行安全生产职责，做到事事有人管，件件有落实。</w:t>
      </w:r>
    </w:p>
    <w:p w14:paraId="7E89ED5F">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四是加强市区两级安全生产监督管理部门关于安全生产工作的指示精神的宣传和贯彻工作。严格落实安全生产</w:t>
      </w:r>
      <w:r>
        <w:rPr>
          <w:rFonts w:hint="eastAsia" w:ascii="Times New Roman" w:hAnsi="Times New Roman" w:cs="Times New Roman"/>
          <w:highlight w:val="none"/>
          <w:lang w:val="en-US" w:eastAsia="zh-CN"/>
        </w:rPr>
        <w:t>责任</w:t>
      </w:r>
      <w:r>
        <w:rPr>
          <w:rFonts w:hint="default" w:ascii="Times New Roman" w:hAnsi="Times New Roman" w:cs="Times New Roman"/>
          <w:highlight w:val="none"/>
          <w:lang w:val="en-US" w:eastAsia="zh-CN"/>
        </w:rPr>
        <w:t>，真正把</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时时放心不下</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的责任感转化为</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事事心中有底</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的行动力，以责任到位推动安全制度措施到位。要坚持</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党政同责、一岗双责、齐抓共管、失职追责</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和</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三管三必须</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，压实企业主体责任，推动企业加快健全安全责任体系。明确责任分工、健全工作机制、形成安全管理工作合力。</w:t>
      </w:r>
    </w:p>
    <w:p w14:paraId="78D05BF8">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五是加强消防安全、用电安全、危险化学品安全管理、有限空间和危险作业安全管理等方面安全生产教育培训工作，不断提升行业领域从业者的安全意识、风险辨识和应急处置能力。</w:t>
      </w:r>
    </w:p>
    <w:p w14:paraId="6738C7CD">
      <w:pPr>
        <w:keepNext/>
        <w:keepLines/>
        <w:pageBreakBefore w:val="0"/>
        <w:kinsoku/>
        <w:wordWrap/>
        <w:overflowPunct w:val="0"/>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宋体" w:cs="Times New Roman"/>
          <w:b/>
          <w:bCs/>
          <w:kern w:val="0"/>
          <w:szCs w:val="28"/>
          <w:lang w:val="en-US" w:eastAsia="zh-CN"/>
        </w:rPr>
      </w:pPr>
      <w:bookmarkStart w:id="63" w:name="_Toc14323"/>
      <w:bookmarkStart w:id="64" w:name="_Toc12926"/>
      <w:r>
        <w:rPr>
          <w:rFonts w:hint="default" w:ascii="Times New Roman" w:hAnsi="Times New Roman" w:cs="Times New Roman"/>
          <w:b/>
          <w:bCs/>
          <w:kern w:val="0"/>
          <w:szCs w:val="28"/>
          <w:lang w:val="en-US" w:eastAsia="zh-CN"/>
        </w:rPr>
        <w:t>4</w:t>
      </w:r>
      <w:r>
        <w:rPr>
          <w:rFonts w:hint="default" w:ascii="Times New Roman" w:hAnsi="Times New Roman" w:eastAsia="宋体" w:cs="Times New Roman"/>
          <w:b/>
          <w:bCs/>
          <w:kern w:val="0"/>
          <w:szCs w:val="28"/>
        </w:rPr>
        <w:t>.</w:t>
      </w:r>
      <w:r>
        <w:rPr>
          <w:rFonts w:hint="default" w:ascii="Times New Roman" w:hAnsi="Times New Roman" w:cs="Times New Roman"/>
          <w:b/>
          <w:bCs/>
          <w:kern w:val="0"/>
          <w:szCs w:val="28"/>
          <w:lang w:val="en-US" w:eastAsia="zh-CN"/>
        </w:rPr>
        <w:t>3</w:t>
      </w:r>
      <w:r>
        <w:rPr>
          <w:rFonts w:hint="default" w:ascii="Times New Roman" w:hAnsi="Times New Roman" w:eastAsia="宋体" w:cs="Times New Roman"/>
          <w:b/>
          <w:bCs/>
          <w:kern w:val="0"/>
          <w:szCs w:val="28"/>
        </w:rPr>
        <w:t xml:space="preserve"> </w:t>
      </w:r>
      <w:r>
        <w:rPr>
          <w:rFonts w:hint="default" w:ascii="Times New Roman" w:hAnsi="Times New Roman" w:cs="Times New Roman"/>
          <w:b/>
          <w:bCs/>
          <w:kern w:val="0"/>
          <w:szCs w:val="28"/>
          <w:lang w:val="en-US" w:eastAsia="zh-CN"/>
        </w:rPr>
        <w:t>沙河镇政府落实情况</w:t>
      </w:r>
      <w:bookmarkEnd w:id="63"/>
      <w:bookmarkEnd w:id="64"/>
    </w:p>
    <w:p w14:paraId="7C68BF08">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5" w:name="_Toc14934"/>
      <w:bookmarkStart w:id="66" w:name="_Toc24041"/>
      <w:r>
        <w:rPr>
          <w:rFonts w:hint="default" w:ascii="Times New Roman" w:hAnsi="Times New Roman" w:cs="Times New Roman"/>
          <w:b/>
          <w:szCs w:val="28"/>
          <w:lang w:val="en-US" w:eastAsia="zh-CN"/>
        </w:rPr>
        <w:t>4.3.1 事故整改和防范措施</w:t>
      </w:r>
      <w:bookmarkEnd w:id="65"/>
      <w:bookmarkEnd w:id="66"/>
    </w:p>
    <w:p w14:paraId="7326E5B4">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lang w:val="zh-CN" w:eastAsia="zh-CN"/>
        </w:rPr>
      </w:pPr>
      <w:r>
        <w:rPr>
          <w:rFonts w:hint="default" w:ascii="Times New Roman" w:hAnsi="Times New Roman" w:eastAsia="宋体" w:cs="Times New Roman"/>
          <w:lang w:val="zh-CN" w:eastAsia="zh-CN"/>
        </w:rPr>
        <w:t>为深刻汲取事故教训，切实践行生命至上、安全发展理念，有效防范和坚决遏制类似事故，《</w:t>
      </w:r>
      <w:r>
        <w:rPr>
          <w:rFonts w:hint="default" w:ascii="Times New Roman" w:hAnsi="Times New Roman" w:eastAsia="宋体" w:cs="Times New Roman"/>
          <w:lang w:val="en-US" w:eastAsia="zh-CN"/>
        </w:rPr>
        <w:t>事故调查报告</w:t>
      </w:r>
      <w:r>
        <w:rPr>
          <w:rFonts w:hint="default" w:ascii="Times New Roman" w:hAnsi="Times New Roman" w:eastAsia="宋体" w:cs="Times New Roman"/>
          <w:lang w:val="zh-CN" w:eastAsia="zh-CN"/>
        </w:rPr>
        <w:t>》提出以下建议措施：</w:t>
      </w:r>
    </w:p>
    <w:p w14:paraId="47BC8C3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b/>
          <w:bCs/>
          <w:lang w:val="zh-CN" w:eastAsia="zh-CN"/>
        </w:rPr>
      </w:pPr>
      <w:r>
        <w:rPr>
          <w:rFonts w:hint="default" w:ascii="Times New Roman" w:hAnsi="Times New Roman" w:eastAsia="宋体" w:cs="Times New Roman"/>
          <w:lang w:val="zh-CN" w:eastAsia="zh-CN"/>
        </w:rPr>
        <w:t>作为属地政府，要进一步落实属地管理责任，切实加强辖区内体育场所的监督管理，重点加强游泳场馆、水上乐园的监督管理；督促生产经营单位对照国家标准配齐游泳救生员、设施设备，加强安全管理；督促生产经营单位加强从业人员的安全教育和培训、严格落实安全风险辨识和隐患、定期组织生产安全事故应急救援演练，杜绝此类事故再发生。</w:t>
      </w:r>
    </w:p>
    <w:p w14:paraId="597927DE">
      <w:pPr>
        <w:keepNext/>
        <w:keepLines/>
        <w:pageBreakBefore w:val="0"/>
        <w:widowControl/>
        <w:kinsoku/>
        <w:wordWrap/>
        <w:overflowPunct w:val="0"/>
        <w:topLinePunct w:val="0"/>
        <w:bidi w:val="0"/>
        <w:snapToGrid/>
        <w:ind w:firstLine="0" w:firstLineChars="0"/>
        <w:textAlignment w:val="auto"/>
        <w:outlineLvl w:val="2"/>
        <w:rPr>
          <w:rFonts w:hint="default" w:ascii="Times New Roman" w:hAnsi="Times New Roman" w:cs="Times New Roman"/>
          <w:lang w:val="en-US" w:eastAsia="zh-CN"/>
        </w:rPr>
      </w:pPr>
      <w:bookmarkStart w:id="67" w:name="_Toc24981"/>
      <w:bookmarkStart w:id="68" w:name="_Toc855"/>
      <w:r>
        <w:rPr>
          <w:rFonts w:hint="default" w:ascii="Times New Roman" w:hAnsi="Times New Roman" w:cs="Times New Roman"/>
          <w:b/>
          <w:szCs w:val="28"/>
          <w:lang w:val="en-US" w:eastAsia="zh-CN"/>
        </w:rPr>
        <w:t>4.3.2 具体落实情况</w:t>
      </w:r>
      <w:bookmarkEnd w:id="67"/>
      <w:bookmarkEnd w:id="68"/>
    </w:p>
    <w:p w14:paraId="330B2422">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沙河镇坚持以案促改，举一反三，严格落实《石油科技交流中心游泳馆</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3</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17</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一般生产安全事故调查报告》中提出的事故防范和整改措施建议，切实采取有效措施，加强体育场所的监督管理。</w:t>
      </w:r>
    </w:p>
    <w:p w14:paraId="4C963DAD">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1.高度重视，严格落实属地责任</w:t>
      </w:r>
    </w:p>
    <w:p w14:paraId="0798857C">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事故发生后，沙河镇高度重视，第一时间赶赴现场，积极处理事故相关后续工作，深刻吸取总结事故的惨痛经验教训，进一步落实属地管理责任，切实加强辖区内体育场所的监督管理，重点加强对游泳场馆、水上乐园的监督管理。事故发生后针对辖区内游泳馆等高危行业，联合安全科开展全覆盖安全检查行动，在检查中特别强调安全生产的重要性及意义，对检查中发现的问题现场告知场所负责人立即整改，未整改到位前暂停营业。事故发生后至目前，共开展文旅行业安全检查602家次、体育行业安全检查198家次，通过微信等工作群发布关于有限空间、极端天气预警、安全检查重点等共60余次安全提示。</w:t>
      </w:r>
    </w:p>
    <w:p w14:paraId="760BDBB9">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2.强化监督，建立经营场所安全规范</w:t>
      </w:r>
    </w:p>
    <w:p w14:paraId="3B7FB5E8">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一是沙河镇研究制定了《体育运动项目经营单位安全生产专项整治行动方案》，已将游泳场馆作为整治重点，同时将方案下发至各村、社区、相关科队站所，完善我镇体育行业相关的日常检查机制，进一步强化督查检查力度，督促经营场所落实安全生产责任，安全平稳运营。二是及时将事故情况向镇域内所有游泳场所进行通报，针对游泳馆暴露出的问题举一反三，查遗补漏。督促场馆经营单位高度重视安全生产工作，深刻汲取事故教训，严格落实安全生产主体责任，督促经营单位对照国家标准配齐游泳救生员、设施设备，切实加强安全管理。三是督促经营单位加强从业人员的安全教育和培训，严格落实安全风险辨识和隐患，加强对高风险游泳客人的关注力度和温馨提示，加强救生员安全培训、管理提高应急处置能力，定期组织生产安全事故应急救援演练，杜绝此类事故再发生。四是督促各游泳场馆进行一次全面</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体检</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，对不满足场馆要求的设备设施要及时新增及更换,及时消除泳池视线盲区等各类</w:t>
      </w:r>
      <w:r>
        <w:rPr>
          <w:rFonts w:hint="eastAsia" w:ascii="Times New Roman" w:hAnsi="Times New Roman" w:cs="Times New Roman"/>
          <w:highlight w:val="none"/>
          <w:lang w:val="en-US" w:eastAsia="zh-CN"/>
        </w:rPr>
        <w:t>隐患</w:t>
      </w:r>
      <w:r>
        <w:rPr>
          <w:rFonts w:hint="default" w:ascii="Times New Roman" w:hAnsi="Times New Roman" w:cs="Times New Roman"/>
          <w:highlight w:val="none"/>
          <w:lang w:val="en-US" w:eastAsia="zh-CN"/>
        </w:rPr>
        <w:t>，防止安全生产事故发生。</w:t>
      </w:r>
    </w:p>
    <w:p w14:paraId="0E8D477C">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3.完善制度，有效提升处突能力</w:t>
      </w:r>
    </w:p>
    <w:p w14:paraId="50F3524E">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沙河镇将深刻吸取此次教训，督促体育场所经营单位建立健全安全生产相关制度，牢固树立安全红线意识，切实加强安全管理，有效落实全生产主体责任。一是对全体救生员教练员等高危从业人员建立安全生产责任制监督考核机制，督促场馆加强在岗履职、应急处置等方面的监督管理力度，确保分工明确，责任到人。二是第一时间组织安全生产规章制度、消防安全和风险管控措施的安全教育培训，积极参加区、镇两级组织的安全生产培训，将培训内容落到实处，提升应急处置能力。三是深刻汲取丰台区</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4.18</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火灾事故教训，时刻绷紧安全生产这根弦，以钉钉子精神</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过筛子</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堵漏洞</w:t>
      </w:r>
      <w:r>
        <w:rPr>
          <w:rFonts w:hint="eastAsia" w:ascii="Times New Roman" w:hAnsi="Times New Roman" w:cs="Times New Roman"/>
          <w:highlight w:val="none"/>
          <w:lang w:val="en-US" w:eastAsia="zh-CN"/>
        </w:rPr>
        <w:t>”</w:t>
      </w:r>
      <w:r>
        <w:rPr>
          <w:rFonts w:hint="default" w:ascii="Times New Roman" w:hAnsi="Times New Roman" w:cs="Times New Roman"/>
          <w:highlight w:val="none"/>
          <w:lang w:val="en-US" w:eastAsia="zh-CN"/>
        </w:rPr>
        <w:t>，强化消防安全自查检查。同时督促开展消防应急救援演练，熟练掌握相关应急救治措施等，有效提升员工日常巡查及处突能力，防止安全生产事故发生。四是针对石油交流中心游泳馆存在视线盲区问题，已督促游泳馆进行深化设计，彻底解决泳池视线盲区的问题。五是督促场馆经营者对安全生产投入，购买北京市</w:t>
      </w:r>
      <w:r>
        <w:rPr>
          <w:rFonts w:hint="eastAsia" w:ascii="Times New Roman" w:hAnsi="Times New Roman" w:cs="Times New Roman"/>
          <w:highlight w:val="none"/>
          <w:lang w:val="en-US" w:eastAsia="zh-CN"/>
        </w:rPr>
        <w:t>安全生产</w:t>
      </w:r>
      <w:r>
        <w:rPr>
          <w:rFonts w:hint="default" w:ascii="Times New Roman" w:hAnsi="Times New Roman" w:cs="Times New Roman"/>
          <w:highlight w:val="none"/>
          <w:lang w:val="en-US" w:eastAsia="zh-CN"/>
        </w:rPr>
        <w:t>责任保险，采购安全防护用品，不断提升安全生产管理水平。</w:t>
      </w:r>
      <w:bookmarkStart w:id="73" w:name="_GoBack"/>
      <w:bookmarkEnd w:id="73"/>
    </w:p>
    <w:p w14:paraId="706C6BBD">
      <w:pPr>
        <w:pStyle w:val="35"/>
        <w:spacing w:line="360" w:lineRule="auto"/>
        <w:ind w:firstLine="480"/>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下一步，沙河镇将持续开展体育场所日常巡查和重大节假日期间联合专项安全检查工作，针对辖区内的游泳馆、健身房、文化、体育类校外培训机构和体育场地类等经营场所，全面排查重点领域、重点部位的各类安全隐患，发生事故或遇有重要紧急情况，立即按规定程序上报并及时采取有效措施妥善应对和处置，把损失降到最低程度。</w:t>
      </w:r>
    </w:p>
    <w:p w14:paraId="1FA5C8D6">
      <w:pPr>
        <w:keepNext/>
        <w:keepLines/>
        <w:pageBreakBefore w:val="0"/>
        <w:widowControl/>
        <w:kinsoku/>
        <w:wordWrap/>
        <w:overflowPunct w:val="0"/>
        <w:topLinePunct w:val="0"/>
        <w:autoSpaceDE/>
        <w:autoSpaceDN/>
        <w:bidi w:val="0"/>
        <w:adjustRightInd/>
        <w:snapToGrid/>
        <w:spacing w:line="560" w:lineRule="exact"/>
        <w:ind w:firstLine="0" w:firstLineChars="0"/>
        <w:jc w:val="left"/>
        <w:textAlignment w:val="auto"/>
        <w:outlineLvl w:val="0"/>
        <w:rPr>
          <w:rFonts w:hint="default" w:ascii="Times New Roman" w:hAnsi="Times New Roman" w:eastAsia="宋体" w:cs="Times New Roman"/>
          <w:b/>
          <w:kern w:val="0"/>
          <w:sz w:val="32"/>
          <w:szCs w:val="44"/>
          <w:lang w:val="zh-CN"/>
        </w:rPr>
      </w:pPr>
      <w:bookmarkStart w:id="69" w:name="_Toc529967252"/>
      <w:bookmarkStart w:id="70" w:name="_Toc19424"/>
      <w:bookmarkStart w:id="71" w:name="_Toc2654"/>
      <w:bookmarkStart w:id="72" w:name="_Toc27098"/>
      <w:r>
        <w:rPr>
          <w:rFonts w:hint="default" w:ascii="Times New Roman" w:hAnsi="Times New Roman" w:eastAsia="宋体" w:cs="Times New Roman"/>
          <w:b/>
          <w:kern w:val="0"/>
          <w:sz w:val="32"/>
          <w:szCs w:val="44"/>
          <w:lang w:val="zh-CN"/>
        </w:rPr>
        <w:t>第5章 评估</w:t>
      </w:r>
      <w:bookmarkEnd w:id="69"/>
      <w:r>
        <w:rPr>
          <w:rFonts w:hint="default" w:ascii="Times New Roman" w:hAnsi="Times New Roman" w:eastAsia="宋体" w:cs="Times New Roman"/>
          <w:b/>
          <w:kern w:val="0"/>
          <w:sz w:val="32"/>
          <w:szCs w:val="44"/>
          <w:lang w:val="zh-CN"/>
        </w:rPr>
        <w:t>结论</w:t>
      </w:r>
      <w:bookmarkEnd w:id="70"/>
      <w:bookmarkEnd w:id="71"/>
      <w:bookmarkEnd w:id="72"/>
    </w:p>
    <w:p w14:paraId="55E1053F">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eastAsia="zh-CN"/>
        </w:rPr>
      </w:pPr>
      <w:r>
        <w:rPr>
          <w:rFonts w:hint="default" w:ascii="Times New Roman" w:hAnsi="Times New Roman" w:cs="Times New Roman"/>
          <w:highlight w:val="none"/>
          <w:lang w:eastAsia="zh-CN"/>
        </w:rPr>
        <w:t>评估组</w:t>
      </w:r>
      <w:r>
        <w:rPr>
          <w:rFonts w:hint="default" w:ascii="Times New Roman" w:hAnsi="Times New Roman" w:cs="Times New Roman"/>
          <w:highlight w:val="none"/>
        </w:rPr>
        <w:t>通过对事故单位的调研访谈、对事故现场勘查，并对相关单位提供的资料进行审阅，</w:t>
      </w:r>
      <w:r>
        <w:rPr>
          <w:rFonts w:hint="default" w:ascii="Times New Roman" w:hAnsi="Times New Roman" w:cs="Times New Roman"/>
          <w:highlight w:val="none"/>
          <w:lang w:val="en-US" w:eastAsia="zh-CN"/>
        </w:rPr>
        <w:t>可证明</w:t>
      </w:r>
      <w:r>
        <w:rPr>
          <w:rFonts w:hint="default" w:ascii="Times New Roman" w:hAnsi="Times New Roman" w:cs="Times New Roman"/>
          <w:b/>
          <w:bCs/>
          <w:kern w:val="0"/>
          <w:szCs w:val="28"/>
          <w:lang w:val="en-US" w:eastAsia="zh-CN"/>
        </w:rPr>
        <w:t>石油科技交流中心</w:t>
      </w:r>
      <w:r>
        <w:rPr>
          <w:rFonts w:hint="default" w:ascii="Times New Roman" w:hAnsi="Times New Roman" w:eastAsia="宋体" w:cs="Times New Roman"/>
          <w:b/>
          <w:bCs/>
          <w:highlight w:val="none"/>
        </w:rPr>
        <w:t>基</w:t>
      </w:r>
      <w:r>
        <w:rPr>
          <w:rFonts w:hint="default" w:ascii="Times New Roman" w:hAnsi="Times New Roman" w:cs="Times New Roman"/>
          <w:b/>
          <w:bCs/>
          <w:highlight w:val="none"/>
        </w:rPr>
        <w:t>本落实了《事故调查报告》</w:t>
      </w:r>
      <w:r>
        <w:rPr>
          <w:rFonts w:hint="default" w:ascii="Times New Roman" w:hAnsi="Times New Roman" w:cs="Times New Roman"/>
          <w:b/>
          <w:bCs/>
          <w:highlight w:val="none"/>
          <w:lang w:val="en-US" w:eastAsia="zh-CN"/>
        </w:rPr>
        <w:t>提出</w:t>
      </w:r>
      <w:r>
        <w:rPr>
          <w:rFonts w:hint="default" w:ascii="Times New Roman" w:hAnsi="Times New Roman" w:cs="Times New Roman"/>
          <w:b/>
          <w:bCs/>
          <w:highlight w:val="none"/>
        </w:rPr>
        <w:t>的事故防范和整改措施</w:t>
      </w:r>
      <w:r>
        <w:rPr>
          <w:rFonts w:hint="default" w:ascii="Times New Roman" w:hAnsi="Times New Roman" w:cs="Times New Roman"/>
          <w:b/>
          <w:bCs/>
          <w:highlight w:val="none"/>
          <w:lang w:eastAsia="zh-CN"/>
        </w:rPr>
        <w:t>；</w:t>
      </w:r>
      <w:r>
        <w:rPr>
          <w:rFonts w:hint="default" w:ascii="Times New Roman" w:hAnsi="Times New Roman" w:eastAsia="宋体" w:cs="Times New Roman"/>
          <w:sz w:val="28"/>
          <w:szCs w:val="28"/>
          <w:lang w:val="en-US" w:eastAsia="zh-CN"/>
        </w:rPr>
        <w:t>该单位现行制度、管理措施和现场安全状态基本符合</w:t>
      </w:r>
      <w:r>
        <w:rPr>
          <w:rFonts w:hint="default" w:ascii="Times New Roman" w:hAnsi="Times New Roman" w:cs="Times New Roman"/>
          <w:sz w:val="28"/>
          <w:szCs w:val="28"/>
          <w:lang w:val="en-US" w:eastAsia="zh-CN"/>
        </w:rPr>
        <w:t>《事故调查报告》中的相关要求。</w:t>
      </w:r>
    </w:p>
    <w:p w14:paraId="4357AB6D">
      <w:pPr>
        <w:keepNext w:val="0"/>
        <w:keepLines w:val="0"/>
        <w:pageBreakBefore w:val="0"/>
        <w:widowControl w:val="0"/>
        <w:kinsoku/>
        <w:wordWrap/>
        <w:overflowPunct w:val="0"/>
        <w:topLinePunct w:val="0"/>
        <w:autoSpaceDE/>
        <w:autoSpaceDN/>
        <w:bidi w:val="0"/>
        <w:adjustRightInd/>
        <w:snapToGrid/>
        <w:spacing w:line="360" w:lineRule="auto"/>
        <w:ind w:firstLine="560"/>
        <w:textAlignment w:val="auto"/>
        <w:rPr>
          <w:rFonts w:hint="default" w:ascii="Times New Roman" w:hAnsi="Times New Roman" w:eastAsia="宋体" w:cs="Times New Roman"/>
          <w:highlight w:val="none"/>
          <w:lang w:val="zh-CN" w:eastAsia="zh-CN"/>
        </w:rPr>
      </w:pPr>
      <w:r>
        <w:rPr>
          <w:rFonts w:hint="default" w:ascii="Times New Roman" w:hAnsi="Times New Roman" w:cs="Times New Roman"/>
          <w:highlight w:val="none"/>
          <w:lang w:val="en-US" w:eastAsia="zh-CN"/>
        </w:rPr>
        <w:t>安全工作任重道远，</w:t>
      </w:r>
      <w:r>
        <w:rPr>
          <w:rFonts w:hint="default" w:ascii="Times New Roman" w:hAnsi="Times New Roman" w:cs="Times New Roman"/>
          <w:highlight w:val="none"/>
        </w:rPr>
        <w:t>石油科技交流中心</w:t>
      </w:r>
      <w:r>
        <w:rPr>
          <w:rFonts w:hint="default" w:ascii="Times New Roman" w:hAnsi="Times New Roman" w:eastAsia="宋体" w:cs="Times New Roman"/>
          <w:highlight w:val="none"/>
          <w:lang w:val="zh-CN" w:eastAsia="zh-CN"/>
        </w:rPr>
        <w:t>除做好本次事故相关整改措施的落实工作外，还应</w:t>
      </w:r>
      <w:r>
        <w:rPr>
          <w:rFonts w:hint="default" w:ascii="Times New Roman" w:hAnsi="Times New Roman" w:cs="Times New Roman"/>
          <w:highlight w:val="none"/>
          <w:lang w:val="en-US" w:eastAsia="zh-CN"/>
        </w:rPr>
        <w:t>对《安全现状评估报告》提出的相关问题进行改进</w:t>
      </w:r>
      <w:r>
        <w:rPr>
          <w:rFonts w:hint="eastAsia" w:ascii="Times New Roman" w:hAnsi="Times New Roman" w:cs="Times New Roman"/>
          <w:highlight w:val="none"/>
          <w:lang w:val="en-US" w:eastAsia="zh-CN"/>
        </w:rPr>
        <w:t>提升</w:t>
      </w:r>
      <w:r>
        <w:rPr>
          <w:rFonts w:hint="default" w:ascii="Times New Roman" w:hAnsi="Times New Roman" w:cs="Times New Roman"/>
          <w:highlight w:val="none"/>
          <w:lang w:val="en-US" w:eastAsia="zh-CN"/>
        </w:rPr>
        <w:t>，要在日后的经营活动中严格</w:t>
      </w:r>
      <w:r>
        <w:rPr>
          <w:rFonts w:hint="default" w:ascii="Times New Roman" w:hAnsi="Times New Roman" w:eastAsia="宋体" w:cs="Times New Roman"/>
          <w:highlight w:val="none"/>
          <w:lang w:val="zh-CN" w:eastAsia="zh-CN"/>
        </w:rPr>
        <w:t>按照北京市</w:t>
      </w:r>
      <w:r>
        <w:rPr>
          <w:rFonts w:hint="default" w:ascii="Times New Roman" w:hAnsi="Times New Roman" w:cs="Times New Roman"/>
          <w:highlight w:val="none"/>
          <w:lang w:val="en-US" w:eastAsia="zh-CN"/>
        </w:rPr>
        <w:t>及行业监管部门、上级单位</w:t>
      </w:r>
      <w:r>
        <w:rPr>
          <w:rFonts w:hint="default" w:ascii="Times New Roman" w:hAnsi="Times New Roman" w:eastAsia="宋体" w:cs="Times New Roman"/>
          <w:highlight w:val="none"/>
          <w:lang w:val="zh-CN" w:eastAsia="zh-CN"/>
        </w:rPr>
        <w:t>要求</w:t>
      </w:r>
      <w:r>
        <w:rPr>
          <w:rFonts w:hint="default" w:ascii="Times New Roman" w:hAnsi="Times New Roman" w:cs="Times New Roman"/>
          <w:highlight w:val="none"/>
          <w:lang w:val="zh-CN" w:eastAsia="zh-CN"/>
        </w:rPr>
        <w:t>，</w:t>
      </w:r>
      <w:r>
        <w:rPr>
          <w:rFonts w:hint="default" w:ascii="Times New Roman" w:hAnsi="Times New Roman" w:cs="Times New Roman"/>
          <w:highlight w:val="none"/>
          <w:lang w:val="en-US" w:eastAsia="zh-CN"/>
        </w:rPr>
        <w:t>持续完善和提升本单位各项工作的安全</w:t>
      </w:r>
      <w:r>
        <w:rPr>
          <w:rFonts w:hint="default" w:ascii="Times New Roman" w:hAnsi="Times New Roman" w:eastAsia="宋体" w:cs="Times New Roman"/>
          <w:highlight w:val="none"/>
          <w:lang w:val="zh-CN" w:eastAsia="zh-CN"/>
        </w:rPr>
        <w:t>责任落实。</w:t>
      </w:r>
    </w:p>
    <w:p w14:paraId="4375BD52">
      <w:pPr>
        <w:tabs>
          <w:tab w:val="left" w:pos="3752"/>
        </w:tabs>
        <w:bidi w:val="0"/>
        <w:jc w:val="left"/>
        <w:rPr>
          <w:rFonts w:hint="default" w:ascii="Times New Roman" w:hAnsi="Times New Roman" w:cs="Times New Roman"/>
          <w:highlight w:val="yellow"/>
        </w:rPr>
      </w:pPr>
      <w:r>
        <w:rPr>
          <w:rFonts w:hint="default" w:ascii="Times New Roman" w:hAnsi="Times New Roman" w:cs="Times New Roman"/>
          <w:lang w:val="en-US" w:eastAsia="zh-CN"/>
        </w:rPr>
        <w:tab/>
      </w:r>
    </w:p>
    <w:sectPr>
      <w:footerReference r:id="rId12" w:type="default"/>
      <w:pgSz w:w="11906" w:h="16838"/>
      <w:pgMar w:top="1440" w:right="1803" w:bottom="1440" w:left="1803" w:header="851" w:footer="992" w:gutter="0"/>
      <w:pgNumType w:start="1"/>
      <w:cols w:space="0" w:num="1"/>
      <w:rtlGutter w:val="0"/>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53A4E">
    <w:pPr>
      <w:pStyle w:val="11"/>
      <w:ind w:firstLine="360"/>
      <w:jc w:val="center"/>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89080">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83371">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4687D">
    <w:pPr>
      <w:pStyle w:val="11"/>
      <w:ind w:firstLine="360"/>
      <w:jc w:val="center"/>
    </w:pPr>
    <w:r>
      <w:fldChar w:fldCharType="begin"/>
    </w:r>
    <w:r>
      <w:instrText xml:space="preserve">PAGE   \* MERGEFORMAT</w:instrText>
    </w:r>
    <w:r>
      <w:fldChar w:fldCharType="separate"/>
    </w:r>
    <w:r>
      <w:rPr>
        <w:lang w:val="zh-CN"/>
      </w:rPr>
      <w:t>2</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25933">
    <w:pPr>
      <w:pStyle w:val="11"/>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EA87D">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BFFEA">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26877">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3D35D"/>
    <w:multiLevelType w:val="singleLevel"/>
    <w:tmpl w:val="AF03D3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HorizontalSpacing w:val="140"/>
  <w:drawingGridVerticalSpacing w:val="19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xMDEyYTI5NmYyOGRmZDU2OGJlOGI0ZGJhOWVjMTgifQ=="/>
  </w:docVars>
  <w:rsids>
    <w:rsidRoot w:val="00097FF0"/>
    <w:rsid w:val="00014CA2"/>
    <w:rsid w:val="00020A10"/>
    <w:rsid w:val="00053510"/>
    <w:rsid w:val="00084CE8"/>
    <w:rsid w:val="00097FF0"/>
    <w:rsid w:val="000A1A80"/>
    <w:rsid w:val="000A6135"/>
    <w:rsid w:val="000E6DEA"/>
    <w:rsid w:val="000F5645"/>
    <w:rsid w:val="000F5DA5"/>
    <w:rsid w:val="00167934"/>
    <w:rsid w:val="00193B4C"/>
    <w:rsid w:val="00197A5E"/>
    <w:rsid w:val="001A58A6"/>
    <w:rsid w:val="001B114D"/>
    <w:rsid w:val="001D72AE"/>
    <w:rsid w:val="001E05EC"/>
    <w:rsid w:val="001E7185"/>
    <w:rsid w:val="002476F4"/>
    <w:rsid w:val="00252451"/>
    <w:rsid w:val="002760C1"/>
    <w:rsid w:val="0028264D"/>
    <w:rsid w:val="00285C41"/>
    <w:rsid w:val="002A77AA"/>
    <w:rsid w:val="002C3CDC"/>
    <w:rsid w:val="002C4449"/>
    <w:rsid w:val="002C4FAC"/>
    <w:rsid w:val="002D7FF1"/>
    <w:rsid w:val="00304578"/>
    <w:rsid w:val="00316E77"/>
    <w:rsid w:val="0031722A"/>
    <w:rsid w:val="0033523C"/>
    <w:rsid w:val="0035055F"/>
    <w:rsid w:val="00360397"/>
    <w:rsid w:val="00362E44"/>
    <w:rsid w:val="00376457"/>
    <w:rsid w:val="003879F7"/>
    <w:rsid w:val="003C0EBA"/>
    <w:rsid w:val="003E3067"/>
    <w:rsid w:val="004063E0"/>
    <w:rsid w:val="00436569"/>
    <w:rsid w:val="00445FD6"/>
    <w:rsid w:val="00452E78"/>
    <w:rsid w:val="004A5A7B"/>
    <w:rsid w:val="004E1906"/>
    <w:rsid w:val="00545454"/>
    <w:rsid w:val="00546375"/>
    <w:rsid w:val="00562ED8"/>
    <w:rsid w:val="00565E43"/>
    <w:rsid w:val="005B2B31"/>
    <w:rsid w:val="005B2EAD"/>
    <w:rsid w:val="005B52F8"/>
    <w:rsid w:val="005C6171"/>
    <w:rsid w:val="005C62DB"/>
    <w:rsid w:val="005D6A05"/>
    <w:rsid w:val="005D7715"/>
    <w:rsid w:val="005F5E70"/>
    <w:rsid w:val="005F76B4"/>
    <w:rsid w:val="00613B6B"/>
    <w:rsid w:val="00632C87"/>
    <w:rsid w:val="00650C32"/>
    <w:rsid w:val="0065467A"/>
    <w:rsid w:val="00661CE0"/>
    <w:rsid w:val="00691D8A"/>
    <w:rsid w:val="006C0651"/>
    <w:rsid w:val="006D187A"/>
    <w:rsid w:val="006D535D"/>
    <w:rsid w:val="006E6B2D"/>
    <w:rsid w:val="006F55F0"/>
    <w:rsid w:val="007578D6"/>
    <w:rsid w:val="00791B5B"/>
    <w:rsid w:val="007A7241"/>
    <w:rsid w:val="007D1F83"/>
    <w:rsid w:val="00814742"/>
    <w:rsid w:val="008342AD"/>
    <w:rsid w:val="00870B90"/>
    <w:rsid w:val="008963C8"/>
    <w:rsid w:val="008B71EF"/>
    <w:rsid w:val="008E1EE0"/>
    <w:rsid w:val="00911F7C"/>
    <w:rsid w:val="009215B7"/>
    <w:rsid w:val="00940FB5"/>
    <w:rsid w:val="00950011"/>
    <w:rsid w:val="00960798"/>
    <w:rsid w:val="009648D3"/>
    <w:rsid w:val="00970638"/>
    <w:rsid w:val="00975A0B"/>
    <w:rsid w:val="00991143"/>
    <w:rsid w:val="00996A1C"/>
    <w:rsid w:val="009C20BB"/>
    <w:rsid w:val="009F3F49"/>
    <w:rsid w:val="00A010BF"/>
    <w:rsid w:val="00A03A30"/>
    <w:rsid w:val="00A20FE9"/>
    <w:rsid w:val="00A37936"/>
    <w:rsid w:val="00A5444B"/>
    <w:rsid w:val="00A57847"/>
    <w:rsid w:val="00A71457"/>
    <w:rsid w:val="00A75813"/>
    <w:rsid w:val="00AB5F95"/>
    <w:rsid w:val="00AB6C42"/>
    <w:rsid w:val="00AB72D2"/>
    <w:rsid w:val="00AE0F73"/>
    <w:rsid w:val="00AE126F"/>
    <w:rsid w:val="00B43657"/>
    <w:rsid w:val="00B50CDB"/>
    <w:rsid w:val="00B5443F"/>
    <w:rsid w:val="00B57D30"/>
    <w:rsid w:val="00B84744"/>
    <w:rsid w:val="00BA41BA"/>
    <w:rsid w:val="00BB560B"/>
    <w:rsid w:val="00BD4CC1"/>
    <w:rsid w:val="00C030AE"/>
    <w:rsid w:val="00C6424B"/>
    <w:rsid w:val="00C73BEC"/>
    <w:rsid w:val="00CA747B"/>
    <w:rsid w:val="00CB0523"/>
    <w:rsid w:val="00CB437F"/>
    <w:rsid w:val="00CD01FB"/>
    <w:rsid w:val="00CD4081"/>
    <w:rsid w:val="00CD542C"/>
    <w:rsid w:val="00CD6AB1"/>
    <w:rsid w:val="00CF7704"/>
    <w:rsid w:val="00D00690"/>
    <w:rsid w:val="00D00865"/>
    <w:rsid w:val="00D01FC6"/>
    <w:rsid w:val="00D13F4F"/>
    <w:rsid w:val="00D50044"/>
    <w:rsid w:val="00D525A2"/>
    <w:rsid w:val="00D5466F"/>
    <w:rsid w:val="00D546AF"/>
    <w:rsid w:val="00D65EEC"/>
    <w:rsid w:val="00D70D5C"/>
    <w:rsid w:val="00D809C9"/>
    <w:rsid w:val="00D8427E"/>
    <w:rsid w:val="00DA0263"/>
    <w:rsid w:val="00DA0FA5"/>
    <w:rsid w:val="00DC38FD"/>
    <w:rsid w:val="00DC4363"/>
    <w:rsid w:val="00DD1D12"/>
    <w:rsid w:val="00DD588C"/>
    <w:rsid w:val="00DE54FF"/>
    <w:rsid w:val="00DF4C1B"/>
    <w:rsid w:val="00E03844"/>
    <w:rsid w:val="00E072FE"/>
    <w:rsid w:val="00E1745B"/>
    <w:rsid w:val="00E535BF"/>
    <w:rsid w:val="00E67870"/>
    <w:rsid w:val="00EB7B70"/>
    <w:rsid w:val="00EC4740"/>
    <w:rsid w:val="00EE2F01"/>
    <w:rsid w:val="00EF1469"/>
    <w:rsid w:val="00F0783D"/>
    <w:rsid w:val="00F71986"/>
    <w:rsid w:val="00FA6DAE"/>
    <w:rsid w:val="01D01F53"/>
    <w:rsid w:val="01EA0118"/>
    <w:rsid w:val="01F023FB"/>
    <w:rsid w:val="023B17BB"/>
    <w:rsid w:val="02634F08"/>
    <w:rsid w:val="02830CB2"/>
    <w:rsid w:val="028F164E"/>
    <w:rsid w:val="02FE2D03"/>
    <w:rsid w:val="033D2835"/>
    <w:rsid w:val="03D14498"/>
    <w:rsid w:val="04032409"/>
    <w:rsid w:val="042F1525"/>
    <w:rsid w:val="043B5C5B"/>
    <w:rsid w:val="04F80D9E"/>
    <w:rsid w:val="04F84827"/>
    <w:rsid w:val="05AB5F79"/>
    <w:rsid w:val="05B13705"/>
    <w:rsid w:val="064A040C"/>
    <w:rsid w:val="06DB7924"/>
    <w:rsid w:val="06FF2217"/>
    <w:rsid w:val="07026DEA"/>
    <w:rsid w:val="072C31D4"/>
    <w:rsid w:val="075E2AC9"/>
    <w:rsid w:val="07745547"/>
    <w:rsid w:val="07CD2E3F"/>
    <w:rsid w:val="07CD6C29"/>
    <w:rsid w:val="07DB4317"/>
    <w:rsid w:val="08065975"/>
    <w:rsid w:val="0821435B"/>
    <w:rsid w:val="0846719C"/>
    <w:rsid w:val="085E6B79"/>
    <w:rsid w:val="089009F9"/>
    <w:rsid w:val="08A50678"/>
    <w:rsid w:val="08BD6586"/>
    <w:rsid w:val="08EE7CFD"/>
    <w:rsid w:val="08F416ED"/>
    <w:rsid w:val="08F53CE4"/>
    <w:rsid w:val="090F634F"/>
    <w:rsid w:val="09363C55"/>
    <w:rsid w:val="09554D92"/>
    <w:rsid w:val="099A0675"/>
    <w:rsid w:val="09A37980"/>
    <w:rsid w:val="0A1D3958"/>
    <w:rsid w:val="0B15159D"/>
    <w:rsid w:val="0B240821"/>
    <w:rsid w:val="0B7F2013"/>
    <w:rsid w:val="0BB4276F"/>
    <w:rsid w:val="0C32300E"/>
    <w:rsid w:val="0C512413"/>
    <w:rsid w:val="0C677741"/>
    <w:rsid w:val="0CA06454"/>
    <w:rsid w:val="0CB519D6"/>
    <w:rsid w:val="0CC671CF"/>
    <w:rsid w:val="0D2B5BA2"/>
    <w:rsid w:val="0D7C1890"/>
    <w:rsid w:val="0DAC149F"/>
    <w:rsid w:val="0DAD7F6B"/>
    <w:rsid w:val="0DE2778F"/>
    <w:rsid w:val="0DED130A"/>
    <w:rsid w:val="0E063D4D"/>
    <w:rsid w:val="0E3176E7"/>
    <w:rsid w:val="0E7877FA"/>
    <w:rsid w:val="0E9F4B70"/>
    <w:rsid w:val="0F1E59D8"/>
    <w:rsid w:val="0F267075"/>
    <w:rsid w:val="0F2E58EA"/>
    <w:rsid w:val="0F344BCF"/>
    <w:rsid w:val="0F520586"/>
    <w:rsid w:val="0F5A5835"/>
    <w:rsid w:val="0F6C4862"/>
    <w:rsid w:val="0F7B5EC2"/>
    <w:rsid w:val="0F992DEB"/>
    <w:rsid w:val="0F9B0B28"/>
    <w:rsid w:val="0FA37CB2"/>
    <w:rsid w:val="0FA813C0"/>
    <w:rsid w:val="0FAB538A"/>
    <w:rsid w:val="0FB35FED"/>
    <w:rsid w:val="0FB63AEA"/>
    <w:rsid w:val="0FE4089C"/>
    <w:rsid w:val="1002294A"/>
    <w:rsid w:val="10715AE1"/>
    <w:rsid w:val="10B71725"/>
    <w:rsid w:val="10D725B0"/>
    <w:rsid w:val="112F1774"/>
    <w:rsid w:val="11595A7E"/>
    <w:rsid w:val="119F2CCD"/>
    <w:rsid w:val="11BA1A0B"/>
    <w:rsid w:val="12012C1E"/>
    <w:rsid w:val="122A4259"/>
    <w:rsid w:val="123216EE"/>
    <w:rsid w:val="12662797"/>
    <w:rsid w:val="12B617F0"/>
    <w:rsid w:val="12FD7575"/>
    <w:rsid w:val="130E242B"/>
    <w:rsid w:val="13202541"/>
    <w:rsid w:val="13391AB4"/>
    <w:rsid w:val="13441D7E"/>
    <w:rsid w:val="137B2552"/>
    <w:rsid w:val="13F82B68"/>
    <w:rsid w:val="13FD017F"/>
    <w:rsid w:val="1418439F"/>
    <w:rsid w:val="145B78AB"/>
    <w:rsid w:val="1478304D"/>
    <w:rsid w:val="148F1443"/>
    <w:rsid w:val="14CD5DA3"/>
    <w:rsid w:val="15340055"/>
    <w:rsid w:val="154C767D"/>
    <w:rsid w:val="15F23975"/>
    <w:rsid w:val="16295769"/>
    <w:rsid w:val="163C7690"/>
    <w:rsid w:val="166B4554"/>
    <w:rsid w:val="16EF1DD3"/>
    <w:rsid w:val="16F37C8D"/>
    <w:rsid w:val="16F53E41"/>
    <w:rsid w:val="171516A8"/>
    <w:rsid w:val="171E4694"/>
    <w:rsid w:val="17547626"/>
    <w:rsid w:val="17551109"/>
    <w:rsid w:val="17873A2A"/>
    <w:rsid w:val="17C541BC"/>
    <w:rsid w:val="17E93A69"/>
    <w:rsid w:val="18081B79"/>
    <w:rsid w:val="182628FB"/>
    <w:rsid w:val="185E3D8F"/>
    <w:rsid w:val="18713AF8"/>
    <w:rsid w:val="189F0166"/>
    <w:rsid w:val="189F21AE"/>
    <w:rsid w:val="18F77CFC"/>
    <w:rsid w:val="18FB40D9"/>
    <w:rsid w:val="18FF7B47"/>
    <w:rsid w:val="19086FD4"/>
    <w:rsid w:val="19372E89"/>
    <w:rsid w:val="19BC4D29"/>
    <w:rsid w:val="1A1143AD"/>
    <w:rsid w:val="1A1C2159"/>
    <w:rsid w:val="1A1E27C1"/>
    <w:rsid w:val="1A416932"/>
    <w:rsid w:val="1A440B89"/>
    <w:rsid w:val="1A534654"/>
    <w:rsid w:val="1A5F0986"/>
    <w:rsid w:val="1AC059F4"/>
    <w:rsid w:val="1AD82233"/>
    <w:rsid w:val="1ADB2279"/>
    <w:rsid w:val="1B066454"/>
    <w:rsid w:val="1B2C21E2"/>
    <w:rsid w:val="1B5A2AA1"/>
    <w:rsid w:val="1B5E1B3C"/>
    <w:rsid w:val="1B974A15"/>
    <w:rsid w:val="1BDE43F2"/>
    <w:rsid w:val="1BE872A1"/>
    <w:rsid w:val="1BEE5136"/>
    <w:rsid w:val="1BEF1AFD"/>
    <w:rsid w:val="1C1213A6"/>
    <w:rsid w:val="1C303B0A"/>
    <w:rsid w:val="1C4046E7"/>
    <w:rsid w:val="1C46750E"/>
    <w:rsid w:val="1C750DB5"/>
    <w:rsid w:val="1C8D7676"/>
    <w:rsid w:val="1CA4563B"/>
    <w:rsid w:val="1CAD776B"/>
    <w:rsid w:val="1CE8321A"/>
    <w:rsid w:val="1D440BCC"/>
    <w:rsid w:val="1D441357"/>
    <w:rsid w:val="1D633B13"/>
    <w:rsid w:val="1D691195"/>
    <w:rsid w:val="1DA33D00"/>
    <w:rsid w:val="1E2D4FF5"/>
    <w:rsid w:val="1E5700C2"/>
    <w:rsid w:val="1E682ED0"/>
    <w:rsid w:val="1E851BB1"/>
    <w:rsid w:val="1E8B471F"/>
    <w:rsid w:val="1EABC87E"/>
    <w:rsid w:val="1EB3490B"/>
    <w:rsid w:val="1EFB5B41"/>
    <w:rsid w:val="1F071E17"/>
    <w:rsid w:val="1F5B7EF1"/>
    <w:rsid w:val="1F783003"/>
    <w:rsid w:val="1F8D239D"/>
    <w:rsid w:val="1FB27F1C"/>
    <w:rsid w:val="1FBF3343"/>
    <w:rsid w:val="1FE36696"/>
    <w:rsid w:val="1FE61C1C"/>
    <w:rsid w:val="203305D5"/>
    <w:rsid w:val="206E6FE7"/>
    <w:rsid w:val="20AD03D6"/>
    <w:rsid w:val="20BE264C"/>
    <w:rsid w:val="213A5777"/>
    <w:rsid w:val="214433CF"/>
    <w:rsid w:val="215B3474"/>
    <w:rsid w:val="21B60FA8"/>
    <w:rsid w:val="21C22EA6"/>
    <w:rsid w:val="21E94640"/>
    <w:rsid w:val="221062D6"/>
    <w:rsid w:val="22476287"/>
    <w:rsid w:val="229819FD"/>
    <w:rsid w:val="22CB26FC"/>
    <w:rsid w:val="2323536A"/>
    <w:rsid w:val="23E22FB8"/>
    <w:rsid w:val="23E853E1"/>
    <w:rsid w:val="23EF0F1F"/>
    <w:rsid w:val="24AA0DEA"/>
    <w:rsid w:val="24C130F1"/>
    <w:rsid w:val="24EA28E9"/>
    <w:rsid w:val="24FE3CB4"/>
    <w:rsid w:val="259D5696"/>
    <w:rsid w:val="25CD11B5"/>
    <w:rsid w:val="25DE0A93"/>
    <w:rsid w:val="25EE7945"/>
    <w:rsid w:val="25F520D3"/>
    <w:rsid w:val="262B126B"/>
    <w:rsid w:val="262C741A"/>
    <w:rsid w:val="26383FBF"/>
    <w:rsid w:val="265F24C5"/>
    <w:rsid w:val="268362A8"/>
    <w:rsid w:val="26B16828"/>
    <w:rsid w:val="26E6622F"/>
    <w:rsid w:val="26FA619B"/>
    <w:rsid w:val="27016CC3"/>
    <w:rsid w:val="271D264E"/>
    <w:rsid w:val="2751016E"/>
    <w:rsid w:val="276261A7"/>
    <w:rsid w:val="27660D3A"/>
    <w:rsid w:val="276B7809"/>
    <w:rsid w:val="27BD29B1"/>
    <w:rsid w:val="27E47531"/>
    <w:rsid w:val="27F1661D"/>
    <w:rsid w:val="2803116A"/>
    <w:rsid w:val="287E4F92"/>
    <w:rsid w:val="28B81505"/>
    <w:rsid w:val="28E86EA3"/>
    <w:rsid w:val="295D5E79"/>
    <w:rsid w:val="29645DE5"/>
    <w:rsid w:val="297A27AB"/>
    <w:rsid w:val="29BE0B81"/>
    <w:rsid w:val="29F142C9"/>
    <w:rsid w:val="2A082236"/>
    <w:rsid w:val="2A1203D8"/>
    <w:rsid w:val="2A134773"/>
    <w:rsid w:val="2A9F35C0"/>
    <w:rsid w:val="2AA11EC3"/>
    <w:rsid w:val="2AA57072"/>
    <w:rsid w:val="2ADA512F"/>
    <w:rsid w:val="2B2B6F28"/>
    <w:rsid w:val="2B346A24"/>
    <w:rsid w:val="2B471AA0"/>
    <w:rsid w:val="2B4E3AAD"/>
    <w:rsid w:val="2BF63632"/>
    <w:rsid w:val="2C1A76C8"/>
    <w:rsid w:val="2C251BC9"/>
    <w:rsid w:val="2C571C40"/>
    <w:rsid w:val="2CBB4EED"/>
    <w:rsid w:val="2CE437E9"/>
    <w:rsid w:val="2CE44027"/>
    <w:rsid w:val="2CED0939"/>
    <w:rsid w:val="2D047CD5"/>
    <w:rsid w:val="2D141EED"/>
    <w:rsid w:val="2D252D10"/>
    <w:rsid w:val="2D6B14FA"/>
    <w:rsid w:val="2D8668CD"/>
    <w:rsid w:val="2DAE631A"/>
    <w:rsid w:val="2E732A21"/>
    <w:rsid w:val="2E837570"/>
    <w:rsid w:val="2E866557"/>
    <w:rsid w:val="2E8F4E79"/>
    <w:rsid w:val="2EA01FD8"/>
    <w:rsid w:val="2EBF6126"/>
    <w:rsid w:val="2EED2E72"/>
    <w:rsid w:val="2F2C15E0"/>
    <w:rsid w:val="2F5F04B7"/>
    <w:rsid w:val="2FAA78D7"/>
    <w:rsid w:val="2FD06C0B"/>
    <w:rsid w:val="2FF26266"/>
    <w:rsid w:val="304720AE"/>
    <w:rsid w:val="30A041A8"/>
    <w:rsid w:val="30AC12AC"/>
    <w:rsid w:val="30B129B4"/>
    <w:rsid w:val="30D236AC"/>
    <w:rsid w:val="30FF6785"/>
    <w:rsid w:val="3134401F"/>
    <w:rsid w:val="31775AE3"/>
    <w:rsid w:val="318C720A"/>
    <w:rsid w:val="31CC5A81"/>
    <w:rsid w:val="31E51A96"/>
    <w:rsid w:val="31F80D01"/>
    <w:rsid w:val="32640B74"/>
    <w:rsid w:val="328679CC"/>
    <w:rsid w:val="32D01D72"/>
    <w:rsid w:val="33DA426B"/>
    <w:rsid w:val="34341772"/>
    <w:rsid w:val="3441254B"/>
    <w:rsid w:val="34541E69"/>
    <w:rsid w:val="347C1DF8"/>
    <w:rsid w:val="34AA1DEA"/>
    <w:rsid w:val="34B7692C"/>
    <w:rsid w:val="34CB7535"/>
    <w:rsid w:val="34DC5294"/>
    <w:rsid w:val="35771D72"/>
    <w:rsid w:val="3581411C"/>
    <w:rsid w:val="35BC7782"/>
    <w:rsid w:val="35EA13E0"/>
    <w:rsid w:val="36E5790E"/>
    <w:rsid w:val="37271E19"/>
    <w:rsid w:val="376D1723"/>
    <w:rsid w:val="37A50602"/>
    <w:rsid w:val="37D12700"/>
    <w:rsid w:val="37E048D3"/>
    <w:rsid w:val="385E26EA"/>
    <w:rsid w:val="387C665F"/>
    <w:rsid w:val="38961E84"/>
    <w:rsid w:val="38A04AB1"/>
    <w:rsid w:val="39041E4B"/>
    <w:rsid w:val="39525C37"/>
    <w:rsid w:val="39DC721F"/>
    <w:rsid w:val="39E976D1"/>
    <w:rsid w:val="39EF63D2"/>
    <w:rsid w:val="3A162EBF"/>
    <w:rsid w:val="3A244A07"/>
    <w:rsid w:val="3A650F5D"/>
    <w:rsid w:val="3A6F0557"/>
    <w:rsid w:val="3A8C5CDC"/>
    <w:rsid w:val="3ADF3168"/>
    <w:rsid w:val="3AEE1C00"/>
    <w:rsid w:val="3AF410E4"/>
    <w:rsid w:val="3B377F42"/>
    <w:rsid w:val="3B9304D8"/>
    <w:rsid w:val="3B9D5C20"/>
    <w:rsid w:val="3BB37007"/>
    <w:rsid w:val="3BBB2A6F"/>
    <w:rsid w:val="3BD8264A"/>
    <w:rsid w:val="3BEA0F56"/>
    <w:rsid w:val="3BF43785"/>
    <w:rsid w:val="3C273D54"/>
    <w:rsid w:val="3C427EA0"/>
    <w:rsid w:val="3D3E2911"/>
    <w:rsid w:val="3D4E0BE9"/>
    <w:rsid w:val="3D62504C"/>
    <w:rsid w:val="3D9F4B59"/>
    <w:rsid w:val="3DA70A62"/>
    <w:rsid w:val="3DE47B36"/>
    <w:rsid w:val="3E154391"/>
    <w:rsid w:val="3E1F5922"/>
    <w:rsid w:val="3E4F1353"/>
    <w:rsid w:val="3E5D2649"/>
    <w:rsid w:val="3E5E3444"/>
    <w:rsid w:val="3E6A2C2B"/>
    <w:rsid w:val="3E813453"/>
    <w:rsid w:val="3E9C52E0"/>
    <w:rsid w:val="3EA4054C"/>
    <w:rsid w:val="3EA6693C"/>
    <w:rsid w:val="3EC3693C"/>
    <w:rsid w:val="3EE64451"/>
    <w:rsid w:val="3EF50067"/>
    <w:rsid w:val="3EF953E1"/>
    <w:rsid w:val="3F41255C"/>
    <w:rsid w:val="3F531A03"/>
    <w:rsid w:val="3F585B79"/>
    <w:rsid w:val="3F682BC0"/>
    <w:rsid w:val="3F8829A2"/>
    <w:rsid w:val="404C3770"/>
    <w:rsid w:val="40655647"/>
    <w:rsid w:val="40AB2501"/>
    <w:rsid w:val="40AE0AF1"/>
    <w:rsid w:val="40E40390"/>
    <w:rsid w:val="40FE2CBD"/>
    <w:rsid w:val="41086C4F"/>
    <w:rsid w:val="410A1DB4"/>
    <w:rsid w:val="415E375B"/>
    <w:rsid w:val="416C0ADB"/>
    <w:rsid w:val="417E6617"/>
    <w:rsid w:val="41A55771"/>
    <w:rsid w:val="41C75912"/>
    <w:rsid w:val="4200021F"/>
    <w:rsid w:val="42141C52"/>
    <w:rsid w:val="42700570"/>
    <w:rsid w:val="43113C18"/>
    <w:rsid w:val="431549C3"/>
    <w:rsid w:val="43210EE4"/>
    <w:rsid w:val="43851473"/>
    <w:rsid w:val="43F115D4"/>
    <w:rsid w:val="440C14E1"/>
    <w:rsid w:val="443F68DF"/>
    <w:rsid w:val="449B1C3E"/>
    <w:rsid w:val="44C207CB"/>
    <w:rsid w:val="44CE4C99"/>
    <w:rsid w:val="44D51F86"/>
    <w:rsid w:val="44E126D9"/>
    <w:rsid w:val="45010FCD"/>
    <w:rsid w:val="45077127"/>
    <w:rsid w:val="450A53B9"/>
    <w:rsid w:val="450B0773"/>
    <w:rsid w:val="456B6556"/>
    <w:rsid w:val="45B47338"/>
    <w:rsid w:val="45C04592"/>
    <w:rsid w:val="45D27793"/>
    <w:rsid w:val="460102A4"/>
    <w:rsid w:val="46090D30"/>
    <w:rsid w:val="462245C7"/>
    <w:rsid w:val="467E4117"/>
    <w:rsid w:val="46B8390E"/>
    <w:rsid w:val="474835F1"/>
    <w:rsid w:val="4749198E"/>
    <w:rsid w:val="478900F9"/>
    <w:rsid w:val="481B7FE6"/>
    <w:rsid w:val="481E0BD6"/>
    <w:rsid w:val="48434E5F"/>
    <w:rsid w:val="48523EE0"/>
    <w:rsid w:val="48855A71"/>
    <w:rsid w:val="48B376D3"/>
    <w:rsid w:val="48D315C6"/>
    <w:rsid w:val="48DF5182"/>
    <w:rsid w:val="49007B4D"/>
    <w:rsid w:val="49710B3D"/>
    <w:rsid w:val="49B707B4"/>
    <w:rsid w:val="4A303CCC"/>
    <w:rsid w:val="4A35676F"/>
    <w:rsid w:val="4A6056D7"/>
    <w:rsid w:val="4A873CE7"/>
    <w:rsid w:val="4A8E048D"/>
    <w:rsid w:val="4AA0121F"/>
    <w:rsid w:val="4ABB6AB5"/>
    <w:rsid w:val="4B030956"/>
    <w:rsid w:val="4B4C255F"/>
    <w:rsid w:val="4B5E64EA"/>
    <w:rsid w:val="4B862AAF"/>
    <w:rsid w:val="4BBE5A6C"/>
    <w:rsid w:val="4BCD1C09"/>
    <w:rsid w:val="4BD439BB"/>
    <w:rsid w:val="4BFC3701"/>
    <w:rsid w:val="4C8329C5"/>
    <w:rsid w:val="4C8C5620"/>
    <w:rsid w:val="4CB75AA4"/>
    <w:rsid w:val="4DC02FAC"/>
    <w:rsid w:val="4E032789"/>
    <w:rsid w:val="4E072871"/>
    <w:rsid w:val="4E256AC3"/>
    <w:rsid w:val="4E5F56E4"/>
    <w:rsid w:val="4E7342B8"/>
    <w:rsid w:val="4E806CFE"/>
    <w:rsid w:val="4EC81C02"/>
    <w:rsid w:val="4EE304E9"/>
    <w:rsid w:val="4F0B329F"/>
    <w:rsid w:val="4F1A33B7"/>
    <w:rsid w:val="4F8D00AC"/>
    <w:rsid w:val="4FA65C1D"/>
    <w:rsid w:val="4FDB6D64"/>
    <w:rsid w:val="4FDD4E14"/>
    <w:rsid w:val="504D0699"/>
    <w:rsid w:val="508C1FFF"/>
    <w:rsid w:val="509A1168"/>
    <w:rsid w:val="50AD5AE5"/>
    <w:rsid w:val="50E262F6"/>
    <w:rsid w:val="50E44D74"/>
    <w:rsid w:val="51163349"/>
    <w:rsid w:val="519F096B"/>
    <w:rsid w:val="51A2093E"/>
    <w:rsid w:val="51D03206"/>
    <w:rsid w:val="525766D1"/>
    <w:rsid w:val="52744039"/>
    <w:rsid w:val="52796F72"/>
    <w:rsid w:val="52846D9A"/>
    <w:rsid w:val="52A404E8"/>
    <w:rsid w:val="52CD2D77"/>
    <w:rsid w:val="52D67B28"/>
    <w:rsid w:val="531F28A7"/>
    <w:rsid w:val="5340134F"/>
    <w:rsid w:val="53973B91"/>
    <w:rsid w:val="53A17A79"/>
    <w:rsid w:val="53E77AC8"/>
    <w:rsid w:val="53FB2343"/>
    <w:rsid w:val="53FD42F8"/>
    <w:rsid w:val="54031992"/>
    <w:rsid w:val="540B185A"/>
    <w:rsid w:val="542F26FF"/>
    <w:rsid w:val="543633EF"/>
    <w:rsid w:val="5486329D"/>
    <w:rsid w:val="54E53761"/>
    <w:rsid w:val="550B381F"/>
    <w:rsid w:val="558B219B"/>
    <w:rsid w:val="55B22614"/>
    <w:rsid w:val="560B3A5A"/>
    <w:rsid w:val="5643338C"/>
    <w:rsid w:val="56692432"/>
    <w:rsid w:val="56692879"/>
    <w:rsid w:val="567E25C8"/>
    <w:rsid w:val="56D025AE"/>
    <w:rsid w:val="56EB6721"/>
    <w:rsid w:val="572B509F"/>
    <w:rsid w:val="576D731E"/>
    <w:rsid w:val="57786BA3"/>
    <w:rsid w:val="577916DC"/>
    <w:rsid w:val="57996BBA"/>
    <w:rsid w:val="57D646F7"/>
    <w:rsid w:val="57F65623"/>
    <w:rsid w:val="58104301"/>
    <w:rsid w:val="58151B95"/>
    <w:rsid w:val="582A3F3F"/>
    <w:rsid w:val="58775D62"/>
    <w:rsid w:val="58877908"/>
    <w:rsid w:val="58D72DAC"/>
    <w:rsid w:val="58E770E7"/>
    <w:rsid w:val="592F7A5F"/>
    <w:rsid w:val="598D64A1"/>
    <w:rsid w:val="59B144D1"/>
    <w:rsid w:val="59CE58A0"/>
    <w:rsid w:val="59D56086"/>
    <w:rsid w:val="59E80F44"/>
    <w:rsid w:val="59F9006D"/>
    <w:rsid w:val="5A027399"/>
    <w:rsid w:val="5A164737"/>
    <w:rsid w:val="5A945E32"/>
    <w:rsid w:val="5A9540CD"/>
    <w:rsid w:val="5A9C6233"/>
    <w:rsid w:val="5AEB63D3"/>
    <w:rsid w:val="5B0D1BB6"/>
    <w:rsid w:val="5B2B3E43"/>
    <w:rsid w:val="5B3C0F82"/>
    <w:rsid w:val="5C8838A1"/>
    <w:rsid w:val="5CD13F27"/>
    <w:rsid w:val="5D4D35C0"/>
    <w:rsid w:val="5D6C1C85"/>
    <w:rsid w:val="5DA9270F"/>
    <w:rsid w:val="5DB956AB"/>
    <w:rsid w:val="5DBF0E76"/>
    <w:rsid w:val="5DE86F97"/>
    <w:rsid w:val="5DE90723"/>
    <w:rsid w:val="5E025797"/>
    <w:rsid w:val="5E263388"/>
    <w:rsid w:val="5E3774A1"/>
    <w:rsid w:val="5E3C677A"/>
    <w:rsid w:val="5E4B3428"/>
    <w:rsid w:val="5EC15A76"/>
    <w:rsid w:val="5EDA1234"/>
    <w:rsid w:val="5EF9570B"/>
    <w:rsid w:val="5F733CAB"/>
    <w:rsid w:val="5F7E4FBB"/>
    <w:rsid w:val="5FA7591C"/>
    <w:rsid w:val="5FE76B43"/>
    <w:rsid w:val="600F6454"/>
    <w:rsid w:val="607B1E49"/>
    <w:rsid w:val="60B568AB"/>
    <w:rsid w:val="60C0113B"/>
    <w:rsid w:val="612C6D8A"/>
    <w:rsid w:val="613233CF"/>
    <w:rsid w:val="617B35E6"/>
    <w:rsid w:val="61975355"/>
    <w:rsid w:val="61BB11C2"/>
    <w:rsid w:val="61BE185E"/>
    <w:rsid w:val="61DC43F4"/>
    <w:rsid w:val="622435F8"/>
    <w:rsid w:val="624330B6"/>
    <w:rsid w:val="627E6FBF"/>
    <w:rsid w:val="62AE04EE"/>
    <w:rsid w:val="63047B36"/>
    <w:rsid w:val="63095813"/>
    <w:rsid w:val="636527D4"/>
    <w:rsid w:val="639420F8"/>
    <w:rsid w:val="63994E45"/>
    <w:rsid w:val="63F30067"/>
    <w:rsid w:val="63F93FEA"/>
    <w:rsid w:val="641307EF"/>
    <w:rsid w:val="641A3F63"/>
    <w:rsid w:val="64305F64"/>
    <w:rsid w:val="65544D07"/>
    <w:rsid w:val="6569254B"/>
    <w:rsid w:val="658F2506"/>
    <w:rsid w:val="65E32CEC"/>
    <w:rsid w:val="65EE62B1"/>
    <w:rsid w:val="665E40FC"/>
    <w:rsid w:val="668211B3"/>
    <w:rsid w:val="66B37AC9"/>
    <w:rsid w:val="66D755DB"/>
    <w:rsid w:val="6701356D"/>
    <w:rsid w:val="67193AFD"/>
    <w:rsid w:val="67765691"/>
    <w:rsid w:val="67856378"/>
    <w:rsid w:val="67BF7384"/>
    <w:rsid w:val="67C52E61"/>
    <w:rsid w:val="67D51E56"/>
    <w:rsid w:val="67EF3B0B"/>
    <w:rsid w:val="67F83872"/>
    <w:rsid w:val="680402E9"/>
    <w:rsid w:val="683F5D97"/>
    <w:rsid w:val="689B5649"/>
    <w:rsid w:val="68A85F1A"/>
    <w:rsid w:val="68C27C0F"/>
    <w:rsid w:val="6906701D"/>
    <w:rsid w:val="69187348"/>
    <w:rsid w:val="69381295"/>
    <w:rsid w:val="69450F0B"/>
    <w:rsid w:val="6952065E"/>
    <w:rsid w:val="695B3166"/>
    <w:rsid w:val="695F214E"/>
    <w:rsid w:val="69B42DF2"/>
    <w:rsid w:val="69C41B27"/>
    <w:rsid w:val="69D306F9"/>
    <w:rsid w:val="6A3F00F3"/>
    <w:rsid w:val="6A435E2C"/>
    <w:rsid w:val="6A490A43"/>
    <w:rsid w:val="6A4B39C5"/>
    <w:rsid w:val="6A9E7245"/>
    <w:rsid w:val="6AC07333"/>
    <w:rsid w:val="6AC32999"/>
    <w:rsid w:val="6AE12B83"/>
    <w:rsid w:val="6B012A74"/>
    <w:rsid w:val="6B977F64"/>
    <w:rsid w:val="6BAE234B"/>
    <w:rsid w:val="6BB424D9"/>
    <w:rsid w:val="6BBF2220"/>
    <w:rsid w:val="6BC04E8F"/>
    <w:rsid w:val="6BCC703B"/>
    <w:rsid w:val="6BE70734"/>
    <w:rsid w:val="6C0148AA"/>
    <w:rsid w:val="6C35307D"/>
    <w:rsid w:val="6C4A5E9F"/>
    <w:rsid w:val="6C994DA2"/>
    <w:rsid w:val="6CED1361"/>
    <w:rsid w:val="6D0B0BF5"/>
    <w:rsid w:val="6D4E6E4E"/>
    <w:rsid w:val="6D7F674C"/>
    <w:rsid w:val="6D9065BF"/>
    <w:rsid w:val="6E0C7F17"/>
    <w:rsid w:val="6E104455"/>
    <w:rsid w:val="6E2750F7"/>
    <w:rsid w:val="6E3827BB"/>
    <w:rsid w:val="6E8A5A3B"/>
    <w:rsid w:val="6E953A45"/>
    <w:rsid w:val="6EFA4214"/>
    <w:rsid w:val="6F235519"/>
    <w:rsid w:val="6F6B536A"/>
    <w:rsid w:val="6FA6397C"/>
    <w:rsid w:val="6FBA2154"/>
    <w:rsid w:val="6FCF1EDB"/>
    <w:rsid w:val="6FD67806"/>
    <w:rsid w:val="6FFC2492"/>
    <w:rsid w:val="700F1F41"/>
    <w:rsid w:val="70127ACB"/>
    <w:rsid w:val="70150A3E"/>
    <w:rsid w:val="70346A2E"/>
    <w:rsid w:val="70934920"/>
    <w:rsid w:val="70AF595F"/>
    <w:rsid w:val="70B7060E"/>
    <w:rsid w:val="70B74926"/>
    <w:rsid w:val="70BE5243"/>
    <w:rsid w:val="70EB5D7A"/>
    <w:rsid w:val="71211E57"/>
    <w:rsid w:val="71AF7086"/>
    <w:rsid w:val="71EB477D"/>
    <w:rsid w:val="71F466BE"/>
    <w:rsid w:val="725400CE"/>
    <w:rsid w:val="725C59C0"/>
    <w:rsid w:val="726500C8"/>
    <w:rsid w:val="72E33368"/>
    <w:rsid w:val="72FC0C01"/>
    <w:rsid w:val="73162589"/>
    <w:rsid w:val="73524898"/>
    <w:rsid w:val="736D46B7"/>
    <w:rsid w:val="73763599"/>
    <w:rsid w:val="73A11255"/>
    <w:rsid w:val="7409085D"/>
    <w:rsid w:val="7441504E"/>
    <w:rsid w:val="74640AAD"/>
    <w:rsid w:val="74740E9A"/>
    <w:rsid w:val="74C43A90"/>
    <w:rsid w:val="75013C13"/>
    <w:rsid w:val="756A7792"/>
    <w:rsid w:val="75913D16"/>
    <w:rsid w:val="75BF27F5"/>
    <w:rsid w:val="75C22A0D"/>
    <w:rsid w:val="75D24E9F"/>
    <w:rsid w:val="76211BB8"/>
    <w:rsid w:val="769700AB"/>
    <w:rsid w:val="76D5448B"/>
    <w:rsid w:val="770964AB"/>
    <w:rsid w:val="770F29AD"/>
    <w:rsid w:val="77453517"/>
    <w:rsid w:val="775C2589"/>
    <w:rsid w:val="776E39F1"/>
    <w:rsid w:val="77D8751D"/>
    <w:rsid w:val="77FB70C4"/>
    <w:rsid w:val="782868C6"/>
    <w:rsid w:val="78311FAC"/>
    <w:rsid w:val="78381EB6"/>
    <w:rsid w:val="78411B2F"/>
    <w:rsid w:val="7860395B"/>
    <w:rsid w:val="78767001"/>
    <w:rsid w:val="78C6494A"/>
    <w:rsid w:val="78FB2B7A"/>
    <w:rsid w:val="79713DDB"/>
    <w:rsid w:val="799107B8"/>
    <w:rsid w:val="7A0348C4"/>
    <w:rsid w:val="7A5C7347"/>
    <w:rsid w:val="7A9C2379"/>
    <w:rsid w:val="7AA650D6"/>
    <w:rsid w:val="7ABE44D5"/>
    <w:rsid w:val="7ACD7486"/>
    <w:rsid w:val="7AD37EC0"/>
    <w:rsid w:val="7AD71AB2"/>
    <w:rsid w:val="7B1A0118"/>
    <w:rsid w:val="7B1E4E8C"/>
    <w:rsid w:val="7B553327"/>
    <w:rsid w:val="7B5B24DE"/>
    <w:rsid w:val="7B7E2FB6"/>
    <w:rsid w:val="7BB66AE1"/>
    <w:rsid w:val="7C174CD0"/>
    <w:rsid w:val="7C296F49"/>
    <w:rsid w:val="7D007E4B"/>
    <w:rsid w:val="7D3B25C7"/>
    <w:rsid w:val="7D4E19B2"/>
    <w:rsid w:val="7DFF1847"/>
    <w:rsid w:val="7E390153"/>
    <w:rsid w:val="7E5D5262"/>
    <w:rsid w:val="7E6E3678"/>
    <w:rsid w:val="7E8946C4"/>
    <w:rsid w:val="7E965634"/>
    <w:rsid w:val="7EA71F32"/>
    <w:rsid w:val="7F107D3B"/>
    <w:rsid w:val="7F346DC0"/>
    <w:rsid w:val="7F5C3DEA"/>
    <w:rsid w:val="7FC70D8A"/>
    <w:rsid w:val="7FCB1C11"/>
    <w:rsid w:val="7FE75916"/>
    <w:rsid w:val="7FFF4513"/>
    <w:rsid w:val="BB77448E"/>
    <w:rsid w:val="E47F1F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等线" w:hAnsi="等线" w:eastAsia="宋体" w:cs="Times New Roman"/>
      <w:kern w:val="2"/>
      <w:sz w:val="28"/>
      <w:szCs w:val="22"/>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等线 Light" w:hAnsi="等线 Light" w:eastAsia="等线 Light" w:cs="Times New Roman"/>
      <w:b/>
      <w:bCs/>
      <w:sz w:val="32"/>
      <w:szCs w:val="32"/>
    </w:rPr>
  </w:style>
  <w:style w:type="paragraph" w:styleId="4">
    <w:name w:val="heading 3"/>
    <w:basedOn w:val="1"/>
    <w:next w:val="1"/>
    <w:unhideWhenUsed/>
    <w:qFormat/>
    <w:uiPriority w:val="9"/>
    <w:pPr>
      <w:spacing w:beforeAutospacing="1" w:afterAutospacing="1"/>
      <w:jc w:val="left"/>
      <w:outlineLvl w:val="2"/>
    </w:pPr>
    <w:rPr>
      <w:rFonts w:hint="eastAsia" w:ascii="宋体" w:hAnsi="宋体" w:cs="Times New Roman"/>
      <w:b/>
      <w:bCs/>
      <w:kern w:val="0"/>
      <w:sz w:val="27"/>
      <w:szCs w:val="27"/>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5">
    <w:name w:val="toa heading"/>
    <w:basedOn w:val="1"/>
    <w:next w:val="1"/>
    <w:unhideWhenUsed/>
    <w:qFormat/>
    <w:uiPriority w:val="99"/>
    <w:pPr>
      <w:spacing w:before="120"/>
    </w:pPr>
    <w:rPr>
      <w:rFonts w:ascii="等线 Light" w:hAnsi="等线 Light" w:cs="Times New Roman"/>
      <w:szCs w:val="24"/>
    </w:rPr>
  </w:style>
  <w:style w:type="paragraph" w:styleId="6">
    <w:name w:val="annotation text"/>
    <w:basedOn w:val="1"/>
    <w:link w:val="27"/>
    <w:unhideWhenUsed/>
    <w:qFormat/>
    <w:uiPriority w:val="99"/>
    <w:pPr>
      <w:jc w:val="left"/>
    </w:pPr>
  </w:style>
  <w:style w:type="paragraph" w:styleId="7">
    <w:name w:val="Body Text"/>
    <w:basedOn w:val="1"/>
    <w:next w:val="1"/>
    <w:unhideWhenUsed/>
    <w:qFormat/>
    <w:uiPriority w:val="99"/>
    <w:pPr>
      <w:spacing w:after="120"/>
    </w:pPr>
  </w:style>
  <w:style w:type="paragraph" w:styleId="8">
    <w:name w:val="Body Text Indent"/>
    <w:basedOn w:val="1"/>
    <w:next w:val="1"/>
    <w:qFormat/>
    <w:uiPriority w:val="0"/>
    <w:pPr>
      <w:spacing w:after="120"/>
      <w:ind w:left="420" w:leftChars="200"/>
    </w:pPr>
  </w:style>
  <w:style w:type="paragraph" w:styleId="9">
    <w:name w:val="toc 3"/>
    <w:basedOn w:val="1"/>
    <w:next w:val="1"/>
    <w:unhideWhenUsed/>
    <w:qFormat/>
    <w:uiPriority w:val="39"/>
    <w:pPr>
      <w:ind w:left="840" w:leftChars="400"/>
    </w:pPr>
  </w:style>
  <w:style w:type="paragraph" w:styleId="10">
    <w:name w:val="Body Text Indent 2"/>
    <w:basedOn w:val="1"/>
    <w:qFormat/>
    <w:uiPriority w:val="0"/>
    <w:pPr>
      <w:tabs>
        <w:tab w:val="left" w:pos="7020"/>
      </w:tabs>
      <w:spacing w:line="400" w:lineRule="exact"/>
      <w:ind w:firstLine="640"/>
    </w:pPr>
    <w:rPr>
      <w:rFonts w:ascii="仿宋_GB2312" w:hAnsi="宋体" w:eastAsia="仿宋_GB2312"/>
      <w:sz w:val="32"/>
    </w:rPr>
  </w:style>
  <w:style w:type="paragraph" w:styleId="11">
    <w:name w:val="footer"/>
    <w:basedOn w:val="1"/>
    <w:link w:val="28"/>
    <w:unhideWhenUsed/>
    <w:qFormat/>
    <w:uiPriority w:val="99"/>
    <w:pPr>
      <w:tabs>
        <w:tab w:val="center" w:pos="4153"/>
        <w:tab w:val="right" w:pos="8306"/>
      </w:tabs>
      <w:snapToGrid w:val="0"/>
      <w:jc w:val="left"/>
    </w:pPr>
    <w:rPr>
      <w:sz w:val="18"/>
      <w:szCs w:val="18"/>
    </w:rPr>
  </w:style>
  <w:style w:type="paragraph" w:styleId="12">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unhideWhenUsed/>
    <w:qFormat/>
    <w:uiPriority w:val="39"/>
  </w:style>
  <w:style w:type="paragraph" w:styleId="14">
    <w:name w:val="Body Text Indent 3"/>
    <w:basedOn w:val="1"/>
    <w:qFormat/>
    <w:uiPriority w:val="0"/>
    <w:pPr>
      <w:ind w:firstLine="538" w:firstLineChars="192"/>
    </w:pPr>
    <w:rPr>
      <w:rFonts w:ascii="Times New Roman" w:hAnsi="Times New Roman" w:eastAsia="宋体" w:cs="Times New Roman"/>
      <w:sz w:val="28"/>
      <w:szCs w:val="20"/>
    </w:rPr>
  </w:style>
  <w:style w:type="paragraph" w:styleId="15">
    <w:name w:val="toc 2"/>
    <w:basedOn w:val="1"/>
    <w:next w:val="1"/>
    <w:unhideWhenUsed/>
    <w:qFormat/>
    <w:uiPriority w:val="39"/>
    <w:pPr>
      <w:ind w:left="420" w:leftChars="200"/>
    </w:pPr>
  </w:style>
  <w:style w:type="paragraph" w:styleId="16">
    <w:name w:val="Normal (Web)"/>
    <w:basedOn w:val="1"/>
    <w:qFormat/>
    <w:uiPriority w:val="0"/>
    <w:pPr>
      <w:spacing w:before="100" w:beforeAutospacing="1" w:after="100" w:afterAutospacing="1"/>
      <w:jc w:val="left"/>
    </w:pPr>
    <w:rPr>
      <w:rFonts w:cs="Times New Roman"/>
      <w:kern w:val="0"/>
      <w:sz w:val="24"/>
    </w:rPr>
  </w:style>
  <w:style w:type="paragraph" w:styleId="17">
    <w:name w:val="annotation subject"/>
    <w:basedOn w:val="6"/>
    <w:next w:val="6"/>
    <w:link w:val="30"/>
    <w:unhideWhenUsed/>
    <w:qFormat/>
    <w:uiPriority w:val="99"/>
    <w:rPr>
      <w:b/>
      <w:bCs/>
    </w:rPr>
  </w:style>
  <w:style w:type="paragraph" w:styleId="18">
    <w:name w:val="Body Text First Indent 2"/>
    <w:basedOn w:val="8"/>
    <w:next w:val="1"/>
    <w:qFormat/>
    <w:uiPriority w:val="0"/>
    <w:pPr>
      <w:ind w:left="420" w:firstLine="210"/>
    </w:pPr>
    <w:rPr>
      <w:sz w:val="21"/>
      <w:szCs w:val="20"/>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Hyperlink"/>
    <w:basedOn w:val="21"/>
    <w:unhideWhenUsed/>
    <w:qFormat/>
    <w:uiPriority w:val="99"/>
    <w:rPr>
      <w:color w:val="0563C1"/>
      <w:u w:val="single"/>
    </w:rPr>
  </w:style>
  <w:style w:type="character" w:styleId="24">
    <w:name w:val="annotation reference"/>
    <w:basedOn w:val="21"/>
    <w:unhideWhenUsed/>
    <w:qFormat/>
    <w:uiPriority w:val="99"/>
    <w:rPr>
      <w:sz w:val="21"/>
      <w:szCs w:val="21"/>
    </w:rPr>
  </w:style>
  <w:style w:type="character" w:customStyle="1" w:styleId="25">
    <w:name w:val="标题 1 字符"/>
    <w:basedOn w:val="21"/>
    <w:link w:val="2"/>
    <w:qFormat/>
    <w:uiPriority w:val="9"/>
    <w:rPr>
      <w:rFonts w:eastAsia="宋体"/>
      <w:b/>
      <w:bCs/>
      <w:kern w:val="44"/>
      <w:sz w:val="44"/>
      <w:szCs w:val="44"/>
    </w:rPr>
  </w:style>
  <w:style w:type="character" w:customStyle="1" w:styleId="26">
    <w:name w:val="标题 2 字符"/>
    <w:basedOn w:val="21"/>
    <w:link w:val="3"/>
    <w:semiHidden/>
    <w:qFormat/>
    <w:uiPriority w:val="9"/>
    <w:rPr>
      <w:rFonts w:ascii="等线 Light" w:hAnsi="等线 Light" w:eastAsia="等线 Light" w:cs="Times New Roman"/>
      <w:b/>
      <w:bCs/>
      <w:kern w:val="2"/>
      <w:sz w:val="32"/>
      <w:szCs w:val="32"/>
    </w:rPr>
  </w:style>
  <w:style w:type="character" w:customStyle="1" w:styleId="27">
    <w:name w:val="批注文字 字符"/>
    <w:basedOn w:val="21"/>
    <w:link w:val="6"/>
    <w:semiHidden/>
    <w:qFormat/>
    <w:uiPriority w:val="99"/>
    <w:rPr>
      <w:rFonts w:ascii="等线" w:hAnsi="等线" w:cs="Times New Roman"/>
      <w:kern w:val="2"/>
      <w:sz w:val="28"/>
      <w:szCs w:val="22"/>
    </w:rPr>
  </w:style>
  <w:style w:type="character" w:customStyle="1" w:styleId="28">
    <w:name w:val="页脚 字符"/>
    <w:basedOn w:val="21"/>
    <w:link w:val="11"/>
    <w:qFormat/>
    <w:uiPriority w:val="99"/>
    <w:rPr>
      <w:sz w:val="18"/>
      <w:szCs w:val="18"/>
    </w:rPr>
  </w:style>
  <w:style w:type="character" w:customStyle="1" w:styleId="29">
    <w:name w:val="页眉 字符"/>
    <w:basedOn w:val="21"/>
    <w:link w:val="12"/>
    <w:qFormat/>
    <w:uiPriority w:val="99"/>
    <w:rPr>
      <w:sz w:val="18"/>
      <w:szCs w:val="18"/>
    </w:rPr>
  </w:style>
  <w:style w:type="character" w:customStyle="1" w:styleId="30">
    <w:name w:val="批注主题 字符"/>
    <w:basedOn w:val="27"/>
    <w:link w:val="17"/>
    <w:semiHidden/>
    <w:qFormat/>
    <w:uiPriority w:val="99"/>
    <w:rPr>
      <w:rFonts w:ascii="等线" w:hAnsi="等线" w:cs="Times New Roman"/>
      <w:b/>
      <w:bCs/>
      <w:kern w:val="2"/>
      <w:sz w:val="28"/>
      <w:szCs w:val="22"/>
    </w:rPr>
  </w:style>
  <w:style w:type="paragraph" w:customStyle="1" w:styleId="31">
    <w:name w:val="TOC 标题1"/>
    <w:basedOn w:val="2"/>
    <w:next w:val="1"/>
    <w:unhideWhenUsed/>
    <w:qFormat/>
    <w:uiPriority w:val="39"/>
    <w:pPr>
      <w:widowControl/>
      <w:spacing w:before="240" w:after="0" w:line="259" w:lineRule="auto"/>
      <w:ind w:firstLine="0" w:firstLineChars="0"/>
      <w:jc w:val="left"/>
      <w:outlineLvl w:val="9"/>
    </w:pPr>
    <w:rPr>
      <w:rFonts w:ascii="等线 Light" w:hAnsi="等线 Light" w:eastAsia="等线 Light" w:cs="Times New Roman"/>
      <w:b w:val="0"/>
      <w:bCs w:val="0"/>
      <w:color w:val="2F5496"/>
      <w:kern w:val="0"/>
      <w:sz w:val="32"/>
      <w:szCs w:val="32"/>
    </w:rPr>
  </w:style>
  <w:style w:type="paragraph" w:customStyle="1" w:styleId="32">
    <w:name w:val="修订1"/>
    <w:semiHidden/>
    <w:qFormat/>
    <w:uiPriority w:val="99"/>
    <w:rPr>
      <w:rFonts w:ascii="等线" w:hAnsi="等线" w:eastAsia="宋体" w:cs="Times New Roman"/>
      <w:kern w:val="2"/>
      <w:sz w:val="28"/>
      <w:szCs w:val="22"/>
      <w:lang w:val="en-US" w:eastAsia="zh-CN" w:bidi="ar-SA"/>
    </w:rPr>
  </w:style>
  <w:style w:type="paragraph" w:customStyle="1" w:styleId="33">
    <w:name w:val="修订2"/>
    <w:semiHidden/>
    <w:qFormat/>
    <w:uiPriority w:val="99"/>
    <w:rPr>
      <w:rFonts w:ascii="等线" w:hAnsi="等线" w:eastAsia="宋体" w:cs="Times New Roman"/>
      <w:kern w:val="2"/>
      <w:sz w:val="28"/>
      <w:szCs w:val="22"/>
      <w:lang w:val="en-US" w:eastAsia="zh-CN" w:bidi="ar-SA"/>
    </w:rPr>
  </w:style>
  <w:style w:type="paragraph" w:customStyle="1" w:styleId="34">
    <w:name w:val="Revision"/>
    <w:semiHidden/>
    <w:qFormat/>
    <w:uiPriority w:val="99"/>
    <w:rPr>
      <w:rFonts w:ascii="等线" w:hAnsi="等线" w:eastAsia="宋体" w:cs="Times New Roman"/>
      <w:kern w:val="2"/>
      <w:sz w:val="28"/>
      <w:szCs w:val="22"/>
      <w:lang w:val="en-US" w:eastAsia="zh-CN" w:bidi="ar-SA"/>
    </w:rPr>
  </w:style>
  <w:style w:type="paragraph" w:styleId="3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8030</Words>
  <Characters>8346</Characters>
  <Lines>163</Lines>
  <Paragraphs>46</Paragraphs>
  <TotalTime>1</TotalTime>
  <ScaleCrop>false</ScaleCrop>
  <LinksUpToDate>false</LinksUpToDate>
  <CharactersWithSpaces>8963</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2022-12-05T10:41:00Z</dcterms:created>
  <dc:creator>宁 利君</dc:creator>
  <cp:lastModifiedBy>Dr.美ˇ</cp:lastModifiedBy>
  <cp:lastPrinted>2023-05-06T06:49:00Z</cp:lastPrinted>
  <dcterms:modified xsi:type="dcterms:W3CDTF">2024-09-14T02:06:30Z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ACD9661586DB4B65BF7289D3DE91C5F2_13</vt:lpwstr>
  </property>
</Properties>
</file>