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D67C87">
      <w:pPr>
        <w:spacing w:line="360" w:lineRule="auto"/>
        <w:jc w:val="center"/>
        <w:rPr>
          <w:rFonts w:eastAsia="黑体"/>
          <w:b w:val="0"/>
          <w:bCs/>
          <w:sz w:val="48"/>
          <w:szCs w:val="48"/>
        </w:rPr>
      </w:pPr>
    </w:p>
    <w:p w14:paraId="1D513BE3">
      <w:pPr>
        <w:spacing w:line="360" w:lineRule="auto"/>
        <w:jc w:val="center"/>
        <w:rPr>
          <w:rFonts w:eastAsia="黑体"/>
          <w:b w:val="0"/>
          <w:bCs/>
          <w:sz w:val="48"/>
          <w:szCs w:val="48"/>
        </w:rPr>
      </w:pPr>
    </w:p>
    <w:p w14:paraId="3E576F07">
      <w:pPr>
        <w:spacing w:line="360" w:lineRule="auto"/>
        <w:jc w:val="center"/>
        <w:rPr>
          <w:rFonts w:hint="eastAsia" w:ascii="黑体" w:hAnsi="黑体" w:eastAsia="黑体"/>
          <w:b w:val="0"/>
          <w:bCs/>
          <w:sz w:val="48"/>
          <w:szCs w:val="48"/>
          <w:lang w:val="en-US" w:eastAsia="zh-CN"/>
        </w:rPr>
      </w:pPr>
      <w:bookmarkStart w:id="0" w:name="_Toc264729017"/>
      <w:bookmarkStart w:id="1" w:name="_Toc264643771"/>
      <w:r>
        <w:rPr>
          <w:rFonts w:hint="eastAsia" w:ascii="黑体" w:hAnsi="黑体" w:eastAsia="黑体" w:cs="黑体"/>
          <w:b w:val="0"/>
          <w:bCs/>
          <w:sz w:val="48"/>
          <w:szCs w:val="48"/>
          <w:lang w:val="en-US" w:eastAsia="zh-CN"/>
        </w:rPr>
        <w:t>北京佑美琪贸易有限公司“5·7”</w:t>
      </w:r>
      <w:r>
        <w:rPr>
          <w:rFonts w:hint="eastAsia" w:ascii="黑体" w:hAnsi="黑体" w:eastAsia="黑体"/>
          <w:b w:val="0"/>
          <w:bCs/>
          <w:sz w:val="48"/>
          <w:szCs w:val="48"/>
          <w:lang w:val="en-US" w:eastAsia="zh-CN"/>
        </w:rPr>
        <w:t>一般</w:t>
      </w:r>
    </w:p>
    <w:p w14:paraId="7B1845C3">
      <w:pPr>
        <w:spacing w:line="360" w:lineRule="auto"/>
        <w:jc w:val="center"/>
        <w:rPr>
          <w:rFonts w:eastAsia="黑体"/>
          <w:b w:val="0"/>
          <w:bCs/>
          <w:sz w:val="48"/>
          <w:szCs w:val="48"/>
        </w:rPr>
      </w:pPr>
      <w:r>
        <w:rPr>
          <w:rFonts w:hint="eastAsia" w:ascii="黑体" w:hAnsi="黑体" w:eastAsia="黑体"/>
          <w:b w:val="0"/>
          <w:bCs/>
          <w:sz w:val="48"/>
          <w:szCs w:val="48"/>
          <w:lang w:val="en-US" w:eastAsia="zh-CN"/>
        </w:rPr>
        <w:t>生产安全事故现场安全现状评估</w:t>
      </w:r>
      <w:r>
        <w:rPr>
          <w:rFonts w:hint="eastAsia" w:ascii="黑体" w:hAnsi="黑体" w:eastAsia="黑体"/>
          <w:b w:val="0"/>
          <w:bCs/>
          <w:sz w:val="48"/>
          <w:szCs w:val="48"/>
        </w:rPr>
        <w:t>报告</w:t>
      </w:r>
    </w:p>
    <w:bookmarkEnd w:id="0"/>
    <w:bookmarkEnd w:id="1"/>
    <w:p w14:paraId="66EF3EB6">
      <w:pPr>
        <w:spacing w:line="360" w:lineRule="auto"/>
        <w:jc w:val="center"/>
        <w:rPr>
          <w:rFonts w:eastAsia="黑体"/>
          <w:b w:val="0"/>
          <w:bCs/>
          <w:sz w:val="48"/>
          <w:szCs w:val="48"/>
        </w:rPr>
      </w:pPr>
    </w:p>
    <w:p w14:paraId="01AB3F1C">
      <w:pPr>
        <w:spacing w:line="360" w:lineRule="auto"/>
        <w:jc w:val="center"/>
        <w:rPr>
          <w:rFonts w:eastAsia="黑体"/>
          <w:b w:val="0"/>
          <w:bCs/>
          <w:sz w:val="48"/>
          <w:szCs w:val="48"/>
        </w:rPr>
      </w:pPr>
    </w:p>
    <w:p w14:paraId="7B0790A5">
      <w:pPr>
        <w:spacing w:line="360" w:lineRule="auto"/>
        <w:jc w:val="center"/>
        <w:rPr>
          <w:rFonts w:eastAsia="黑体"/>
          <w:b w:val="0"/>
          <w:bCs/>
          <w:sz w:val="48"/>
          <w:szCs w:val="48"/>
        </w:rPr>
      </w:pPr>
    </w:p>
    <w:p w14:paraId="20E19C89">
      <w:pPr>
        <w:spacing w:line="360" w:lineRule="auto"/>
        <w:jc w:val="center"/>
        <w:rPr>
          <w:rFonts w:eastAsia="黑体"/>
          <w:b w:val="0"/>
          <w:bCs/>
          <w:sz w:val="48"/>
          <w:szCs w:val="48"/>
        </w:rPr>
      </w:pPr>
    </w:p>
    <w:p w14:paraId="34316F18">
      <w:pPr>
        <w:pStyle w:val="18"/>
        <w:rPr>
          <w:b w:val="0"/>
          <w:bCs/>
          <w:sz w:val="48"/>
          <w:szCs w:val="48"/>
        </w:rPr>
      </w:pPr>
    </w:p>
    <w:p w14:paraId="2D2C675A">
      <w:pPr>
        <w:spacing w:line="360" w:lineRule="auto"/>
        <w:jc w:val="center"/>
        <w:rPr>
          <w:rFonts w:eastAsia="黑体"/>
          <w:b w:val="0"/>
          <w:bCs/>
          <w:sz w:val="48"/>
          <w:szCs w:val="48"/>
        </w:rPr>
      </w:pPr>
    </w:p>
    <w:p w14:paraId="0DAFC459">
      <w:pPr>
        <w:spacing w:line="360" w:lineRule="auto"/>
        <w:jc w:val="center"/>
        <w:rPr>
          <w:rFonts w:eastAsia="黑体"/>
          <w:b w:val="0"/>
          <w:bCs/>
          <w:sz w:val="48"/>
          <w:szCs w:val="48"/>
        </w:rPr>
      </w:pPr>
    </w:p>
    <w:p w14:paraId="44841F27">
      <w:pPr>
        <w:spacing w:line="360" w:lineRule="auto"/>
        <w:jc w:val="center"/>
        <w:rPr>
          <w:rFonts w:eastAsia="黑体"/>
          <w:b w:val="0"/>
          <w:bCs/>
          <w:sz w:val="48"/>
          <w:szCs w:val="48"/>
        </w:rPr>
      </w:pPr>
    </w:p>
    <w:p w14:paraId="5326B67F">
      <w:pPr>
        <w:spacing w:line="360" w:lineRule="auto"/>
        <w:jc w:val="center"/>
        <w:rPr>
          <w:rFonts w:hint="eastAsia" w:ascii="黑体" w:hAnsi="黑体" w:eastAsia="黑体"/>
          <w:b w:val="0"/>
          <w:bCs/>
          <w:sz w:val="48"/>
          <w:szCs w:val="48"/>
          <w:lang w:val="en-US" w:eastAsia="zh-CN"/>
        </w:rPr>
      </w:pPr>
      <w:r>
        <w:rPr>
          <w:rFonts w:hint="eastAsia" w:ascii="黑体" w:hAnsi="黑体" w:eastAsia="黑体"/>
          <w:b w:val="0"/>
          <w:bCs/>
          <w:sz w:val="48"/>
          <w:szCs w:val="48"/>
          <w:lang w:val="en-US" w:eastAsia="zh-CN"/>
        </w:rPr>
        <w:t>北京市科学技术研究院</w:t>
      </w:r>
    </w:p>
    <w:p w14:paraId="3E73EFD0">
      <w:pPr>
        <w:spacing w:line="360" w:lineRule="auto"/>
        <w:jc w:val="center"/>
        <w:rPr>
          <w:rFonts w:hint="eastAsia" w:ascii="黑体" w:hAnsi="黑体" w:eastAsia="黑体"/>
          <w:b w:val="0"/>
          <w:bCs/>
          <w:sz w:val="48"/>
          <w:szCs w:val="48"/>
          <w:lang w:val="en-US" w:eastAsia="zh-CN"/>
        </w:rPr>
      </w:pPr>
      <w:r>
        <w:rPr>
          <w:rFonts w:hint="eastAsia" w:ascii="黑体" w:hAnsi="黑体" w:eastAsia="黑体"/>
          <w:b w:val="0"/>
          <w:bCs/>
          <w:sz w:val="48"/>
          <w:szCs w:val="48"/>
          <w:lang w:val="en-US" w:eastAsia="zh-CN"/>
        </w:rPr>
        <w:t xml:space="preserve">城市安全与环境科学研究所 </w:t>
      </w:r>
    </w:p>
    <w:p w14:paraId="678EC0A3">
      <w:pPr>
        <w:spacing w:line="360" w:lineRule="auto"/>
        <w:jc w:val="center"/>
        <w:rPr>
          <w:rFonts w:ascii="黑体" w:hAnsi="黑体" w:eastAsia="黑体"/>
          <w:b w:val="0"/>
          <w:bCs/>
          <w:sz w:val="48"/>
          <w:szCs w:val="48"/>
        </w:rPr>
      </w:pPr>
      <w:r>
        <w:rPr>
          <w:rFonts w:hint="eastAsia" w:ascii="黑体" w:hAnsi="黑体" w:eastAsia="黑体"/>
          <w:b w:val="0"/>
          <w:bCs/>
          <w:sz w:val="48"/>
          <w:szCs w:val="48"/>
        </w:rPr>
        <w:t>202</w:t>
      </w:r>
      <w:r>
        <w:rPr>
          <w:rFonts w:hint="eastAsia" w:ascii="黑体" w:hAnsi="黑体" w:eastAsia="黑体"/>
          <w:b w:val="0"/>
          <w:bCs/>
          <w:sz w:val="48"/>
          <w:szCs w:val="48"/>
          <w:lang w:val="en-US" w:eastAsia="zh-CN"/>
        </w:rPr>
        <w:t>4</w:t>
      </w:r>
      <w:r>
        <w:rPr>
          <w:rFonts w:ascii="黑体" w:hAnsi="黑体" w:eastAsia="黑体"/>
          <w:b w:val="0"/>
          <w:bCs/>
          <w:sz w:val="48"/>
          <w:szCs w:val="48"/>
        </w:rPr>
        <w:t>年</w:t>
      </w:r>
      <w:r>
        <w:rPr>
          <w:rFonts w:hint="eastAsia" w:ascii="黑体" w:hAnsi="黑体" w:eastAsia="黑体"/>
          <w:b w:val="0"/>
          <w:bCs/>
          <w:sz w:val="48"/>
          <w:szCs w:val="48"/>
          <w:lang w:val="en-US" w:eastAsia="zh-CN"/>
        </w:rPr>
        <w:t>5</w:t>
      </w:r>
      <w:r>
        <w:rPr>
          <w:rFonts w:ascii="黑体" w:hAnsi="黑体" w:eastAsia="黑体"/>
          <w:b w:val="0"/>
          <w:bCs/>
          <w:sz w:val="48"/>
          <w:szCs w:val="48"/>
        </w:rPr>
        <w:t>月</w:t>
      </w:r>
    </w:p>
    <w:p w14:paraId="0D7ED6F3">
      <w:pPr>
        <w:spacing w:line="360" w:lineRule="auto"/>
        <w:jc w:val="center"/>
        <w:rPr>
          <w:rFonts w:ascii="黑体" w:hAnsi="黑体" w:eastAsia="黑体"/>
          <w:b w:val="0"/>
          <w:bCs/>
          <w:sz w:val="48"/>
          <w:szCs w:val="48"/>
        </w:rPr>
      </w:pPr>
    </w:p>
    <w:p w14:paraId="6A12E47C">
      <w:pPr>
        <w:spacing w:line="360" w:lineRule="auto"/>
        <w:jc w:val="center"/>
        <w:rPr>
          <w:rFonts w:ascii="黑体" w:hAnsi="黑体" w:eastAsia="黑体"/>
          <w:b w:val="0"/>
          <w:bCs/>
          <w:sz w:val="48"/>
          <w:szCs w:val="48"/>
        </w:rPr>
      </w:pPr>
    </w:p>
    <w:p w14:paraId="2179609F">
      <w:pPr>
        <w:spacing w:before="0" w:beforeLines="0" w:after="0" w:afterLines="0" w:line="240" w:lineRule="auto"/>
        <w:ind w:left="0" w:leftChars="0" w:right="0" w:rightChars="0" w:firstLine="0" w:firstLineChars="0"/>
        <w:jc w:val="center"/>
        <w:rPr>
          <w:rFonts w:hint="eastAsia" w:ascii="黑体" w:hAnsi="黑体" w:eastAsia="黑体" w:cs="黑体"/>
          <w:sz w:val="28"/>
          <w:szCs w:val="32"/>
        </w:rPr>
      </w:pPr>
      <w:r>
        <w:rPr>
          <w:rFonts w:hint="eastAsia" w:ascii="黑体" w:hAnsi="黑体" w:eastAsia="黑体" w:cs="黑体"/>
          <w:sz w:val="28"/>
          <w:szCs w:val="32"/>
        </w:rPr>
        <w:t>目</w:t>
      </w:r>
      <w:r>
        <w:rPr>
          <w:rFonts w:hint="eastAsia" w:ascii="黑体" w:hAnsi="黑体" w:eastAsia="黑体" w:cs="黑体"/>
          <w:sz w:val="28"/>
          <w:szCs w:val="32"/>
          <w:lang w:val="en-US" w:eastAsia="zh-CN"/>
        </w:rPr>
        <w:t xml:space="preserve"> </w:t>
      </w:r>
      <w:r>
        <w:rPr>
          <w:rFonts w:hint="eastAsia" w:ascii="黑体" w:hAnsi="黑体" w:eastAsia="黑体" w:cs="黑体"/>
          <w:sz w:val="28"/>
          <w:szCs w:val="32"/>
        </w:rPr>
        <w:t>录</w:t>
      </w:r>
    </w:p>
    <w:p w14:paraId="092E1DFE">
      <w:pPr>
        <w:pStyle w:val="7"/>
      </w:pPr>
    </w:p>
    <w:p w14:paraId="2C5AD63B">
      <w:pPr>
        <w:pStyle w:val="13"/>
        <w:pageBreakBefore w:val="0"/>
        <w:tabs>
          <w:tab w:val="right" w:leader="dot" w:pos="8787"/>
        </w:tabs>
        <w:kinsoku/>
        <w:wordWrap/>
        <w:overflowPunct/>
        <w:topLinePunct w:val="0"/>
        <w:autoSpaceDE/>
        <w:autoSpaceDN/>
        <w:bidi w:val="0"/>
        <w:adjustRightInd/>
        <w:snapToGrid/>
        <w:spacing w:after="0" w:line="480" w:lineRule="auto"/>
        <w:textAlignment w:val="auto"/>
        <w:rPr>
          <w:rFonts w:hint="default" w:ascii="Times New Roman" w:hAnsi="Times New Roman" w:cs="Times New Roman"/>
          <w:sz w:val="24"/>
          <w:szCs w:val="24"/>
        </w:rPr>
      </w:pPr>
      <w:r>
        <w:rPr>
          <w:rFonts w:hint="default" w:ascii="Times New Roman" w:hAnsi="Times New Roman" w:eastAsia="黑体" w:cs="Times New Roman"/>
          <w:sz w:val="32"/>
          <w:szCs w:val="32"/>
          <w:lang w:val="en-US" w:eastAsia="zh-CN"/>
        </w:rPr>
        <w:fldChar w:fldCharType="begin"/>
      </w:r>
      <w:r>
        <w:rPr>
          <w:rFonts w:hint="default" w:ascii="Times New Roman" w:hAnsi="Times New Roman" w:eastAsia="黑体" w:cs="Times New Roman"/>
          <w:sz w:val="32"/>
          <w:szCs w:val="32"/>
          <w:lang w:val="en-US" w:eastAsia="zh-CN"/>
        </w:rPr>
        <w:instrText xml:space="preserve">TOC \o "1-3" \h \u </w:instrText>
      </w:r>
      <w:r>
        <w:rPr>
          <w:rFonts w:hint="default" w:ascii="Times New Roman" w:hAnsi="Times New Roman" w:eastAsia="黑体" w:cs="Times New Roman"/>
          <w:sz w:val="32"/>
          <w:szCs w:val="32"/>
          <w:lang w:val="en-US" w:eastAsia="zh-CN"/>
        </w:rPr>
        <w:fldChar w:fldCharType="separate"/>
      </w:r>
      <w:r>
        <w:rPr>
          <w:rFonts w:hint="default" w:ascii="Times New Roman" w:hAnsi="Times New Roman" w:eastAsia="黑体" w:cs="Times New Roman"/>
          <w:sz w:val="24"/>
          <w:szCs w:val="32"/>
          <w:lang w:val="en-US" w:eastAsia="zh-CN"/>
        </w:rPr>
        <w:fldChar w:fldCharType="begin"/>
      </w:r>
      <w:r>
        <w:rPr>
          <w:rFonts w:hint="default" w:ascii="Times New Roman" w:hAnsi="Times New Roman" w:eastAsia="黑体" w:cs="Times New Roman"/>
          <w:sz w:val="24"/>
          <w:szCs w:val="32"/>
          <w:lang w:val="en-US" w:eastAsia="zh-CN"/>
        </w:rPr>
        <w:instrText xml:space="preserve"> HYPERLINK \l _Toc24043 </w:instrText>
      </w:r>
      <w:r>
        <w:rPr>
          <w:rFonts w:hint="default" w:ascii="Times New Roman" w:hAnsi="Times New Roman" w:eastAsia="黑体" w:cs="Times New Roman"/>
          <w:sz w:val="24"/>
          <w:szCs w:val="32"/>
          <w:lang w:val="en-US" w:eastAsia="zh-CN"/>
        </w:rPr>
        <w:fldChar w:fldCharType="separate"/>
      </w:r>
      <w:r>
        <w:rPr>
          <w:rFonts w:hint="default" w:ascii="Times New Roman" w:hAnsi="Times New Roman" w:eastAsia="黑体" w:cs="Times New Roman"/>
          <w:sz w:val="24"/>
          <w:szCs w:val="32"/>
          <w:lang w:val="en-US" w:eastAsia="zh-CN"/>
        </w:rPr>
        <w:t>一、目的依据</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_Toc24043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r>
        <w:rPr>
          <w:rFonts w:hint="default" w:ascii="Times New Roman" w:hAnsi="Times New Roman" w:eastAsia="黑体" w:cs="Times New Roman"/>
          <w:sz w:val="24"/>
          <w:szCs w:val="32"/>
          <w:lang w:val="en-US" w:eastAsia="zh-CN"/>
        </w:rPr>
        <w:fldChar w:fldCharType="end"/>
      </w:r>
    </w:p>
    <w:p w14:paraId="5B0F5F8F">
      <w:pPr>
        <w:pStyle w:val="13"/>
        <w:pageBreakBefore w:val="0"/>
        <w:tabs>
          <w:tab w:val="right" w:leader="dot" w:pos="8787"/>
        </w:tabs>
        <w:kinsoku/>
        <w:wordWrap/>
        <w:overflowPunct/>
        <w:topLinePunct w:val="0"/>
        <w:autoSpaceDE/>
        <w:autoSpaceDN/>
        <w:bidi w:val="0"/>
        <w:adjustRightInd/>
        <w:snapToGrid/>
        <w:spacing w:after="0" w:line="480" w:lineRule="auto"/>
        <w:textAlignment w:val="auto"/>
        <w:rPr>
          <w:rFonts w:hint="default" w:ascii="Times New Roman" w:hAnsi="Times New Roman" w:cs="Times New Roman"/>
          <w:sz w:val="24"/>
          <w:szCs w:val="24"/>
        </w:rPr>
      </w:pPr>
      <w:r>
        <w:rPr>
          <w:rFonts w:hint="default" w:ascii="Times New Roman" w:hAnsi="Times New Roman" w:eastAsia="黑体" w:cs="Times New Roman"/>
          <w:sz w:val="24"/>
          <w:szCs w:val="32"/>
          <w:lang w:val="en-US" w:eastAsia="zh-CN"/>
        </w:rPr>
        <w:fldChar w:fldCharType="begin"/>
      </w:r>
      <w:r>
        <w:rPr>
          <w:rFonts w:hint="default" w:ascii="Times New Roman" w:hAnsi="Times New Roman" w:eastAsia="黑体" w:cs="Times New Roman"/>
          <w:sz w:val="24"/>
          <w:szCs w:val="32"/>
          <w:lang w:val="en-US" w:eastAsia="zh-CN"/>
        </w:rPr>
        <w:instrText xml:space="preserve"> HYPERLINK \l _Toc21280 </w:instrText>
      </w:r>
      <w:r>
        <w:rPr>
          <w:rFonts w:hint="default" w:ascii="Times New Roman" w:hAnsi="Times New Roman" w:eastAsia="黑体" w:cs="Times New Roman"/>
          <w:sz w:val="24"/>
          <w:szCs w:val="32"/>
          <w:lang w:val="en-US" w:eastAsia="zh-CN"/>
        </w:rPr>
        <w:fldChar w:fldCharType="separate"/>
      </w:r>
      <w:r>
        <w:rPr>
          <w:rFonts w:hint="default" w:ascii="Times New Roman" w:hAnsi="Times New Roman" w:eastAsia="黑体" w:cs="Times New Roman"/>
          <w:sz w:val="24"/>
          <w:szCs w:val="32"/>
          <w:lang w:val="en-US" w:eastAsia="zh-CN"/>
        </w:rPr>
        <w:t>二、工作范围和方式</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_Toc21280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r>
        <w:rPr>
          <w:rFonts w:hint="default" w:ascii="Times New Roman" w:hAnsi="Times New Roman" w:eastAsia="黑体" w:cs="Times New Roman"/>
          <w:sz w:val="24"/>
          <w:szCs w:val="32"/>
          <w:lang w:val="en-US" w:eastAsia="zh-CN"/>
        </w:rPr>
        <w:fldChar w:fldCharType="end"/>
      </w:r>
    </w:p>
    <w:p w14:paraId="6C41E8A3">
      <w:pPr>
        <w:pStyle w:val="14"/>
        <w:pageBreakBefore w:val="0"/>
        <w:tabs>
          <w:tab w:val="right" w:leader="dot" w:pos="8787"/>
        </w:tabs>
        <w:kinsoku/>
        <w:wordWrap/>
        <w:overflowPunct/>
        <w:topLinePunct w:val="0"/>
        <w:autoSpaceDE/>
        <w:autoSpaceDN/>
        <w:bidi w:val="0"/>
        <w:adjustRightInd/>
        <w:snapToGrid/>
        <w:spacing w:after="0" w:line="480" w:lineRule="auto"/>
        <w:textAlignment w:val="auto"/>
        <w:rPr>
          <w:rFonts w:hint="default" w:ascii="Times New Roman" w:hAnsi="Times New Roman" w:cs="Times New Roman"/>
          <w:sz w:val="24"/>
          <w:szCs w:val="24"/>
        </w:rPr>
      </w:pPr>
      <w:r>
        <w:rPr>
          <w:rFonts w:hint="default" w:ascii="Times New Roman" w:hAnsi="Times New Roman" w:eastAsia="黑体" w:cs="Times New Roman"/>
          <w:sz w:val="24"/>
          <w:szCs w:val="32"/>
          <w:lang w:val="en-US" w:eastAsia="zh-CN"/>
        </w:rPr>
        <w:fldChar w:fldCharType="begin"/>
      </w:r>
      <w:r>
        <w:rPr>
          <w:rFonts w:hint="default" w:ascii="Times New Roman" w:hAnsi="Times New Roman" w:eastAsia="黑体" w:cs="Times New Roman"/>
          <w:sz w:val="24"/>
          <w:szCs w:val="32"/>
          <w:lang w:val="en-US" w:eastAsia="zh-CN"/>
        </w:rPr>
        <w:instrText xml:space="preserve"> HYPERLINK \l _Toc21586 </w:instrText>
      </w:r>
      <w:r>
        <w:rPr>
          <w:rFonts w:hint="default" w:ascii="Times New Roman" w:hAnsi="Times New Roman" w:eastAsia="黑体" w:cs="Times New Roman"/>
          <w:sz w:val="24"/>
          <w:szCs w:val="32"/>
          <w:lang w:val="en-US" w:eastAsia="zh-CN"/>
        </w:rPr>
        <w:fldChar w:fldCharType="separate"/>
      </w:r>
      <w:r>
        <w:rPr>
          <w:rFonts w:hint="default" w:ascii="Times New Roman" w:hAnsi="Times New Roman" w:cs="Times New Roman"/>
          <w:sz w:val="24"/>
          <w:szCs w:val="22"/>
          <w:lang w:val="en-US" w:eastAsia="zh-CN"/>
        </w:rPr>
        <w:t>（一）资料查阅</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_Toc21586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r>
        <w:rPr>
          <w:rFonts w:hint="default" w:ascii="Times New Roman" w:hAnsi="Times New Roman" w:eastAsia="黑体" w:cs="Times New Roman"/>
          <w:sz w:val="24"/>
          <w:szCs w:val="32"/>
          <w:lang w:val="en-US" w:eastAsia="zh-CN"/>
        </w:rPr>
        <w:fldChar w:fldCharType="end"/>
      </w:r>
    </w:p>
    <w:p w14:paraId="6F05D5F3">
      <w:pPr>
        <w:pStyle w:val="14"/>
        <w:pageBreakBefore w:val="0"/>
        <w:tabs>
          <w:tab w:val="right" w:leader="dot" w:pos="8787"/>
        </w:tabs>
        <w:kinsoku/>
        <w:wordWrap/>
        <w:overflowPunct/>
        <w:topLinePunct w:val="0"/>
        <w:autoSpaceDE/>
        <w:autoSpaceDN/>
        <w:bidi w:val="0"/>
        <w:adjustRightInd/>
        <w:snapToGrid/>
        <w:spacing w:after="0" w:line="480" w:lineRule="auto"/>
        <w:textAlignment w:val="auto"/>
        <w:rPr>
          <w:rFonts w:hint="default" w:ascii="Times New Roman" w:hAnsi="Times New Roman" w:cs="Times New Roman"/>
          <w:sz w:val="24"/>
          <w:szCs w:val="24"/>
        </w:rPr>
      </w:pPr>
      <w:r>
        <w:rPr>
          <w:rFonts w:hint="default" w:ascii="Times New Roman" w:hAnsi="Times New Roman" w:eastAsia="黑体" w:cs="Times New Roman"/>
          <w:sz w:val="24"/>
          <w:szCs w:val="32"/>
          <w:lang w:val="en-US" w:eastAsia="zh-CN"/>
        </w:rPr>
        <w:fldChar w:fldCharType="begin"/>
      </w:r>
      <w:r>
        <w:rPr>
          <w:rFonts w:hint="default" w:ascii="Times New Roman" w:hAnsi="Times New Roman" w:eastAsia="黑体" w:cs="Times New Roman"/>
          <w:sz w:val="24"/>
          <w:szCs w:val="32"/>
          <w:lang w:val="en-US" w:eastAsia="zh-CN"/>
        </w:rPr>
        <w:instrText xml:space="preserve"> HYPERLINK \l _Toc825 </w:instrText>
      </w:r>
      <w:r>
        <w:rPr>
          <w:rFonts w:hint="default" w:ascii="Times New Roman" w:hAnsi="Times New Roman" w:eastAsia="黑体" w:cs="Times New Roman"/>
          <w:sz w:val="24"/>
          <w:szCs w:val="32"/>
          <w:lang w:val="en-US" w:eastAsia="zh-CN"/>
        </w:rPr>
        <w:fldChar w:fldCharType="separate"/>
      </w:r>
      <w:r>
        <w:rPr>
          <w:rFonts w:hint="default" w:ascii="Times New Roman" w:hAnsi="Times New Roman" w:cs="Times New Roman"/>
          <w:sz w:val="24"/>
          <w:szCs w:val="22"/>
          <w:lang w:val="en-US" w:eastAsia="zh-CN"/>
        </w:rPr>
        <w:t>（二）座谈问询</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_Toc825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w:t>
      </w:r>
      <w:r>
        <w:rPr>
          <w:rFonts w:hint="default" w:ascii="Times New Roman" w:hAnsi="Times New Roman" w:cs="Times New Roman"/>
          <w:sz w:val="24"/>
          <w:szCs w:val="24"/>
        </w:rPr>
        <w:fldChar w:fldCharType="end"/>
      </w:r>
      <w:r>
        <w:rPr>
          <w:rFonts w:hint="default" w:ascii="Times New Roman" w:hAnsi="Times New Roman" w:eastAsia="黑体" w:cs="Times New Roman"/>
          <w:sz w:val="24"/>
          <w:szCs w:val="32"/>
          <w:lang w:val="en-US" w:eastAsia="zh-CN"/>
        </w:rPr>
        <w:fldChar w:fldCharType="end"/>
      </w:r>
    </w:p>
    <w:p w14:paraId="1D29CA0C">
      <w:pPr>
        <w:pStyle w:val="14"/>
        <w:pageBreakBefore w:val="0"/>
        <w:tabs>
          <w:tab w:val="right" w:leader="dot" w:pos="8787"/>
        </w:tabs>
        <w:kinsoku/>
        <w:wordWrap/>
        <w:overflowPunct/>
        <w:topLinePunct w:val="0"/>
        <w:autoSpaceDE/>
        <w:autoSpaceDN/>
        <w:bidi w:val="0"/>
        <w:adjustRightInd/>
        <w:snapToGrid/>
        <w:spacing w:after="0" w:line="480" w:lineRule="auto"/>
        <w:textAlignment w:val="auto"/>
        <w:rPr>
          <w:rFonts w:hint="default" w:ascii="Times New Roman" w:hAnsi="Times New Roman" w:cs="Times New Roman"/>
          <w:sz w:val="24"/>
          <w:szCs w:val="24"/>
        </w:rPr>
      </w:pPr>
      <w:r>
        <w:rPr>
          <w:rFonts w:hint="default" w:ascii="Times New Roman" w:hAnsi="Times New Roman" w:eastAsia="黑体" w:cs="Times New Roman"/>
          <w:sz w:val="24"/>
          <w:szCs w:val="32"/>
          <w:lang w:val="en-US" w:eastAsia="zh-CN"/>
        </w:rPr>
        <w:fldChar w:fldCharType="begin"/>
      </w:r>
      <w:r>
        <w:rPr>
          <w:rFonts w:hint="default" w:ascii="Times New Roman" w:hAnsi="Times New Roman" w:eastAsia="黑体" w:cs="Times New Roman"/>
          <w:sz w:val="24"/>
          <w:szCs w:val="32"/>
          <w:lang w:val="en-US" w:eastAsia="zh-CN"/>
        </w:rPr>
        <w:instrText xml:space="preserve"> HYPERLINK \l _Toc8249 </w:instrText>
      </w:r>
      <w:r>
        <w:rPr>
          <w:rFonts w:hint="default" w:ascii="Times New Roman" w:hAnsi="Times New Roman" w:eastAsia="黑体" w:cs="Times New Roman"/>
          <w:sz w:val="24"/>
          <w:szCs w:val="32"/>
          <w:lang w:val="en-US" w:eastAsia="zh-CN"/>
        </w:rPr>
        <w:fldChar w:fldCharType="separate"/>
      </w:r>
      <w:r>
        <w:rPr>
          <w:rFonts w:hint="default" w:ascii="Times New Roman" w:hAnsi="Times New Roman" w:cs="Times New Roman"/>
          <w:sz w:val="24"/>
          <w:szCs w:val="22"/>
          <w:lang w:val="en-US" w:eastAsia="zh-CN"/>
        </w:rPr>
        <w:t>（三）走访核查</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_Toc8249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w:t>
      </w:r>
      <w:r>
        <w:rPr>
          <w:rFonts w:hint="default" w:ascii="Times New Roman" w:hAnsi="Times New Roman" w:cs="Times New Roman"/>
          <w:sz w:val="24"/>
          <w:szCs w:val="24"/>
        </w:rPr>
        <w:fldChar w:fldCharType="end"/>
      </w:r>
      <w:r>
        <w:rPr>
          <w:rFonts w:hint="default" w:ascii="Times New Roman" w:hAnsi="Times New Roman" w:eastAsia="黑体" w:cs="Times New Roman"/>
          <w:sz w:val="24"/>
          <w:szCs w:val="32"/>
          <w:lang w:val="en-US" w:eastAsia="zh-CN"/>
        </w:rPr>
        <w:fldChar w:fldCharType="end"/>
      </w:r>
    </w:p>
    <w:p w14:paraId="512369FE">
      <w:pPr>
        <w:pStyle w:val="13"/>
        <w:pageBreakBefore w:val="0"/>
        <w:tabs>
          <w:tab w:val="right" w:leader="dot" w:pos="8787"/>
        </w:tabs>
        <w:kinsoku/>
        <w:wordWrap/>
        <w:overflowPunct/>
        <w:topLinePunct w:val="0"/>
        <w:autoSpaceDE/>
        <w:autoSpaceDN/>
        <w:bidi w:val="0"/>
        <w:adjustRightInd/>
        <w:snapToGrid/>
        <w:spacing w:after="0" w:line="480" w:lineRule="auto"/>
        <w:textAlignment w:val="auto"/>
        <w:rPr>
          <w:rFonts w:hint="default" w:ascii="Times New Roman" w:hAnsi="Times New Roman" w:cs="Times New Roman"/>
          <w:sz w:val="24"/>
          <w:szCs w:val="24"/>
        </w:rPr>
      </w:pPr>
      <w:r>
        <w:rPr>
          <w:rFonts w:hint="default" w:ascii="Times New Roman" w:hAnsi="Times New Roman" w:eastAsia="黑体" w:cs="Times New Roman"/>
          <w:sz w:val="24"/>
          <w:szCs w:val="32"/>
          <w:lang w:val="en-US" w:eastAsia="zh-CN"/>
        </w:rPr>
        <w:fldChar w:fldCharType="begin"/>
      </w:r>
      <w:r>
        <w:rPr>
          <w:rFonts w:hint="default" w:ascii="Times New Roman" w:hAnsi="Times New Roman" w:eastAsia="黑体" w:cs="Times New Roman"/>
          <w:sz w:val="24"/>
          <w:szCs w:val="32"/>
          <w:lang w:val="en-US" w:eastAsia="zh-CN"/>
        </w:rPr>
        <w:instrText xml:space="preserve"> HYPERLINK \l _Toc18572 </w:instrText>
      </w:r>
      <w:r>
        <w:rPr>
          <w:rFonts w:hint="default" w:ascii="Times New Roman" w:hAnsi="Times New Roman" w:eastAsia="黑体" w:cs="Times New Roman"/>
          <w:sz w:val="24"/>
          <w:szCs w:val="32"/>
          <w:lang w:val="en-US" w:eastAsia="zh-CN"/>
        </w:rPr>
        <w:fldChar w:fldCharType="separate"/>
      </w:r>
      <w:r>
        <w:rPr>
          <w:rFonts w:hint="default" w:ascii="Times New Roman" w:hAnsi="Times New Roman" w:eastAsia="黑体" w:cs="Times New Roman"/>
          <w:sz w:val="24"/>
          <w:szCs w:val="32"/>
          <w:lang w:val="en-US" w:eastAsia="zh-CN"/>
        </w:rPr>
        <w:t>三、安全现状评估</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_Toc18572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4</w:t>
      </w:r>
      <w:r>
        <w:rPr>
          <w:rFonts w:hint="default" w:ascii="Times New Roman" w:hAnsi="Times New Roman" w:cs="Times New Roman"/>
          <w:sz w:val="24"/>
          <w:szCs w:val="24"/>
        </w:rPr>
        <w:fldChar w:fldCharType="end"/>
      </w:r>
      <w:r>
        <w:rPr>
          <w:rFonts w:hint="default" w:ascii="Times New Roman" w:hAnsi="Times New Roman" w:eastAsia="黑体" w:cs="Times New Roman"/>
          <w:sz w:val="24"/>
          <w:szCs w:val="32"/>
          <w:lang w:val="en-US" w:eastAsia="zh-CN"/>
        </w:rPr>
        <w:fldChar w:fldCharType="end"/>
      </w:r>
    </w:p>
    <w:p w14:paraId="5F179EED">
      <w:pPr>
        <w:pStyle w:val="14"/>
        <w:pageBreakBefore w:val="0"/>
        <w:tabs>
          <w:tab w:val="right" w:leader="dot" w:pos="8787"/>
        </w:tabs>
        <w:kinsoku/>
        <w:wordWrap/>
        <w:overflowPunct/>
        <w:topLinePunct w:val="0"/>
        <w:autoSpaceDE/>
        <w:autoSpaceDN/>
        <w:bidi w:val="0"/>
        <w:adjustRightInd/>
        <w:snapToGrid/>
        <w:spacing w:after="0" w:line="480" w:lineRule="auto"/>
        <w:textAlignment w:val="auto"/>
        <w:rPr>
          <w:rFonts w:hint="default" w:ascii="Times New Roman" w:hAnsi="Times New Roman" w:cs="Times New Roman"/>
          <w:sz w:val="24"/>
          <w:szCs w:val="24"/>
        </w:rPr>
      </w:pPr>
      <w:r>
        <w:rPr>
          <w:rFonts w:hint="default" w:ascii="Times New Roman" w:hAnsi="Times New Roman" w:eastAsia="黑体" w:cs="Times New Roman"/>
          <w:sz w:val="24"/>
          <w:szCs w:val="32"/>
          <w:lang w:val="en-US" w:eastAsia="zh-CN"/>
        </w:rPr>
        <w:fldChar w:fldCharType="begin"/>
      </w:r>
      <w:r>
        <w:rPr>
          <w:rFonts w:hint="default" w:ascii="Times New Roman" w:hAnsi="Times New Roman" w:eastAsia="黑体" w:cs="Times New Roman"/>
          <w:sz w:val="24"/>
          <w:szCs w:val="32"/>
          <w:lang w:val="en-US" w:eastAsia="zh-CN"/>
        </w:rPr>
        <w:instrText xml:space="preserve"> HYPERLINK \l _Toc7243 </w:instrText>
      </w:r>
      <w:r>
        <w:rPr>
          <w:rFonts w:hint="default" w:ascii="Times New Roman" w:hAnsi="Times New Roman" w:eastAsia="黑体" w:cs="Times New Roman"/>
          <w:sz w:val="24"/>
          <w:szCs w:val="32"/>
          <w:lang w:val="en-US" w:eastAsia="zh-CN"/>
        </w:rPr>
        <w:fldChar w:fldCharType="separate"/>
      </w:r>
      <w:r>
        <w:rPr>
          <w:rFonts w:hint="default" w:ascii="Times New Roman" w:hAnsi="Times New Roman" w:cs="Times New Roman"/>
          <w:sz w:val="24"/>
          <w:szCs w:val="22"/>
          <w:lang w:val="en-US" w:eastAsia="zh-CN"/>
        </w:rPr>
        <w:t>（一）现行安全管理制度制定及落实情况评估</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_Toc7243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4</w:t>
      </w:r>
      <w:r>
        <w:rPr>
          <w:rFonts w:hint="default" w:ascii="Times New Roman" w:hAnsi="Times New Roman" w:cs="Times New Roman"/>
          <w:sz w:val="24"/>
          <w:szCs w:val="24"/>
        </w:rPr>
        <w:fldChar w:fldCharType="end"/>
      </w:r>
      <w:r>
        <w:rPr>
          <w:rFonts w:hint="default" w:ascii="Times New Roman" w:hAnsi="Times New Roman" w:eastAsia="黑体" w:cs="Times New Roman"/>
          <w:sz w:val="24"/>
          <w:szCs w:val="32"/>
          <w:lang w:val="en-US" w:eastAsia="zh-CN"/>
        </w:rPr>
        <w:fldChar w:fldCharType="end"/>
      </w:r>
    </w:p>
    <w:p w14:paraId="4BBBABB3">
      <w:pPr>
        <w:pStyle w:val="14"/>
        <w:pageBreakBefore w:val="0"/>
        <w:tabs>
          <w:tab w:val="right" w:leader="dot" w:pos="8787"/>
        </w:tabs>
        <w:kinsoku/>
        <w:wordWrap/>
        <w:overflowPunct/>
        <w:topLinePunct w:val="0"/>
        <w:autoSpaceDE/>
        <w:autoSpaceDN/>
        <w:bidi w:val="0"/>
        <w:adjustRightInd/>
        <w:snapToGrid/>
        <w:spacing w:after="0" w:line="480" w:lineRule="auto"/>
        <w:textAlignment w:val="auto"/>
        <w:rPr>
          <w:rFonts w:hint="default" w:ascii="Times New Roman" w:hAnsi="Times New Roman" w:cs="Times New Roman"/>
          <w:sz w:val="24"/>
          <w:szCs w:val="24"/>
        </w:rPr>
      </w:pPr>
      <w:r>
        <w:rPr>
          <w:rFonts w:hint="default" w:ascii="Times New Roman" w:hAnsi="Times New Roman" w:eastAsia="黑体" w:cs="Times New Roman"/>
          <w:sz w:val="24"/>
          <w:szCs w:val="32"/>
          <w:lang w:val="en-US" w:eastAsia="zh-CN"/>
        </w:rPr>
        <w:fldChar w:fldCharType="begin"/>
      </w:r>
      <w:r>
        <w:rPr>
          <w:rFonts w:hint="default" w:ascii="Times New Roman" w:hAnsi="Times New Roman" w:eastAsia="黑体" w:cs="Times New Roman"/>
          <w:sz w:val="24"/>
          <w:szCs w:val="32"/>
          <w:lang w:val="en-US" w:eastAsia="zh-CN"/>
        </w:rPr>
        <w:instrText xml:space="preserve"> HYPERLINK \l _Toc6874 </w:instrText>
      </w:r>
      <w:r>
        <w:rPr>
          <w:rFonts w:hint="default" w:ascii="Times New Roman" w:hAnsi="Times New Roman" w:eastAsia="黑体" w:cs="Times New Roman"/>
          <w:sz w:val="24"/>
          <w:szCs w:val="32"/>
          <w:lang w:val="en-US" w:eastAsia="zh-CN"/>
        </w:rPr>
        <w:fldChar w:fldCharType="separate"/>
      </w:r>
      <w:r>
        <w:rPr>
          <w:rFonts w:hint="default" w:ascii="Times New Roman" w:hAnsi="Times New Roman" w:cs="Times New Roman"/>
          <w:sz w:val="24"/>
          <w:szCs w:val="22"/>
          <w:lang w:val="en-US" w:eastAsia="zh-CN"/>
        </w:rPr>
        <w:t>（二）现场运营环境安全评估</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_Toc6874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15</w:t>
      </w:r>
      <w:r>
        <w:rPr>
          <w:rFonts w:hint="default" w:ascii="Times New Roman" w:hAnsi="Times New Roman" w:cs="Times New Roman"/>
          <w:sz w:val="24"/>
          <w:szCs w:val="24"/>
        </w:rPr>
        <w:fldChar w:fldCharType="end"/>
      </w:r>
      <w:r>
        <w:rPr>
          <w:rFonts w:hint="default" w:ascii="Times New Roman" w:hAnsi="Times New Roman" w:eastAsia="黑体" w:cs="Times New Roman"/>
          <w:sz w:val="24"/>
          <w:szCs w:val="32"/>
          <w:lang w:val="en-US" w:eastAsia="zh-CN"/>
        </w:rPr>
        <w:fldChar w:fldCharType="end"/>
      </w:r>
    </w:p>
    <w:p w14:paraId="01967E23">
      <w:pPr>
        <w:pStyle w:val="13"/>
        <w:pageBreakBefore w:val="0"/>
        <w:tabs>
          <w:tab w:val="right" w:leader="dot" w:pos="8787"/>
        </w:tabs>
        <w:kinsoku/>
        <w:wordWrap/>
        <w:overflowPunct/>
        <w:topLinePunct w:val="0"/>
        <w:autoSpaceDE/>
        <w:autoSpaceDN/>
        <w:bidi w:val="0"/>
        <w:adjustRightInd/>
        <w:snapToGrid/>
        <w:spacing w:after="0" w:line="480" w:lineRule="auto"/>
        <w:textAlignment w:val="auto"/>
        <w:rPr>
          <w:rFonts w:hint="default" w:ascii="Times New Roman" w:hAnsi="Times New Roman" w:cs="Times New Roman"/>
          <w:sz w:val="24"/>
          <w:szCs w:val="24"/>
        </w:rPr>
      </w:pPr>
      <w:r>
        <w:rPr>
          <w:rFonts w:hint="default" w:ascii="Times New Roman" w:hAnsi="Times New Roman" w:eastAsia="黑体" w:cs="Times New Roman"/>
          <w:sz w:val="24"/>
          <w:szCs w:val="32"/>
          <w:lang w:val="en-US" w:eastAsia="zh-CN"/>
        </w:rPr>
        <w:fldChar w:fldCharType="begin"/>
      </w:r>
      <w:r>
        <w:rPr>
          <w:rFonts w:hint="default" w:ascii="Times New Roman" w:hAnsi="Times New Roman" w:eastAsia="黑体" w:cs="Times New Roman"/>
          <w:sz w:val="24"/>
          <w:szCs w:val="32"/>
          <w:lang w:val="en-US" w:eastAsia="zh-CN"/>
        </w:rPr>
        <w:instrText xml:space="preserve"> HYPERLINK \l _Toc20990 </w:instrText>
      </w:r>
      <w:r>
        <w:rPr>
          <w:rFonts w:hint="default" w:ascii="Times New Roman" w:hAnsi="Times New Roman" w:eastAsia="黑体" w:cs="Times New Roman"/>
          <w:sz w:val="24"/>
          <w:szCs w:val="32"/>
          <w:lang w:val="en-US" w:eastAsia="zh-CN"/>
        </w:rPr>
        <w:fldChar w:fldCharType="separate"/>
      </w:r>
      <w:r>
        <w:rPr>
          <w:rFonts w:hint="default" w:ascii="Times New Roman" w:hAnsi="Times New Roman" w:eastAsia="黑体" w:cs="Times New Roman"/>
          <w:sz w:val="24"/>
          <w:szCs w:val="32"/>
          <w:lang w:val="en-US" w:eastAsia="zh-CN"/>
        </w:rPr>
        <w:t>四、安全现状评估结论与建议</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_Toc20990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16</w:t>
      </w:r>
      <w:r>
        <w:rPr>
          <w:rFonts w:hint="default" w:ascii="Times New Roman" w:hAnsi="Times New Roman" w:cs="Times New Roman"/>
          <w:sz w:val="24"/>
          <w:szCs w:val="24"/>
        </w:rPr>
        <w:fldChar w:fldCharType="end"/>
      </w:r>
      <w:r>
        <w:rPr>
          <w:rFonts w:hint="default" w:ascii="Times New Roman" w:hAnsi="Times New Roman" w:eastAsia="黑体" w:cs="Times New Roman"/>
          <w:sz w:val="24"/>
          <w:szCs w:val="32"/>
          <w:lang w:val="en-US" w:eastAsia="zh-CN"/>
        </w:rPr>
        <w:fldChar w:fldCharType="end"/>
      </w:r>
    </w:p>
    <w:p w14:paraId="4635836D">
      <w:pPr>
        <w:pStyle w:val="14"/>
        <w:pageBreakBefore w:val="0"/>
        <w:tabs>
          <w:tab w:val="right" w:leader="dot" w:pos="8787"/>
        </w:tabs>
        <w:kinsoku/>
        <w:wordWrap/>
        <w:overflowPunct/>
        <w:topLinePunct w:val="0"/>
        <w:autoSpaceDE/>
        <w:autoSpaceDN/>
        <w:bidi w:val="0"/>
        <w:adjustRightInd/>
        <w:snapToGrid/>
        <w:spacing w:after="0" w:line="480" w:lineRule="auto"/>
        <w:textAlignment w:val="auto"/>
        <w:rPr>
          <w:rFonts w:hint="default" w:ascii="Times New Roman" w:hAnsi="Times New Roman" w:cs="Times New Roman"/>
          <w:sz w:val="24"/>
          <w:szCs w:val="24"/>
        </w:rPr>
      </w:pPr>
      <w:r>
        <w:rPr>
          <w:rFonts w:hint="default" w:ascii="Times New Roman" w:hAnsi="Times New Roman" w:eastAsia="黑体" w:cs="Times New Roman"/>
          <w:sz w:val="24"/>
          <w:szCs w:val="32"/>
          <w:lang w:val="en-US" w:eastAsia="zh-CN"/>
        </w:rPr>
        <w:fldChar w:fldCharType="begin"/>
      </w:r>
      <w:r>
        <w:rPr>
          <w:rFonts w:hint="default" w:ascii="Times New Roman" w:hAnsi="Times New Roman" w:eastAsia="黑体" w:cs="Times New Roman"/>
          <w:sz w:val="24"/>
          <w:szCs w:val="32"/>
          <w:lang w:val="en-US" w:eastAsia="zh-CN"/>
        </w:rPr>
        <w:instrText xml:space="preserve"> HYPERLINK \l _Toc29581 </w:instrText>
      </w:r>
      <w:r>
        <w:rPr>
          <w:rFonts w:hint="default" w:ascii="Times New Roman" w:hAnsi="Times New Roman" w:eastAsia="黑体" w:cs="Times New Roman"/>
          <w:sz w:val="24"/>
          <w:szCs w:val="32"/>
          <w:lang w:val="en-US" w:eastAsia="zh-CN"/>
        </w:rPr>
        <w:fldChar w:fldCharType="separate"/>
      </w:r>
      <w:r>
        <w:rPr>
          <w:rFonts w:hint="default" w:ascii="Times New Roman" w:hAnsi="Times New Roman" w:cs="Times New Roman"/>
          <w:sz w:val="24"/>
          <w:szCs w:val="22"/>
        </w:rPr>
        <w:t>（一）评估结论</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_Toc29581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16</w:t>
      </w:r>
      <w:r>
        <w:rPr>
          <w:rFonts w:hint="default" w:ascii="Times New Roman" w:hAnsi="Times New Roman" w:cs="Times New Roman"/>
          <w:sz w:val="24"/>
          <w:szCs w:val="24"/>
        </w:rPr>
        <w:fldChar w:fldCharType="end"/>
      </w:r>
      <w:r>
        <w:rPr>
          <w:rFonts w:hint="default" w:ascii="Times New Roman" w:hAnsi="Times New Roman" w:eastAsia="黑体" w:cs="Times New Roman"/>
          <w:sz w:val="24"/>
          <w:szCs w:val="32"/>
          <w:lang w:val="en-US" w:eastAsia="zh-CN"/>
        </w:rPr>
        <w:fldChar w:fldCharType="end"/>
      </w:r>
    </w:p>
    <w:p w14:paraId="41BF921D">
      <w:pPr>
        <w:pStyle w:val="14"/>
        <w:pageBreakBefore w:val="0"/>
        <w:tabs>
          <w:tab w:val="right" w:leader="dot" w:pos="8787"/>
        </w:tabs>
        <w:kinsoku/>
        <w:wordWrap/>
        <w:overflowPunct/>
        <w:topLinePunct w:val="0"/>
        <w:autoSpaceDE/>
        <w:autoSpaceDN/>
        <w:bidi w:val="0"/>
        <w:adjustRightInd/>
        <w:snapToGrid/>
        <w:spacing w:after="0" w:line="480" w:lineRule="auto"/>
        <w:textAlignment w:val="auto"/>
        <w:rPr>
          <w:rFonts w:hint="default" w:ascii="Times New Roman" w:hAnsi="Times New Roman" w:cs="Times New Roman"/>
          <w:sz w:val="24"/>
          <w:szCs w:val="24"/>
        </w:rPr>
      </w:pPr>
      <w:r>
        <w:rPr>
          <w:rFonts w:hint="default" w:ascii="Times New Roman" w:hAnsi="Times New Roman" w:eastAsia="黑体" w:cs="Times New Roman"/>
          <w:sz w:val="24"/>
          <w:szCs w:val="32"/>
          <w:lang w:val="en-US" w:eastAsia="zh-CN"/>
        </w:rPr>
        <w:fldChar w:fldCharType="begin"/>
      </w:r>
      <w:r>
        <w:rPr>
          <w:rFonts w:hint="default" w:ascii="Times New Roman" w:hAnsi="Times New Roman" w:eastAsia="黑体" w:cs="Times New Roman"/>
          <w:sz w:val="24"/>
          <w:szCs w:val="32"/>
          <w:lang w:val="en-US" w:eastAsia="zh-CN"/>
        </w:rPr>
        <w:instrText xml:space="preserve"> HYPERLINK \l _Toc23449 </w:instrText>
      </w:r>
      <w:r>
        <w:rPr>
          <w:rFonts w:hint="default" w:ascii="Times New Roman" w:hAnsi="Times New Roman" w:eastAsia="黑体" w:cs="Times New Roman"/>
          <w:sz w:val="24"/>
          <w:szCs w:val="32"/>
          <w:lang w:val="en-US" w:eastAsia="zh-CN"/>
        </w:rPr>
        <w:fldChar w:fldCharType="separate"/>
      </w:r>
      <w:r>
        <w:rPr>
          <w:rFonts w:hint="default" w:ascii="Times New Roman" w:hAnsi="Times New Roman" w:cs="Times New Roman"/>
          <w:sz w:val="24"/>
          <w:szCs w:val="22"/>
        </w:rPr>
        <w:t>（二）工作提升建议</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_Toc23449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17</w:t>
      </w:r>
      <w:r>
        <w:rPr>
          <w:rFonts w:hint="default" w:ascii="Times New Roman" w:hAnsi="Times New Roman" w:cs="Times New Roman"/>
          <w:sz w:val="24"/>
          <w:szCs w:val="24"/>
        </w:rPr>
        <w:fldChar w:fldCharType="end"/>
      </w:r>
      <w:r>
        <w:rPr>
          <w:rFonts w:hint="default" w:ascii="Times New Roman" w:hAnsi="Times New Roman" w:eastAsia="黑体" w:cs="Times New Roman"/>
          <w:sz w:val="24"/>
          <w:szCs w:val="32"/>
          <w:lang w:val="en-US" w:eastAsia="zh-CN"/>
        </w:rPr>
        <w:fldChar w:fldCharType="end"/>
      </w:r>
    </w:p>
    <w:p w14:paraId="77638CA0">
      <w:pPr>
        <w:pStyle w:val="2"/>
        <w:keepNext/>
        <w:keepLines/>
        <w:pageBreakBefore w:val="0"/>
        <w:widowControl w:val="0"/>
        <w:kinsoku/>
        <w:wordWrap/>
        <w:overflowPunct/>
        <w:topLinePunct w:val="0"/>
        <w:autoSpaceDE/>
        <w:autoSpaceDN/>
        <w:bidi w:val="0"/>
        <w:adjustRightInd/>
        <w:snapToGrid/>
        <w:spacing w:before="0" w:after="0" w:line="480" w:lineRule="auto"/>
        <w:ind w:left="0"/>
        <w:jc w:val="both"/>
        <w:textAlignment w:val="auto"/>
        <w:outlineLvl w:val="9"/>
        <w:rPr>
          <w:rFonts w:hint="eastAsia" w:ascii="黑体" w:hAnsi="黑体" w:eastAsia="黑体" w:cs="黑体"/>
          <w:sz w:val="28"/>
          <w:szCs w:val="28"/>
          <w:lang w:val="en-US" w:eastAsia="zh-CN"/>
        </w:rPr>
      </w:pPr>
      <w:r>
        <w:rPr>
          <w:rFonts w:hint="default" w:ascii="Times New Roman" w:hAnsi="Times New Roman" w:eastAsia="黑体" w:cs="Times New Roman"/>
          <w:sz w:val="48"/>
          <w:szCs w:val="32"/>
          <w:lang w:val="en-US" w:eastAsia="zh-CN"/>
        </w:rPr>
        <w:fldChar w:fldCharType="end"/>
      </w:r>
    </w:p>
    <w:p w14:paraId="123ACFE7">
      <w:pPr>
        <w:bidi w:val="0"/>
        <w:rPr>
          <w:rFonts w:hint="eastAsia"/>
          <w:lang w:val="en-US" w:eastAsia="zh-CN"/>
        </w:rPr>
      </w:pPr>
    </w:p>
    <w:p w14:paraId="1106118E">
      <w:pPr>
        <w:bidi w:val="0"/>
        <w:rPr>
          <w:rFonts w:hint="eastAsia"/>
          <w:lang w:val="en-US" w:eastAsia="zh-CN"/>
        </w:rPr>
      </w:pPr>
    </w:p>
    <w:p w14:paraId="18AD22C3">
      <w:pPr>
        <w:bidi w:val="0"/>
        <w:rPr>
          <w:rFonts w:hint="eastAsia"/>
          <w:lang w:val="en-US" w:eastAsia="zh-CN"/>
        </w:rPr>
      </w:pPr>
    </w:p>
    <w:p w14:paraId="2E121F78">
      <w:pPr>
        <w:bidi w:val="0"/>
        <w:rPr>
          <w:rFonts w:hint="eastAsia"/>
          <w:lang w:val="en-US" w:eastAsia="zh-CN"/>
        </w:rPr>
      </w:pPr>
    </w:p>
    <w:p w14:paraId="0602178A">
      <w:pPr>
        <w:bidi w:val="0"/>
        <w:rPr>
          <w:rFonts w:hint="eastAsia"/>
          <w:lang w:val="en-US" w:eastAsia="zh-CN"/>
        </w:rPr>
      </w:pPr>
    </w:p>
    <w:p w14:paraId="7B1510DF">
      <w:pPr>
        <w:bidi w:val="0"/>
        <w:rPr>
          <w:rFonts w:hint="eastAsia"/>
          <w:lang w:val="en-US" w:eastAsia="zh-CN"/>
        </w:rPr>
      </w:pPr>
    </w:p>
    <w:p w14:paraId="5EA4E460">
      <w:pPr>
        <w:bidi w:val="0"/>
        <w:rPr>
          <w:rFonts w:hint="eastAsia"/>
          <w:lang w:val="en-US" w:eastAsia="zh-CN"/>
        </w:rPr>
      </w:pPr>
    </w:p>
    <w:p w14:paraId="221B877D">
      <w:pPr>
        <w:bidi w:val="0"/>
        <w:rPr>
          <w:rFonts w:hint="eastAsia"/>
          <w:lang w:val="en-US" w:eastAsia="zh-CN"/>
        </w:rPr>
      </w:pPr>
    </w:p>
    <w:p w14:paraId="300E7D03">
      <w:pPr>
        <w:bidi w:val="0"/>
        <w:rPr>
          <w:rFonts w:hint="eastAsia"/>
          <w:lang w:val="en-US" w:eastAsia="zh-CN"/>
        </w:rPr>
      </w:pPr>
    </w:p>
    <w:p w14:paraId="38EC3B14">
      <w:pPr>
        <w:tabs>
          <w:tab w:val="left" w:pos="417"/>
        </w:tabs>
        <w:bidi w:val="0"/>
        <w:jc w:val="left"/>
        <w:sectPr>
          <w:headerReference r:id="rId3" w:type="default"/>
          <w:footerReference r:id="rId4" w:type="default"/>
          <w:pgSz w:w="11906" w:h="16838"/>
          <w:pgMar w:top="1418" w:right="1588" w:bottom="1418" w:left="1531" w:header="851" w:footer="992" w:gutter="0"/>
          <w:cols w:space="425" w:num="1"/>
          <w:docGrid w:type="lines" w:linePitch="312" w:charSpace="0"/>
        </w:sectPr>
      </w:pPr>
      <w:r>
        <w:rPr>
          <w:rFonts w:hint="eastAsia"/>
          <w:lang w:val="en-US" w:eastAsia="zh-CN"/>
        </w:rPr>
        <w:tab/>
      </w:r>
    </w:p>
    <w:p w14:paraId="4A16EA0A">
      <w:pPr>
        <w:pStyle w:val="2"/>
        <w:keepNext/>
        <w:keepLines/>
        <w:pageBreakBefore w:val="0"/>
        <w:widowControl w:val="0"/>
        <w:kinsoku/>
        <w:wordWrap/>
        <w:overflowPunct/>
        <w:topLinePunct w:val="0"/>
        <w:autoSpaceDE/>
        <w:autoSpaceDN/>
        <w:bidi w:val="0"/>
        <w:adjustRightInd/>
        <w:snapToGrid/>
        <w:spacing w:before="240" w:after="240" w:line="360" w:lineRule="auto"/>
        <w:textAlignment w:val="auto"/>
        <w:rPr>
          <w:rFonts w:hint="eastAsia" w:ascii="黑体" w:hAnsi="黑体" w:eastAsia="黑体" w:cs="黑体"/>
          <w:sz w:val="28"/>
          <w:szCs w:val="28"/>
          <w:lang w:val="en-US" w:eastAsia="zh-CN"/>
        </w:rPr>
      </w:pPr>
      <w:bookmarkStart w:id="2" w:name="_Toc4192"/>
      <w:bookmarkStart w:id="3" w:name="_Toc24043"/>
      <w:r>
        <w:rPr>
          <w:rFonts w:hint="eastAsia" w:ascii="黑体" w:hAnsi="黑体" w:eastAsia="黑体" w:cs="黑体"/>
          <w:sz w:val="28"/>
          <w:szCs w:val="28"/>
          <w:lang w:val="en-US" w:eastAsia="zh-CN"/>
        </w:rPr>
        <w:t>一、目的依据</w:t>
      </w:r>
      <w:bookmarkEnd w:id="2"/>
      <w:bookmarkEnd w:id="3"/>
    </w:p>
    <w:p w14:paraId="2C494242">
      <w:pPr>
        <w:pStyle w:val="27"/>
        <w:spacing w:line="360" w:lineRule="auto"/>
        <w:ind w:firstLine="480"/>
        <w:rPr>
          <w:rFonts w:ascii="宋体" w:hAnsi="宋体" w:eastAsia="宋体"/>
          <w:sz w:val="28"/>
          <w:szCs w:val="28"/>
        </w:rPr>
      </w:pPr>
      <w:r>
        <w:rPr>
          <w:rFonts w:hint="eastAsia" w:ascii="宋体" w:hAnsi="宋体" w:eastAsia="宋体"/>
          <w:sz w:val="28"/>
          <w:szCs w:val="28"/>
          <w:lang w:val="en-US" w:eastAsia="zh-CN"/>
        </w:rPr>
        <w:t>为充分发挥事故调查处理对加强和改进安全生产工作的促进作用，督促</w:t>
      </w:r>
      <w:r>
        <w:rPr>
          <w:rFonts w:hint="eastAsia" w:ascii="宋体" w:hAnsi="宋体" w:eastAsia="宋体"/>
          <w:sz w:val="28"/>
          <w:szCs w:val="28"/>
        </w:rPr>
        <w:t>落实生产经营单位的安全生产主体责任，防范和减少事故发生，保障人民群众生命财产安全，依据</w:t>
      </w:r>
      <w:r>
        <w:rPr>
          <w:rFonts w:hint="eastAsia" w:ascii="宋体" w:hAnsi="宋体" w:eastAsia="宋体"/>
          <w:sz w:val="28"/>
          <w:szCs w:val="28"/>
          <w:lang w:val="en-US" w:eastAsia="zh-CN"/>
        </w:rPr>
        <w:t>《北京市生产安全事故整改和防范措施落实情况评估办法》</w:t>
      </w:r>
      <w:r>
        <w:rPr>
          <w:rFonts w:ascii="宋体" w:hAnsi="宋体" w:eastAsia="宋体"/>
          <w:sz w:val="28"/>
          <w:szCs w:val="28"/>
        </w:rPr>
        <w:t>等文件要求</w:t>
      </w:r>
      <w:r>
        <w:rPr>
          <w:rFonts w:hint="eastAsia" w:ascii="宋体" w:hAnsi="宋体" w:eastAsia="宋体"/>
          <w:sz w:val="28"/>
          <w:szCs w:val="28"/>
        </w:rPr>
        <w:t>，</w:t>
      </w:r>
      <w:r>
        <w:rPr>
          <w:rFonts w:hint="eastAsia" w:ascii="宋体" w:hAnsi="宋体" w:eastAsia="宋体"/>
          <w:sz w:val="28"/>
          <w:szCs w:val="28"/>
          <w:lang w:val="en-US" w:eastAsia="zh-CN"/>
        </w:rPr>
        <w:t>开展本次一般生产安全事故现场安全现状评估工作</w:t>
      </w:r>
      <w:r>
        <w:rPr>
          <w:rFonts w:hint="eastAsia" w:ascii="宋体" w:hAnsi="宋体" w:eastAsia="宋体"/>
          <w:sz w:val="28"/>
          <w:szCs w:val="28"/>
        </w:rPr>
        <w:t>。</w:t>
      </w:r>
    </w:p>
    <w:p w14:paraId="36664B91">
      <w:pPr>
        <w:pStyle w:val="2"/>
        <w:keepNext/>
        <w:keepLines/>
        <w:pageBreakBefore w:val="0"/>
        <w:widowControl w:val="0"/>
        <w:kinsoku/>
        <w:wordWrap/>
        <w:overflowPunct/>
        <w:topLinePunct w:val="0"/>
        <w:autoSpaceDE/>
        <w:autoSpaceDN/>
        <w:bidi w:val="0"/>
        <w:adjustRightInd/>
        <w:snapToGrid/>
        <w:spacing w:before="240" w:after="240" w:line="360" w:lineRule="auto"/>
        <w:textAlignment w:val="auto"/>
        <w:rPr>
          <w:rFonts w:hint="eastAsia" w:ascii="黑体" w:hAnsi="黑体" w:eastAsia="黑体" w:cs="黑体"/>
          <w:sz w:val="28"/>
          <w:szCs w:val="28"/>
          <w:lang w:val="en-US" w:eastAsia="zh-CN"/>
        </w:rPr>
      </w:pPr>
      <w:bookmarkStart w:id="4" w:name="_Toc26337"/>
      <w:bookmarkStart w:id="5" w:name="_Toc21280"/>
      <w:r>
        <w:rPr>
          <w:rFonts w:hint="eastAsia" w:ascii="黑体" w:hAnsi="黑体" w:eastAsia="黑体" w:cs="黑体"/>
          <w:sz w:val="28"/>
          <w:szCs w:val="28"/>
          <w:lang w:val="en-US" w:eastAsia="zh-CN"/>
        </w:rPr>
        <w:t>二、工作</w:t>
      </w:r>
      <w:bookmarkEnd w:id="4"/>
      <w:r>
        <w:rPr>
          <w:rFonts w:hint="eastAsia" w:ascii="黑体" w:hAnsi="黑体" w:eastAsia="黑体" w:cs="黑体"/>
          <w:sz w:val="28"/>
          <w:szCs w:val="28"/>
          <w:lang w:val="en-US" w:eastAsia="zh-CN"/>
        </w:rPr>
        <w:t>范围和方式</w:t>
      </w:r>
      <w:bookmarkEnd w:id="5"/>
    </w:p>
    <w:p w14:paraId="0B534E69">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1.本次现场评估的对象是北京佑美琪贸易有限公司（以下简称：佑美琪贸易公司）。</w:t>
      </w:r>
    </w:p>
    <w:p w14:paraId="792CB422">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2.本次现场评估的时间为2024年4月17日。</w:t>
      </w:r>
    </w:p>
    <w:p w14:paraId="30C5C938">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 xml:space="preserve">3.本次现场评估区域因事故现场涉及居民家中，非公共场所，评估组经与企业沟通，选择了类似户型的空调安装现场。 </w:t>
      </w:r>
    </w:p>
    <w:p w14:paraId="1B366530">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4.本次现场评估工作采取了资料核查、查阅文件、座谈问询、走访核查、专业评估等方式。</w:t>
      </w:r>
    </w:p>
    <w:p w14:paraId="37486F3E">
      <w:pPr>
        <w:pStyle w:val="3"/>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default"/>
          <w:b/>
          <w:sz w:val="28"/>
          <w:szCs w:val="21"/>
          <w:lang w:val="en-US" w:eastAsia="zh-CN"/>
        </w:rPr>
      </w:pPr>
      <w:bookmarkStart w:id="6" w:name="_Toc21586"/>
      <w:r>
        <w:rPr>
          <w:rFonts w:hint="eastAsia"/>
          <w:b/>
          <w:sz w:val="28"/>
          <w:szCs w:val="21"/>
          <w:lang w:val="en-US" w:eastAsia="zh-CN"/>
        </w:rPr>
        <w:t>（一）资料查阅</w:t>
      </w:r>
      <w:bookmarkEnd w:id="6"/>
    </w:p>
    <w:p w14:paraId="1E9B67A8">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佑美琪贸易公司提供了安全施工整改措施、安全生产规章制度、安全会议情况、安全教育培训课件、记录及照片、劳保用品发放记录、安全事故隐患排查治理制度及现场检查照片、公众责任险、生产安全事故应急救援预案及其他可以证明开展事故整改和防范措施的相关资料。评估组按照安全生产法律法规和《事故调查报告》中的事故间接原因、整改防范措施，对上述资料进行查阅。</w:t>
      </w:r>
    </w:p>
    <w:p w14:paraId="5399279E">
      <w:pPr>
        <w:pStyle w:val="3"/>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default"/>
          <w:b/>
          <w:sz w:val="28"/>
          <w:szCs w:val="21"/>
          <w:lang w:val="en-US" w:eastAsia="zh-CN"/>
        </w:rPr>
      </w:pPr>
      <w:bookmarkStart w:id="7" w:name="_Toc825"/>
      <w:r>
        <w:rPr>
          <w:rFonts w:hint="eastAsia"/>
          <w:b/>
          <w:sz w:val="28"/>
          <w:szCs w:val="21"/>
          <w:lang w:val="en-US" w:eastAsia="zh-CN"/>
        </w:rPr>
        <w:t>（二）座谈问询</w:t>
      </w:r>
      <w:bookmarkEnd w:id="7"/>
    </w:p>
    <w:p w14:paraId="478444B8">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4月17日，评估组对佑美琪贸易公司相关负责人进行访谈。依据《事故调查报告》中的事故间接原因和整改防范措施，结合相关法律法规和提供的资料，佑美琪贸易公司的整改措施具体落实情况如下：</w:t>
      </w:r>
    </w:p>
    <w:p w14:paraId="755ABF19">
      <w:pPr>
        <w:pStyle w:val="27"/>
        <w:spacing w:line="360" w:lineRule="auto"/>
        <w:ind w:firstLine="480"/>
        <w:rPr>
          <w:rFonts w:hint="default" w:ascii="宋体" w:hAnsi="宋体" w:eastAsia="宋体"/>
          <w:sz w:val="28"/>
          <w:szCs w:val="28"/>
          <w:lang w:val="en-US" w:eastAsia="zh-CN"/>
        </w:rPr>
      </w:pPr>
      <w:r>
        <w:rPr>
          <w:rFonts w:hint="default" w:ascii="宋体" w:hAnsi="宋体" w:eastAsia="宋体"/>
          <w:sz w:val="28"/>
          <w:szCs w:val="28"/>
          <w:lang w:val="en-US" w:eastAsia="zh-CN"/>
        </w:rPr>
        <w:t>（一）落实主体责任</w:t>
      </w:r>
    </w:p>
    <w:p w14:paraId="3261E197">
      <w:pPr>
        <w:pStyle w:val="27"/>
        <w:spacing w:line="360" w:lineRule="auto"/>
        <w:ind w:firstLine="480"/>
        <w:rPr>
          <w:rFonts w:hint="default" w:ascii="宋体" w:hAnsi="宋体" w:eastAsia="宋体"/>
          <w:sz w:val="28"/>
          <w:szCs w:val="28"/>
          <w:lang w:val="en-US" w:eastAsia="zh-CN"/>
        </w:rPr>
      </w:pPr>
      <w:r>
        <w:rPr>
          <w:rFonts w:hint="default" w:ascii="宋体" w:hAnsi="宋体" w:eastAsia="宋体"/>
          <w:sz w:val="28"/>
          <w:szCs w:val="28"/>
          <w:lang w:val="en-US" w:eastAsia="zh-CN"/>
        </w:rPr>
        <w:t>建立健全安全生产责任制度，履行安全生产的法定职责，建立健全安全生产组织机构，并制定相关规章制度；进行安全生产宣传教育，提高职工安全意识和安全素质，增强安全文化建设，防范事故发生；对本企业的安全生产工作进行全面管理，贯彻全员安全生产责任制，加强事故预防和控制，保障生产设施设备的完好和工艺的严谨性；建立健全应急预案，处置突发事件，防范和避免事故扩大和重复发生。</w:t>
      </w:r>
    </w:p>
    <w:p w14:paraId="2FF7D331">
      <w:pPr>
        <w:pStyle w:val="27"/>
        <w:spacing w:line="360" w:lineRule="auto"/>
        <w:ind w:firstLine="480"/>
        <w:rPr>
          <w:rFonts w:hint="default" w:ascii="宋体" w:hAnsi="宋体" w:eastAsia="宋体"/>
          <w:sz w:val="28"/>
          <w:szCs w:val="28"/>
          <w:lang w:val="en-US" w:eastAsia="zh-CN"/>
        </w:rPr>
      </w:pPr>
      <w:r>
        <w:rPr>
          <w:rFonts w:hint="default" w:ascii="宋体" w:hAnsi="宋体" w:eastAsia="宋体"/>
          <w:sz w:val="28"/>
          <w:szCs w:val="28"/>
          <w:lang w:val="en-US" w:eastAsia="zh-CN"/>
        </w:rPr>
        <w:t>（二）健全安全风险分级管控</w:t>
      </w:r>
    </w:p>
    <w:p w14:paraId="78B97484">
      <w:pPr>
        <w:pStyle w:val="27"/>
        <w:spacing w:line="360" w:lineRule="auto"/>
        <w:ind w:firstLine="480"/>
        <w:rPr>
          <w:rFonts w:hint="default" w:ascii="宋体" w:hAnsi="宋体" w:eastAsia="宋体"/>
          <w:sz w:val="28"/>
          <w:szCs w:val="28"/>
          <w:lang w:val="en-US" w:eastAsia="zh-CN"/>
        </w:rPr>
      </w:pPr>
      <w:r>
        <w:rPr>
          <w:rFonts w:hint="default" w:ascii="宋体" w:hAnsi="宋体" w:eastAsia="宋体"/>
          <w:sz w:val="28"/>
          <w:szCs w:val="28"/>
          <w:lang w:val="en-US" w:eastAsia="zh-CN"/>
        </w:rPr>
        <w:t>成立“风险分级管控”工作领导组，组长：刘英杰（主要负责人）、副组长：付玲（安全负责人）、孟楠（派工负责人），针对各系统、各环节可能存在的安全风险、危害因素以及危险源，进行辨识分析、分级管控的管理措施。</w:t>
      </w:r>
    </w:p>
    <w:p w14:paraId="75494338">
      <w:pPr>
        <w:pStyle w:val="27"/>
        <w:spacing w:line="360" w:lineRule="auto"/>
        <w:ind w:firstLine="480"/>
        <w:rPr>
          <w:rFonts w:hint="default" w:ascii="宋体" w:hAnsi="宋体" w:eastAsia="宋体"/>
          <w:sz w:val="28"/>
          <w:szCs w:val="28"/>
          <w:lang w:val="en-US" w:eastAsia="zh-CN"/>
        </w:rPr>
      </w:pPr>
      <w:r>
        <w:rPr>
          <w:rFonts w:hint="default" w:ascii="宋体" w:hAnsi="宋体" w:eastAsia="宋体"/>
          <w:sz w:val="28"/>
          <w:szCs w:val="28"/>
          <w:lang w:val="en-US" w:eastAsia="zh-CN"/>
        </w:rPr>
        <w:t>（三）教育督促从业人员执行本单位安全生产措施</w:t>
      </w:r>
    </w:p>
    <w:p w14:paraId="59BB2609">
      <w:pPr>
        <w:pStyle w:val="27"/>
        <w:spacing w:line="360" w:lineRule="auto"/>
        <w:ind w:firstLine="480"/>
        <w:rPr>
          <w:rFonts w:hint="default" w:ascii="宋体" w:hAnsi="宋体" w:eastAsia="宋体"/>
          <w:sz w:val="28"/>
          <w:szCs w:val="28"/>
          <w:lang w:val="en-US" w:eastAsia="zh-CN"/>
        </w:rPr>
      </w:pPr>
      <w:r>
        <w:rPr>
          <w:rFonts w:hint="default" w:ascii="宋体" w:hAnsi="宋体" w:eastAsia="宋体"/>
          <w:sz w:val="28"/>
          <w:szCs w:val="28"/>
          <w:lang w:val="en-US" w:eastAsia="zh-CN"/>
        </w:rPr>
        <w:t>要求所有从业人员：一是必须经过专业技术培训及专业考试合格，持证上岗，并必须定期进行体格检查，定期检查高空作业使用工具，系统学习安装技术考试，定期线下技能培训，高于2米以上务必穿戴安全带，安全帽，安装空调务必2人协助工作；二是严禁酒后、疲劳过度、精神不振和思想情绪低落人员高处作业；三是做好高处作业过程中的施工安全检查，如发现人的异常行为、物的异常状态，要及时加以排除，使之达到安全要求，从而控制高处坠落事故发生。</w:t>
      </w:r>
    </w:p>
    <w:p w14:paraId="5066BF91">
      <w:pPr>
        <w:pStyle w:val="27"/>
        <w:spacing w:line="360" w:lineRule="auto"/>
        <w:ind w:firstLine="480"/>
        <w:jc w:val="center"/>
        <w:rPr>
          <w:rFonts w:hint="default" w:ascii="宋体" w:hAnsi="宋体" w:eastAsia="宋体"/>
          <w:sz w:val="24"/>
          <w:szCs w:val="24"/>
          <w:lang w:val="en-US" w:eastAsia="zh-CN"/>
        </w:rPr>
      </w:pPr>
      <w:r>
        <w:rPr>
          <w:rFonts w:hint="default" w:ascii="宋体" w:hAnsi="宋体" w:eastAsia="宋体"/>
          <w:sz w:val="24"/>
          <w:szCs w:val="24"/>
          <w:lang w:val="en-US" w:eastAsia="zh-CN"/>
        </w:rPr>
        <w:drawing>
          <wp:inline distT="0" distB="0" distL="114300" distR="114300">
            <wp:extent cx="5576570" cy="4180840"/>
            <wp:effectExtent l="0" t="0" r="11430" b="10160"/>
            <wp:docPr id="3" name="图片 3" descr="25e43c99216f8db70a8404fe229f5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5e43c99216f8db70a8404fe229f5b3"/>
                    <pic:cNvPicPr>
                      <a:picLocks noChangeAspect="1"/>
                    </pic:cNvPicPr>
                  </pic:nvPicPr>
                  <pic:blipFill>
                    <a:blip r:embed="rId9"/>
                    <a:stretch>
                      <a:fillRect/>
                    </a:stretch>
                  </pic:blipFill>
                  <pic:spPr>
                    <a:xfrm>
                      <a:off x="0" y="0"/>
                      <a:ext cx="5576570" cy="4180840"/>
                    </a:xfrm>
                    <a:prstGeom prst="rect">
                      <a:avLst/>
                    </a:prstGeom>
                  </pic:spPr>
                </pic:pic>
              </a:graphicData>
            </a:graphic>
          </wp:inline>
        </w:drawing>
      </w:r>
    </w:p>
    <w:p w14:paraId="11E40350">
      <w:pPr>
        <w:pStyle w:val="27"/>
        <w:spacing w:line="360" w:lineRule="auto"/>
        <w:ind w:firstLine="480"/>
        <w:jc w:val="center"/>
        <w:rPr>
          <w:rFonts w:hint="eastAsia" w:ascii="宋体" w:hAnsi="宋体" w:eastAsia="宋体"/>
          <w:sz w:val="24"/>
          <w:szCs w:val="24"/>
          <w:lang w:val="en-US" w:eastAsia="zh-CN"/>
        </w:rPr>
      </w:pPr>
      <w:bookmarkStart w:id="8" w:name="_Toc12274"/>
      <w:r>
        <w:rPr>
          <w:rFonts w:hint="eastAsia" w:ascii="宋体" w:hAnsi="宋体" w:eastAsia="宋体"/>
          <w:sz w:val="24"/>
          <w:szCs w:val="24"/>
          <w:lang w:val="en-US" w:eastAsia="zh-CN"/>
        </w:rPr>
        <w:t>图1 佑美琪贸易公司座谈问询</w:t>
      </w:r>
      <w:bookmarkEnd w:id="8"/>
    </w:p>
    <w:p w14:paraId="6EF8CAE4">
      <w:pPr>
        <w:pStyle w:val="3"/>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default"/>
          <w:b/>
          <w:sz w:val="28"/>
          <w:szCs w:val="21"/>
          <w:lang w:val="en-US" w:eastAsia="zh-CN"/>
        </w:rPr>
      </w:pPr>
      <w:bookmarkStart w:id="9" w:name="_Toc27622"/>
      <w:bookmarkStart w:id="10" w:name="_Toc8249"/>
      <w:r>
        <w:rPr>
          <w:rFonts w:hint="eastAsia"/>
          <w:b/>
          <w:sz w:val="28"/>
          <w:szCs w:val="21"/>
          <w:lang w:val="en-US" w:eastAsia="zh-CN"/>
        </w:rPr>
        <w:t>（三）走访核查</w:t>
      </w:r>
      <w:bookmarkEnd w:id="9"/>
      <w:bookmarkEnd w:id="10"/>
    </w:p>
    <w:p w14:paraId="30B0B526">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因事故现场涉及居民家中，非公共场所，评估组经与企业沟通，选择类似户型的空调安装现场进行调研评估。评估组针对空调安装作业活动全流程进行了询问和查看。</w:t>
      </w:r>
    </w:p>
    <w:p w14:paraId="7DB0F45A">
      <w:pPr>
        <w:pStyle w:val="27"/>
        <w:spacing w:line="360" w:lineRule="auto"/>
        <w:ind w:left="0" w:leftChars="0" w:firstLine="0" w:firstLineChars="0"/>
        <w:jc w:val="both"/>
        <w:rPr>
          <w:rFonts w:hint="default" w:ascii="宋体" w:hAnsi="宋体" w:eastAsia="宋体"/>
          <w:sz w:val="24"/>
          <w:szCs w:val="24"/>
          <w:lang w:val="en-US" w:eastAsia="zh-CN"/>
        </w:rPr>
      </w:pPr>
      <w:r>
        <w:rPr>
          <w:rFonts w:hint="default" w:ascii="宋体" w:hAnsi="宋体" w:eastAsia="宋体"/>
          <w:sz w:val="24"/>
          <w:szCs w:val="24"/>
          <w:lang w:val="en-US" w:eastAsia="zh-CN"/>
        </w:rPr>
        <w:drawing>
          <wp:inline distT="0" distB="0" distL="114300" distR="114300">
            <wp:extent cx="2037080" cy="2564130"/>
            <wp:effectExtent l="0" t="0" r="7620" b="1270"/>
            <wp:docPr id="1" name="图片 1" descr="6db9cd7562bfaed72be4d4bc4dded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6db9cd7562bfaed72be4d4bc4dded0a"/>
                    <pic:cNvPicPr>
                      <a:picLocks noChangeAspect="1"/>
                    </pic:cNvPicPr>
                  </pic:nvPicPr>
                  <pic:blipFill>
                    <a:blip r:embed="rId10"/>
                    <a:stretch>
                      <a:fillRect/>
                    </a:stretch>
                  </pic:blipFill>
                  <pic:spPr>
                    <a:xfrm>
                      <a:off x="0" y="0"/>
                      <a:ext cx="2037080" cy="2564130"/>
                    </a:xfrm>
                    <a:prstGeom prst="rect">
                      <a:avLst/>
                    </a:prstGeom>
                  </pic:spPr>
                </pic:pic>
              </a:graphicData>
            </a:graphic>
          </wp:inline>
        </w:drawing>
      </w:r>
      <w:r>
        <w:rPr>
          <w:rFonts w:hint="default" w:ascii="宋体" w:hAnsi="宋体" w:eastAsia="宋体"/>
          <w:sz w:val="24"/>
          <w:szCs w:val="24"/>
          <w:lang w:val="en-US" w:eastAsia="zh-CN"/>
        </w:rPr>
        <w:drawing>
          <wp:inline distT="0" distB="0" distL="114300" distR="114300">
            <wp:extent cx="3433445" cy="2576830"/>
            <wp:effectExtent l="0" t="0" r="8255" b="1270"/>
            <wp:docPr id="2" name="图片 2" descr="236fad122eb953bedc409d6ab02c8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36fad122eb953bedc409d6ab02c89a"/>
                    <pic:cNvPicPr>
                      <a:picLocks noChangeAspect="1"/>
                    </pic:cNvPicPr>
                  </pic:nvPicPr>
                  <pic:blipFill>
                    <a:blip r:embed="rId11"/>
                    <a:stretch>
                      <a:fillRect/>
                    </a:stretch>
                  </pic:blipFill>
                  <pic:spPr>
                    <a:xfrm>
                      <a:off x="0" y="0"/>
                      <a:ext cx="3433445" cy="2576830"/>
                    </a:xfrm>
                    <a:prstGeom prst="rect">
                      <a:avLst/>
                    </a:prstGeom>
                  </pic:spPr>
                </pic:pic>
              </a:graphicData>
            </a:graphic>
          </wp:inline>
        </w:drawing>
      </w:r>
    </w:p>
    <w:p w14:paraId="333474F0">
      <w:pPr>
        <w:pStyle w:val="27"/>
        <w:spacing w:line="360" w:lineRule="auto"/>
        <w:ind w:firstLine="480"/>
        <w:jc w:val="center"/>
        <w:rPr>
          <w:rFonts w:hint="default" w:ascii="宋体" w:hAnsi="宋体" w:eastAsia="宋体"/>
          <w:sz w:val="24"/>
          <w:szCs w:val="24"/>
          <w:lang w:val="en-US" w:eastAsia="zh-CN"/>
        </w:rPr>
      </w:pPr>
      <w:r>
        <w:rPr>
          <w:rFonts w:hint="eastAsia" w:ascii="宋体" w:hAnsi="宋体" w:eastAsia="宋体"/>
          <w:sz w:val="24"/>
          <w:szCs w:val="24"/>
          <w:lang w:val="en-US" w:eastAsia="zh-CN"/>
        </w:rPr>
        <w:t>图2 空调安装作业活动现场评估</w:t>
      </w:r>
    </w:p>
    <w:p w14:paraId="57C6B98A">
      <w:pPr>
        <w:pStyle w:val="2"/>
        <w:keepNext/>
        <w:keepLines/>
        <w:pageBreakBefore w:val="0"/>
        <w:widowControl w:val="0"/>
        <w:kinsoku/>
        <w:wordWrap/>
        <w:overflowPunct/>
        <w:topLinePunct w:val="0"/>
        <w:autoSpaceDE/>
        <w:autoSpaceDN/>
        <w:bidi w:val="0"/>
        <w:adjustRightInd/>
        <w:snapToGrid/>
        <w:spacing w:before="240" w:after="240" w:line="360" w:lineRule="auto"/>
        <w:textAlignment w:val="auto"/>
        <w:rPr>
          <w:rFonts w:hint="default" w:ascii="黑体" w:hAnsi="黑体" w:eastAsia="黑体" w:cs="黑体"/>
          <w:sz w:val="28"/>
          <w:szCs w:val="28"/>
          <w:lang w:val="en-US" w:eastAsia="zh-CN"/>
        </w:rPr>
      </w:pPr>
      <w:bookmarkStart w:id="11" w:name="_Toc18572"/>
      <w:r>
        <w:rPr>
          <w:rFonts w:hint="eastAsia" w:ascii="黑体" w:hAnsi="黑体" w:eastAsia="黑体" w:cs="黑体"/>
          <w:sz w:val="28"/>
          <w:szCs w:val="28"/>
          <w:lang w:val="en-US" w:eastAsia="zh-CN"/>
        </w:rPr>
        <w:t>三、安全现状评估</w:t>
      </w:r>
      <w:bookmarkEnd w:id="11"/>
    </w:p>
    <w:p w14:paraId="77304072">
      <w:pPr>
        <w:pStyle w:val="3"/>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default"/>
          <w:b/>
          <w:sz w:val="28"/>
          <w:szCs w:val="21"/>
          <w:lang w:val="en-US" w:eastAsia="zh-CN"/>
        </w:rPr>
      </w:pPr>
      <w:bookmarkStart w:id="12" w:name="_Toc7243"/>
      <w:r>
        <w:rPr>
          <w:rFonts w:hint="eastAsia"/>
          <w:b/>
          <w:sz w:val="28"/>
          <w:szCs w:val="21"/>
          <w:lang w:val="en-US" w:eastAsia="zh-CN"/>
        </w:rPr>
        <w:t>（一）现行安全管理制度制定及落实情况评估</w:t>
      </w:r>
      <w:bookmarkEnd w:id="12"/>
    </w:p>
    <w:p w14:paraId="2C01A9F9">
      <w:pPr>
        <w:pStyle w:val="27"/>
        <w:spacing w:line="360" w:lineRule="auto"/>
        <w:ind w:firstLine="480"/>
        <w:rPr>
          <w:rFonts w:hint="eastAsia" w:ascii="宋体" w:hAnsi="宋体" w:eastAsia="宋体"/>
          <w:sz w:val="28"/>
          <w:szCs w:val="28"/>
          <w:lang w:val="en-US" w:eastAsia="zh-CN"/>
        </w:rPr>
        <w:sectPr>
          <w:footerReference r:id="rId5" w:type="default"/>
          <w:pgSz w:w="11906" w:h="16838"/>
          <w:pgMar w:top="1418" w:right="1588" w:bottom="1418" w:left="1531" w:header="851" w:footer="992" w:gutter="0"/>
          <w:pgNumType w:start="1"/>
          <w:cols w:space="425" w:num="1"/>
          <w:docGrid w:type="lines" w:linePitch="312" w:charSpace="0"/>
        </w:sectPr>
      </w:pPr>
      <w:r>
        <w:rPr>
          <w:rFonts w:hint="eastAsia" w:ascii="宋体" w:hAnsi="宋体" w:eastAsia="宋体"/>
          <w:sz w:val="28"/>
          <w:szCs w:val="28"/>
          <w:lang w:val="en-US" w:eastAsia="zh-CN"/>
        </w:rPr>
        <w:t>评估组对佑美琪贸易公司提供的制度文件、台账、记录等资料进行了评估，该单位现行安全管理制度基本符合《中华人民共和国安全生产法》</w:t>
      </w:r>
      <w:r>
        <w:rPr>
          <w:rFonts w:hint="eastAsia" w:ascii="宋体" w:hAnsi="宋体" w:eastAsia="宋体" w:cs="宋体"/>
          <w:sz w:val="28"/>
          <w:szCs w:val="28"/>
          <w:lang w:val="en-US" w:eastAsia="zh-CN"/>
        </w:rPr>
        <w:t>《北京市安全生产条例》</w:t>
      </w:r>
      <w:r>
        <w:rPr>
          <w:rFonts w:hint="eastAsia" w:ascii="宋体" w:hAnsi="宋体" w:eastAsia="宋体"/>
          <w:sz w:val="28"/>
          <w:szCs w:val="28"/>
          <w:lang w:val="en-US" w:eastAsia="zh-CN"/>
        </w:rPr>
        <w:t>相关规定，但具体落实工作还需按照</w:t>
      </w:r>
      <w:r>
        <w:rPr>
          <w:rFonts w:hint="eastAsia" w:ascii="宋体" w:hAnsi="宋体" w:eastAsia="宋体"/>
          <w:sz w:val="28"/>
          <w:szCs w:val="28"/>
        </w:rPr>
        <w:t>安全生产</w:t>
      </w:r>
      <w:r>
        <w:rPr>
          <w:rFonts w:hint="eastAsia" w:ascii="宋体" w:hAnsi="宋体" w:eastAsia="宋体"/>
          <w:sz w:val="28"/>
          <w:szCs w:val="28"/>
          <w:lang w:val="en-US" w:eastAsia="zh-CN"/>
        </w:rPr>
        <w:t>相关</w:t>
      </w:r>
      <w:r>
        <w:rPr>
          <w:rFonts w:hint="eastAsia" w:ascii="宋体" w:hAnsi="宋体" w:eastAsia="宋体"/>
          <w:sz w:val="28"/>
          <w:szCs w:val="28"/>
        </w:rPr>
        <w:t>法律法规</w:t>
      </w:r>
      <w:r>
        <w:rPr>
          <w:rFonts w:hint="eastAsia" w:ascii="宋体" w:hAnsi="宋体" w:eastAsia="宋体"/>
          <w:sz w:val="28"/>
          <w:szCs w:val="28"/>
          <w:lang w:val="en-US" w:eastAsia="zh-CN"/>
        </w:rPr>
        <w:t>进一步提升，详见下表。</w:t>
      </w:r>
    </w:p>
    <w:p w14:paraId="11D5965F">
      <w:pPr>
        <w:keepNext/>
        <w:pageBreakBefore w:val="0"/>
        <w:kinsoku/>
        <w:wordWrap/>
        <w:overflowPunct w:val="0"/>
        <w:topLinePunct w:val="0"/>
        <w:bidi w:val="0"/>
        <w:snapToGrid/>
        <w:ind w:firstLine="170" w:firstLineChars="71"/>
        <w:jc w:val="center"/>
        <w:textAlignment w:val="auto"/>
        <w:rPr>
          <w:rFonts w:hint="eastAsia" w:ascii="宋体" w:hAnsi="宋体" w:eastAsia="宋体" w:cs="宋体"/>
          <w:sz w:val="24"/>
          <w:szCs w:val="28"/>
        </w:rPr>
      </w:pPr>
      <w:bookmarkStart w:id="13" w:name="_Toc107394549"/>
      <w:bookmarkStart w:id="14" w:name="_Toc107394620"/>
      <w:r>
        <w:rPr>
          <w:rFonts w:hint="eastAsia" w:ascii="宋体" w:hAnsi="宋体" w:eastAsia="宋体" w:cs="宋体"/>
          <w:sz w:val="24"/>
          <w:szCs w:val="28"/>
          <w:lang w:val="en-US" w:eastAsia="zh-CN"/>
        </w:rPr>
        <w:t xml:space="preserve">表1 </w:t>
      </w:r>
      <w:r>
        <w:rPr>
          <w:rFonts w:hint="eastAsia" w:ascii="宋体" w:hAnsi="宋体" w:eastAsia="宋体"/>
          <w:sz w:val="24"/>
          <w:szCs w:val="24"/>
          <w:lang w:val="en-US" w:eastAsia="zh-CN"/>
        </w:rPr>
        <w:t>佑美琪贸易公司</w:t>
      </w:r>
      <w:r>
        <w:rPr>
          <w:rFonts w:hint="eastAsia" w:ascii="宋体" w:hAnsi="宋体" w:eastAsia="宋体" w:cs="宋体"/>
          <w:sz w:val="24"/>
          <w:szCs w:val="28"/>
        </w:rPr>
        <w:t>安全管理制度制定及落实情况评估表</w:t>
      </w:r>
    </w:p>
    <w:bookmarkEnd w:id="13"/>
    <w:bookmarkEnd w:id="14"/>
    <w:tbl>
      <w:tblPr>
        <w:tblStyle w:val="19"/>
        <w:tblW w:w="4918"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06"/>
        <w:gridCol w:w="6770"/>
        <w:gridCol w:w="1777"/>
        <w:gridCol w:w="4689"/>
      </w:tblGrid>
      <w:tr w14:paraId="025D23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blHeader/>
        </w:trPr>
        <w:tc>
          <w:tcPr>
            <w:tcW w:w="253" w:type="pct"/>
            <w:tcBorders>
              <w:top w:val="single" w:color="auto" w:sz="12" w:space="0"/>
            </w:tcBorders>
            <w:vAlign w:val="center"/>
          </w:tcPr>
          <w:p w14:paraId="1379E62D">
            <w:pPr>
              <w:autoSpaceDE w:val="0"/>
              <w:autoSpaceDN w:val="0"/>
              <w:adjustRightInd w:val="0"/>
              <w:spacing w:line="240" w:lineRule="auto"/>
              <w:ind w:firstLine="0" w:firstLineChars="0"/>
              <w:jc w:val="center"/>
              <w:rPr>
                <w:rFonts w:hint="eastAsia" w:ascii="宋体" w:hAnsi="宋体" w:eastAsia="宋体" w:cs="宋体"/>
                <w:b/>
                <w:sz w:val="21"/>
                <w:szCs w:val="21"/>
                <w:highlight w:val="none"/>
                <w:lang w:val="zh-CN"/>
              </w:rPr>
            </w:pPr>
            <w:r>
              <w:rPr>
                <w:rFonts w:hint="eastAsia" w:ascii="宋体" w:hAnsi="宋体" w:eastAsia="宋体" w:cs="宋体"/>
                <w:b/>
                <w:sz w:val="21"/>
                <w:szCs w:val="21"/>
                <w:highlight w:val="none"/>
                <w:lang w:val="zh-CN"/>
              </w:rPr>
              <w:t>序号</w:t>
            </w:r>
          </w:p>
        </w:tc>
        <w:tc>
          <w:tcPr>
            <w:tcW w:w="2427" w:type="pct"/>
            <w:tcBorders>
              <w:top w:val="single" w:color="auto" w:sz="12" w:space="0"/>
            </w:tcBorders>
            <w:vAlign w:val="center"/>
          </w:tcPr>
          <w:p w14:paraId="08F27092">
            <w:pPr>
              <w:autoSpaceDE w:val="0"/>
              <w:autoSpaceDN w:val="0"/>
              <w:adjustRightInd w:val="0"/>
              <w:spacing w:line="240" w:lineRule="auto"/>
              <w:ind w:firstLine="0" w:firstLineChars="0"/>
              <w:jc w:val="center"/>
              <w:rPr>
                <w:rFonts w:hint="eastAsia" w:ascii="宋体" w:hAnsi="宋体" w:eastAsia="宋体" w:cs="宋体"/>
                <w:b/>
                <w:sz w:val="21"/>
                <w:szCs w:val="21"/>
                <w:highlight w:val="none"/>
                <w:lang w:val="zh-CN"/>
              </w:rPr>
            </w:pPr>
            <w:r>
              <w:rPr>
                <w:rFonts w:hint="eastAsia" w:ascii="宋体" w:hAnsi="宋体" w:eastAsia="宋体" w:cs="宋体"/>
                <w:b/>
                <w:sz w:val="21"/>
                <w:szCs w:val="21"/>
                <w:highlight w:val="none"/>
                <w:lang w:val="zh-CN"/>
              </w:rPr>
              <w:t>评估项目</w:t>
            </w:r>
          </w:p>
        </w:tc>
        <w:tc>
          <w:tcPr>
            <w:tcW w:w="637" w:type="pct"/>
            <w:tcBorders>
              <w:top w:val="single" w:color="auto" w:sz="12" w:space="0"/>
            </w:tcBorders>
            <w:vAlign w:val="center"/>
          </w:tcPr>
          <w:p w14:paraId="73E1AFA6">
            <w:pPr>
              <w:autoSpaceDE w:val="0"/>
              <w:autoSpaceDN w:val="0"/>
              <w:adjustRightInd w:val="0"/>
              <w:spacing w:line="240" w:lineRule="auto"/>
              <w:ind w:firstLine="0" w:firstLineChars="0"/>
              <w:jc w:val="center"/>
              <w:rPr>
                <w:rFonts w:hint="eastAsia" w:ascii="宋体" w:hAnsi="宋体" w:eastAsia="宋体" w:cs="宋体"/>
                <w:b/>
                <w:sz w:val="21"/>
                <w:szCs w:val="21"/>
                <w:highlight w:val="none"/>
                <w:lang w:val="zh-CN"/>
              </w:rPr>
            </w:pPr>
            <w:r>
              <w:rPr>
                <w:rFonts w:hint="eastAsia" w:ascii="宋体" w:hAnsi="宋体" w:eastAsia="宋体" w:cs="宋体"/>
                <w:b/>
                <w:sz w:val="21"/>
                <w:szCs w:val="21"/>
                <w:highlight w:val="none"/>
                <w:lang w:val="zh-CN"/>
              </w:rPr>
              <w:t>评估依据</w:t>
            </w:r>
          </w:p>
        </w:tc>
        <w:tc>
          <w:tcPr>
            <w:tcW w:w="1681" w:type="pct"/>
            <w:tcBorders>
              <w:top w:val="single" w:color="auto" w:sz="12" w:space="0"/>
            </w:tcBorders>
            <w:vAlign w:val="center"/>
          </w:tcPr>
          <w:p w14:paraId="0E28901A">
            <w:pPr>
              <w:autoSpaceDE w:val="0"/>
              <w:autoSpaceDN w:val="0"/>
              <w:adjustRightInd w:val="0"/>
              <w:spacing w:line="240" w:lineRule="auto"/>
              <w:ind w:firstLine="0" w:firstLineChars="0"/>
              <w:jc w:val="center"/>
              <w:rPr>
                <w:rFonts w:hint="eastAsia" w:ascii="宋体" w:hAnsi="宋体" w:eastAsia="宋体" w:cs="宋体"/>
                <w:b/>
                <w:sz w:val="21"/>
                <w:szCs w:val="21"/>
                <w:highlight w:val="none"/>
                <w:lang w:val="zh-CN"/>
              </w:rPr>
            </w:pPr>
            <w:r>
              <w:rPr>
                <w:rFonts w:hint="eastAsia" w:ascii="宋体" w:hAnsi="宋体" w:eastAsia="宋体" w:cs="宋体"/>
                <w:b/>
                <w:sz w:val="21"/>
                <w:szCs w:val="21"/>
                <w:highlight w:val="none"/>
                <w:lang w:val="zh-CN"/>
              </w:rPr>
              <w:t>评估情况</w:t>
            </w:r>
          </w:p>
        </w:tc>
      </w:tr>
      <w:tr w14:paraId="4248FD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53" w:type="pct"/>
            <w:vAlign w:val="center"/>
          </w:tcPr>
          <w:p w14:paraId="762C60E7">
            <w:pPr>
              <w:numPr>
                <w:ilvl w:val="0"/>
                <w:numId w:val="1"/>
              </w:numPr>
              <w:tabs>
                <w:tab w:val="left" w:pos="1260"/>
              </w:tabs>
              <w:spacing w:line="240" w:lineRule="auto"/>
              <w:ind w:firstLine="17" w:firstLineChars="0"/>
              <w:jc w:val="center"/>
              <w:rPr>
                <w:rFonts w:hint="eastAsia" w:ascii="宋体" w:hAnsi="宋体" w:eastAsia="宋体" w:cs="宋体"/>
                <w:sz w:val="21"/>
                <w:szCs w:val="21"/>
                <w:highlight w:val="none"/>
              </w:rPr>
            </w:pPr>
          </w:p>
        </w:tc>
        <w:tc>
          <w:tcPr>
            <w:tcW w:w="2427" w:type="pct"/>
            <w:vAlign w:val="center"/>
          </w:tcPr>
          <w:p w14:paraId="490C9E00">
            <w:pPr>
              <w:overflowPunct w:val="0"/>
              <w:spacing w:line="24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生产经营单位必须遵守本法和其他有关安全生产的法律、法规，加强安全生产管理，建立健全全员安全生产责任制和安全生产规章制度。</w:t>
            </w:r>
          </w:p>
        </w:tc>
        <w:tc>
          <w:tcPr>
            <w:tcW w:w="637" w:type="pct"/>
            <w:vAlign w:val="center"/>
          </w:tcPr>
          <w:p w14:paraId="538F0A48">
            <w:pPr>
              <w:overflowPunct w:val="0"/>
              <w:spacing w:line="240" w:lineRule="auto"/>
              <w:ind w:firstLine="0" w:firstLineChars="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《中华人民共和国安全生产法》第四条</w:t>
            </w:r>
          </w:p>
        </w:tc>
        <w:tc>
          <w:tcPr>
            <w:tcW w:w="1681" w:type="pct"/>
            <w:vAlign w:val="center"/>
          </w:tcPr>
          <w:p w14:paraId="4FAF4B2D">
            <w:pPr>
              <w:overflowPunct w:val="0"/>
              <w:spacing w:line="240" w:lineRule="auto"/>
              <w:ind w:firstLine="0" w:firstLineChars="0"/>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佑美琪贸易公司提供了安全生产规章制度、安全会议情况、安全教育培训课件、考试记录及照片、劳保用品发放记录、安全事故隐患排查治理制度及现场检查照片、公众责任险、生产安全事故应急救援预案等文件、记录，落实了相关要求。</w:t>
            </w:r>
          </w:p>
        </w:tc>
      </w:tr>
      <w:tr w14:paraId="1A1F19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53" w:type="pct"/>
            <w:vAlign w:val="center"/>
          </w:tcPr>
          <w:p w14:paraId="5F4F6AA0">
            <w:pPr>
              <w:numPr>
                <w:ilvl w:val="0"/>
                <w:numId w:val="1"/>
              </w:numPr>
              <w:tabs>
                <w:tab w:val="left" w:pos="1260"/>
              </w:tabs>
              <w:spacing w:line="240" w:lineRule="auto"/>
              <w:ind w:firstLine="17" w:firstLineChars="0"/>
              <w:jc w:val="center"/>
              <w:rPr>
                <w:rFonts w:hint="eastAsia" w:ascii="宋体" w:hAnsi="宋体" w:eastAsia="宋体" w:cs="宋体"/>
                <w:sz w:val="21"/>
                <w:szCs w:val="21"/>
                <w:highlight w:val="none"/>
              </w:rPr>
            </w:pPr>
          </w:p>
        </w:tc>
        <w:tc>
          <w:tcPr>
            <w:tcW w:w="2427" w:type="pct"/>
            <w:vAlign w:val="center"/>
          </w:tcPr>
          <w:p w14:paraId="03A84598">
            <w:pPr>
              <w:overflowPunct w:val="0"/>
              <w:spacing w:line="24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生产经营单位的全员安全生产责任制应当明确各岗位的责任人员、责任范围和考核标准等内容。</w:t>
            </w:r>
          </w:p>
        </w:tc>
        <w:tc>
          <w:tcPr>
            <w:tcW w:w="637" w:type="pct"/>
            <w:vAlign w:val="center"/>
          </w:tcPr>
          <w:p w14:paraId="3C4B56B8">
            <w:pPr>
              <w:overflowPunct w:val="0"/>
              <w:spacing w:line="240" w:lineRule="auto"/>
              <w:ind w:firstLine="0" w:firstLineChars="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《中华人民共和国安全生产法》第二十二条</w:t>
            </w:r>
          </w:p>
        </w:tc>
        <w:tc>
          <w:tcPr>
            <w:tcW w:w="1681" w:type="pct"/>
            <w:vAlign w:val="center"/>
          </w:tcPr>
          <w:p w14:paraId="3723D9DD">
            <w:pPr>
              <w:snapToGrid w:val="0"/>
              <w:spacing w:line="276" w:lineRule="auto"/>
              <w:ind w:left="0" w:leftChars="0" w:firstLine="0" w:firstLineChars="0"/>
              <w:rPr>
                <w:rFonts w:hint="default" w:ascii="宋体" w:hAnsi="宋体" w:eastAsia="宋体" w:cs="宋体"/>
                <w:sz w:val="21"/>
                <w:szCs w:val="21"/>
                <w:highlight w:val="none"/>
                <w:lang w:val="en-US"/>
              </w:rPr>
            </w:pPr>
            <w:r>
              <w:rPr>
                <w:rFonts w:hint="eastAsia" w:ascii="宋体" w:hAnsi="宋体" w:eastAsia="宋体" w:cs="宋体"/>
                <w:sz w:val="21"/>
                <w:szCs w:val="21"/>
                <w:highlight w:val="none"/>
                <w:lang w:val="en-US" w:eastAsia="zh-CN"/>
              </w:rPr>
              <w:t>佑美琪贸易公司提供了安全生产规章制度、安全教育培训课件、考试记录及照片等文件、记录，落实了相关要求。</w:t>
            </w:r>
          </w:p>
        </w:tc>
      </w:tr>
      <w:tr w14:paraId="027137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53" w:type="pct"/>
            <w:vAlign w:val="center"/>
          </w:tcPr>
          <w:p w14:paraId="40A90BDD">
            <w:pPr>
              <w:numPr>
                <w:ilvl w:val="0"/>
                <w:numId w:val="1"/>
              </w:numPr>
              <w:tabs>
                <w:tab w:val="left" w:pos="1260"/>
              </w:tabs>
              <w:spacing w:line="240" w:lineRule="auto"/>
              <w:ind w:firstLine="17" w:firstLineChars="0"/>
              <w:jc w:val="center"/>
              <w:rPr>
                <w:rFonts w:hint="eastAsia" w:ascii="宋体" w:hAnsi="宋体" w:eastAsia="宋体" w:cs="宋体"/>
                <w:sz w:val="21"/>
                <w:szCs w:val="21"/>
                <w:highlight w:val="none"/>
              </w:rPr>
            </w:pPr>
          </w:p>
        </w:tc>
        <w:tc>
          <w:tcPr>
            <w:tcW w:w="2427" w:type="pct"/>
            <w:vAlign w:val="center"/>
          </w:tcPr>
          <w:p w14:paraId="3310EB39">
            <w:pPr>
              <w:overflowPunct w:val="0"/>
              <w:spacing w:line="24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生产经营单位应当具备的安全生产条件所必需的资金投入，由生产经营单位的决策机构、主要负责人或者个人经营的投资人予以保证，并对由于安全生产所必需的资金投入不足导致的后果承担责任。</w:t>
            </w:r>
          </w:p>
        </w:tc>
        <w:tc>
          <w:tcPr>
            <w:tcW w:w="637" w:type="pct"/>
            <w:vAlign w:val="center"/>
          </w:tcPr>
          <w:p w14:paraId="26552C07">
            <w:pPr>
              <w:overflowPunct w:val="0"/>
              <w:spacing w:line="240" w:lineRule="auto"/>
              <w:ind w:firstLine="0" w:firstLineChars="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《中华人民共和国安全生产法》第二十三条</w:t>
            </w:r>
          </w:p>
        </w:tc>
        <w:tc>
          <w:tcPr>
            <w:tcW w:w="1681" w:type="pct"/>
            <w:vAlign w:val="center"/>
          </w:tcPr>
          <w:p w14:paraId="442B9E0B">
            <w:pPr>
              <w:snapToGrid w:val="0"/>
              <w:spacing w:line="276" w:lineRule="auto"/>
              <w:ind w:left="0" w:leftChars="0" w:firstLine="0" w:firstLineChars="0"/>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佑美琪贸易公司提供了劳保用品发放记录、公众责任险等文件、记录，落实了相关要求。</w:t>
            </w:r>
          </w:p>
        </w:tc>
      </w:tr>
      <w:tr w14:paraId="6EBD81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53" w:type="pct"/>
            <w:vAlign w:val="center"/>
          </w:tcPr>
          <w:p w14:paraId="430AEE50">
            <w:pPr>
              <w:numPr>
                <w:ilvl w:val="0"/>
                <w:numId w:val="1"/>
              </w:numPr>
              <w:tabs>
                <w:tab w:val="left" w:pos="1260"/>
              </w:tabs>
              <w:spacing w:line="240" w:lineRule="auto"/>
              <w:ind w:firstLine="17" w:firstLineChars="0"/>
              <w:jc w:val="center"/>
              <w:rPr>
                <w:rFonts w:hint="eastAsia" w:ascii="宋体" w:hAnsi="宋体" w:eastAsia="宋体" w:cs="宋体"/>
                <w:sz w:val="21"/>
                <w:szCs w:val="21"/>
                <w:highlight w:val="none"/>
              </w:rPr>
            </w:pPr>
          </w:p>
        </w:tc>
        <w:tc>
          <w:tcPr>
            <w:tcW w:w="2427" w:type="pct"/>
            <w:vAlign w:val="center"/>
          </w:tcPr>
          <w:p w14:paraId="15CBEEDA">
            <w:pPr>
              <w:overflowPunct w:val="0"/>
              <w:spacing w:line="24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矿山、金属冶炼、建筑施工、运输单位和危险物品的生产、经营、储存、装卸单位，应当设置安全生产管理机构或者配备专职安全生产管理人员。</w:t>
            </w:r>
          </w:p>
          <w:p w14:paraId="48C755A3">
            <w:pPr>
              <w:overflowPunct w:val="0"/>
              <w:spacing w:line="24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前款规定以外的其他生产经营单位，从业人员超过一百人的，应当设置安全生产管理机构或者配备专职安全生产管理人员；从业人员在一百人以下的，应当配备专职或者兼职的安全生产管理人员。</w:t>
            </w:r>
          </w:p>
        </w:tc>
        <w:tc>
          <w:tcPr>
            <w:tcW w:w="637" w:type="pct"/>
            <w:vAlign w:val="center"/>
          </w:tcPr>
          <w:p w14:paraId="62EDFAB3">
            <w:pPr>
              <w:overflowPunct w:val="0"/>
              <w:spacing w:line="240" w:lineRule="auto"/>
              <w:ind w:firstLine="0" w:firstLineChars="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《中华人民共和国安全生产法》第二十</w:t>
            </w:r>
            <w:r>
              <w:rPr>
                <w:rFonts w:hint="eastAsia" w:ascii="宋体" w:hAnsi="宋体" w:eastAsia="宋体" w:cs="宋体"/>
                <w:sz w:val="21"/>
                <w:szCs w:val="21"/>
                <w:highlight w:val="none"/>
                <w:lang w:val="en-US" w:eastAsia="zh-CN"/>
              </w:rPr>
              <w:t>四</w:t>
            </w:r>
            <w:r>
              <w:rPr>
                <w:rFonts w:hint="eastAsia" w:ascii="宋体" w:hAnsi="宋体" w:eastAsia="宋体" w:cs="宋体"/>
                <w:sz w:val="21"/>
                <w:szCs w:val="21"/>
                <w:highlight w:val="none"/>
              </w:rPr>
              <w:t>条</w:t>
            </w:r>
          </w:p>
        </w:tc>
        <w:tc>
          <w:tcPr>
            <w:tcW w:w="1681" w:type="pct"/>
            <w:vAlign w:val="center"/>
          </w:tcPr>
          <w:p w14:paraId="61BB8B61">
            <w:pPr>
              <w:overflowPunct w:val="0"/>
              <w:spacing w:line="240" w:lineRule="auto"/>
              <w:ind w:firstLine="0" w:firstLineChars="0"/>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佑美琪贸易公司提供了佑美琪贸易公司提供了安全生产规章制度、安全会议情况、安全教育培训课件、考试记录及照片等文件、记录，未明确</w:t>
            </w:r>
            <w:r>
              <w:rPr>
                <w:rFonts w:hint="eastAsia" w:ascii="宋体" w:hAnsi="宋体" w:eastAsia="宋体" w:cs="宋体"/>
                <w:sz w:val="21"/>
                <w:szCs w:val="21"/>
                <w:highlight w:val="none"/>
              </w:rPr>
              <w:t>专职或者兼职的安全生产管理人员</w:t>
            </w:r>
            <w:r>
              <w:rPr>
                <w:rFonts w:hint="eastAsia" w:ascii="宋体" w:hAnsi="宋体" w:eastAsia="宋体" w:cs="宋体"/>
                <w:sz w:val="21"/>
                <w:szCs w:val="21"/>
                <w:highlight w:val="none"/>
                <w:lang w:val="en-US" w:eastAsia="zh-CN"/>
              </w:rPr>
              <w:t>。</w:t>
            </w:r>
          </w:p>
        </w:tc>
      </w:tr>
      <w:tr w14:paraId="7E2801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53" w:type="pct"/>
            <w:vAlign w:val="center"/>
          </w:tcPr>
          <w:p w14:paraId="55D9F7F2">
            <w:pPr>
              <w:numPr>
                <w:ilvl w:val="0"/>
                <w:numId w:val="1"/>
              </w:numPr>
              <w:tabs>
                <w:tab w:val="left" w:pos="1260"/>
              </w:tabs>
              <w:spacing w:line="240" w:lineRule="auto"/>
              <w:ind w:firstLine="17" w:firstLineChars="0"/>
              <w:jc w:val="center"/>
              <w:rPr>
                <w:rFonts w:hint="eastAsia" w:ascii="宋体" w:hAnsi="宋体" w:eastAsia="宋体" w:cs="宋体"/>
                <w:sz w:val="21"/>
                <w:szCs w:val="21"/>
                <w:highlight w:val="none"/>
              </w:rPr>
            </w:pPr>
          </w:p>
        </w:tc>
        <w:tc>
          <w:tcPr>
            <w:tcW w:w="2427" w:type="pct"/>
            <w:vAlign w:val="center"/>
          </w:tcPr>
          <w:p w14:paraId="5BB1647C">
            <w:pPr>
              <w:overflowPunct w:val="0"/>
              <w:spacing w:line="24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生产经营单位的安全生产管理机构以及安全生产管理人员履行下列职责：</w:t>
            </w:r>
          </w:p>
          <w:p w14:paraId="17AFE203">
            <w:pPr>
              <w:overflowPunct w:val="0"/>
              <w:spacing w:line="24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（一）组织或者参与拟订本单位安全生产规章制度、操作规程和生产安全事故应急救援预案；</w:t>
            </w:r>
          </w:p>
          <w:p w14:paraId="1C46350F">
            <w:pPr>
              <w:overflowPunct w:val="0"/>
              <w:spacing w:line="24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（二）组织或者参与本单位安全生产教育和培训，如实记录安全生产教育和培训情况；</w:t>
            </w:r>
          </w:p>
          <w:p w14:paraId="4C8AA13D">
            <w:pPr>
              <w:overflowPunct w:val="0"/>
              <w:spacing w:line="24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（三）组织开展危险源辨识和评估，督促落实本单位重大危险源的安全管理措施；</w:t>
            </w:r>
          </w:p>
          <w:p w14:paraId="7F9E673B">
            <w:pPr>
              <w:overflowPunct w:val="0"/>
              <w:spacing w:line="24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（四）组织或者参与本单位应急救援演练；</w:t>
            </w:r>
          </w:p>
          <w:p w14:paraId="725E5E89">
            <w:pPr>
              <w:overflowPunct w:val="0"/>
              <w:spacing w:line="24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（五）检查本单位的安全生产状况，及时排查生产安全事故隐患，提出改进安全生产管理的建议；</w:t>
            </w:r>
          </w:p>
          <w:p w14:paraId="4ACB02DF">
            <w:pPr>
              <w:overflowPunct w:val="0"/>
              <w:spacing w:line="24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（六）制止和纠正违章指挥、强令冒险作业、违反操作规程的行为；</w:t>
            </w:r>
          </w:p>
          <w:p w14:paraId="14D334E2">
            <w:pPr>
              <w:overflowPunct w:val="0"/>
              <w:spacing w:line="24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（七）督促落实本单位安全生产整改措施。</w:t>
            </w:r>
          </w:p>
        </w:tc>
        <w:tc>
          <w:tcPr>
            <w:tcW w:w="637" w:type="pct"/>
            <w:vAlign w:val="center"/>
          </w:tcPr>
          <w:p w14:paraId="740D1FFF">
            <w:pPr>
              <w:overflowPunct w:val="0"/>
              <w:spacing w:line="240" w:lineRule="auto"/>
              <w:ind w:firstLine="0" w:firstLineChars="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《中华人民共和国安全生产法》第二十五条</w:t>
            </w:r>
          </w:p>
        </w:tc>
        <w:tc>
          <w:tcPr>
            <w:tcW w:w="1681" w:type="pct"/>
            <w:shd w:val="clear" w:color="auto" w:fill="auto"/>
            <w:vAlign w:val="center"/>
          </w:tcPr>
          <w:p w14:paraId="3C3B818C">
            <w:pPr>
              <w:overflowPunct w:val="0"/>
              <w:spacing w:line="240" w:lineRule="auto"/>
              <w:ind w:firstLine="0" w:firstLineChars="0"/>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佑美琪贸易公司提供了安全生产规章制度、安全会议情况、安全教育培训课件、考试记录及照片、劳保用品发放记录、安全事故隐患排查治理制度及现场检查照片、公众责任险、生产安全事故应急救援预案等文件、记录，落实了相关要求。</w:t>
            </w:r>
          </w:p>
        </w:tc>
      </w:tr>
      <w:tr w14:paraId="124897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53" w:type="pct"/>
            <w:vAlign w:val="center"/>
          </w:tcPr>
          <w:p w14:paraId="1C58B995">
            <w:pPr>
              <w:numPr>
                <w:ilvl w:val="0"/>
                <w:numId w:val="1"/>
              </w:numPr>
              <w:tabs>
                <w:tab w:val="left" w:pos="1260"/>
              </w:tabs>
              <w:spacing w:line="240" w:lineRule="auto"/>
              <w:ind w:firstLine="17" w:firstLineChars="0"/>
              <w:jc w:val="center"/>
              <w:rPr>
                <w:rFonts w:hint="eastAsia" w:ascii="宋体" w:hAnsi="宋体" w:eastAsia="宋体" w:cs="宋体"/>
                <w:sz w:val="21"/>
                <w:szCs w:val="21"/>
                <w:highlight w:val="none"/>
              </w:rPr>
            </w:pPr>
          </w:p>
        </w:tc>
        <w:tc>
          <w:tcPr>
            <w:tcW w:w="2427" w:type="pct"/>
            <w:vAlign w:val="center"/>
          </w:tcPr>
          <w:p w14:paraId="442B0333">
            <w:pPr>
              <w:overflowPunct w:val="0"/>
              <w:spacing w:line="24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生产经营单位的主要负责人和安全生产管理人员必须具备与本单位所从事的生产经营活动相应的安全生产知识和管理能力。</w:t>
            </w:r>
          </w:p>
          <w:p w14:paraId="4DADAA72">
            <w:pPr>
              <w:overflowPunct w:val="0"/>
              <w:spacing w:line="24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危险物品的生产、经营、储存、装卸单位以及矿山、金属冶炼、建筑施工、运输单位的主要负责人和安全生产管理人员，应当由主管的负有安全生产监督管理职责的部门对其安全生产知识和管理能力考核合格。考核不得收费。</w:t>
            </w:r>
          </w:p>
        </w:tc>
        <w:tc>
          <w:tcPr>
            <w:tcW w:w="637" w:type="pct"/>
            <w:vAlign w:val="center"/>
          </w:tcPr>
          <w:p w14:paraId="451E4DB4">
            <w:pPr>
              <w:overflowPunct w:val="0"/>
              <w:spacing w:line="240" w:lineRule="auto"/>
              <w:ind w:firstLine="0" w:firstLineChars="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《中华人民共和国安全生产法》第二十</w:t>
            </w:r>
            <w:r>
              <w:rPr>
                <w:rFonts w:hint="eastAsia" w:ascii="宋体" w:hAnsi="宋体" w:eastAsia="宋体" w:cs="宋体"/>
                <w:sz w:val="21"/>
                <w:szCs w:val="21"/>
                <w:highlight w:val="none"/>
                <w:lang w:val="en-US" w:eastAsia="zh-CN"/>
              </w:rPr>
              <w:t>七</w:t>
            </w:r>
            <w:r>
              <w:rPr>
                <w:rFonts w:hint="eastAsia" w:ascii="宋体" w:hAnsi="宋体" w:eastAsia="宋体" w:cs="宋体"/>
                <w:sz w:val="21"/>
                <w:szCs w:val="21"/>
                <w:highlight w:val="none"/>
              </w:rPr>
              <w:t>条</w:t>
            </w:r>
          </w:p>
        </w:tc>
        <w:tc>
          <w:tcPr>
            <w:tcW w:w="1681" w:type="pct"/>
            <w:vAlign w:val="center"/>
          </w:tcPr>
          <w:p w14:paraId="5E4B69F2">
            <w:pPr>
              <w:overflowPunct w:val="0"/>
              <w:spacing w:line="240" w:lineRule="auto"/>
              <w:ind w:firstLine="0" w:firstLineChars="0"/>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佑美琪贸易公司提供了佑美琪贸易公司提供了安全生产规章制度、安全会议情况、安全教育培训课件、考试记录及照片等文件、记录，未明确</w:t>
            </w:r>
            <w:r>
              <w:rPr>
                <w:rFonts w:hint="eastAsia" w:ascii="宋体" w:hAnsi="宋体" w:eastAsia="宋体" w:cs="宋体"/>
                <w:sz w:val="21"/>
                <w:szCs w:val="21"/>
                <w:highlight w:val="none"/>
              </w:rPr>
              <w:t>专职或者兼职的安全生产管理人员</w:t>
            </w:r>
            <w:r>
              <w:rPr>
                <w:rFonts w:hint="eastAsia" w:ascii="宋体" w:hAnsi="宋体" w:eastAsia="宋体" w:cs="宋体"/>
                <w:sz w:val="21"/>
                <w:szCs w:val="21"/>
                <w:highlight w:val="none"/>
                <w:lang w:val="en-US" w:eastAsia="zh-CN"/>
              </w:rPr>
              <w:t>。</w:t>
            </w:r>
          </w:p>
        </w:tc>
      </w:tr>
      <w:tr w14:paraId="22FCD1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53" w:type="pct"/>
            <w:vAlign w:val="center"/>
          </w:tcPr>
          <w:p w14:paraId="3267A155">
            <w:pPr>
              <w:numPr>
                <w:ilvl w:val="0"/>
                <w:numId w:val="1"/>
              </w:numPr>
              <w:tabs>
                <w:tab w:val="left" w:pos="1260"/>
              </w:tabs>
              <w:spacing w:line="240" w:lineRule="auto"/>
              <w:ind w:firstLine="17" w:firstLineChars="0"/>
              <w:jc w:val="center"/>
              <w:rPr>
                <w:rFonts w:hint="eastAsia" w:ascii="宋体" w:hAnsi="宋体" w:eastAsia="宋体" w:cs="宋体"/>
                <w:sz w:val="21"/>
                <w:szCs w:val="21"/>
                <w:highlight w:val="none"/>
              </w:rPr>
            </w:pPr>
          </w:p>
        </w:tc>
        <w:tc>
          <w:tcPr>
            <w:tcW w:w="2427" w:type="pct"/>
            <w:vAlign w:val="center"/>
          </w:tcPr>
          <w:p w14:paraId="3C5B8756">
            <w:pPr>
              <w:overflowPunct w:val="0"/>
              <w:spacing w:line="24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14:paraId="4110BDCE">
            <w:pPr>
              <w:overflowPunct w:val="0"/>
              <w:spacing w:line="24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w:t>
            </w:r>
          </w:p>
          <w:p w14:paraId="4B217467">
            <w:pPr>
              <w:overflowPunct w:val="0"/>
              <w:spacing w:line="24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生产经营单位应当建立安全生产教育和培训档案，如实记录安全生产教育和培训的时间、内容、参加人员以及考核结果等情况。</w:t>
            </w:r>
          </w:p>
        </w:tc>
        <w:tc>
          <w:tcPr>
            <w:tcW w:w="637" w:type="pct"/>
            <w:vAlign w:val="center"/>
          </w:tcPr>
          <w:p w14:paraId="6E5EFFFE">
            <w:pPr>
              <w:overflowPunct w:val="0"/>
              <w:spacing w:line="240" w:lineRule="auto"/>
              <w:ind w:firstLine="0" w:firstLineChars="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《中华人民共和国安全生产法》第二十八条</w:t>
            </w:r>
          </w:p>
        </w:tc>
        <w:tc>
          <w:tcPr>
            <w:tcW w:w="1681" w:type="pct"/>
            <w:vAlign w:val="center"/>
          </w:tcPr>
          <w:p w14:paraId="75F18B41">
            <w:pPr>
              <w:overflowPunct w:val="0"/>
              <w:spacing w:line="240" w:lineRule="auto"/>
              <w:ind w:firstLine="0" w:firstLineChars="0"/>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佑美琪贸易公司提供了安全生产规章制度、安全会议情况、安全教育培训课件、考试记录及照片、安全事故隐患排查治理制度及现场检查照片等文件、记录，落实了相关要求。</w:t>
            </w:r>
          </w:p>
        </w:tc>
      </w:tr>
      <w:tr w14:paraId="189410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53" w:type="pct"/>
            <w:vAlign w:val="center"/>
          </w:tcPr>
          <w:p w14:paraId="5095DB77">
            <w:pPr>
              <w:numPr>
                <w:ilvl w:val="0"/>
                <w:numId w:val="1"/>
              </w:numPr>
              <w:tabs>
                <w:tab w:val="left" w:pos="1260"/>
              </w:tabs>
              <w:spacing w:line="240" w:lineRule="auto"/>
              <w:ind w:firstLine="17" w:firstLineChars="0"/>
              <w:jc w:val="center"/>
              <w:rPr>
                <w:rFonts w:hint="eastAsia" w:ascii="宋体" w:hAnsi="宋体" w:eastAsia="宋体" w:cs="宋体"/>
                <w:color w:val="auto"/>
                <w:sz w:val="21"/>
                <w:szCs w:val="21"/>
                <w:highlight w:val="none"/>
              </w:rPr>
            </w:pPr>
          </w:p>
        </w:tc>
        <w:tc>
          <w:tcPr>
            <w:tcW w:w="2427" w:type="pct"/>
            <w:vAlign w:val="center"/>
          </w:tcPr>
          <w:p w14:paraId="7944AFE1">
            <w:pPr>
              <w:spacing w:line="24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生产经营单位采用新工艺、新技术、新材料或者使用新设备，必须了解、掌握其安全技术特性，采取有效的安全防护措施，并对从业人员进行专门的安全生产教育和培训。</w:t>
            </w:r>
          </w:p>
        </w:tc>
        <w:tc>
          <w:tcPr>
            <w:tcW w:w="637" w:type="pct"/>
            <w:vAlign w:val="center"/>
          </w:tcPr>
          <w:p w14:paraId="48AD0670">
            <w:pPr>
              <w:overflowPunct w:val="0"/>
              <w:spacing w:line="24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《中华人民共和国安全生产法》第二十九条</w:t>
            </w:r>
          </w:p>
        </w:tc>
        <w:tc>
          <w:tcPr>
            <w:tcW w:w="1681" w:type="pct"/>
            <w:vAlign w:val="center"/>
          </w:tcPr>
          <w:p w14:paraId="7E988330">
            <w:pPr>
              <w:overflowPunct w:val="0"/>
              <w:spacing w:line="240" w:lineRule="auto"/>
              <w:ind w:firstLine="0" w:firstLineChars="0"/>
              <w:rPr>
                <w:rFonts w:hint="default" w:ascii="宋体" w:hAnsi="宋体" w:eastAsia="宋体" w:cs="宋体"/>
                <w:color w:val="auto"/>
                <w:sz w:val="21"/>
                <w:szCs w:val="21"/>
                <w:highlight w:val="none"/>
                <w:lang w:val="en-US" w:eastAsia="zh-CN"/>
              </w:rPr>
            </w:pPr>
            <w:r>
              <w:rPr>
                <w:rFonts w:hint="eastAsia" w:ascii="宋体" w:hAnsi="宋体" w:eastAsia="宋体" w:cs="宋体"/>
                <w:sz w:val="21"/>
                <w:szCs w:val="21"/>
                <w:highlight w:val="none"/>
                <w:lang w:val="en-US" w:eastAsia="zh-CN"/>
              </w:rPr>
              <w:t>佑美琪贸易公司提供了安全生产规章制度、安全会议情况、安全教育培训课件、考试记录及照片、安全事故隐患排查治理制度及现场检查照片等文件、记录，落实了相关要求。</w:t>
            </w:r>
          </w:p>
        </w:tc>
      </w:tr>
      <w:tr w14:paraId="7BEA09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53" w:type="pct"/>
            <w:vAlign w:val="center"/>
          </w:tcPr>
          <w:p w14:paraId="21095A4A">
            <w:pPr>
              <w:numPr>
                <w:ilvl w:val="0"/>
                <w:numId w:val="1"/>
              </w:numPr>
              <w:tabs>
                <w:tab w:val="left" w:pos="1260"/>
              </w:tabs>
              <w:spacing w:line="240" w:lineRule="auto"/>
              <w:ind w:firstLine="17" w:firstLineChars="0"/>
              <w:jc w:val="center"/>
              <w:rPr>
                <w:rFonts w:hint="eastAsia" w:ascii="宋体" w:hAnsi="宋体" w:eastAsia="宋体" w:cs="宋体"/>
                <w:sz w:val="21"/>
                <w:szCs w:val="21"/>
                <w:highlight w:val="none"/>
              </w:rPr>
            </w:pPr>
          </w:p>
        </w:tc>
        <w:tc>
          <w:tcPr>
            <w:tcW w:w="2427" w:type="pct"/>
            <w:vAlign w:val="center"/>
          </w:tcPr>
          <w:p w14:paraId="60F76B16">
            <w:pPr>
              <w:spacing w:line="240" w:lineRule="auto"/>
              <w:ind w:firstLine="0" w:firstLineChars="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生产经营单位的特种作业人员必须按照国家有关规定经专门的安全作业培训，取得相应资格，方可上岗作业。</w:t>
            </w:r>
          </w:p>
          <w:p w14:paraId="2DD5EDF5">
            <w:pPr>
              <w:spacing w:line="240" w:lineRule="auto"/>
              <w:ind w:firstLine="0" w:firstLineChars="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特种作业人员的范围由国务院应急管理部门会同国务院有关部门确定。</w:t>
            </w:r>
          </w:p>
        </w:tc>
        <w:tc>
          <w:tcPr>
            <w:tcW w:w="637" w:type="pct"/>
            <w:vAlign w:val="center"/>
          </w:tcPr>
          <w:p w14:paraId="2471482F">
            <w:pPr>
              <w:overflowPunct w:val="0"/>
              <w:spacing w:line="240" w:lineRule="auto"/>
              <w:ind w:firstLine="0" w:firstLineChars="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《中华人民共和国安全生产法》第三十条</w:t>
            </w:r>
          </w:p>
        </w:tc>
        <w:tc>
          <w:tcPr>
            <w:tcW w:w="1681" w:type="pct"/>
            <w:vAlign w:val="center"/>
          </w:tcPr>
          <w:p w14:paraId="4FCE4A41">
            <w:pPr>
              <w:overflowPunct w:val="0"/>
              <w:spacing w:line="240" w:lineRule="auto"/>
              <w:ind w:firstLine="0" w:firstLineChars="0"/>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佑美琪贸易公司提供了高处作业人员证书，未见人员台账。</w:t>
            </w:r>
          </w:p>
        </w:tc>
      </w:tr>
      <w:tr w14:paraId="4448A1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53" w:type="pct"/>
            <w:vAlign w:val="center"/>
          </w:tcPr>
          <w:p w14:paraId="7D6EDA27">
            <w:pPr>
              <w:numPr>
                <w:ilvl w:val="0"/>
                <w:numId w:val="1"/>
              </w:numPr>
              <w:tabs>
                <w:tab w:val="left" w:pos="1260"/>
              </w:tabs>
              <w:spacing w:line="240" w:lineRule="auto"/>
              <w:ind w:firstLine="17" w:firstLineChars="0"/>
              <w:jc w:val="center"/>
              <w:rPr>
                <w:rFonts w:hint="eastAsia" w:ascii="宋体" w:hAnsi="宋体" w:eastAsia="宋体" w:cs="宋体"/>
                <w:sz w:val="21"/>
                <w:szCs w:val="21"/>
                <w:highlight w:val="none"/>
              </w:rPr>
            </w:pPr>
          </w:p>
        </w:tc>
        <w:tc>
          <w:tcPr>
            <w:tcW w:w="2427" w:type="pct"/>
            <w:vAlign w:val="center"/>
          </w:tcPr>
          <w:p w14:paraId="6D17736C">
            <w:pPr>
              <w:overflowPunct w:val="0"/>
              <w:spacing w:line="24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生产经营单位应当建立安全风险分级管控制度，按照安全风险分级采取相应的管控措施。</w:t>
            </w:r>
          </w:p>
          <w:p w14:paraId="3EEA69CC">
            <w:pPr>
              <w:overflowPunct w:val="0"/>
              <w:spacing w:line="24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tc>
        <w:tc>
          <w:tcPr>
            <w:tcW w:w="637" w:type="pct"/>
            <w:vAlign w:val="center"/>
          </w:tcPr>
          <w:p w14:paraId="7F0ABA8C">
            <w:pPr>
              <w:overflowPunct w:val="0"/>
              <w:spacing w:line="240" w:lineRule="auto"/>
              <w:ind w:firstLine="0" w:firstLineChars="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《中华人民共和国安全生产法》第四十一条</w:t>
            </w:r>
          </w:p>
        </w:tc>
        <w:tc>
          <w:tcPr>
            <w:tcW w:w="1681" w:type="pct"/>
            <w:vAlign w:val="center"/>
          </w:tcPr>
          <w:p w14:paraId="5E12D0DC">
            <w:pPr>
              <w:overflowPunct w:val="0"/>
              <w:spacing w:line="240" w:lineRule="auto"/>
              <w:ind w:firstLine="0" w:firstLineChars="0"/>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佑美琪贸易公司提供了安全生产规章制度、安全会议情况、安全教育培训课件、考试记录及照片、安全事故隐患排查治理制度及现场检查照片等文件、记录，落实了相关要求。</w:t>
            </w:r>
          </w:p>
        </w:tc>
      </w:tr>
      <w:tr w14:paraId="0635C4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53" w:type="pct"/>
            <w:vAlign w:val="center"/>
          </w:tcPr>
          <w:p w14:paraId="1C5F20B0">
            <w:pPr>
              <w:numPr>
                <w:ilvl w:val="0"/>
                <w:numId w:val="1"/>
              </w:numPr>
              <w:tabs>
                <w:tab w:val="left" w:pos="1260"/>
              </w:tabs>
              <w:spacing w:line="240" w:lineRule="auto"/>
              <w:ind w:firstLine="17" w:firstLineChars="0"/>
              <w:jc w:val="center"/>
              <w:rPr>
                <w:rFonts w:hint="eastAsia" w:ascii="宋体" w:hAnsi="宋体" w:eastAsia="宋体" w:cs="宋体"/>
                <w:color w:val="auto"/>
                <w:sz w:val="21"/>
                <w:szCs w:val="21"/>
                <w:highlight w:val="none"/>
              </w:rPr>
            </w:pPr>
          </w:p>
        </w:tc>
        <w:tc>
          <w:tcPr>
            <w:tcW w:w="2427" w:type="pct"/>
            <w:vAlign w:val="center"/>
          </w:tcPr>
          <w:p w14:paraId="2ED7E5C4">
            <w:pPr>
              <w:overflowPunct w:val="0"/>
              <w:spacing w:line="24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生产经营单位进行爆破、吊装、动火、临时用电以及国务院应急管理部门会同国务院有关部门规定的其他危险作业，应当安排专门人员进行现场安全管理，确保操作规程的遵守和安全措施的落实。</w:t>
            </w:r>
          </w:p>
        </w:tc>
        <w:tc>
          <w:tcPr>
            <w:tcW w:w="637" w:type="pct"/>
            <w:vAlign w:val="center"/>
          </w:tcPr>
          <w:p w14:paraId="2180CDAB">
            <w:pPr>
              <w:overflowPunct w:val="0"/>
              <w:spacing w:line="240" w:lineRule="auto"/>
              <w:ind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《中华人民共和国安全生产法》第四十三条</w:t>
            </w:r>
          </w:p>
        </w:tc>
        <w:tc>
          <w:tcPr>
            <w:tcW w:w="1681" w:type="pct"/>
            <w:vAlign w:val="center"/>
          </w:tcPr>
          <w:p w14:paraId="702A36CE">
            <w:pPr>
              <w:overflowPunct w:val="0"/>
              <w:spacing w:line="240" w:lineRule="auto"/>
              <w:ind w:firstLine="0" w:firstLineChars="0"/>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佑美琪贸易公司提供了安全生产规章制度，基本不涉及危险作业。</w:t>
            </w:r>
          </w:p>
        </w:tc>
      </w:tr>
      <w:tr w14:paraId="37A365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53" w:type="pct"/>
            <w:vAlign w:val="center"/>
          </w:tcPr>
          <w:p w14:paraId="6964E50C">
            <w:pPr>
              <w:numPr>
                <w:ilvl w:val="0"/>
                <w:numId w:val="1"/>
              </w:numPr>
              <w:tabs>
                <w:tab w:val="left" w:pos="1260"/>
              </w:tabs>
              <w:spacing w:line="240" w:lineRule="auto"/>
              <w:ind w:firstLine="17" w:firstLineChars="0"/>
              <w:jc w:val="center"/>
              <w:rPr>
                <w:rFonts w:hint="eastAsia" w:ascii="宋体" w:hAnsi="宋体" w:eastAsia="宋体" w:cs="宋体"/>
                <w:sz w:val="21"/>
                <w:szCs w:val="21"/>
                <w:highlight w:val="none"/>
              </w:rPr>
            </w:pPr>
          </w:p>
        </w:tc>
        <w:tc>
          <w:tcPr>
            <w:tcW w:w="2427" w:type="pct"/>
            <w:vAlign w:val="center"/>
          </w:tcPr>
          <w:p w14:paraId="23B59B7F">
            <w:pPr>
              <w:overflowPunct w:val="0"/>
              <w:spacing w:line="24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生产经营单位应当教育和督促从业人员严格执行本单位的安全生产规章制度和安全操作规程；并向从业人员如实告知作业场所和工作岗位存在的危险因素、防范措施以及事故应急措施。</w:t>
            </w:r>
          </w:p>
        </w:tc>
        <w:tc>
          <w:tcPr>
            <w:tcW w:w="637" w:type="pct"/>
            <w:vAlign w:val="center"/>
          </w:tcPr>
          <w:p w14:paraId="0CCC6114">
            <w:pPr>
              <w:overflowPunct w:val="0"/>
              <w:spacing w:line="240" w:lineRule="auto"/>
              <w:ind w:firstLine="0" w:firstLineChars="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《中华人民共和国安全生产法》第四十四条</w:t>
            </w:r>
          </w:p>
        </w:tc>
        <w:tc>
          <w:tcPr>
            <w:tcW w:w="1681" w:type="pct"/>
            <w:vAlign w:val="center"/>
          </w:tcPr>
          <w:p w14:paraId="4DD42EB5">
            <w:pPr>
              <w:overflowPunct w:val="0"/>
              <w:spacing w:line="240" w:lineRule="auto"/>
              <w:ind w:firstLine="0" w:firstLineChars="0"/>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佑美琪贸易公司提供了安全生产规章制度、安全会议情况、安全教育培训课件、考试记录及照片、安全事故隐患排查治理制度及现场检查照片等文件、记录，落实了相关要求。</w:t>
            </w:r>
          </w:p>
        </w:tc>
      </w:tr>
      <w:tr w14:paraId="354416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53" w:type="pct"/>
            <w:vAlign w:val="center"/>
          </w:tcPr>
          <w:p w14:paraId="60E0E5F0">
            <w:pPr>
              <w:numPr>
                <w:ilvl w:val="0"/>
                <w:numId w:val="1"/>
              </w:numPr>
              <w:tabs>
                <w:tab w:val="left" w:pos="1260"/>
              </w:tabs>
              <w:spacing w:line="240" w:lineRule="auto"/>
              <w:ind w:firstLine="17" w:firstLineChars="0"/>
              <w:jc w:val="center"/>
              <w:rPr>
                <w:rFonts w:hint="eastAsia" w:ascii="宋体" w:hAnsi="宋体" w:eastAsia="宋体" w:cs="宋体"/>
                <w:sz w:val="21"/>
                <w:szCs w:val="21"/>
                <w:highlight w:val="none"/>
              </w:rPr>
            </w:pPr>
          </w:p>
        </w:tc>
        <w:tc>
          <w:tcPr>
            <w:tcW w:w="2427" w:type="pct"/>
            <w:vAlign w:val="center"/>
          </w:tcPr>
          <w:p w14:paraId="5149E657">
            <w:pPr>
              <w:overflowPunct w:val="0"/>
              <w:spacing w:line="24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生产经营单位必须为从业人员提供符合国家标准或者行业标准的劳动防护用品，并监督、教育从业人员按照使用规则佩戴、使用。</w:t>
            </w:r>
          </w:p>
        </w:tc>
        <w:tc>
          <w:tcPr>
            <w:tcW w:w="637" w:type="pct"/>
            <w:vAlign w:val="center"/>
          </w:tcPr>
          <w:p w14:paraId="276B2FD3">
            <w:pPr>
              <w:overflowPunct w:val="0"/>
              <w:spacing w:line="240" w:lineRule="auto"/>
              <w:ind w:firstLine="0" w:firstLineChars="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《中华人民共和国安全生产法》第四十五条</w:t>
            </w:r>
          </w:p>
        </w:tc>
        <w:tc>
          <w:tcPr>
            <w:tcW w:w="1681" w:type="pct"/>
            <w:vAlign w:val="center"/>
          </w:tcPr>
          <w:p w14:paraId="7CFD8784">
            <w:pPr>
              <w:overflowPunct w:val="0"/>
              <w:spacing w:line="240" w:lineRule="auto"/>
              <w:ind w:firstLine="0" w:firstLineChars="0"/>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佑美琪贸易公司提供了劳保用品发放记录、安全会议情况、安全教育培训课件、考试记录及照片等文件、记录，落实了相关要求。</w:t>
            </w:r>
          </w:p>
        </w:tc>
      </w:tr>
      <w:tr w14:paraId="31729C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53" w:type="pct"/>
            <w:vAlign w:val="center"/>
          </w:tcPr>
          <w:p w14:paraId="194B09B9">
            <w:pPr>
              <w:numPr>
                <w:ilvl w:val="0"/>
                <w:numId w:val="1"/>
              </w:numPr>
              <w:tabs>
                <w:tab w:val="left" w:pos="1260"/>
              </w:tabs>
              <w:spacing w:line="240" w:lineRule="auto"/>
              <w:ind w:firstLine="17" w:firstLineChars="0"/>
              <w:jc w:val="center"/>
              <w:rPr>
                <w:rFonts w:hint="eastAsia" w:ascii="宋体" w:hAnsi="宋体" w:eastAsia="宋体" w:cs="宋体"/>
                <w:sz w:val="21"/>
                <w:szCs w:val="21"/>
                <w:highlight w:val="none"/>
              </w:rPr>
            </w:pPr>
          </w:p>
        </w:tc>
        <w:tc>
          <w:tcPr>
            <w:tcW w:w="2427" w:type="pct"/>
            <w:vAlign w:val="center"/>
          </w:tcPr>
          <w:p w14:paraId="16B20CE7">
            <w:pPr>
              <w:overflowPunct w:val="0"/>
              <w:spacing w:line="24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w:t>
            </w:r>
          </w:p>
        </w:tc>
        <w:tc>
          <w:tcPr>
            <w:tcW w:w="637" w:type="pct"/>
            <w:vAlign w:val="center"/>
          </w:tcPr>
          <w:p w14:paraId="09BB8583">
            <w:pPr>
              <w:overflowPunct w:val="0"/>
              <w:spacing w:line="240" w:lineRule="auto"/>
              <w:ind w:firstLine="0" w:firstLineChars="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《中华人民共和国安全生产法》第四十六条</w:t>
            </w:r>
          </w:p>
        </w:tc>
        <w:tc>
          <w:tcPr>
            <w:tcW w:w="1681" w:type="pct"/>
            <w:vAlign w:val="center"/>
          </w:tcPr>
          <w:p w14:paraId="31AF8B56">
            <w:pPr>
              <w:overflowPunct w:val="0"/>
              <w:spacing w:line="240" w:lineRule="auto"/>
              <w:ind w:firstLine="0" w:firstLineChars="0"/>
              <w:rPr>
                <w:rFonts w:hint="default"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佑美琪贸易公司提供了安全生产规章制度、安全会议情况、安全教育培训课件、考试记录及照片、安全事故隐患排查治理制度及现场检查照片等文件、记录，落实了相关要求。</w:t>
            </w:r>
          </w:p>
        </w:tc>
      </w:tr>
      <w:tr w14:paraId="0B6EDE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53" w:type="pct"/>
            <w:vAlign w:val="center"/>
          </w:tcPr>
          <w:p w14:paraId="1F49410A">
            <w:pPr>
              <w:numPr>
                <w:ilvl w:val="0"/>
                <w:numId w:val="1"/>
              </w:numPr>
              <w:tabs>
                <w:tab w:val="left" w:pos="1260"/>
              </w:tabs>
              <w:spacing w:line="240" w:lineRule="auto"/>
              <w:ind w:firstLine="17" w:firstLineChars="0"/>
              <w:jc w:val="center"/>
              <w:rPr>
                <w:rFonts w:hint="eastAsia" w:ascii="宋体" w:hAnsi="宋体" w:eastAsia="宋体" w:cs="宋体"/>
                <w:sz w:val="21"/>
                <w:szCs w:val="21"/>
                <w:highlight w:val="none"/>
              </w:rPr>
            </w:pPr>
          </w:p>
        </w:tc>
        <w:tc>
          <w:tcPr>
            <w:tcW w:w="2427" w:type="pct"/>
            <w:vAlign w:val="center"/>
          </w:tcPr>
          <w:p w14:paraId="54CC6085">
            <w:pPr>
              <w:spacing w:line="24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生产经营单位应当安排用于配备劳动防护用品、进行安全生产培训的经费。</w:t>
            </w:r>
          </w:p>
        </w:tc>
        <w:tc>
          <w:tcPr>
            <w:tcW w:w="637" w:type="pct"/>
            <w:vAlign w:val="center"/>
          </w:tcPr>
          <w:p w14:paraId="3D602AC0">
            <w:pPr>
              <w:spacing w:line="240" w:lineRule="auto"/>
              <w:ind w:firstLine="0" w:firstLineChars="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《中华人民共和国安全生产法》第四十七条</w:t>
            </w:r>
          </w:p>
        </w:tc>
        <w:tc>
          <w:tcPr>
            <w:tcW w:w="1681" w:type="pct"/>
            <w:vAlign w:val="center"/>
          </w:tcPr>
          <w:p w14:paraId="32FD4714">
            <w:pPr>
              <w:overflowPunct w:val="0"/>
              <w:spacing w:line="240" w:lineRule="auto"/>
              <w:ind w:firstLine="0" w:firstLineChars="0"/>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佑美琪贸易公司提供了劳保用品发放记录、安全会议情况、安全教育培训课件、考试记录及照片等文件、记录，落实了相关要求。</w:t>
            </w:r>
          </w:p>
        </w:tc>
      </w:tr>
      <w:tr w14:paraId="0DFE40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53" w:type="pct"/>
            <w:vAlign w:val="center"/>
          </w:tcPr>
          <w:p w14:paraId="0C351173">
            <w:pPr>
              <w:numPr>
                <w:ilvl w:val="0"/>
                <w:numId w:val="1"/>
              </w:numPr>
              <w:tabs>
                <w:tab w:val="left" w:pos="1260"/>
              </w:tabs>
              <w:spacing w:line="240" w:lineRule="auto"/>
              <w:ind w:firstLine="17" w:firstLineChars="0"/>
              <w:jc w:val="center"/>
              <w:rPr>
                <w:rFonts w:hint="eastAsia" w:ascii="宋体" w:hAnsi="宋体" w:eastAsia="宋体" w:cs="宋体"/>
                <w:sz w:val="21"/>
                <w:szCs w:val="21"/>
                <w:highlight w:val="none"/>
              </w:rPr>
            </w:pPr>
          </w:p>
        </w:tc>
        <w:tc>
          <w:tcPr>
            <w:tcW w:w="2427" w:type="pct"/>
            <w:vAlign w:val="center"/>
          </w:tcPr>
          <w:p w14:paraId="4B041C1F">
            <w:pPr>
              <w:ind w:firstLine="0" w:firstLineChars="0"/>
              <w:rPr>
                <w:rFonts w:hint="eastAsia" w:ascii="宋体" w:hAnsi="宋体" w:eastAsia="宋体" w:cs="宋体"/>
                <w:sz w:val="21"/>
                <w:szCs w:val="21"/>
                <w:highlight w:val="none"/>
              </w:rPr>
            </w:pPr>
            <w:r>
              <w:rPr>
                <w:rFonts w:hint="eastAsia" w:ascii="宋体" w:hAnsi="宋体" w:eastAsia="宋体" w:cs="宋体"/>
                <w:color w:val="auto"/>
                <w:sz w:val="21"/>
                <w:szCs w:val="21"/>
                <w:highlight w:val="none"/>
              </w:rPr>
              <w:t>生产经营单位发生生产安全事故时，单位的主要负责人应当立即组织抢救，并不得在事故调查处理期间擅离职守。</w:t>
            </w:r>
          </w:p>
        </w:tc>
        <w:tc>
          <w:tcPr>
            <w:tcW w:w="637" w:type="pct"/>
            <w:vAlign w:val="center"/>
          </w:tcPr>
          <w:p w14:paraId="392B6847">
            <w:pPr>
              <w:spacing w:line="240" w:lineRule="auto"/>
              <w:ind w:firstLine="0" w:firstLineChars="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《中华人民共和国安全生产法》第五十条</w:t>
            </w:r>
          </w:p>
        </w:tc>
        <w:tc>
          <w:tcPr>
            <w:tcW w:w="1681" w:type="pct"/>
            <w:vAlign w:val="center"/>
          </w:tcPr>
          <w:p w14:paraId="50CE3777">
            <w:pPr>
              <w:spacing w:line="240" w:lineRule="auto"/>
              <w:ind w:firstLine="0" w:firstLineChars="0"/>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佑美琪贸易公司提供了施工生产安全事故应急救援预案等文件，还需进一步完善。</w:t>
            </w:r>
          </w:p>
        </w:tc>
      </w:tr>
      <w:tr w14:paraId="0FC9F4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53" w:type="pct"/>
            <w:vAlign w:val="center"/>
          </w:tcPr>
          <w:p w14:paraId="3A2CBCB8">
            <w:pPr>
              <w:numPr>
                <w:ilvl w:val="0"/>
                <w:numId w:val="1"/>
              </w:numPr>
              <w:tabs>
                <w:tab w:val="left" w:pos="1260"/>
              </w:tabs>
              <w:spacing w:line="240" w:lineRule="auto"/>
              <w:ind w:firstLine="17" w:firstLineChars="0"/>
              <w:jc w:val="center"/>
              <w:rPr>
                <w:rFonts w:hint="eastAsia" w:ascii="宋体" w:hAnsi="宋体" w:eastAsia="宋体" w:cs="宋体"/>
                <w:sz w:val="21"/>
                <w:szCs w:val="21"/>
                <w:highlight w:val="none"/>
              </w:rPr>
            </w:pPr>
          </w:p>
        </w:tc>
        <w:tc>
          <w:tcPr>
            <w:tcW w:w="2427" w:type="pct"/>
            <w:vAlign w:val="center"/>
          </w:tcPr>
          <w:p w14:paraId="69535447">
            <w:pPr>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生产经营单位必须依法</w:t>
            </w:r>
            <w:r>
              <w:rPr>
                <w:rFonts w:hint="eastAsia" w:ascii="宋体" w:hAnsi="宋体" w:eastAsia="宋体" w:cs="宋体"/>
                <w:color w:val="auto"/>
                <w:sz w:val="21"/>
                <w:szCs w:val="21"/>
                <w:highlight w:val="none"/>
              </w:rPr>
              <w:t>参加工伤保险</w:t>
            </w:r>
            <w:r>
              <w:rPr>
                <w:rFonts w:hint="eastAsia" w:ascii="宋体" w:hAnsi="宋体" w:eastAsia="宋体" w:cs="宋体"/>
                <w:sz w:val="21"/>
                <w:szCs w:val="21"/>
                <w:highlight w:val="none"/>
              </w:rPr>
              <w:t>，为从业人员缴纳保险费。</w:t>
            </w:r>
          </w:p>
        </w:tc>
        <w:tc>
          <w:tcPr>
            <w:tcW w:w="637" w:type="pct"/>
            <w:vAlign w:val="center"/>
          </w:tcPr>
          <w:p w14:paraId="602B3BAC">
            <w:pPr>
              <w:spacing w:line="240" w:lineRule="auto"/>
              <w:ind w:firstLine="0" w:firstLineChars="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《中华人民共和国安全生产法》第五十一条</w:t>
            </w:r>
          </w:p>
        </w:tc>
        <w:tc>
          <w:tcPr>
            <w:tcW w:w="1681" w:type="pct"/>
            <w:vAlign w:val="center"/>
          </w:tcPr>
          <w:p w14:paraId="4D2C2F6C">
            <w:pPr>
              <w:spacing w:line="240" w:lineRule="auto"/>
              <w:ind w:firstLine="0" w:firstLineChars="0"/>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佑美琪贸易公司提供了公众责任险保单，落实了相关要求。</w:t>
            </w:r>
          </w:p>
        </w:tc>
      </w:tr>
      <w:tr w14:paraId="2E11D3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53" w:type="pct"/>
            <w:vAlign w:val="center"/>
          </w:tcPr>
          <w:p w14:paraId="6AD8D57D">
            <w:pPr>
              <w:numPr>
                <w:ilvl w:val="0"/>
                <w:numId w:val="1"/>
              </w:numPr>
              <w:tabs>
                <w:tab w:val="left" w:pos="1260"/>
              </w:tabs>
              <w:spacing w:line="240" w:lineRule="auto"/>
              <w:ind w:firstLine="17" w:firstLineChars="0"/>
              <w:jc w:val="center"/>
              <w:rPr>
                <w:rFonts w:hint="eastAsia" w:ascii="宋体" w:hAnsi="宋体" w:eastAsia="宋体" w:cs="宋体"/>
                <w:sz w:val="21"/>
                <w:szCs w:val="21"/>
                <w:highlight w:val="none"/>
              </w:rPr>
            </w:pPr>
          </w:p>
        </w:tc>
        <w:tc>
          <w:tcPr>
            <w:tcW w:w="2427" w:type="pct"/>
            <w:vAlign w:val="center"/>
          </w:tcPr>
          <w:p w14:paraId="1A567225">
            <w:pPr>
              <w:spacing w:line="24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生产经营单位应当制定本单位生产安全事故应急救援预案，与所在地县级以上地方人民政府组织制定的生产安全事故应急救援预案相衔接，并定期组织演练。</w:t>
            </w:r>
          </w:p>
        </w:tc>
        <w:tc>
          <w:tcPr>
            <w:tcW w:w="637" w:type="pct"/>
            <w:vAlign w:val="center"/>
          </w:tcPr>
          <w:p w14:paraId="6AC077BA">
            <w:pPr>
              <w:spacing w:line="240" w:lineRule="auto"/>
              <w:ind w:firstLine="0" w:firstLineChars="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《中华人民共和国安全生产法》第八十一条</w:t>
            </w:r>
          </w:p>
        </w:tc>
        <w:tc>
          <w:tcPr>
            <w:tcW w:w="1681" w:type="pct"/>
            <w:vAlign w:val="center"/>
          </w:tcPr>
          <w:p w14:paraId="75540CBD">
            <w:pPr>
              <w:spacing w:line="240" w:lineRule="auto"/>
              <w:ind w:firstLine="0" w:firstLineChars="0"/>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佑美琪贸易公司提供了施工生产安全事故应急救援预案等文件，未见演练记录。</w:t>
            </w:r>
          </w:p>
        </w:tc>
      </w:tr>
      <w:tr w14:paraId="28838C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53" w:type="pct"/>
            <w:vAlign w:val="center"/>
          </w:tcPr>
          <w:p w14:paraId="0909305F">
            <w:pPr>
              <w:numPr>
                <w:ilvl w:val="0"/>
                <w:numId w:val="1"/>
              </w:numPr>
              <w:tabs>
                <w:tab w:val="left" w:pos="1260"/>
              </w:tabs>
              <w:spacing w:line="240" w:lineRule="auto"/>
              <w:ind w:firstLine="17" w:firstLineChars="0"/>
              <w:jc w:val="center"/>
              <w:rPr>
                <w:rFonts w:hint="eastAsia" w:ascii="宋体" w:hAnsi="宋体" w:eastAsia="宋体" w:cs="宋体"/>
                <w:sz w:val="21"/>
                <w:szCs w:val="21"/>
                <w:highlight w:val="none"/>
              </w:rPr>
            </w:pPr>
          </w:p>
        </w:tc>
        <w:tc>
          <w:tcPr>
            <w:tcW w:w="2427" w:type="pct"/>
            <w:vAlign w:val="center"/>
          </w:tcPr>
          <w:p w14:paraId="5698B9D1">
            <w:pPr>
              <w:spacing w:line="24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危险物品的生产、经营、储存单位以及矿山、金属冶炼、城市轨道交通运营、建筑施工单位应当建立应急救援组织；生产经营规模较小的，可以不建立应急救援组织，但应当指定兼职的应急救援人员。</w:t>
            </w:r>
          </w:p>
          <w:p w14:paraId="5301A396">
            <w:pPr>
              <w:spacing w:line="24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危险物品的生产、经营、储存、运输单位以及矿山、金属冶炼、城市轨道交通运营、建筑施工单位应当配备必要的应急救援器材、设备和物资，并进行经常性维护、保养，保证正常运转。</w:t>
            </w:r>
          </w:p>
        </w:tc>
        <w:tc>
          <w:tcPr>
            <w:tcW w:w="637" w:type="pct"/>
            <w:vAlign w:val="center"/>
          </w:tcPr>
          <w:p w14:paraId="195AB3E0">
            <w:pPr>
              <w:spacing w:line="240" w:lineRule="auto"/>
              <w:ind w:firstLine="0" w:firstLineChars="0"/>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rPr>
              <w:t>《中华人民共和国安全生产法》第八十</w:t>
            </w:r>
            <w:r>
              <w:rPr>
                <w:rFonts w:hint="eastAsia" w:ascii="宋体" w:hAnsi="宋体" w:eastAsia="宋体" w:cs="宋体"/>
                <w:sz w:val="21"/>
                <w:szCs w:val="21"/>
                <w:highlight w:val="none"/>
                <w:lang w:val="en-US" w:eastAsia="zh-CN"/>
              </w:rPr>
              <w:t>二</w:t>
            </w:r>
            <w:r>
              <w:rPr>
                <w:rFonts w:hint="eastAsia" w:ascii="宋体" w:hAnsi="宋体" w:eastAsia="宋体" w:cs="宋体"/>
                <w:sz w:val="21"/>
                <w:szCs w:val="21"/>
                <w:highlight w:val="none"/>
              </w:rPr>
              <w:t>条</w:t>
            </w:r>
          </w:p>
        </w:tc>
        <w:tc>
          <w:tcPr>
            <w:tcW w:w="1681" w:type="pct"/>
            <w:vAlign w:val="center"/>
          </w:tcPr>
          <w:p w14:paraId="7C7FFB5F">
            <w:pPr>
              <w:spacing w:line="240" w:lineRule="auto"/>
              <w:ind w:firstLine="0" w:firstLineChars="0"/>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佑美琪贸易公司未明确</w:t>
            </w:r>
            <w:r>
              <w:rPr>
                <w:rFonts w:hint="eastAsia" w:ascii="宋体" w:hAnsi="宋体" w:eastAsia="宋体" w:cs="宋体"/>
                <w:sz w:val="21"/>
                <w:szCs w:val="21"/>
                <w:highlight w:val="none"/>
              </w:rPr>
              <w:t>指定兼职的应急救援人员</w:t>
            </w:r>
            <w:r>
              <w:rPr>
                <w:rFonts w:hint="eastAsia" w:ascii="宋体" w:hAnsi="宋体" w:eastAsia="宋体" w:cs="宋体"/>
                <w:sz w:val="21"/>
                <w:szCs w:val="21"/>
                <w:highlight w:val="none"/>
                <w:lang w:val="en-US" w:eastAsia="zh-CN"/>
              </w:rPr>
              <w:t>。</w:t>
            </w:r>
          </w:p>
        </w:tc>
      </w:tr>
      <w:tr w14:paraId="6B2BD6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53" w:type="pct"/>
            <w:vAlign w:val="center"/>
          </w:tcPr>
          <w:p w14:paraId="23E60B2C">
            <w:pPr>
              <w:numPr>
                <w:ilvl w:val="0"/>
                <w:numId w:val="1"/>
              </w:numPr>
              <w:tabs>
                <w:tab w:val="left" w:pos="1260"/>
              </w:tabs>
              <w:spacing w:line="240" w:lineRule="auto"/>
              <w:ind w:firstLine="17" w:firstLineChars="0"/>
              <w:jc w:val="center"/>
              <w:rPr>
                <w:rFonts w:hint="eastAsia" w:ascii="宋体" w:hAnsi="宋体" w:eastAsia="宋体" w:cs="宋体"/>
                <w:sz w:val="21"/>
                <w:szCs w:val="21"/>
                <w:highlight w:val="none"/>
              </w:rPr>
            </w:pPr>
          </w:p>
        </w:tc>
        <w:tc>
          <w:tcPr>
            <w:tcW w:w="2427" w:type="pct"/>
            <w:vAlign w:val="center"/>
          </w:tcPr>
          <w:p w14:paraId="662E2DC3">
            <w:pPr>
              <w:spacing w:line="24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生产经营单位发生生产安全事故后，事故现场有关人员应当立即报告本单位负责人。单位负责人接到事故报告后，应当迅速采取有效措施，组织抢救，防止事故扩大，减少人员伤亡和财产损失，并按照国家有关规定立即如实报告当地负有安全生产监督管理职责的部门，不得隐瞒不报、谎报或者迟报，不得故意破坏事故现场、毁灭有关证据。</w:t>
            </w:r>
          </w:p>
        </w:tc>
        <w:tc>
          <w:tcPr>
            <w:tcW w:w="637" w:type="pct"/>
            <w:vAlign w:val="center"/>
          </w:tcPr>
          <w:p w14:paraId="0CC39FF0">
            <w:pPr>
              <w:spacing w:line="240" w:lineRule="auto"/>
              <w:ind w:firstLine="0" w:firstLineChars="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《中华人民共和国安全生产法》第八十三条</w:t>
            </w:r>
          </w:p>
        </w:tc>
        <w:tc>
          <w:tcPr>
            <w:tcW w:w="1681" w:type="pct"/>
            <w:vAlign w:val="center"/>
          </w:tcPr>
          <w:p w14:paraId="1222000C">
            <w:pPr>
              <w:spacing w:line="240" w:lineRule="auto"/>
              <w:ind w:firstLine="0" w:firstLineChars="0"/>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佑美琪贸易公司提供了施工生产安全事故应急救援预案等文件，未见演练记录。</w:t>
            </w:r>
          </w:p>
        </w:tc>
      </w:tr>
      <w:tr w14:paraId="0EBDC9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53" w:type="pct"/>
            <w:vAlign w:val="center"/>
          </w:tcPr>
          <w:p w14:paraId="11EEC24A">
            <w:pPr>
              <w:numPr>
                <w:ilvl w:val="0"/>
                <w:numId w:val="1"/>
              </w:numPr>
              <w:tabs>
                <w:tab w:val="left" w:pos="1260"/>
              </w:tabs>
              <w:spacing w:line="240" w:lineRule="auto"/>
              <w:ind w:firstLine="17" w:firstLineChars="0"/>
              <w:jc w:val="center"/>
              <w:rPr>
                <w:rFonts w:hint="eastAsia" w:ascii="宋体" w:hAnsi="宋体" w:eastAsia="宋体" w:cs="宋体"/>
                <w:sz w:val="21"/>
                <w:szCs w:val="21"/>
                <w:highlight w:val="none"/>
              </w:rPr>
            </w:pPr>
          </w:p>
        </w:tc>
        <w:tc>
          <w:tcPr>
            <w:tcW w:w="2427" w:type="pct"/>
            <w:vAlign w:val="center"/>
          </w:tcPr>
          <w:p w14:paraId="31C36AE8">
            <w:pPr>
              <w:spacing w:line="24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生产经营单位应当遵守安全生产法律、法规、规章的规定，建立健全安全生产规章制度和覆盖全体人员、全部生产经营活动的全员安全生产责任制，确保安全生产。</w:t>
            </w:r>
          </w:p>
          <w:p w14:paraId="18E801BC">
            <w:pPr>
              <w:spacing w:line="24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生产经营单位的主要负责人是本单位安全生产第一责任人，对本单位的安全生产工作全面负责。其他负责人对职责范围内的安全生产工作负责。</w:t>
            </w:r>
          </w:p>
        </w:tc>
        <w:tc>
          <w:tcPr>
            <w:tcW w:w="637" w:type="pct"/>
            <w:vAlign w:val="center"/>
          </w:tcPr>
          <w:p w14:paraId="4E2E8EA1">
            <w:pPr>
              <w:spacing w:line="240" w:lineRule="auto"/>
              <w:ind w:firstLine="0" w:firstLineChars="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《北京市安全生产条例》第</w:t>
            </w:r>
            <w:r>
              <w:rPr>
                <w:rFonts w:hint="eastAsia" w:ascii="宋体" w:hAnsi="宋体" w:eastAsia="宋体" w:cs="宋体"/>
                <w:sz w:val="21"/>
                <w:szCs w:val="21"/>
                <w:highlight w:val="none"/>
                <w:lang w:val="en-US" w:eastAsia="zh-CN"/>
              </w:rPr>
              <w:t>四</w:t>
            </w:r>
            <w:r>
              <w:rPr>
                <w:rFonts w:hint="eastAsia" w:ascii="宋体" w:hAnsi="宋体" w:eastAsia="宋体" w:cs="宋体"/>
                <w:sz w:val="21"/>
                <w:szCs w:val="21"/>
                <w:highlight w:val="none"/>
              </w:rPr>
              <w:t>条</w:t>
            </w:r>
          </w:p>
        </w:tc>
        <w:tc>
          <w:tcPr>
            <w:tcW w:w="1681" w:type="pct"/>
            <w:shd w:val="clear" w:color="auto" w:fill="auto"/>
            <w:vAlign w:val="center"/>
          </w:tcPr>
          <w:p w14:paraId="7AA1A14F">
            <w:pPr>
              <w:overflowPunct w:val="0"/>
              <w:spacing w:line="240" w:lineRule="auto"/>
              <w:ind w:firstLine="0" w:firstLineChars="0"/>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佑美琪贸易公司提供了安全生产规章制度、安全会议情况、安全教育培训课件、考试记录及照片、劳保用品发放记录、安全事故隐患排查治理制度及现场检查照片、公众责任险、生产安全事故应急救援预案等文件、记录，落实了相关要求。</w:t>
            </w:r>
          </w:p>
        </w:tc>
      </w:tr>
      <w:tr w14:paraId="07F04E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53" w:type="pct"/>
            <w:vAlign w:val="center"/>
          </w:tcPr>
          <w:p w14:paraId="2FA175A8">
            <w:pPr>
              <w:numPr>
                <w:ilvl w:val="0"/>
                <w:numId w:val="1"/>
              </w:numPr>
              <w:tabs>
                <w:tab w:val="left" w:pos="1260"/>
              </w:tabs>
              <w:spacing w:line="240" w:lineRule="auto"/>
              <w:ind w:firstLine="17" w:firstLineChars="0"/>
              <w:jc w:val="center"/>
              <w:rPr>
                <w:rFonts w:hint="eastAsia" w:ascii="宋体" w:hAnsi="宋体" w:eastAsia="宋体" w:cs="宋体"/>
                <w:sz w:val="21"/>
                <w:szCs w:val="21"/>
                <w:highlight w:val="none"/>
              </w:rPr>
            </w:pPr>
          </w:p>
        </w:tc>
        <w:tc>
          <w:tcPr>
            <w:tcW w:w="2427" w:type="pct"/>
            <w:vAlign w:val="center"/>
          </w:tcPr>
          <w:p w14:paraId="6767B775">
            <w:pPr>
              <w:spacing w:line="24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生产经营单位的主要负责人应当依法履行本单位安全生产管理职责，定期组织研究安全生产工作，每年向职工代表大会或者职工大会报告安全生产工作情况；依法不需要建立职工代表大会或者职工大会的小型、微型企业等规模较小的生产经营单位，应当每年向从业人员通报安全生产工作情况。</w:t>
            </w:r>
          </w:p>
        </w:tc>
        <w:tc>
          <w:tcPr>
            <w:tcW w:w="637" w:type="pct"/>
            <w:vAlign w:val="center"/>
          </w:tcPr>
          <w:p w14:paraId="3A72EB8A">
            <w:pPr>
              <w:spacing w:line="240" w:lineRule="auto"/>
              <w:ind w:firstLine="0" w:firstLineChars="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《北京市安全生产条例》第十三条</w:t>
            </w:r>
          </w:p>
        </w:tc>
        <w:tc>
          <w:tcPr>
            <w:tcW w:w="1681" w:type="pct"/>
            <w:shd w:val="clear" w:color="auto" w:fill="auto"/>
            <w:vAlign w:val="center"/>
          </w:tcPr>
          <w:p w14:paraId="2FD19B1F">
            <w:pPr>
              <w:overflowPunct w:val="0"/>
              <w:spacing w:line="240" w:lineRule="auto"/>
              <w:ind w:firstLine="0" w:firstLine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sz w:val="21"/>
                <w:szCs w:val="21"/>
                <w:highlight w:val="none"/>
                <w:lang w:val="en-US" w:eastAsia="zh-CN"/>
              </w:rPr>
              <w:t>佑美琪贸易公司提供了安全生产规章制度、安全会议情况、安全教育培训课件、考试记录及照片、安全事故隐患排查治理制度及现场检查照片等文件、记录，落实了相关要求。</w:t>
            </w:r>
          </w:p>
        </w:tc>
      </w:tr>
      <w:tr w14:paraId="3882AC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53" w:type="pct"/>
            <w:vAlign w:val="center"/>
          </w:tcPr>
          <w:p w14:paraId="35F993B5">
            <w:pPr>
              <w:numPr>
                <w:ilvl w:val="0"/>
                <w:numId w:val="1"/>
              </w:numPr>
              <w:tabs>
                <w:tab w:val="left" w:pos="1260"/>
              </w:tabs>
              <w:spacing w:line="240" w:lineRule="auto"/>
              <w:ind w:firstLineChars="0"/>
              <w:jc w:val="center"/>
              <w:rPr>
                <w:rFonts w:hint="eastAsia" w:ascii="宋体" w:hAnsi="宋体" w:eastAsia="宋体" w:cs="宋体"/>
                <w:sz w:val="21"/>
                <w:szCs w:val="21"/>
                <w:highlight w:val="none"/>
              </w:rPr>
            </w:pPr>
          </w:p>
        </w:tc>
        <w:tc>
          <w:tcPr>
            <w:tcW w:w="2427" w:type="pct"/>
            <w:vAlign w:val="center"/>
          </w:tcPr>
          <w:p w14:paraId="7B1E8CE1">
            <w:pPr>
              <w:spacing w:line="24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生产经营单位的主要负责人应当依照安全生产法的规定，组织落实全员安全生产责任制，明确各岗位的责任人员、责任范围和考核标准等内容，并加强对落实情况的监督考核。</w:t>
            </w:r>
          </w:p>
        </w:tc>
        <w:tc>
          <w:tcPr>
            <w:tcW w:w="637" w:type="pct"/>
            <w:vAlign w:val="center"/>
          </w:tcPr>
          <w:p w14:paraId="285ED072">
            <w:pPr>
              <w:spacing w:line="240" w:lineRule="auto"/>
              <w:ind w:left="-105" w:leftChars="-50" w:right="-105" w:rightChars="-50" w:firstLine="0" w:firstLineChars="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《北京市安全生产条例》第十四条</w:t>
            </w:r>
          </w:p>
        </w:tc>
        <w:tc>
          <w:tcPr>
            <w:tcW w:w="1681" w:type="pct"/>
            <w:vAlign w:val="center"/>
          </w:tcPr>
          <w:p w14:paraId="3E3E4FC5">
            <w:pPr>
              <w:snapToGrid w:val="0"/>
              <w:spacing w:line="276" w:lineRule="auto"/>
              <w:ind w:left="0" w:leftChars="0" w:firstLine="0" w:firstLineChars="0"/>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佑美琪贸易公司提供了安全生产规章制度、安全教育培训课件、考试记录及照片等文件、记录，落实了相关要求。</w:t>
            </w:r>
          </w:p>
        </w:tc>
      </w:tr>
      <w:tr w14:paraId="549825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53" w:type="pct"/>
            <w:vAlign w:val="center"/>
          </w:tcPr>
          <w:p w14:paraId="15F9251B">
            <w:pPr>
              <w:numPr>
                <w:ilvl w:val="0"/>
                <w:numId w:val="1"/>
              </w:numPr>
              <w:tabs>
                <w:tab w:val="left" w:pos="1260"/>
              </w:tabs>
              <w:spacing w:line="240" w:lineRule="auto"/>
              <w:ind w:firstLineChars="0"/>
              <w:jc w:val="center"/>
              <w:rPr>
                <w:rFonts w:hint="eastAsia" w:ascii="宋体" w:hAnsi="宋体" w:eastAsia="宋体" w:cs="宋体"/>
                <w:sz w:val="21"/>
                <w:szCs w:val="21"/>
                <w:highlight w:val="none"/>
              </w:rPr>
            </w:pPr>
          </w:p>
        </w:tc>
        <w:tc>
          <w:tcPr>
            <w:tcW w:w="2427" w:type="pct"/>
            <w:vAlign w:val="center"/>
          </w:tcPr>
          <w:p w14:paraId="07DE7185">
            <w:pPr>
              <w:spacing w:line="24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生产经营单位的主要负责人应当依照安全生产法的规定，组织制定下列安全生产规章制度并督促落实：</w:t>
            </w:r>
          </w:p>
          <w:p w14:paraId="687BF0D6">
            <w:pPr>
              <w:spacing w:line="24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（1）安全生产教育和培训制度；</w:t>
            </w:r>
          </w:p>
          <w:p w14:paraId="08A65C9C">
            <w:pPr>
              <w:spacing w:line="24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（2）安全生产检查制度；</w:t>
            </w:r>
          </w:p>
          <w:p w14:paraId="62F5C7E1">
            <w:pPr>
              <w:spacing w:line="24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（3）安全风险分级管控制度；</w:t>
            </w:r>
          </w:p>
          <w:p w14:paraId="238C8395">
            <w:pPr>
              <w:spacing w:line="24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（4）生产安全事故隐患排查治理制度；</w:t>
            </w:r>
          </w:p>
          <w:p w14:paraId="7D9083B4">
            <w:pPr>
              <w:spacing w:line="24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（5）劳动防护用品配备和管理制度；</w:t>
            </w:r>
          </w:p>
          <w:p w14:paraId="30A6BCA4">
            <w:pPr>
              <w:spacing w:line="24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（6）生产安全事故报告和处理制度；</w:t>
            </w:r>
          </w:p>
          <w:p w14:paraId="79A07BA5">
            <w:pPr>
              <w:spacing w:line="24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（7）其他保障安全生产的规章制度。</w:t>
            </w:r>
          </w:p>
        </w:tc>
        <w:tc>
          <w:tcPr>
            <w:tcW w:w="637" w:type="pct"/>
            <w:vAlign w:val="center"/>
          </w:tcPr>
          <w:p w14:paraId="1B3172F2">
            <w:pPr>
              <w:spacing w:line="240" w:lineRule="auto"/>
              <w:ind w:left="-105" w:leftChars="-50" w:right="-105" w:rightChars="-50" w:firstLine="0" w:firstLineChars="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《北京市安全生产条例》第十五条</w:t>
            </w:r>
          </w:p>
        </w:tc>
        <w:tc>
          <w:tcPr>
            <w:tcW w:w="1681" w:type="pct"/>
            <w:shd w:val="clear" w:color="auto" w:fill="auto"/>
            <w:vAlign w:val="center"/>
          </w:tcPr>
          <w:p w14:paraId="77CE0CB0">
            <w:pPr>
              <w:overflowPunct w:val="0"/>
              <w:spacing w:line="240" w:lineRule="auto"/>
              <w:ind w:firstLine="0" w:firstLineChars="0"/>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佑美琪贸易公司提供了安全生产规章制度、安全会议情况、安全教育培训课件、考试记录及照片、劳保用品发放记录、安全事故隐患排查治理制度及现场检查照片、公众责任险、生产安全事故应急救援预案等文件、记录，落实了相关要求。</w:t>
            </w:r>
          </w:p>
        </w:tc>
      </w:tr>
      <w:tr w14:paraId="5E4FE1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53" w:type="pct"/>
            <w:vAlign w:val="center"/>
          </w:tcPr>
          <w:p w14:paraId="66D2FFEF">
            <w:pPr>
              <w:numPr>
                <w:ilvl w:val="0"/>
                <w:numId w:val="1"/>
              </w:numPr>
              <w:tabs>
                <w:tab w:val="left" w:pos="1260"/>
              </w:tabs>
              <w:spacing w:line="240" w:lineRule="auto"/>
              <w:ind w:firstLineChars="0"/>
              <w:jc w:val="center"/>
              <w:rPr>
                <w:rFonts w:hint="eastAsia" w:ascii="宋体" w:hAnsi="宋体" w:eastAsia="宋体" w:cs="宋体"/>
                <w:sz w:val="21"/>
                <w:szCs w:val="21"/>
                <w:highlight w:val="none"/>
              </w:rPr>
            </w:pPr>
          </w:p>
        </w:tc>
        <w:tc>
          <w:tcPr>
            <w:tcW w:w="2427" w:type="pct"/>
            <w:vAlign w:val="center"/>
          </w:tcPr>
          <w:p w14:paraId="08403E84">
            <w:pPr>
              <w:spacing w:line="240" w:lineRule="auto"/>
              <w:ind w:firstLine="0" w:firstLineChars="0"/>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生产经营单位的决策机构、主要负责人或者个人经营的投资人应当保证安全生产所必需的资金投入，并专项用于下列安全生产事项：</w:t>
            </w:r>
          </w:p>
          <w:p w14:paraId="74102655">
            <w:pPr>
              <w:spacing w:line="240" w:lineRule="auto"/>
              <w:ind w:firstLine="0" w:firstLineChars="0"/>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（1）安全技术措施工程建设；</w:t>
            </w:r>
          </w:p>
          <w:p w14:paraId="07315F7C">
            <w:pPr>
              <w:spacing w:line="240" w:lineRule="auto"/>
              <w:ind w:firstLine="0" w:firstLineChars="0"/>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（2）安全设备、设施的更新和维护；</w:t>
            </w:r>
          </w:p>
          <w:p w14:paraId="5634CBF4">
            <w:pPr>
              <w:spacing w:line="240" w:lineRule="auto"/>
              <w:ind w:firstLine="0" w:firstLineChars="0"/>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（3）安全生产宣传、教育和培训；</w:t>
            </w:r>
          </w:p>
          <w:p w14:paraId="3317DEB7">
            <w:pPr>
              <w:spacing w:line="240" w:lineRule="auto"/>
              <w:ind w:firstLine="0" w:firstLineChars="0"/>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（4）劳动防护用品配备；</w:t>
            </w:r>
          </w:p>
          <w:p w14:paraId="66F43F02">
            <w:pPr>
              <w:spacing w:line="240" w:lineRule="auto"/>
              <w:ind w:firstLine="0" w:firstLineChars="0"/>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（5）重大危险源监控；</w:t>
            </w:r>
          </w:p>
          <w:p w14:paraId="742DC3F5">
            <w:pPr>
              <w:spacing w:line="240" w:lineRule="auto"/>
              <w:ind w:firstLine="0" w:firstLineChars="0"/>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（6）安全风险评估和隐患排查治理；</w:t>
            </w:r>
          </w:p>
          <w:p w14:paraId="38612A6D">
            <w:pPr>
              <w:spacing w:line="240" w:lineRule="auto"/>
              <w:ind w:firstLine="0" w:firstLineChars="0"/>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（7）生产安全事故应急救援演练；</w:t>
            </w:r>
          </w:p>
          <w:p w14:paraId="029B7548">
            <w:pPr>
              <w:spacing w:line="240" w:lineRule="auto"/>
              <w:ind w:firstLine="0" w:firstLineChars="0"/>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（8）应急救援队伍建设或者救援服务；</w:t>
            </w:r>
          </w:p>
          <w:p w14:paraId="55FF41BC">
            <w:pPr>
              <w:spacing w:line="240" w:lineRule="auto"/>
              <w:ind w:firstLine="0" w:firstLineChars="0"/>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（9）其他保障安全生产的事项。</w:t>
            </w:r>
          </w:p>
        </w:tc>
        <w:tc>
          <w:tcPr>
            <w:tcW w:w="637" w:type="pct"/>
            <w:vAlign w:val="center"/>
          </w:tcPr>
          <w:p w14:paraId="378BD7A9">
            <w:pPr>
              <w:spacing w:line="240" w:lineRule="auto"/>
              <w:ind w:firstLine="0" w:firstLineChars="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《北京市安全生产条例》第十八条</w:t>
            </w:r>
          </w:p>
        </w:tc>
        <w:tc>
          <w:tcPr>
            <w:tcW w:w="1681" w:type="pct"/>
            <w:shd w:val="clear" w:color="auto" w:fill="auto"/>
            <w:vAlign w:val="center"/>
          </w:tcPr>
          <w:p w14:paraId="1FD57FCA">
            <w:pPr>
              <w:snapToGrid w:val="0"/>
              <w:spacing w:line="276" w:lineRule="auto"/>
              <w:ind w:left="0" w:leftChars="0" w:firstLine="0" w:firstLineChars="0"/>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佑美琪贸易公司提供了劳保用品发放记录、公众责任险等文件、记录，落实了相关要求。</w:t>
            </w:r>
          </w:p>
        </w:tc>
      </w:tr>
      <w:tr w14:paraId="66ACD6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53" w:type="pct"/>
            <w:vAlign w:val="center"/>
          </w:tcPr>
          <w:p w14:paraId="1AC440DA">
            <w:pPr>
              <w:numPr>
                <w:ilvl w:val="0"/>
                <w:numId w:val="1"/>
              </w:numPr>
              <w:tabs>
                <w:tab w:val="left" w:pos="1260"/>
              </w:tabs>
              <w:spacing w:line="240" w:lineRule="auto"/>
              <w:ind w:firstLineChars="0"/>
              <w:jc w:val="center"/>
              <w:rPr>
                <w:rFonts w:hint="eastAsia" w:ascii="宋体" w:hAnsi="宋体" w:eastAsia="宋体" w:cs="宋体"/>
                <w:sz w:val="21"/>
                <w:szCs w:val="21"/>
                <w:highlight w:val="none"/>
              </w:rPr>
            </w:pPr>
          </w:p>
        </w:tc>
        <w:tc>
          <w:tcPr>
            <w:tcW w:w="2427" w:type="pct"/>
            <w:vAlign w:val="center"/>
          </w:tcPr>
          <w:p w14:paraId="3098F1C5">
            <w:pPr>
              <w:spacing w:line="240" w:lineRule="auto"/>
              <w:ind w:firstLine="0" w:firstLineChars="0"/>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本条例第十九条规定以外行业的生产经营单位，从业人员超过一百人的，应当设置安全生产管理机构或者配备专职安全生产管理人员；从业人员在一百人以下的，应当配备专职或者兼职的安全生产管理人员。</w:t>
            </w:r>
          </w:p>
        </w:tc>
        <w:tc>
          <w:tcPr>
            <w:tcW w:w="637" w:type="pct"/>
            <w:vAlign w:val="center"/>
          </w:tcPr>
          <w:p w14:paraId="065310DB">
            <w:pPr>
              <w:spacing w:line="240" w:lineRule="auto"/>
              <w:ind w:firstLine="0" w:firstLineChars="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《北京市安全生产条例》第二十条</w:t>
            </w:r>
          </w:p>
        </w:tc>
        <w:tc>
          <w:tcPr>
            <w:tcW w:w="1681" w:type="pct"/>
            <w:vAlign w:val="center"/>
          </w:tcPr>
          <w:p w14:paraId="45E819BD">
            <w:pPr>
              <w:overflowPunct w:val="0"/>
              <w:spacing w:line="240" w:lineRule="auto"/>
              <w:ind w:firstLine="0" w:firstLineChars="0"/>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佑美琪贸易公司提供了安全生产规章制度、安全会议情况、安全教育培训课件、考试记录及照片等文件、记录，未明确</w:t>
            </w:r>
            <w:r>
              <w:rPr>
                <w:rFonts w:hint="eastAsia" w:ascii="宋体" w:hAnsi="宋体" w:eastAsia="宋体" w:cs="宋体"/>
                <w:sz w:val="21"/>
                <w:szCs w:val="21"/>
                <w:highlight w:val="none"/>
              </w:rPr>
              <w:t>专职或者兼职的安全生产管理人员</w:t>
            </w:r>
            <w:r>
              <w:rPr>
                <w:rFonts w:hint="eastAsia" w:ascii="宋体" w:hAnsi="宋体" w:eastAsia="宋体" w:cs="宋体"/>
                <w:sz w:val="21"/>
                <w:szCs w:val="21"/>
                <w:highlight w:val="none"/>
                <w:lang w:val="en-US" w:eastAsia="zh-CN"/>
              </w:rPr>
              <w:t>。</w:t>
            </w:r>
          </w:p>
        </w:tc>
      </w:tr>
      <w:tr w14:paraId="72CF62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53" w:type="pct"/>
            <w:vAlign w:val="center"/>
          </w:tcPr>
          <w:p w14:paraId="7F4935A0">
            <w:pPr>
              <w:numPr>
                <w:ilvl w:val="0"/>
                <w:numId w:val="1"/>
              </w:numPr>
              <w:tabs>
                <w:tab w:val="left" w:pos="1260"/>
              </w:tabs>
              <w:spacing w:line="240" w:lineRule="auto"/>
              <w:ind w:firstLineChars="0"/>
              <w:jc w:val="center"/>
              <w:rPr>
                <w:rFonts w:hint="eastAsia" w:ascii="宋体" w:hAnsi="宋体" w:eastAsia="宋体" w:cs="宋体"/>
                <w:sz w:val="21"/>
                <w:szCs w:val="21"/>
                <w:highlight w:val="none"/>
              </w:rPr>
            </w:pPr>
          </w:p>
        </w:tc>
        <w:tc>
          <w:tcPr>
            <w:tcW w:w="2427" w:type="pct"/>
            <w:vAlign w:val="center"/>
          </w:tcPr>
          <w:p w14:paraId="2B8967E4">
            <w:pPr>
              <w:spacing w:line="240" w:lineRule="auto"/>
              <w:ind w:firstLine="0" w:firstLineChars="0"/>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生产经营单位的安全生产管理机构以及安全生产管理人员应当履行安全生产法规定的职责，并依法参与生产安全事故调查处理。</w:t>
            </w:r>
          </w:p>
        </w:tc>
        <w:tc>
          <w:tcPr>
            <w:tcW w:w="637" w:type="pct"/>
            <w:vAlign w:val="center"/>
          </w:tcPr>
          <w:p w14:paraId="2DD9B19A">
            <w:pPr>
              <w:spacing w:line="240" w:lineRule="auto"/>
              <w:ind w:firstLine="0" w:firstLineChars="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《北京市安全生产条例》第二十一条</w:t>
            </w:r>
          </w:p>
        </w:tc>
        <w:tc>
          <w:tcPr>
            <w:tcW w:w="1681" w:type="pct"/>
            <w:vAlign w:val="center"/>
          </w:tcPr>
          <w:p w14:paraId="45C92627">
            <w:pPr>
              <w:spacing w:line="240" w:lineRule="auto"/>
              <w:ind w:firstLine="0" w:firstLineChars="0"/>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佑美琪贸易公司提供了施工生产安全事故应急救援预案等文件，还需进一步完善。</w:t>
            </w:r>
          </w:p>
        </w:tc>
      </w:tr>
      <w:tr w14:paraId="2CF297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53" w:type="pct"/>
            <w:vAlign w:val="center"/>
          </w:tcPr>
          <w:p w14:paraId="0E789488">
            <w:pPr>
              <w:numPr>
                <w:ilvl w:val="0"/>
                <w:numId w:val="1"/>
              </w:numPr>
              <w:tabs>
                <w:tab w:val="left" w:pos="1260"/>
              </w:tabs>
              <w:spacing w:line="240" w:lineRule="auto"/>
              <w:ind w:firstLineChars="0"/>
              <w:jc w:val="center"/>
              <w:rPr>
                <w:rFonts w:hint="eastAsia" w:ascii="宋体" w:hAnsi="宋体" w:eastAsia="宋体" w:cs="宋体"/>
                <w:sz w:val="21"/>
                <w:szCs w:val="21"/>
                <w:highlight w:val="none"/>
              </w:rPr>
            </w:pPr>
          </w:p>
        </w:tc>
        <w:tc>
          <w:tcPr>
            <w:tcW w:w="2427" w:type="pct"/>
            <w:vAlign w:val="center"/>
          </w:tcPr>
          <w:p w14:paraId="03D593F5">
            <w:pPr>
              <w:spacing w:line="240" w:lineRule="auto"/>
              <w:ind w:firstLine="0" w:firstLineChars="0"/>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生产经营单位应当依照安全生产法的规定，开展或者委托第三方对从业人员开展安全生产教育和培训。安全生产教育和培训主要包括下列内容：</w:t>
            </w:r>
          </w:p>
          <w:p w14:paraId="1844C162">
            <w:pPr>
              <w:spacing w:line="240" w:lineRule="auto"/>
              <w:ind w:firstLine="0" w:firstLineChars="0"/>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（1）安全生产法律、法规、规章和相关标准；</w:t>
            </w:r>
          </w:p>
          <w:p w14:paraId="1E38A94B">
            <w:pPr>
              <w:spacing w:line="240" w:lineRule="auto"/>
              <w:ind w:firstLine="0" w:firstLineChars="0"/>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（2）安全生产规章制度和操作规程；</w:t>
            </w:r>
          </w:p>
          <w:p w14:paraId="6A64A627">
            <w:pPr>
              <w:spacing w:line="240" w:lineRule="auto"/>
              <w:ind w:firstLine="0" w:firstLineChars="0"/>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（3）岗位安全操作技能；</w:t>
            </w:r>
          </w:p>
          <w:p w14:paraId="35CCA7BF">
            <w:pPr>
              <w:spacing w:line="240" w:lineRule="auto"/>
              <w:ind w:firstLine="0" w:firstLineChars="0"/>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（4）安全设备、设施、工具、劳动防护用品的使用、维护和保管知识；</w:t>
            </w:r>
          </w:p>
          <w:p w14:paraId="26EC6F11">
            <w:pPr>
              <w:spacing w:line="240" w:lineRule="auto"/>
              <w:ind w:firstLine="0" w:firstLineChars="0"/>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（5）生产安全事故防范和应急措施、自救互救知识，生产安全事故案例；</w:t>
            </w:r>
          </w:p>
          <w:p w14:paraId="4D2D5764">
            <w:pPr>
              <w:spacing w:line="240" w:lineRule="auto"/>
              <w:ind w:firstLine="0" w:firstLineChars="0"/>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（6）其他需要培训的内容。</w:t>
            </w:r>
          </w:p>
        </w:tc>
        <w:tc>
          <w:tcPr>
            <w:tcW w:w="637" w:type="pct"/>
            <w:vAlign w:val="center"/>
          </w:tcPr>
          <w:p w14:paraId="1B513A17">
            <w:pPr>
              <w:spacing w:line="240" w:lineRule="auto"/>
              <w:ind w:firstLine="0" w:firstLineChars="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《北京市安全生产条例》第二十二条</w:t>
            </w:r>
          </w:p>
        </w:tc>
        <w:tc>
          <w:tcPr>
            <w:tcW w:w="1681" w:type="pct"/>
            <w:vAlign w:val="center"/>
          </w:tcPr>
          <w:p w14:paraId="66FF6F09">
            <w:pPr>
              <w:overflowPunct w:val="0"/>
              <w:spacing w:line="240" w:lineRule="auto"/>
              <w:ind w:firstLine="0" w:firstLineChars="0"/>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佑美琪贸易公司提供了安全生产规章制度、安全会议情况、安全教育培训课件、考试记录及照片、安全事故隐患排查治理制度及现场检查照片等文件、记录，落实了相关要求。</w:t>
            </w:r>
          </w:p>
        </w:tc>
      </w:tr>
      <w:tr w14:paraId="537841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53" w:type="pct"/>
            <w:vAlign w:val="center"/>
          </w:tcPr>
          <w:p w14:paraId="261C9847">
            <w:pPr>
              <w:numPr>
                <w:ilvl w:val="0"/>
                <w:numId w:val="1"/>
              </w:numPr>
              <w:tabs>
                <w:tab w:val="left" w:pos="1260"/>
              </w:tabs>
              <w:spacing w:line="240" w:lineRule="auto"/>
              <w:ind w:firstLineChars="0"/>
              <w:jc w:val="center"/>
              <w:rPr>
                <w:rFonts w:hint="eastAsia" w:ascii="宋体" w:hAnsi="宋体" w:eastAsia="宋体" w:cs="宋体"/>
                <w:sz w:val="21"/>
                <w:szCs w:val="21"/>
                <w:highlight w:val="none"/>
              </w:rPr>
            </w:pPr>
          </w:p>
        </w:tc>
        <w:tc>
          <w:tcPr>
            <w:tcW w:w="2427" w:type="pct"/>
            <w:vAlign w:val="center"/>
          </w:tcPr>
          <w:p w14:paraId="23C3C538">
            <w:pPr>
              <w:spacing w:line="240" w:lineRule="auto"/>
              <w:ind w:firstLine="0" w:firstLineChars="0"/>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生产经营单位对存在较大危险因素的设备、设施应当设置明显的安全警示标志，并安装必要的安全防护装置；安全防护装置应当符合国家标准、行业标准，不得违反规定拆除或者停止使用。</w:t>
            </w:r>
          </w:p>
        </w:tc>
        <w:tc>
          <w:tcPr>
            <w:tcW w:w="637" w:type="pct"/>
            <w:vAlign w:val="center"/>
          </w:tcPr>
          <w:p w14:paraId="5DD716D3">
            <w:pPr>
              <w:spacing w:line="240" w:lineRule="auto"/>
              <w:ind w:firstLine="0" w:firstLineChars="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《北京市安全生产条例》第二十五条</w:t>
            </w:r>
          </w:p>
        </w:tc>
        <w:tc>
          <w:tcPr>
            <w:tcW w:w="1681" w:type="pct"/>
            <w:vAlign w:val="center"/>
          </w:tcPr>
          <w:p w14:paraId="0D890F0D">
            <w:pPr>
              <w:overflowPunct w:val="0"/>
              <w:spacing w:line="240" w:lineRule="auto"/>
              <w:ind w:firstLine="0" w:firstLineChars="0"/>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佑美琪贸易公司提供了安全带等防护用品，落实了相关要求。</w:t>
            </w:r>
          </w:p>
        </w:tc>
      </w:tr>
      <w:tr w14:paraId="3A37CE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53" w:type="pct"/>
            <w:vAlign w:val="center"/>
          </w:tcPr>
          <w:p w14:paraId="3A53DE21">
            <w:pPr>
              <w:numPr>
                <w:ilvl w:val="0"/>
                <w:numId w:val="1"/>
              </w:numPr>
              <w:tabs>
                <w:tab w:val="left" w:pos="1260"/>
              </w:tabs>
              <w:spacing w:line="240" w:lineRule="auto"/>
              <w:ind w:firstLineChars="0"/>
              <w:jc w:val="center"/>
              <w:rPr>
                <w:rFonts w:hint="eastAsia" w:ascii="宋体" w:hAnsi="宋体" w:eastAsia="宋体" w:cs="宋体"/>
                <w:sz w:val="21"/>
                <w:szCs w:val="21"/>
                <w:highlight w:val="none"/>
              </w:rPr>
            </w:pPr>
          </w:p>
        </w:tc>
        <w:tc>
          <w:tcPr>
            <w:tcW w:w="2427" w:type="pct"/>
            <w:vAlign w:val="center"/>
          </w:tcPr>
          <w:p w14:paraId="4DAF2BAD">
            <w:pPr>
              <w:spacing w:line="240" w:lineRule="auto"/>
              <w:ind w:firstLine="0" w:firstLineChars="0"/>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生产经营单位应当按照下列规定开展安全风险分级管控：</w:t>
            </w:r>
          </w:p>
          <w:p w14:paraId="786BD5C1">
            <w:pPr>
              <w:spacing w:line="240" w:lineRule="auto"/>
              <w:ind w:firstLine="0" w:firstLineChars="0"/>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（1）根据本单位生产经营活动的特点，制定安全风险辨识程序和方法，全面开展安全风险辨识和评估；</w:t>
            </w:r>
          </w:p>
          <w:p w14:paraId="15976800">
            <w:pPr>
              <w:spacing w:line="240" w:lineRule="auto"/>
              <w:ind w:firstLine="0" w:firstLineChars="0"/>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（2）对辨识出的安全风险进行分类梳理，确定安全风险等级；</w:t>
            </w:r>
          </w:p>
          <w:p w14:paraId="5E41686E">
            <w:pPr>
              <w:spacing w:line="240" w:lineRule="auto"/>
              <w:ind w:firstLine="0" w:firstLineChars="0"/>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（3）从制度、技术、应急等方面，对安全风险进行有效管控；</w:t>
            </w:r>
          </w:p>
          <w:p w14:paraId="0AB2A973">
            <w:pPr>
              <w:spacing w:line="240" w:lineRule="auto"/>
              <w:ind w:firstLine="0" w:firstLineChars="0"/>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（4）建立安全风险公告制度，告知从业人员安全风险基本情况和防范措施。</w:t>
            </w:r>
          </w:p>
        </w:tc>
        <w:tc>
          <w:tcPr>
            <w:tcW w:w="637" w:type="pct"/>
            <w:vAlign w:val="center"/>
          </w:tcPr>
          <w:p w14:paraId="2EC3F28B">
            <w:pPr>
              <w:spacing w:line="240" w:lineRule="auto"/>
              <w:ind w:firstLine="0" w:firstLineChars="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《北京市安全生产条例》第二十七条</w:t>
            </w:r>
          </w:p>
        </w:tc>
        <w:tc>
          <w:tcPr>
            <w:tcW w:w="1681" w:type="pct"/>
            <w:vAlign w:val="center"/>
          </w:tcPr>
          <w:p w14:paraId="5E0007AC">
            <w:pPr>
              <w:snapToGrid w:val="0"/>
              <w:spacing w:line="276" w:lineRule="auto"/>
              <w:ind w:left="0" w:leftChars="0" w:firstLine="0" w:firstLineChars="0"/>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佑美琪贸易公司提供了安全生产规章制度、安全会议情况、安全教育培训课件、考试记录及照片、安全事故隐患排查治理制度及现场检查照片等文件、记录。</w:t>
            </w:r>
          </w:p>
        </w:tc>
      </w:tr>
      <w:tr w14:paraId="350112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53" w:type="pct"/>
            <w:vAlign w:val="center"/>
          </w:tcPr>
          <w:p w14:paraId="753E1873">
            <w:pPr>
              <w:numPr>
                <w:ilvl w:val="0"/>
                <w:numId w:val="1"/>
              </w:numPr>
              <w:tabs>
                <w:tab w:val="left" w:pos="1260"/>
              </w:tabs>
              <w:spacing w:line="240" w:lineRule="auto"/>
              <w:ind w:firstLineChars="0"/>
              <w:jc w:val="center"/>
              <w:rPr>
                <w:rFonts w:hint="eastAsia" w:ascii="宋体" w:hAnsi="宋体" w:eastAsia="宋体" w:cs="宋体"/>
                <w:sz w:val="21"/>
                <w:szCs w:val="21"/>
                <w:highlight w:val="none"/>
              </w:rPr>
            </w:pPr>
          </w:p>
        </w:tc>
        <w:tc>
          <w:tcPr>
            <w:tcW w:w="2427" w:type="pct"/>
            <w:vAlign w:val="center"/>
          </w:tcPr>
          <w:p w14:paraId="59A2C6F4">
            <w:pPr>
              <w:spacing w:line="240" w:lineRule="auto"/>
              <w:ind w:firstLine="0" w:firstLineChars="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生产经营单位进行爆破、吊装、动火、临时用电以及国家规定的其他危险作业，应当严格遵守安全生产法关于危险作业管理的规定，以及有关操作规程和安全措施。</w:t>
            </w:r>
          </w:p>
        </w:tc>
        <w:tc>
          <w:tcPr>
            <w:tcW w:w="637" w:type="pct"/>
            <w:vAlign w:val="center"/>
          </w:tcPr>
          <w:p w14:paraId="73804A80">
            <w:pPr>
              <w:spacing w:line="240" w:lineRule="auto"/>
              <w:ind w:firstLine="0" w:firstLineChars="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《北京市安全生产条例》第二十</w:t>
            </w:r>
            <w:r>
              <w:rPr>
                <w:rFonts w:hint="eastAsia" w:ascii="宋体" w:hAnsi="宋体" w:eastAsia="宋体" w:cs="宋体"/>
                <w:sz w:val="21"/>
                <w:szCs w:val="21"/>
                <w:highlight w:val="none"/>
                <w:lang w:val="en-US" w:eastAsia="zh-CN"/>
              </w:rPr>
              <w:t>八</w:t>
            </w:r>
            <w:r>
              <w:rPr>
                <w:rFonts w:hint="eastAsia" w:ascii="宋体" w:hAnsi="宋体" w:eastAsia="宋体" w:cs="宋体"/>
                <w:sz w:val="21"/>
                <w:szCs w:val="21"/>
                <w:highlight w:val="none"/>
              </w:rPr>
              <w:t>条</w:t>
            </w:r>
          </w:p>
        </w:tc>
        <w:tc>
          <w:tcPr>
            <w:tcW w:w="1681" w:type="pct"/>
            <w:vAlign w:val="center"/>
          </w:tcPr>
          <w:p w14:paraId="0A7D4A1A">
            <w:pPr>
              <w:overflowPunct w:val="0"/>
              <w:spacing w:line="240" w:lineRule="auto"/>
              <w:ind w:firstLine="0" w:firstLine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佑美琪贸易公司提供了安全生产规章制度，基本不涉及危险作业。</w:t>
            </w:r>
          </w:p>
        </w:tc>
      </w:tr>
      <w:tr w14:paraId="3DEC8F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53" w:type="pct"/>
            <w:vAlign w:val="center"/>
          </w:tcPr>
          <w:p w14:paraId="5668C7B9">
            <w:pPr>
              <w:numPr>
                <w:ilvl w:val="0"/>
                <w:numId w:val="1"/>
              </w:numPr>
              <w:tabs>
                <w:tab w:val="left" w:pos="1260"/>
              </w:tabs>
              <w:spacing w:line="240" w:lineRule="auto"/>
              <w:ind w:firstLineChars="0"/>
              <w:jc w:val="center"/>
              <w:rPr>
                <w:rFonts w:hint="eastAsia" w:ascii="宋体" w:hAnsi="宋体" w:eastAsia="宋体" w:cs="宋体"/>
                <w:sz w:val="21"/>
                <w:szCs w:val="21"/>
                <w:highlight w:val="none"/>
              </w:rPr>
            </w:pPr>
          </w:p>
        </w:tc>
        <w:tc>
          <w:tcPr>
            <w:tcW w:w="2427" w:type="pct"/>
            <w:vAlign w:val="center"/>
          </w:tcPr>
          <w:p w14:paraId="09FD2ECF">
            <w:pPr>
              <w:spacing w:line="240" w:lineRule="auto"/>
              <w:ind w:firstLine="0" w:firstLineChars="0"/>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生产经营单位进行悬吊、挖掘、油罐清洗、建设工程拆除、高处作业、临近高压输电线路作业、有限空间作业等，应当遵守下列规定：</w:t>
            </w:r>
          </w:p>
          <w:p w14:paraId="23358796">
            <w:pPr>
              <w:spacing w:line="240" w:lineRule="auto"/>
              <w:ind w:firstLine="0" w:firstLineChars="0"/>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（1）制定作业方案，按照本单位内部批准权限审批；</w:t>
            </w:r>
          </w:p>
          <w:p w14:paraId="2C120B52">
            <w:pPr>
              <w:spacing w:line="240" w:lineRule="auto"/>
              <w:ind w:firstLine="0" w:firstLineChars="0"/>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（2）安排负责现场管理的专门人员，确认现场作业条件、作业人员的上岗资质、身体状况符合安全作业要求；</w:t>
            </w:r>
          </w:p>
          <w:p w14:paraId="359D7E60">
            <w:pPr>
              <w:spacing w:line="240" w:lineRule="auto"/>
              <w:ind w:firstLine="0" w:firstLineChars="0"/>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（3）落实安全交底和技术交底，向作业人员详细说明作业内容、主要危险因素、作业安全要求和应急措施等内容；</w:t>
            </w:r>
          </w:p>
          <w:p w14:paraId="279A3D15">
            <w:pPr>
              <w:spacing w:line="240" w:lineRule="auto"/>
              <w:ind w:firstLine="0" w:firstLineChars="0"/>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（4）配备与现场作业活动相适应的劳动防护用品，以及相应的安全警示标志、安全防护设备、应急救援装备；</w:t>
            </w:r>
          </w:p>
          <w:p w14:paraId="14DACDF6">
            <w:pPr>
              <w:spacing w:line="240" w:lineRule="auto"/>
              <w:ind w:firstLine="0" w:firstLineChars="0"/>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（5）发现直接危及人身安全的紧急情况，立即采取应急措施，停止作业或者撤出作业人员。</w:t>
            </w:r>
          </w:p>
        </w:tc>
        <w:tc>
          <w:tcPr>
            <w:tcW w:w="637" w:type="pct"/>
            <w:vAlign w:val="center"/>
          </w:tcPr>
          <w:p w14:paraId="27192DC2">
            <w:pPr>
              <w:spacing w:line="240" w:lineRule="auto"/>
              <w:ind w:firstLine="0" w:firstLineChars="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《北京市安全生产条例》第二十九条</w:t>
            </w:r>
          </w:p>
        </w:tc>
        <w:tc>
          <w:tcPr>
            <w:tcW w:w="1681" w:type="pct"/>
            <w:vAlign w:val="center"/>
          </w:tcPr>
          <w:p w14:paraId="23E165EE">
            <w:pPr>
              <w:overflowPunct w:val="0"/>
              <w:spacing w:line="240" w:lineRule="auto"/>
              <w:ind w:firstLine="0" w:firstLine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sz w:val="21"/>
                <w:szCs w:val="21"/>
                <w:highlight w:val="none"/>
                <w:lang w:val="en-US" w:eastAsia="zh-CN"/>
              </w:rPr>
              <w:t>佑美琪贸易公司提供了安全生产规章制度、安全会议情况、安全教育培训课件、考试记录及照片、安全事故隐患排查治理制度及现场检查照片等文件、记录，落实了相关要求。</w:t>
            </w:r>
          </w:p>
        </w:tc>
      </w:tr>
      <w:tr w14:paraId="426946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53" w:type="pct"/>
            <w:vAlign w:val="center"/>
          </w:tcPr>
          <w:p w14:paraId="5FC915A6">
            <w:pPr>
              <w:numPr>
                <w:ilvl w:val="0"/>
                <w:numId w:val="1"/>
              </w:numPr>
              <w:tabs>
                <w:tab w:val="left" w:pos="1260"/>
              </w:tabs>
              <w:spacing w:line="240" w:lineRule="auto"/>
              <w:ind w:firstLineChars="0"/>
              <w:jc w:val="center"/>
              <w:rPr>
                <w:rFonts w:hint="eastAsia" w:ascii="宋体" w:hAnsi="宋体" w:eastAsia="宋体" w:cs="宋体"/>
                <w:sz w:val="21"/>
                <w:szCs w:val="21"/>
                <w:highlight w:val="none"/>
              </w:rPr>
            </w:pPr>
          </w:p>
        </w:tc>
        <w:tc>
          <w:tcPr>
            <w:tcW w:w="2427" w:type="pct"/>
            <w:vAlign w:val="center"/>
          </w:tcPr>
          <w:p w14:paraId="642155AE">
            <w:pPr>
              <w:spacing w:line="240" w:lineRule="auto"/>
              <w:ind w:firstLine="0" w:firstLineChars="0"/>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生产经营单位必须依法参加工伤保险，为从业人员缴纳保险费。</w:t>
            </w:r>
          </w:p>
        </w:tc>
        <w:tc>
          <w:tcPr>
            <w:tcW w:w="637" w:type="pct"/>
            <w:vAlign w:val="center"/>
          </w:tcPr>
          <w:p w14:paraId="1039621D">
            <w:pPr>
              <w:spacing w:line="240" w:lineRule="auto"/>
              <w:ind w:firstLine="0" w:firstLineChars="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《北京市安全生产条例》第三十六条</w:t>
            </w:r>
          </w:p>
        </w:tc>
        <w:tc>
          <w:tcPr>
            <w:tcW w:w="1681" w:type="pct"/>
            <w:vAlign w:val="center"/>
          </w:tcPr>
          <w:p w14:paraId="7CB1F74F">
            <w:pPr>
              <w:spacing w:line="240" w:lineRule="auto"/>
              <w:ind w:firstLine="0" w:firstLineChars="0"/>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佑美琪贸易公司提供了公众责任险保单，落实了相关要求。</w:t>
            </w:r>
          </w:p>
        </w:tc>
      </w:tr>
      <w:tr w14:paraId="2172A8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53" w:type="pct"/>
            <w:vAlign w:val="center"/>
          </w:tcPr>
          <w:p w14:paraId="702BC317">
            <w:pPr>
              <w:numPr>
                <w:ilvl w:val="0"/>
                <w:numId w:val="1"/>
              </w:numPr>
              <w:tabs>
                <w:tab w:val="left" w:pos="1260"/>
              </w:tabs>
              <w:spacing w:line="240" w:lineRule="auto"/>
              <w:ind w:firstLineChars="0"/>
              <w:jc w:val="center"/>
              <w:rPr>
                <w:rFonts w:hint="eastAsia" w:ascii="宋体" w:hAnsi="宋体" w:eastAsia="宋体" w:cs="宋体"/>
                <w:sz w:val="21"/>
                <w:szCs w:val="21"/>
                <w:highlight w:val="none"/>
              </w:rPr>
            </w:pPr>
          </w:p>
        </w:tc>
        <w:tc>
          <w:tcPr>
            <w:tcW w:w="2427" w:type="pct"/>
            <w:vAlign w:val="center"/>
          </w:tcPr>
          <w:p w14:paraId="4A814527">
            <w:pPr>
              <w:spacing w:line="240" w:lineRule="auto"/>
              <w:ind w:firstLine="0" w:firstLineChars="0"/>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生产经营单位应当通过作业场所公示、书面告知、答复、教育培训等方式将涉及安全生产的下列事项告知从业人员：</w:t>
            </w:r>
          </w:p>
          <w:p w14:paraId="24563AB7">
            <w:pPr>
              <w:spacing w:line="240" w:lineRule="auto"/>
              <w:ind w:firstLine="0" w:firstLineChars="0"/>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（1）作业场所和工作岗位存在的危险因素；</w:t>
            </w:r>
          </w:p>
          <w:p w14:paraId="5BD83991">
            <w:pPr>
              <w:spacing w:line="240" w:lineRule="auto"/>
              <w:ind w:firstLine="0" w:firstLineChars="0"/>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（2）已采取的防范生产安全事故的技术措施和管理措施；</w:t>
            </w:r>
          </w:p>
          <w:p w14:paraId="7FC81AF2">
            <w:pPr>
              <w:spacing w:line="240" w:lineRule="auto"/>
              <w:ind w:firstLine="0" w:firstLineChars="0"/>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（3）发生直接危及人身安全的紧急情况时的应急措施。</w:t>
            </w:r>
          </w:p>
          <w:p w14:paraId="07CCB6D2">
            <w:pPr>
              <w:spacing w:line="240" w:lineRule="auto"/>
              <w:ind w:firstLine="0" w:firstLineChars="0"/>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从业人员有权向生产经营单位了解前款规定的事项。</w:t>
            </w:r>
          </w:p>
        </w:tc>
        <w:tc>
          <w:tcPr>
            <w:tcW w:w="637" w:type="pct"/>
            <w:vAlign w:val="center"/>
          </w:tcPr>
          <w:p w14:paraId="64544DD9">
            <w:pPr>
              <w:spacing w:line="240" w:lineRule="auto"/>
              <w:ind w:firstLine="0" w:firstLineChars="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《北京市安全生产条例》第三十七条</w:t>
            </w:r>
          </w:p>
        </w:tc>
        <w:tc>
          <w:tcPr>
            <w:tcW w:w="1681" w:type="pct"/>
            <w:vAlign w:val="center"/>
          </w:tcPr>
          <w:p w14:paraId="6F72E90F">
            <w:pPr>
              <w:snapToGrid w:val="0"/>
              <w:spacing w:line="276" w:lineRule="auto"/>
              <w:ind w:left="0" w:leftChars="0" w:firstLine="0" w:firstLineChars="0"/>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佑美琪贸易公司提供了安全生产规章制度、安全会议情况、安全教育培训课件、考试记录及照片、安全事故隐患排查治理制度及现场检查照片等文件、记录，落实了相关要求。</w:t>
            </w:r>
          </w:p>
        </w:tc>
      </w:tr>
      <w:tr w14:paraId="6A1302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53" w:type="pct"/>
            <w:vAlign w:val="center"/>
          </w:tcPr>
          <w:p w14:paraId="25C9692B">
            <w:pPr>
              <w:numPr>
                <w:ilvl w:val="0"/>
                <w:numId w:val="1"/>
              </w:numPr>
              <w:tabs>
                <w:tab w:val="left" w:pos="1260"/>
              </w:tabs>
              <w:spacing w:line="240" w:lineRule="auto"/>
              <w:ind w:firstLineChars="0"/>
              <w:jc w:val="center"/>
              <w:rPr>
                <w:rFonts w:hint="eastAsia" w:ascii="宋体" w:hAnsi="宋体" w:eastAsia="宋体" w:cs="宋体"/>
                <w:sz w:val="21"/>
                <w:szCs w:val="21"/>
                <w:highlight w:val="none"/>
              </w:rPr>
            </w:pPr>
          </w:p>
          <w:p w14:paraId="55A21F6D">
            <w:pPr>
              <w:ind w:firstLine="420"/>
              <w:rPr>
                <w:rFonts w:hint="eastAsia" w:ascii="宋体" w:hAnsi="宋体" w:eastAsia="宋体" w:cs="宋体"/>
                <w:sz w:val="21"/>
                <w:szCs w:val="21"/>
                <w:highlight w:val="none"/>
              </w:rPr>
            </w:pPr>
          </w:p>
          <w:p w14:paraId="409CDCFD">
            <w:pPr>
              <w:ind w:firstLine="420"/>
              <w:rPr>
                <w:rFonts w:hint="eastAsia" w:ascii="宋体" w:hAnsi="宋体" w:eastAsia="宋体" w:cs="宋体"/>
                <w:sz w:val="21"/>
                <w:szCs w:val="21"/>
                <w:highlight w:val="none"/>
              </w:rPr>
            </w:pPr>
          </w:p>
          <w:p w14:paraId="3A2172C6">
            <w:pPr>
              <w:ind w:firstLine="420"/>
              <w:rPr>
                <w:rFonts w:hint="eastAsia" w:ascii="宋体" w:hAnsi="宋体" w:eastAsia="宋体" w:cs="宋体"/>
                <w:sz w:val="21"/>
                <w:szCs w:val="21"/>
                <w:highlight w:val="none"/>
              </w:rPr>
            </w:pPr>
          </w:p>
          <w:p w14:paraId="5A0AD2DB">
            <w:pPr>
              <w:ind w:firstLine="420"/>
              <w:rPr>
                <w:rFonts w:hint="eastAsia" w:ascii="宋体" w:hAnsi="宋体" w:eastAsia="宋体" w:cs="宋体"/>
                <w:sz w:val="21"/>
                <w:szCs w:val="21"/>
                <w:highlight w:val="none"/>
              </w:rPr>
            </w:pPr>
          </w:p>
          <w:p w14:paraId="612FD493">
            <w:pPr>
              <w:ind w:firstLine="420"/>
              <w:rPr>
                <w:rFonts w:hint="eastAsia" w:ascii="宋体" w:hAnsi="宋体" w:eastAsia="宋体" w:cs="宋体"/>
                <w:sz w:val="21"/>
                <w:szCs w:val="21"/>
                <w:highlight w:val="none"/>
              </w:rPr>
            </w:pPr>
          </w:p>
          <w:p w14:paraId="40AE23D4">
            <w:pPr>
              <w:numPr>
                <w:ilvl w:val="0"/>
                <w:numId w:val="0"/>
              </w:numPr>
              <w:spacing w:line="360" w:lineRule="auto"/>
              <w:ind w:firstLine="420" w:firstLineChars="200"/>
              <w:jc w:val="both"/>
              <w:rPr>
                <w:rFonts w:hint="eastAsia" w:ascii="宋体" w:hAnsi="宋体" w:eastAsia="宋体" w:cs="宋体"/>
                <w:sz w:val="21"/>
                <w:szCs w:val="21"/>
                <w:highlight w:val="none"/>
              </w:rPr>
            </w:pPr>
          </w:p>
        </w:tc>
        <w:tc>
          <w:tcPr>
            <w:tcW w:w="2427" w:type="pct"/>
            <w:vAlign w:val="center"/>
          </w:tcPr>
          <w:p w14:paraId="70BEC253">
            <w:pPr>
              <w:spacing w:line="240" w:lineRule="auto"/>
              <w:ind w:firstLine="0" w:firstLineChars="0"/>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生产经营单位应当制定本单位生产安全事故应急救援预案，与市、区人民政府组织制定的生产安全事故应急救援预案相衔接，并定期组织演练。</w:t>
            </w:r>
          </w:p>
          <w:p w14:paraId="58917B02">
            <w:pPr>
              <w:spacing w:line="240" w:lineRule="auto"/>
              <w:ind w:firstLine="0" w:firstLineChars="0"/>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生产经营单位制定的生产安全事故应急救援预案主要包括下列内容：</w:t>
            </w:r>
          </w:p>
          <w:p w14:paraId="688EE7CB">
            <w:pPr>
              <w:spacing w:line="240" w:lineRule="auto"/>
              <w:ind w:firstLine="0" w:firstLineChars="0"/>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（1）应急救援组织及其职责；</w:t>
            </w:r>
          </w:p>
          <w:p w14:paraId="4900828B">
            <w:pPr>
              <w:spacing w:line="240" w:lineRule="auto"/>
              <w:ind w:firstLine="0" w:firstLineChars="0"/>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（2）危险目标的确定和潜在危险性评估；</w:t>
            </w:r>
          </w:p>
          <w:p w14:paraId="0836051E">
            <w:pPr>
              <w:spacing w:line="240" w:lineRule="auto"/>
              <w:ind w:firstLine="0" w:firstLineChars="0"/>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（3）应急救援预案启动程序；</w:t>
            </w:r>
          </w:p>
          <w:p w14:paraId="561F0C6A">
            <w:pPr>
              <w:spacing w:line="240" w:lineRule="auto"/>
              <w:ind w:firstLine="0" w:firstLineChars="0"/>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（4）紧急处置措施方案；</w:t>
            </w:r>
          </w:p>
          <w:p w14:paraId="7906A1B2">
            <w:pPr>
              <w:spacing w:line="240" w:lineRule="auto"/>
              <w:ind w:firstLine="0" w:firstLineChars="0"/>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（5）应急救援组织的训练和演练；</w:t>
            </w:r>
          </w:p>
          <w:p w14:paraId="1E29779D">
            <w:pPr>
              <w:spacing w:line="240" w:lineRule="auto"/>
              <w:ind w:firstLine="0" w:firstLineChars="0"/>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（6）应急救援设备器材的储备；</w:t>
            </w:r>
          </w:p>
          <w:p w14:paraId="33B9F031">
            <w:pPr>
              <w:spacing w:line="240" w:lineRule="auto"/>
              <w:ind w:firstLine="0" w:firstLineChars="0"/>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（7）经费保障；</w:t>
            </w:r>
          </w:p>
          <w:p w14:paraId="62B7A9BB">
            <w:pPr>
              <w:spacing w:line="240" w:lineRule="auto"/>
              <w:ind w:firstLine="0" w:firstLineChars="0"/>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（8）其他事项。</w:t>
            </w:r>
          </w:p>
        </w:tc>
        <w:tc>
          <w:tcPr>
            <w:tcW w:w="637" w:type="pct"/>
            <w:vAlign w:val="center"/>
          </w:tcPr>
          <w:p w14:paraId="1DD5AF4F">
            <w:pPr>
              <w:spacing w:line="240" w:lineRule="auto"/>
              <w:ind w:firstLine="0" w:firstLineChars="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《北京市安全生产条例》第五十五条</w:t>
            </w:r>
          </w:p>
        </w:tc>
        <w:tc>
          <w:tcPr>
            <w:tcW w:w="1681" w:type="pct"/>
            <w:shd w:val="clear" w:color="auto" w:fill="auto"/>
            <w:vAlign w:val="center"/>
          </w:tcPr>
          <w:p w14:paraId="630F36FC">
            <w:pPr>
              <w:spacing w:line="240" w:lineRule="auto"/>
              <w:ind w:firstLine="0" w:firstLineChars="0"/>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佑美琪贸易公司提供了施工生产安全事故应急救援预案等文件，未见演练记录。</w:t>
            </w:r>
          </w:p>
        </w:tc>
      </w:tr>
      <w:tr w14:paraId="09C7EA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53" w:type="pct"/>
            <w:vAlign w:val="center"/>
          </w:tcPr>
          <w:p w14:paraId="226009FA">
            <w:pPr>
              <w:numPr>
                <w:ilvl w:val="0"/>
                <w:numId w:val="1"/>
              </w:numPr>
              <w:tabs>
                <w:tab w:val="left" w:pos="1260"/>
              </w:tabs>
              <w:spacing w:line="240" w:lineRule="auto"/>
              <w:ind w:firstLineChars="0"/>
              <w:jc w:val="center"/>
              <w:rPr>
                <w:rFonts w:hint="eastAsia" w:ascii="宋体" w:hAnsi="宋体" w:eastAsia="宋体" w:cs="宋体"/>
                <w:sz w:val="21"/>
                <w:szCs w:val="21"/>
                <w:highlight w:val="none"/>
              </w:rPr>
            </w:pPr>
          </w:p>
        </w:tc>
        <w:tc>
          <w:tcPr>
            <w:tcW w:w="2427" w:type="pct"/>
            <w:vAlign w:val="center"/>
          </w:tcPr>
          <w:p w14:paraId="51FBA09D">
            <w:pPr>
              <w:spacing w:line="240" w:lineRule="auto"/>
              <w:ind w:firstLine="0" w:firstLineChars="0"/>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生产经营单位发生生产安全事故，事故现场有关人员、单位负责人等应当依法报告生产安全事故情况，并及时采取措施救治受伤人员；造成人员伤害需要抢救的，应当及时将受伤人员送至医疗机构救治。</w:t>
            </w:r>
          </w:p>
        </w:tc>
        <w:tc>
          <w:tcPr>
            <w:tcW w:w="637" w:type="pct"/>
            <w:vAlign w:val="center"/>
          </w:tcPr>
          <w:p w14:paraId="0BEB3DB1">
            <w:pPr>
              <w:spacing w:line="240" w:lineRule="auto"/>
              <w:ind w:firstLine="0" w:firstLineChars="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《北京市安全生产条例》第五十六条</w:t>
            </w:r>
          </w:p>
        </w:tc>
        <w:tc>
          <w:tcPr>
            <w:tcW w:w="1681" w:type="pct"/>
            <w:shd w:val="clear" w:color="auto" w:fill="auto"/>
            <w:vAlign w:val="center"/>
          </w:tcPr>
          <w:p w14:paraId="46AB1D0B">
            <w:pPr>
              <w:spacing w:line="240" w:lineRule="auto"/>
              <w:ind w:firstLine="0" w:firstLineChars="0"/>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佑美琪贸易公司提供了施工生产安全事故应急救援预案等文件，还需进一步完善。</w:t>
            </w:r>
          </w:p>
        </w:tc>
      </w:tr>
      <w:tr w14:paraId="4111B0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53" w:type="pct"/>
            <w:vAlign w:val="center"/>
          </w:tcPr>
          <w:p w14:paraId="7E569090">
            <w:pPr>
              <w:numPr>
                <w:ilvl w:val="0"/>
                <w:numId w:val="1"/>
              </w:numPr>
              <w:tabs>
                <w:tab w:val="left" w:pos="1260"/>
              </w:tabs>
              <w:spacing w:line="240" w:lineRule="auto"/>
              <w:ind w:firstLineChars="0"/>
              <w:jc w:val="center"/>
              <w:rPr>
                <w:rFonts w:hint="eastAsia" w:ascii="宋体" w:hAnsi="宋体" w:eastAsia="宋体" w:cs="宋体"/>
                <w:sz w:val="21"/>
                <w:szCs w:val="21"/>
                <w:highlight w:val="none"/>
              </w:rPr>
            </w:pPr>
          </w:p>
        </w:tc>
        <w:tc>
          <w:tcPr>
            <w:tcW w:w="2427" w:type="pct"/>
            <w:vAlign w:val="center"/>
          </w:tcPr>
          <w:p w14:paraId="63FEE693">
            <w:pPr>
              <w:spacing w:line="24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其他事故的跟踪情况</w:t>
            </w:r>
          </w:p>
        </w:tc>
        <w:tc>
          <w:tcPr>
            <w:tcW w:w="2318" w:type="pct"/>
            <w:gridSpan w:val="2"/>
            <w:vAlign w:val="center"/>
          </w:tcPr>
          <w:p w14:paraId="67B89C75">
            <w:pPr>
              <w:pStyle w:val="5"/>
              <w:ind w:firstLine="0" w:firstLineChars="0"/>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佑美琪贸易公司，自</w:t>
            </w:r>
            <w:r>
              <w:rPr>
                <w:rFonts w:hint="eastAsia" w:ascii="宋体" w:hAnsi="宋体" w:eastAsia="宋体" w:cs="宋体"/>
                <w:sz w:val="21"/>
                <w:szCs w:val="21"/>
                <w:highlight w:val="none"/>
                <w:shd w:val="clear" w:color="auto" w:fill="FFFFFF"/>
              </w:rPr>
              <w:t>“</w:t>
            </w:r>
            <w:r>
              <w:rPr>
                <w:rFonts w:hint="eastAsia" w:ascii="宋体" w:hAnsi="宋体" w:eastAsia="宋体" w:cs="宋体"/>
                <w:sz w:val="21"/>
                <w:szCs w:val="21"/>
                <w:highlight w:val="none"/>
                <w:shd w:val="clear" w:color="auto" w:fill="FFFFFF"/>
                <w:lang w:val="en-US" w:eastAsia="zh-CN"/>
              </w:rPr>
              <w:t>5</w:t>
            </w:r>
            <w:r>
              <w:rPr>
                <w:rFonts w:hint="eastAsia" w:ascii="宋体" w:hAnsi="宋体" w:eastAsia="宋体" w:cs="宋体"/>
                <w:sz w:val="21"/>
                <w:szCs w:val="21"/>
                <w:highlight w:val="none"/>
                <w:shd w:val="clear" w:color="auto" w:fill="FFFFFF"/>
              </w:rPr>
              <w:t>·</w:t>
            </w:r>
            <w:r>
              <w:rPr>
                <w:rFonts w:hint="eastAsia" w:ascii="宋体" w:hAnsi="宋体" w:eastAsia="宋体" w:cs="宋体"/>
                <w:sz w:val="21"/>
                <w:szCs w:val="21"/>
                <w:highlight w:val="none"/>
                <w:shd w:val="clear" w:color="auto" w:fill="FFFFFF"/>
                <w:lang w:val="en-US" w:eastAsia="zh-CN"/>
              </w:rPr>
              <w:t>7</w:t>
            </w:r>
            <w:r>
              <w:rPr>
                <w:rFonts w:hint="eastAsia" w:ascii="宋体" w:hAnsi="宋体" w:eastAsia="宋体" w:cs="宋体"/>
                <w:sz w:val="21"/>
                <w:szCs w:val="21"/>
                <w:highlight w:val="none"/>
                <w:shd w:val="clear" w:color="auto" w:fill="FFFFFF"/>
              </w:rPr>
              <w:t>”事故发生后，截止本报告提交时间，暂未有其他一般生产安全事故发生</w:t>
            </w:r>
            <w:r>
              <w:rPr>
                <w:rFonts w:hint="eastAsia" w:ascii="宋体" w:hAnsi="宋体" w:eastAsia="宋体" w:cs="宋体"/>
                <w:sz w:val="21"/>
                <w:szCs w:val="21"/>
                <w:highlight w:val="none"/>
                <w:shd w:val="clear" w:color="auto" w:fill="FFFFFF"/>
                <w:lang w:eastAsia="zh-CN"/>
              </w:rPr>
              <w:t>。</w:t>
            </w:r>
          </w:p>
        </w:tc>
      </w:tr>
    </w:tbl>
    <w:p w14:paraId="3A52197D">
      <w:pPr>
        <w:spacing w:line="360" w:lineRule="auto"/>
        <w:rPr>
          <w:rFonts w:ascii="宋体" w:hAnsi="宋体" w:eastAsia="宋体"/>
          <w:sz w:val="24"/>
          <w:szCs w:val="24"/>
        </w:rPr>
      </w:pPr>
    </w:p>
    <w:p w14:paraId="078DDFB7">
      <w:pPr>
        <w:pStyle w:val="27"/>
        <w:spacing w:line="360" w:lineRule="auto"/>
        <w:ind w:firstLine="480"/>
        <w:rPr>
          <w:rFonts w:hint="eastAsia" w:ascii="宋体" w:hAnsi="宋体" w:eastAsia="宋体"/>
          <w:sz w:val="28"/>
          <w:szCs w:val="28"/>
          <w:lang w:val="en-US" w:eastAsia="zh-CN"/>
        </w:rPr>
        <w:sectPr>
          <w:pgSz w:w="16838" w:h="11906" w:orient="landscape"/>
          <w:pgMar w:top="1800" w:right="1440" w:bottom="1800" w:left="1440" w:header="851" w:footer="992" w:gutter="0"/>
          <w:cols w:space="720" w:num="1"/>
          <w:docGrid w:type="lines" w:linePitch="312" w:charSpace="0"/>
        </w:sectPr>
      </w:pPr>
    </w:p>
    <w:p w14:paraId="48C63177">
      <w:pPr>
        <w:pStyle w:val="27"/>
        <w:spacing w:line="360" w:lineRule="auto"/>
        <w:ind w:firstLine="560"/>
        <w:rPr>
          <w:rFonts w:ascii="宋体" w:hAnsi="宋体" w:eastAsia="宋体"/>
          <w:sz w:val="28"/>
          <w:szCs w:val="28"/>
        </w:rPr>
      </w:pPr>
      <w:bookmarkStart w:id="15" w:name="_Toc19372"/>
      <w:r>
        <w:rPr>
          <w:rFonts w:hint="eastAsia" w:ascii="宋体" w:hAnsi="宋体" w:eastAsia="宋体"/>
          <w:sz w:val="28"/>
          <w:szCs w:val="28"/>
        </w:rPr>
        <w:t>按照</w:t>
      </w:r>
      <w:r>
        <w:rPr>
          <w:rFonts w:hint="eastAsia" w:ascii="宋体" w:hAnsi="宋体" w:eastAsia="宋体"/>
          <w:sz w:val="28"/>
          <w:szCs w:val="28"/>
          <w:lang w:val="en-US" w:eastAsia="zh-CN"/>
        </w:rPr>
        <w:t>法律</w:t>
      </w:r>
      <w:r>
        <w:rPr>
          <w:rFonts w:hint="eastAsia" w:ascii="宋体" w:hAnsi="宋体" w:eastAsia="宋体"/>
          <w:sz w:val="28"/>
          <w:szCs w:val="28"/>
        </w:rPr>
        <w:t>法规要求</w:t>
      </w:r>
      <w:r>
        <w:rPr>
          <w:rFonts w:hint="eastAsia" w:ascii="宋体" w:hAnsi="宋体" w:eastAsia="宋体"/>
          <w:sz w:val="28"/>
          <w:szCs w:val="28"/>
          <w:lang w:val="en-US" w:eastAsia="zh-CN"/>
        </w:rPr>
        <w:t>对企业提供材料</w:t>
      </w:r>
      <w:r>
        <w:rPr>
          <w:rFonts w:hint="eastAsia" w:ascii="宋体" w:hAnsi="宋体" w:eastAsia="宋体"/>
          <w:sz w:val="28"/>
          <w:szCs w:val="28"/>
        </w:rPr>
        <w:t>进行评估，发现问题如下：</w:t>
      </w:r>
    </w:p>
    <w:p w14:paraId="0A257822">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资料问题1</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14:paraId="73FD4B45">
      <w:pPr>
        <w:pageBreakBefore w:val="0"/>
        <w:kinsoku/>
        <w:wordWrap/>
        <w:overflowPunct w:val="0"/>
        <w:topLinePunct w:val="0"/>
        <w:autoSpaceDE/>
        <w:autoSpaceDN/>
        <w:bidi w:val="0"/>
        <w:adjustRightInd/>
        <w:snapToGrid/>
        <w:spacing w:line="560" w:lineRule="exact"/>
        <w:ind w:firstLine="560"/>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佑美琪贸易公司提供的安全生产规章制度等文件对照安全生产法律法规，还应从以下几方面完善落实。</w:t>
      </w:r>
    </w:p>
    <w:p w14:paraId="006A8290">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建议措施1</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14:paraId="13685DB2">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sz w:val="28"/>
          <w:lang w:val="en-US" w:eastAsia="zh-CN"/>
        </w:rPr>
      </w:pPr>
      <w:r>
        <w:rPr>
          <w:rFonts w:hint="eastAsia" w:ascii="Times New Roman" w:hAnsi="Times New Roman" w:eastAsia="宋体" w:cs="Times New Roman"/>
          <w:sz w:val="28"/>
          <w:lang w:val="en-US" w:eastAsia="zh-CN"/>
        </w:rPr>
        <w:t>（1）建议企业</w:t>
      </w:r>
      <w:r>
        <w:rPr>
          <w:rFonts w:hint="default" w:ascii="Times New Roman" w:hAnsi="Times New Roman" w:eastAsia="宋体" w:cs="Times New Roman"/>
          <w:sz w:val="28"/>
          <w:lang w:val="zh-CN" w:eastAsia="zh-CN"/>
        </w:rPr>
        <w:t>主要负责人</w:t>
      </w:r>
      <w:r>
        <w:rPr>
          <w:rFonts w:hint="eastAsia" w:ascii="Times New Roman" w:hAnsi="Times New Roman" w:eastAsia="宋体" w:cs="Times New Roman"/>
          <w:sz w:val="28"/>
          <w:lang w:val="en-US" w:eastAsia="zh-CN"/>
        </w:rPr>
        <w:t>切实</w:t>
      </w:r>
      <w:r>
        <w:rPr>
          <w:rFonts w:hint="default" w:ascii="Times New Roman" w:hAnsi="Times New Roman" w:eastAsia="宋体" w:cs="Times New Roman"/>
          <w:sz w:val="28"/>
          <w:lang w:val="zh-CN" w:eastAsia="zh-CN"/>
        </w:rPr>
        <w:t>履行本单位安全生产管理职责，定期组织研究安全生产工作，每年向从业人员通报安全生产工作情况</w:t>
      </w:r>
      <w:r>
        <w:rPr>
          <w:rFonts w:hint="eastAsia" w:ascii="Times New Roman" w:hAnsi="Times New Roman" w:eastAsia="宋体" w:cs="Times New Roman"/>
          <w:sz w:val="28"/>
          <w:lang w:val="zh-CN" w:eastAsia="zh-CN"/>
        </w:rPr>
        <w:t>，</w:t>
      </w:r>
      <w:r>
        <w:rPr>
          <w:rFonts w:hint="eastAsia" w:ascii="Times New Roman" w:hAnsi="Times New Roman" w:eastAsia="宋体" w:cs="Times New Roman"/>
          <w:sz w:val="28"/>
          <w:lang w:val="en-US" w:eastAsia="zh-CN"/>
        </w:rPr>
        <w:t>形成会议档案，包括会议照片、签到表、会议纪要等。</w:t>
      </w:r>
    </w:p>
    <w:p w14:paraId="16E0D5A0">
      <w:pPr>
        <w:pageBreakBefore w:val="0"/>
        <w:kinsoku/>
        <w:wordWrap/>
        <w:overflowPunct w:val="0"/>
        <w:topLinePunct w:val="0"/>
        <w:autoSpaceDE/>
        <w:autoSpaceDN/>
        <w:bidi w:val="0"/>
        <w:adjustRightInd/>
        <w:snapToGrid/>
        <w:spacing w:line="560" w:lineRule="exact"/>
        <w:ind w:firstLine="560" w:firstLineChars="200"/>
        <w:textAlignment w:val="auto"/>
        <w:rPr>
          <w:rFonts w:hint="eastAsia" w:ascii="Times New Roman" w:hAnsi="Times New Roman" w:eastAsia="宋体" w:cs="Times New Roman"/>
          <w:sz w:val="28"/>
          <w:lang w:val="en-US" w:eastAsia="zh-CN"/>
        </w:rPr>
      </w:pPr>
      <w:r>
        <w:rPr>
          <w:rFonts w:hint="eastAsia" w:ascii="Times New Roman" w:hAnsi="Times New Roman" w:eastAsia="宋体" w:cs="Times New Roman"/>
          <w:sz w:val="28"/>
          <w:lang w:val="en-US" w:eastAsia="zh-CN"/>
        </w:rPr>
        <w:t>（2）企业应建立全员安全生产责任制度，签订相关责任书，</w:t>
      </w:r>
      <w:r>
        <w:rPr>
          <w:rFonts w:hint="default" w:ascii="Times New Roman" w:hAnsi="Times New Roman" w:eastAsia="宋体" w:cs="Times New Roman"/>
          <w:sz w:val="28"/>
          <w:lang w:val="zh-CN" w:eastAsia="zh-CN"/>
        </w:rPr>
        <w:t>加强对各岗位的责任人员、责任范围和考核标准等内容落实情况的监督考核</w:t>
      </w:r>
      <w:r>
        <w:rPr>
          <w:rFonts w:hint="eastAsia" w:ascii="Times New Roman" w:hAnsi="Times New Roman" w:eastAsia="宋体" w:cs="Times New Roman"/>
          <w:sz w:val="28"/>
          <w:lang w:val="zh-CN" w:eastAsia="zh-CN"/>
        </w:rPr>
        <w:t>，</w:t>
      </w:r>
      <w:r>
        <w:rPr>
          <w:rFonts w:hint="eastAsia" w:ascii="Times New Roman" w:hAnsi="Times New Roman" w:eastAsia="宋体" w:cs="Times New Roman"/>
          <w:sz w:val="28"/>
          <w:lang w:val="en-US" w:eastAsia="zh-CN"/>
        </w:rPr>
        <w:t>制定考核目标、定期评估考核结果。</w:t>
      </w:r>
    </w:p>
    <w:p w14:paraId="5E476095">
      <w:pPr>
        <w:pageBreakBefore w:val="0"/>
        <w:kinsoku/>
        <w:wordWrap/>
        <w:overflowPunct w:val="0"/>
        <w:topLinePunct w:val="0"/>
        <w:autoSpaceDE/>
        <w:autoSpaceDN/>
        <w:bidi w:val="0"/>
        <w:adjustRightInd/>
        <w:snapToGrid/>
        <w:spacing w:line="560" w:lineRule="exact"/>
        <w:ind w:firstLine="560" w:firstLineChars="200"/>
        <w:textAlignment w:val="auto"/>
        <w:rPr>
          <w:rFonts w:hint="eastAsia" w:ascii="Times New Roman" w:hAnsi="Times New Roman" w:eastAsia="宋体" w:cs="Times New Roman"/>
          <w:sz w:val="28"/>
          <w:lang w:val="en-US" w:eastAsia="zh-CN"/>
        </w:rPr>
      </w:pPr>
      <w:r>
        <w:rPr>
          <w:rFonts w:hint="eastAsia" w:ascii="Times New Roman" w:hAnsi="Times New Roman" w:eastAsia="宋体" w:cs="Times New Roman"/>
          <w:sz w:val="28"/>
          <w:lang w:val="en-US" w:eastAsia="zh-CN"/>
        </w:rPr>
        <w:t>（3）关于安全资金投入，企业仅提供了劳保用品发票、意外险保单，未统一列明安全支出，建议明确安全生产所必需的资金投入构成，专款专用，安全生产费用可包括安全设备、设施的更新和维</w:t>
      </w:r>
      <w:bookmarkStart w:id="26" w:name="_GoBack"/>
      <w:bookmarkEnd w:id="26"/>
      <w:r>
        <w:rPr>
          <w:rFonts w:hint="eastAsia" w:ascii="Times New Roman" w:hAnsi="Times New Roman" w:eastAsia="宋体" w:cs="Times New Roman"/>
          <w:sz w:val="28"/>
          <w:lang w:val="en-US" w:eastAsia="zh-CN"/>
        </w:rPr>
        <w:t>护；安全生产宣传、教育和培训；劳动防护用品配备；安全风险评估和隐患排查治理、；生产安全事故应急救援演练；应急资源配备及其他保障安全生产的事项。</w:t>
      </w:r>
    </w:p>
    <w:p w14:paraId="787CF5AB">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sz w:val="28"/>
          <w:lang w:val="en-US" w:eastAsia="zh-CN"/>
        </w:rPr>
      </w:pPr>
      <w:r>
        <w:rPr>
          <w:rFonts w:hint="eastAsia" w:ascii="Times New Roman" w:hAnsi="Times New Roman" w:eastAsia="宋体" w:cs="Times New Roman"/>
          <w:sz w:val="28"/>
          <w:lang w:val="en-US" w:eastAsia="zh-CN"/>
        </w:rPr>
        <w:t>（4）关于专兼职安全管理人员的设置和救援人员的设置，无论是从法律角度要求，还是考虑本单位业务实际，都应明确专职或者兼职的安全生产管理人员，依照法规履行安全生产职责；应急救援人员要培养所有一线作业人员的自救互救意识和能力，编制针对本单位主要业务——高处作业的应对预案，并定期开展应急演练。</w:t>
      </w:r>
    </w:p>
    <w:p w14:paraId="0A3323B8">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资料问题</w:t>
      </w:r>
      <w:r>
        <w:rPr>
          <w:rFonts w:hint="eastAsia" w:ascii="仿宋_GB2312" w:hAnsi="宋体" w:eastAsia="仿宋_GB2312" w:cs="仿宋_GB2312"/>
          <w:b/>
          <w:bCs/>
          <w:color w:val="000000"/>
          <w:kern w:val="0"/>
          <w:sz w:val="28"/>
          <w:szCs w:val="28"/>
          <w:lang w:val="en-US" w:eastAsia="zh-CN" w:bidi="ar"/>
        </w:rPr>
        <w:t>2</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14:paraId="1CE2E89D">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sz w:val="28"/>
          <w:lang w:val="en-US" w:eastAsia="zh-CN"/>
        </w:rPr>
      </w:pPr>
      <w:r>
        <w:rPr>
          <w:rFonts w:hint="eastAsia" w:ascii="Times New Roman" w:hAnsi="Times New Roman" w:eastAsia="宋体" w:cs="Times New Roman"/>
          <w:sz w:val="28"/>
          <w:lang w:val="en-US" w:eastAsia="zh-CN"/>
        </w:rPr>
        <w:t>目前企业</w:t>
      </w:r>
      <w:r>
        <w:rPr>
          <w:rFonts w:hint="default" w:ascii="Times New Roman" w:hAnsi="Times New Roman" w:eastAsia="宋体" w:cs="Times New Roman"/>
          <w:sz w:val="28"/>
          <w:lang w:val="zh-CN" w:eastAsia="zh-CN"/>
        </w:rPr>
        <w:t>制定</w:t>
      </w:r>
      <w:r>
        <w:rPr>
          <w:rFonts w:hint="eastAsia" w:ascii="Times New Roman" w:hAnsi="Times New Roman" w:eastAsia="宋体" w:cs="Times New Roman"/>
          <w:sz w:val="28"/>
          <w:lang w:val="en-US" w:eastAsia="zh-CN"/>
        </w:rPr>
        <w:t>的部分安全</w:t>
      </w:r>
      <w:r>
        <w:rPr>
          <w:rFonts w:hint="default" w:ascii="Times New Roman" w:hAnsi="Times New Roman" w:eastAsia="宋体" w:cs="Times New Roman"/>
          <w:sz w:val="28"/>
          <w:lang w:val="zh-CN" w:eastAsia="zh-CN"/>
        </w:rPr>
        <w:t>制度，总体上相对完善，</w:t>
      </w:r>
      <w:r>
        <w:rPr>
          <w:rFonts w:hint="eastAsia" w:ascii="Times New Roman" w:hAnsi="Times New Roman" w:eastAsia="宋体" w:cs="Times New Roman"/>
          <w:sz w:val="28"/>
          <w:lang w:val="en-US" w:eastAsia="zh-CN"/>
        </w:rPr>
        <w:t>从内容上看也相对全面，但针对性不强，企业可以从日常主营业务安全工作进行落实。</w:t>
      </w:r>
    </w:p>
    <w:p w14:paraId="26760C84">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建议措施</w:t>
      </w:r>
      <w:r>
        <w:rPr>
          <w:rFonts w:hint="eastAsia" w:ascii="仿宋_GB2312" w:hAnsi="宋体" w:eastAsia="仿宋_GB2312" w:cs="仿宋_GB2312"/>
          <w:b/>
          <w:bCs/>
          <w:color w:val="000000"/>
          <w:kern w:val="0"/>
          <w:sz w:val="28"/>
          <w:szCs w:val="28"/>
          <w:lang w:val="en-US" w:eastAsia="zh-CN" w:bidi="ar"/>
        </w:rPr>
        <w:t>2</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14:paraId="065384B9">
      <w:pPr>
        <w:pageBreakBefore w:val="0"/>
        <w:kinsoku/>
        <w:wordWrap/>
        <w:overflowPunct w:val="0"/>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佑美琪贸易公司主要业务是空调安装与销售，目前从提升单位整体性安全工作水平来说，应修订风险评估工作制度和安全生产应急预案。</w:t>
      </w:r>
    </w:p>
    <w:p w14:paraId="488F2B03">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按照</w:t>
      </w:r>
      <w:r>
        <w:rPr>
          <w:rFonts w:hint="default" w:ascii="宋体" w:hAnsi="宋体" w:eastAsia="宋体" w:cs="宋体"/>
          <w:sz w:val="28"/>
          <w:szCs w:val="28"/>
          <w:lang w:val="en-US" w:eastAsia="zh-CN"/>
        </w:rPr>
        <w:t>《北京市安全生产条例》第二十九条</w:t>
      </w:r>
      <w:r>
        <w:rPr>
          <w:rFonts w:hint="eastAsia" w:ascii="宋体" w:hAnsi="宋体" w:eastAsia="宋体" w:cs="宋体"/>
          <w:sz w:val="28"/>
          <w:szCs w:val="28"/>
          <w:lang w:val="en-US" w:eastAsia="zh-CN"/>
        </w:rPr>
        <w:t>，</w:t>
      </w:r>
      <w:r>
        <w:rPr>
          <w:rFonts w:hint="default" w:ascii="宋体" w:hAnsi="宋体" w:eastAsia="宋体" w:cs="宋体"/>
          <w:sz w:val="28"/>
          <w:szCs w:val="28"/>
          <w:lang w:val="en-US" w:eastAsia="zh-CN"/>
        </w:rPr>
        <w:t>生产经营单位进行高处作业等</w:t>
      </w:r>
      <w:r>
        <w:rPr>
          <w:rFonts w:hint="eastAsia" w:ascii="宋体" w:hAnsi="宋体" w:eastAsia="宋体" w:cs="宋体"/>
          <w:sz w:val="28"/>
          <w:szCs w:val="28"/>
          <w:lang w:val="en-US" w:eastAsia="zh-CN"/>
        </w:rPr>
        <w:t>危险作业时</w:t>
      </w:r>
      <w:r>
        <w:rPr>
          <w:rFonts w:hint="default" w:ascii="宋体" w:hAnsi="宋体" w:eastAsia="宋体" w:cs="宋体"/>
          <w:sz w:val="28"/>
          <w:szCs w:val="28"/>
          <w:lang w:val="en-US" w:eastAsia="zh-CN"/>
        </w:rPr>
        <w:t>，应当遵守下列规定：</w:t>
      </w:r>
    </w:p>
    <w:p w14:paraId="778460FE">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（1）制定作业方案，按照本单位内部批准权限审批；</w:t>
      </w:r>
    </w:p>
    <w:p w14:paraId="50C875A9">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（2）安排负责现场管理的专门人员，确认现场作业条件、作业人员的上岗资质、身体状况符合安全作业要求；</w:t>
      </w:r>
    </w:p>
    <w:p w14:paraId="44885322">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（3）落实安全交底和技术交底，向作业人员详细说明作业内容、主要危险因素、作业安全要求和应急措施等内容；</w:t>
      </w:r>
    </w:p>
    <w:p w14:paraId="421E4471">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（4）配备与现场作业活动相适应的劳动防护用品，以及相应的安全警示标志、安全防护设备、应急救援装备；</w:t>
      </w:r>
    </w:p>
    <w:p w14:paraId="69FB839B">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（5）发现直接危及人身安全的紧急情况，立即采取应急措施，停止作业或者撤出作业人员。</w:t>
      </w:r>
    </w:p>
    <w:p w14:paraId="28514452">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评估组现场对作业人员进行访谈，两位工作人员均熟知不同类型、高度的建筑，空调安装的危险性，但公司内未有明确的制度，安全工作不能只靠经验，应落实到文字中，风险提示和管控可以和日常操作规程进行结合，分级分类对从业人员进行培训教育，让其在学会技术的基础上，了解到安全作业的重要性。</w:t>
      </w:r>
    </w:p>
    <w:p w14:paraId="7DC7D2E5">
      <w:pPr>
        <w:pageBreakBefore w:val="0"/>
        <w:kinsoku/>
        <w:wordWrap/>
        <w:overflowPunct w:val="0"/>
        <w:topLinePunct w:val="0"/>
        <w:autoSpaceDE/>
        <w:autoSpaceDN/>
        <w:bidi w:val="0"/>
        <w:adjustRightInd/>
        <w:snapToGrid/>
        <w:spacing w:line="560" w:lineRule="exact"/>
        <w:ind w:firstLine="560" w:firstLineChars="200"/>
        <w:textAlignment w:val="auto"/>
        <w:rPr>
          <w:rFonts w:hint="default" w:ascii="Times New Roman" w:hAnsi="Times New Roman" w:eastAsia="宋体" w:cs="Times New Roman"/>
          <w:sz w:val="28"/>
          <w:lang w:val="en-US" w:eastAsia="zh-CN"/>
        </w:rPr>
      </w:pPr>
      <w:r>
        <w:rPr>
          <w:rFonts w:hint="eastAsia" w:ascii="Times New Roman" w:hAnsi="Times New Roman" w:eastAsia="宋体" w:cs="Times New Roman"/>
          <w:sz w:val="28"/>
          <w:lang w:val="en-US" w:eastAsia="zh-CN"/>
        </w:rPr>
        <w:t>应急预案也应针对高处作业活动进行修订，定期组织操作人员针对风险较高的室外作业活动开展演练，并留存记录，记录不仅包括照片，还需形成文字总结及演练计划清单，能够更直观地展示培训过程。</w:t>
      </w:r>
    </w:p>
    <w:bookmarkEnd w:id="15"/>
    <w:p w14:paraId="65BA56BB">
      <w:pPr>
        <w:pStyle w:val="3"/>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default"/>
          <w:b/>
          <w:sz w:val="28"/>
          <w:szCs w:val="21"/>
          <w:lang w:val="en-US" w:eastAsia="zh-CN"/>
        </w:rPr>
      </w:pPr>
      <w:bookmarkStart w:id="16" w:name="_Toc12519"/>
      <w:bookmarkStart w:id="17" w:name="_Toc6874"/>
      <w:bookmarkStart w:id="18" w:name="_Toc3080"/>
      <w:r>
        <w:rPr>
          <w:rFonts w:hint="eastAsia"/>
          <w:b/>
          <w:sz w:val="28"/>
          <w:szCs w:val="21"/>
          <w:lang w:val="en-US" w:eastAsia="zh-CN"/>
        </w:rPr>
        <w:t>（二）现场运营环境安全评估</w:t>
      </w:r>
      <w:bookmarkEnd w:id="16"/>
      <w:bookmarkEnd w:id="17"/>
    </w:p>
    <w:p w14:paraId="32B355EE">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本次评估因事故现场涉及居民家中，非公共场所，评估组经与企业沟通，选择类似户型的空调安装现场进行调研评估。</w:t>
      </w:r>
    </w:p>
    <w:p w14:paraId="3D7DD826">
      <w:pPr>
        <w:pStyle w:val="27"/>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安装师傅提前了解安装户型，确认符合人工作业安装要求，无需吊车都特殊作业辅助。安装当日，按照约定时间，持上岗证、高空作业证，携带安全带等防护用具、作业工具入户。到场后，辅助人员为主要作业人员协助系好安全带，确定合适条件，将另一端系在铸铁暖器主管线，人员探出作业时，辅助人员负责拉拽安全绳，大面积探出时，采取坐地、脚蹬墙壁的方式拉拽安全绳，确保作业安全。</w:t>
      </w:r>
    </w:p>
    <w:p w14:paraId="399B9ACE">
      <w:pPr>
        <w:pStyle w:val="27"/>
        <w:spacing w:line="360" w:lineRule="auto"/>
        <w:ind w:firstLine="480"/>
        <w:rPr>
          <w:rFonts w:hint="default" w:ascii="宋体" w:hAnsi="宋体" w:eastAsia="宋体"/>
          <w:sz w:val="28"/>
          <w:szCs w:val="28"/>
          <w:lang w:val="en-US" w:eastAsia="zh-CN"/>
        </w:rPr>
      </w:pPr>
      <w:r>
        <w:rPr>
          <w:rFonts w:hint="eastAsia" w:ascii="宋体" w:hAnsi="宋体" w:eastAsia="宋体"/>
          <w:sz w:val="28"/>
          <w:szCs w:val="28"/>
          <w:lang w:val="en-US" w:eastAsia="zh-CN"/>
        </w:rPr>
        <w:t>参照《北京市高处悬吊作业安全生产规定》，现场评估工作未发现作业安全问题。</w:t>
      </w:r>
    </w:p>
    <w:p w14:paraId="3D60826D">
      <w:pPr>
        <w:pStyle w:val="27"/>
        <w:spacing w:line="360" w:lineRule="auto"/>
        <w:ind w:left="0" w:leftChars="0" w:firstLine="0" w:firstLineChars="0"/>
        <w:jc w:val="both"/>
        <w:rPr>
          <w:rFonts w:hint="default" w:ascii="宋体" w:hAnsi="宋体" w:eastAsia="宋体"/>
          <w:sz w:val="24"/>
          <w:szCs w:val="24"/>
          <w:lang w:val="en-US" w:eastAsia="zh-CN"/>
        </w:rPr>
      </w:pPr>
      <w:r>
        <w:rPr>
          <w:rFonts w:hint="default" w:ascii="宋体" w:hAnsi="宋体" w:eastAsia="宋体"/>
          <w:sz w:val="24"/>
          <w:szCs w:val="24"/>
          <w:lang w:val="en-US" w:eastAsia="zh-CN"/>
        </w:rPr>
        <w:drawing>
          <wp:inline distT="0" distB="0" distL="114300" distR="114300">
            <wp:extent cx="2733040" cy="2051050"/>
            <wp:effectExtent l="0" t="0" r="10160" b="6350"/>
            <wp:docPr id="5" name="图片 5" descr="3a13c7ba0d47621cb091708ab3c2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3a13c7ba0d47621cb091708ab3c2898"/>
                    <pic:cNvPicPr>
                      <a:picLocks noChangeAspect="1"/>
                    </pic:cNvPicPr>
                  </pic:nvPicPr>
                  <pic:blipFill>
                    <a:blip r:embed="rId12"/>
                    <a:stretch>
                      <a:fillRect/>
                    </a:stretch>
                  </pic:blipFill>
                  <pic:spPr>
                    <a:xfrm>
                      <a:off x="0" y="0"/>
                      <a:ext cx="2733040" cy="2051050"/>
                    </a:xfrm>
                    <a:prstGeom prst="rect">
                      <a:avLst/>
                    </a:prstGeom>
                  </pic:spPr>
                </pic:pic>
              </a:graphicData>
            </a:graphic>
          </wp:inline>
        </w:drawing>
      </w:r>
      <w:r>
        <w:rPr>
          <w:rFonts w:hint="default" w:ascii="宋体" w:hAnsi="宋体" w:eastAsia="宋体"/>
          <w:sz w:val="24"/>
          <w:szCs w:val="24"/>
          <w:lang w:val="en-US" w:eastAsia="zh-CN"/>
        </w:rPr>
        <w:drawing>
          <wp:inline distT="0" distB="0" distL="114300" distR="114300">
            <wp:extent cx="2632710" cy="2068195"/>
            <wp:effectExtent l="0" t="0" r="8890" b="1905"/>
            <wp:docPr id="6" name="图片 6" descr="1b83a5886c8fa52b81c8272042bf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b83a5886c8fa52b81c8272042bf922"/>
                    <pic:cNvPicPr>
                      <a:picLocks noChangeAspect="1"/>
                    </pic:cNvPicPr>
                  </pic:nvPicPr>
                  <pic:blipFill>
                    <a:blip r:embed="rId13"/>
                    <a:stretch>
                      <a:fillRect/>
                    </a:stretch>
                  </pic:blipFill>
                  <pic:spPr>
                    <a:xfrm>
                      <a:off x="0" y="0"/>
                      <a:ext cx="2632710" cy="2068195"/>
                    </a:xfrm>
                    <a:prstGeom prst="rect">
                      <a:avLst/>
                    </a:prstGeom>
                  </pic:spPr>
                </pic:pic>
              </a:graphicData>
            </a:graphic>
          </wp:inline>
        </w:drawing>
      </w:r>
    </w:p>
    <w:p w14:paraId="50386B09">
      <w:pPr>
        <w:pStyle w:val="27"/>
        <w:spacing w:line="360" w:lineRule="auto"/>
        <w:ind w:firstLine="480"/>
        <w:jc w:val="center"/>
        <w:rPr>
          <w:rFonts w:hint="default" w:ascii="宋体" w:hAnsi="宋体" w:eastAsia="宋体"/>
          <w:sz w:val="24"/>
          <w:szCs w:val="24"/>
          <w:lang w:val="en-US" w:eastAsia="zh-CN"/>
        </w:rPr>
      </w:pPr>
      <w:r>
        <w:rPr>
          <w:rFonts w:hint="eastAsia" w:ascii="宋体" w:hAnsi="宋体" w:eastAsia="宋体"/>
          <w:sz w:val="24"/>
          <w:szCs w:val="24"/>
          <w:lang w:val="en-US" w:eastAsia="zh-CN"/>
        </w:rPr>
        <w:t>图3 佑美琪贸易公司空调现场安装作业活动</w:t>
      </w:r>
    </w:p>
    <w:p w14:paraId="4EBCC682">
      <w:pPr>
        <w:pStyle w:val="2"/>
        <w:keepNext/>
        <w:keepLines/>
        <w:pageBreakBefore w:val="0"/>
        <w:widowControl w:val="0"/>
        <w:kinsoku/>
        <w:wordWrap/>
        <w:overflowPunct/>
        <w:topLinePunct w:val="0"/>
        <w:autoSpaceDE/>
        <w:autoSpaceDN/>
        <w:bidi w:val="0"/>
        <w:adjustRightInd/>
        <w:snapToGrid/>
        <w:spacing w:before="240" w:after="240" w:line="360" w:lineRule="auto"/>
        <w:textAlignment w:val="auto"/>
        <w:rPr>
          <w:rFonts w:hint="default" w:ascii="黑体" w:hAnsi="黑体" w:eastAsia="黑体" w:cs="黑体"/>
          <w:sz w:val="28"/>
          <w:szCs w:val="28"/>
          <w:lang w:val="en-US" w:eastAsia="zh-CN"/>
        </w:rPr>
      </w:pPr>
      <w:bookmarkStart w:id="19" w:name="_Toc20990"/>
      <w:r>
        <w:rPr>
          <w:rFonts w:hint="eastAsia" w:ascii="黑体" w:hAnsi="黑体" w:eastAsia="黑体" w:cs="黑体"/>
          <w:sz w:val="28"/>
          <w:szCs w:val="28"/>
          <w:lang w:val="en-US" w:eastAsia="zh-CN"/>
        </w:rPr>
        <w:t>四、</w:t>
      </w:r>
      <w:bookmarkEnd w:id="18"/>
      <w:r>
        <w:rPr>
          <w:rFonts w:hint="eastAsia" w:ascii="黑体" w:hAnsi="黑体" w:eastAsia="黑体" w:cs="黑体"/>
          <w:sz w:val="28"/>
          <w:szCs w:val="28"/>
          <w:lang w:val="en-US" w:eastAsia="zh-CN"/>
        </w:rPr>
        <w:t>安全现状评估结论与建议</w:t>
      </w:r>
      <w:bookmarkEnd w:id="19"/>
    </w:p>
    <w:p w14:paraId="2A35FF0E">
      <w:pPr>
        <w:pStyle w:val="3"/>
        <w:spacing w:before="120" w:after="120" w:line="360" w:lineRule="auto"/>
        <w:rPr>
          <w:sz w:val="28"/>
          <w:szCs w:val="21"/>
        </w:rPr>
      </w:pPr>
      <w:bookmarkStart w:id="20" w:name="_Toc4980"/>
      <w:bookmarkStart w:id="21" w:name="_Toc9840"/>
      <w:bookmarkStart w:id="22" w:name="_Toc29581"/>
      <w:r>
        <w:rPr>
          <w:rFonts w:hint="eastAsia"/>
          <w:sz w:val="28"/>
          <w:szCs w:val="21"/>
        </w:rPr>
        <w:t>（一）评估结论</w:t>
      </w:r>
      <w:bookmarkEnd w:id="20"/>
      <w:bookmarkEnd w:id="21"/>
      <w:bookmarkEnd w:id="22"/>
    </w:p>
    <w:p w14:paraId="34DDAC6C">
      <w:pPr>
        <w:pStyle w:val="27"/>
        <w:spacing w:line="360" w:lineRule="auto"/>
        <w:ind w:firstLine="560"/>
        <w:rPr>
          <w:rFonts w:hint="default" w:ascii="宋体" w:hAnsi="宋体" w:eastAsia="宋体"/>
          <w:sz w:val="24"/>
          <w:szCs w:val="24"/>
          <w:lang w:val="en-US" w:eastAsia="zh-CN"/>
        </w:rPr>
      </w:pPr>
      <w:r>
        <w:rPr>
          <w:rFonts w:hint="eastAsia" w:ascii="宋体" w:hAnsi="宋体" w:eastAsia="宋体"/>
          <w:sz w:val="28"/>
          <w:szCs w:val="28"/>
          <w:lang w:eastAsia="zh-CN"/>
        </w:rPr>
        <w:t>评估组</w:t>
      </w:r>
      <w:r>
        <w:rPr>
          <w:rFonts w:hint="eastAsia" w:ascii="宋体" w:hAnsi="宋体" w:eastAsia="宋体"/>
          <w:sz w:val="28"/>
          <w:szCs w:val="28"/>
        </w:rPr>
        <w:t>按照安全生产法律法规和《事故调查报告》中的事故间接原因、整改防范措施，对上述材料和现场环境进行评估，结合企业整改工作情况，最终一致认为</w:t>
      </w:r>
      <w:r>
        <w:rPr>
          <w:rFonts w:hint="eastAsia" w:ascii="宋体" w:hAnsi="宋体" w:eastAsia="宋体"/>
          <w:sz w:val="28"/>
          <w:szCs w:val="28"/>
          <w:lang w:val="en-US" w:eastAsia="zh-CN"/>
        </w:rPr>
        <w:t>佑美琪贸易公司</w:t>
      </w:r>
      <w:r>
        <w:rPr>
          <w:rFonts w:hint="eastAsia" w:ascii="宋体" w:hAnsi="宋体" w:eastAsia="宋体"/>
          <w:sz w:val="28"/>
          <w:szCs w:val="28"/>
        </w:rPr>
        <w:t>现行</w:t>
      </w:r>
      <w:r>
        <w:rPr>
          <w:rFonts w:hint="eastAsia" w:ascii="宋体" w:hAnsi="宋体" w:eastAsia="宋体"/>
          <w:sz w:val="28"/>
          <w:szCs w:val="28"/>
          <w:lang w:val="en-US" w:eastAsia="zh-CN"/>
        </w:rPr>
        <w:t>管理</w:t>
      </w:r>
      <w:r>
        <w:rPr>
          <w:rFonts w:hint="eastAsia" w:ascii="宋体" w:hAnsi="宋体" w:eastAsia="宋体"/>
          <w:sz w:val="28"/>
          <w:szCs w:val="28"/>
        </w:rPr>
        <w:t>制度</w:t>
      </w:r>
      <w:r>
        <w:rPr>
          <w:rFonts w:hint="eastAsia" w:ascii="宋体" w:hAnsi="宋体" w:eastAsia="宋体"/>
          <w:sz w:val="28"/>
          <w:szCs w:val="28"/>
          <w:lang w:val="en-US" w:eastAsia="zh-CN"/>
        </w:rPr>
        <w:t>符合《中华人民共和国安全生产法》等法律法规相关规定。</w:t>
      </w:r>
    </w:p>
    <w:p w14:paraId="49AEF7CD">
      <w:pPr>
        <w:pStyle w:val="3"/>
        <w:spacing w:before="120" w:after="120" w:line="360" w:lineRule="auto"/>
        <w:rPr>
          <w:sz w:val="28"/>
          <w:szCs w:val="21"/>
        </w:rPr>
      </w:pPr>
      <w:bookmarkStart w:id="23" w:name="_Toc20081"/>
      <w:bookmarkStart w:id="24" w:name="_Toc23449"/>
      <w:bookmarkStart w:id="25" w:name="_Toc28170"/>
      <w:r>
        <w:rPr>
          <w:rFonts w:hint="eastAsia"/>
          <w:sz w:val="28"/>
          <w:szCs w:val="21"/>
        </w:rPr>
        <w:t>（二）工作提升建议</w:t>
      </w:r>
      <w:bookmarkEnd w:id="23"/>
      <w:bookmarkEnd w:id="24"/>
      <w:bookmarkEnd w:id="25"/>
    </w:p>
    <w:p w14:paraId="3B68DD1A">
      <w:pPr>
        <w:pStyle w:val="27"/>
        <w:spacing w:line="360" w:lineRule="auto"/>
        <w:ind w:firstLine="560"/>
        <w:rPr>
          <w:rFonts w:hint="default" w:ascii="宋体" w:hAnsi="宋体" w:eastAsia="宋体"/>
          <w:sz w:val="28"/>
          <w:szCs w:val="28"/>
          <w:lang w:val="en-US" w:eastAsia="zh-CN"/>
        </w:rPr>
      </w:pPr>
      <w:r>
        <w:rPr>
          <w:rFonts w:hint="default" w:ascii="宋体" w:hAnsi="宋体" w:eastAsia="宋体"/>
          <w:sz w:val="28"/>
          <w:szCs w:val="28"/>
          <w:lang w:val="zh-CN" w:eastAsia="zh-CN"/>
        </w:rPr>
        <w:t>根据本次评估过程及结论</w:t>
      </w:r>
      <w:r>
        <w:rPr>
          <w:rFonts w:ascii="宋体" w:hAnsi="宋体" w:eastAsia="宋体"/>
          <w:sz w:val="28"/>
          <w:szCs w:val="28"/>
          <w:lang w:val="zh-CN"/>
        </w:rPr>
        <w:t>，</w:t>
      </w:r>
      <w:r>
        <w:rPr>
          <w:rFonts w:hint="eastAsia" w:ascii="宋体" w:hAnsi="宋体" w:eastAsia="宋体"/>
          <w:sz w:val="28"/>
          <w:szCs w:val="28"/>
          <w:lang w:val="en-US" w:eastAsia="zh-CN"/>
        </w:rPr>
        <w:t>佑美琪贸易公司应针对安全现状评估中发现的问题积极改进落实，按照相关法律法规要求，履行安全生产主体责任，加强安全生产管理，提高安全生产水平，并对未履行安全生产主体责任导致的后果负责。</w:t>
      </w:r>
    </w:p>
    <w:p w14:paraId="090A0C56">
      <w:pPr>
        <w:pStyle w:val="27"/>
        <w:spacing w:line="360" w:lineRule="auto"/>
        <w:ind w:firstLine="560"/>
        <w:rPr>
          <w:rFonts w:hint="eastAsia" w:ascii="宋体" w:hAnsi="宋体" w:eastAsia="宋体" w:cs="宋体"/>
          <w:sz w:val="28"/>
          <w:szCs w:val="28"/>
          <w:lang w:val="zh-CN"/>
        </w:rPr>
      </w:pPr>
      <w:r>
        <w:rPr>
          <w:rFonts w:hint="eastAsia" w:ascii="宋体" w:hAnsi="宋体" w:eastAsia="宋体" w:cs="宋体"/>
          <w:sz w:val="28"/>
          <w:szCs w:val="28"/>
          <w:lang w:val="zh-CN"/>
        </w:rPr>
        <w:t>根据本次评估过程及结论，</w:t>
      </w:r>
      <w:r>
        <w:rPr>
          <w:rFonts w:hint="eastAsia" w:ascii="宋体" w:hAnsi="宋体" w:eastAsia="宋体" w:cs="宋体"/>
          <w:sz w:val="28"/>
          <w:szCs w:val="28"/>
        </w:rPr>
        <w:t>评估组</w:t>
      </w:r>
      <w:r>
        <w:rPr>
          <w:rFonts w:hint="eastAsia" w:ascii="宋体" w:hAnsi="宋体" w:eastAsia="宋体" w:cs="宋体"/>
          <w:sz w:val="28"/>
          <w:szCs w:val="28"/>
          <w:lang w:eastAsia="zh-CN"/>
        </w:rPr>
        <w:t>针对</w:t>
      </w:r>
      <w:r>
        <w:rPr>
          <w:rFonts w:hint="eastAsia" w:ascii="宋体" w:hAnsi="宋体" w:eastAsia="宋体"/>
          <w:sz w:val="28"/>
          <w:szCs w:val="28"/>
          <w:lang w:val="en-US" w:eastAsia="zh-CN"/>
        </w:rPr>
        <w:t>佑美琪贸易公司高处作业活动的安全管理，还</w:t>
      </w:r>
      <w:r>
        <w:rPr>
          <w:rFonts w:hint="eastAsia" w:ascii="宋体" w:hAnsi="宋体" w:eastAsia="宋体" w:cs="宋体"/>
          <w:sz w:val="28"/>
          <w:szCs w:val="28"/>
          <w:lang w:val="zh-CN"/>
        </w:rPr>
        <w:t>提出以下</w:t>
      </w:r>
      <w:r>
        <w:rPr>
          <w:rFonts w:hint="eastAsia" w:ascii="宋体" w:hAnsi="宋体" w:eastAsia="宋体" w:cs="宋体"/>
          <w:sz w:val="28"/>
          <w:szCs w:val="28"/>
        </w:rPr>
        <w:t>安全工作</w:t>
      </w:r>
      <w:r>
        <w:rPr>
          <w:rFonts w:hint="eastAsia" w:ascii="宋体" w:hAnsi="宋体" w:eastAsia="宋体" w:cs="宋体"/>
          <w:sz w:val="28"/>
          <w:szCs w:val="28"/>
          <w:lang w:val="zh-CN"/>
        </w:rPr>
        <w:t>建议措施（</w:t>
      </w:r>
      <w:r>
        <w:rPr>
          <w:rFonts w:hint="eastAsia" w:ascii="宋体" w:hAnsi="宋体" w:eastAsia="宋体" w:cs="宋体"/>
          <w:sz w:val="28"/>
          <w:szCs w:val="28"/>
        </w:rPr>
        <w:t>不局限于本次事故</w:t>
      </w:r>
      <w:r>
        <w:rPr>
          <w:rFonts w:hint="eastAsia" w:ascii="宋体" w:hAnsi="宋体" w:eastAsia="宋体" w:cs="宋体"/>
          <w:sz w:val="28"/>
          <w:szCs w:val="28"/>
          <w:lang w:val="zh-CN"/>
        </w:rPr>
        <w:t>）：</w:t>
      </w:r>
    </w:p>
    <w:p w14:paraId="26BC0D75">
      <w:pPr>
        <w:pStyle w:val="27"/>
        <w:spacing w:line="360" w:lineRule="auto"/>
        <w:ind w:firstLine="56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空调、玻璃等高处安装作业已成为近年来限额以下小型工程的高频事故，目前未有相应的国标和行标，企业可参考广东省地方标准《空调器高处作业安全规范》（DB44/T 858-2011）中的内容，完善相关操作规程，并进行培训，提升作业的规范性和安全性。</w:t>
      </w:r>
    </w:p>
    <w:p w14:paraId="66F4944C">
      <w:pPr>
        <w:pStyle w:val="27"/>
        <w:numPr>
          <w:ilvl w:val="0"/>
          <w:numId w:val="2"/>
        </w:numPr>
        <w:spacing w:line="360" w:lineRule="auto"/>
        <w:ind w:firstLine="56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针对生产经营单位</w:t>
      </w:r>
    </w:p>
    <w:p w14:paraId="738C432B">
      <w:pPr>
        <w:pStyle w:val="27"/>
        <w:numPr>
          <w:ilvl w:val="0"/>
          <w:numId w:val="3"/>
        </w:numPr>
        <w:spacing w:line="360" w:lineRule="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生产经营单位应当建立下列制度:各级安全生产责任制、各岗位安全操作规程、劳动防护用品管理制度、特种作业人员管理制度、安全教育培训制度、生产安全事故管理制度、生产安全事故应急救援预案。</w:t>
      </w:r>
    </w:p>
    <w:p w14:paraId="6308402B">
      <w:pPr>
        <w:pStyle w:val="27"/>
        <w:numPr>
          <w:ilvl w:val="0"/>
          <w:numId w:val="3"/>
        </w:numPr>
        <w:spacing w:line="360" w:lineRule="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生产经营单位应依法设置安全生产管理机构，配备安全生产管理人员，并负责本单位的安全生产管理工作。</w:t>
      </w:r>
    </w:p>
    <w:p w14:paraId="072582B6">
      <w:pPr>
        <w:pStyle w:val="27"/>
        <w:numPr>
          <w:ilvl w:val="0"/>
          <w:numId w:val="3"/>
        </w:numPr>
        <w:spacing w:line="360" w:lineRule="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生产经营单位应对从业人员进行安全生产教育和培训，保证从业人员具备必要的安全生产知识，熟悉有关的安全操作规程，掌握本岗位的安全操作技能。</w:t>
      </w:r>
    </w:p>
    <w:p w14:paraId="0FD0D005">
      <w:pPr>
        <w:pStyle w:val="27"/>
        <w:numPr>
          <w:ilvl w:val="0"/>
          <w:numId w:val="3"/>
        </w:numPr>
        <w:spacing w:line="360" w:lineRule="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生产经营单位应为从业人员提供符合国家标准或者行业标准的劳动防护用品，并监督和教育从业人员按照使用规则正确佩戴和使用。</w:t>
      </w:r>
    </w:p>
    <w:p w14:paraId="13811EFC">
      <w:pPr>
        <w:pStyle w:val="27"/>
        <w:numPr>
          <w:ilvl w:val="0"/>
          <w:numId w:val="3"/>
        </w:numPr>
        <w:spacing w:line="360" w:lineRule="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不具备安全生产条件或相应资质的生产经营单位和个人不得承接或从事空调器安装、维修和拆除高处作业。</w:t>
      </w:r>
    </w:p>
    <w:p w14:paraId="69EC7DFA">
      <w:pPr>
        <w:pStyle w:val="27"/>
        <w:numPr>
          <w:ilvl w:val="0"/>
          <w:numId w:val="3"/>
        </w:numPr>
        <w:spacing w:line="360" w:lineRule="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 xml:space="preserve"> 生产经营单位的主要负责人和安全生产管理人员应接受有关安全主管部门的培训，掌握相应的安全生产知识，具备安全生产管理能力。</w:t>
      </w:r>
    </w:p>
    <w:p w14:paraId="46902815">
      <w:pPr>
        <w:pStyle w:val="27"/>
        <w:numPr>
          <w:ilvl w:val="0"/>
          <w:numId w:val="3"/>
        </w:numPr>
        <w:spacing w:line="360" w:lineRule="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生产经营单位应依法组织从业人员进行职业健康检查，并每年进行复检，不合格者不得从事高处作业。</w:t>
      </w:r>
    </w:p>
    <w:p w14:paraId="5369DAC4">
      <w:pPr>
        <w:pStyle w:val="27"/>
        <w:numPr>
          <w:ilvl w:val="0"/>
          <w:numId w:val="2"/>
        </w:numPr>
        <w:spacing w:line="360" w:lineRule="auto"/>
        <w:ind w:firstLine="56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针对从业人员</w:t>
      </w:r>
    </w:p>
    <w:p w14:paraId="3C1B9B70">
      <w:pPr>
        <w:pStyle w:val="27"/>
        <w:numPr>
          <w:ilvl w:val="0"/>
          <w:numId w:val="4"/>
        </w:numPr>
        <w:spacing w:line="360" w:lineRule="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从业人员必须按照有关规定，经专门的安全培训考核，取得相应的特种作业操作资质证书，方可上岗作业，并定期参加复审，复审考核合格方可继续从事空调器高处作业。</w:t>
      </w:r>
    </w:p>
    <w:p w14:paraId="4E7B5208">
      <w:pPr>
        <w:pStyle w:val="27"/>
        <w:numPr>
          <w:ilvl w:val="0"/>
          <w:numId w:val="4"/>
        </w:numPr>
        <w:spacing w:line="360" w:lineRule="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从业人员在作业过程中，应严格遵守本单位的安全生产规章制度和操作规程，服从管理。</w:t>
      </w:r>
    </w:p>
    <w:p w14:paraId="47456982">
      <w:pPr>
        <w:pStyle w:val="27"/>
        <w:numPr>
          <w:ilvl w:val="0"/>
          <w:numId w:val="4"/>
        </w:numPr>
        <w:spacing w:line="360" w:lineRule="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从业人员应正确佩戴、使用和维护劳动防护用品。</w:t>
      </w:r>
    </w:p>
    <w:p w14:paraId="7B849A8F">
      <w:pPr>
        <w:pStyle w:val="27"/>
        <w:numPr>
          <w:ilvl w:val="0"/>
          <w:numId w:val="4"/>
        </w:numPr>
        <w:spacing w:line="360" w:lineRule="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从业人员有权对本单位安全生产工作中存在的问题提出批评、检举、控告，有权拒绝接受违章指挥和强令冒险工作。</w:t>
      </w:r>
    </w:p>
    <w:p w14:paraId="1E024E6E">
      <w:pPr>
        <w:pStyle w:val="27"/>
        <w:numPr>
          <w:ilvl w:val="0"/>
          <w:numId w:val="4"/>
        </w:numPr>
        <w:spacing w:line="360" w:lineRule="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从业人员发现直接危及人身安全的紧急情况时,有权停止作业或者在采取可能的应急措施后撤离作业场所。</w:t>
      </w:r>
    </w:p>
    <w:p w14:paraId="0CFD631A">
      <w:pPr>
        <w:pStyle w:val="27"/>
        <w:numPr>
          <w:ilvl w:val="0"/>
          <w:numId w:val="4"/>
        </w:numPr>
        <w:spacing w:line="360" w:lineRule="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从业人员必须定期接受职业健康检查，患有高处作业禁忌症的人员不得从事高处作业。</w:t>
      </w:r>
    </w:p>
    <w:p w14:paraId="439F69D6">
      <w:pPr>
        <w:pStyle w:val="27"/>
        <w:numPr>
          <w:ilvl w:val="0"/>
          <w:numId w:val="2"/>
        </w:numPr>
        <w:spacing w:line="360" w:lineRule="auto"/>
        <w:ind w:firstLine="56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针对作业活动的安全要求</w:t>
      </w:r>
    </w:p>
    <w:p w14:paraId="200BAD42">
      <w:pPr>
        <w:pStyle w:val="27"/>
        <w:numPr>
          <w:ilvl w:val="0"/>
          <w:numId w:val="5"/>
        </w:numPr>
        <w:spacing w:line="360" w:lineRule="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空调器高处作业前应对作业环境进行全面的了解。</w:t>
      </w:r>
    </w:p>
    <w:p w14:paraId="22603DC9">
      <w:pPr>
        <w:pStyle w:val="27"/>
        <w:numPr>
          <w:ilvl w:val="0"/>
          <w:numId w:val="5"/>
        </w:numPr>
        <w:spacing w:line="360" w:lineRule="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在全面了解作业环境后,作业负责人应制定相应的空调器作业方案、安全措施和事故应急预案。</w:t>
      </w:r>
    </w:p>
    <w:p w14:paraId="2430D7A0">
      <w:pPr>
        <w:pStyle w:val="27"/>
        <w:numPr>
          <w:ilvl w:val="0"/>
          <w:numId w:val="5"/>
        </w:numPr>
        <w:spacing w:line="360" w:lineRule="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酒后或服用可能导致精神恍惚、眩晕等作用的药物后的人员不得进行高处作业。</w:t>
      </w:r>
    </w:p>
    <w:p w14:paraId="597A8D01">
      <w:pPr>
        <w:pStyle w:val="27"/>
        <w:numPr>
          <w:ilvl w:val="0"/>
          <w:numId w:val="5"/>
        </w:numPr>
        <w:spacing w:line="360" w:lineRule="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作业人员应检查各种劳动防护用品是否齐全，同时进行外观检查，发现防护用品出现裂纹，严重磨损或穿破的不得使用。</w:t>
      </w:r>
    </w:p>
    <w:p w14:paraId="2B2872C6">
      <w:pPr>
        <w:pStyle w:val="27"/>
        <w:numPr>
          <w:ilvl w:val="0"/>
          <w:numId w:val="5"/>
        </w:numPr>
        <w:spacing w:line="360" w:lineRule="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在作业区下方可能坠落的半径范围内应设置隔离区,并放置危险警示标牌,防止无关人员进入。</w:t>
      </w:r>
    </w:p>
    <w:p w14:paraId="39E0FD03">
      <w:pPr>
        <w:pStyle w:val="27"/>
        <w:numPr>
          <w:ilvl w:val="0"/>
          <w:numId w:val="5"/>
        </w:numPr>
        <w:spacing w:line="360" w:lineRule="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作业现场无法找到牢固可靠的挂点或无法装设挂点装置时，不得进行高处作业。</w:t>
      </w:r>
    </w:p>
    <w:p w14:paraId="46D2ACB9">
      <w:pPr>
        <w:pStyle w:val="27"/>
        <w:numPr>
          <w:ilvl w:val="0"/>
          <w:numId w:val="5"/>
        </w:numPr>
        <w:spacing w:line="360" w:lineRule="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维修和拆除空调器前，应先检査空调支架和室外机的牢固程度和安全性。</w:t>
      </w:r>
    </w:p>
    <w:p w14:paraId="6BA5E5AC">
      <w:pPr>
        <w:pStyle w:val="27"/>
        <w:numPr>
          <w:ilvl w:val="0"/>
          <w:numId w:val="5"/>
        </w:numPr>
        <w:spacing w:line="360" w:lineRule="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 xml:space="preserve"> 高处作业人员宜头戴安全帽，身穿紧口工作服，脚穿工作鞋，工作鞋应符合要求,不应穿拖鞋、硬底鞋、带钉鞋或赤脚作业。</w:t>
      </w:r>
    </w:p>
    <w:p w14:paraId="5FB28E78">
      <w:pPr>
        <w:pStyle w:val="27"/>
        <w:numPr>
          <w:ilvl w:val="0"/>
          <w:numId w:val="5"/>
        </w:numPr>
        <w:spacing w:line="360" w:lineRule="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高处作业过程中需要使用的工具、螺栓(螺母)、其他材料和零件等应装入可密闭的工具袋中，上下时手中不得拿物件，操作工具应具有防坠落措施。作业时宜清空口袋中物品。</w:t>
      </w:r>
    </w:p>
    <w:p w14:paraId="4D3CEE06">
      <w:pPr>
        <w:pStyle w:val="27"/>
        <w:numPr>
          <w:ilvl w:val="0"/>
          <w:numId w:val="5"/>
        </w:numPr>
        <w:spacing w:line="360" w:lineRule="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禁止同一时间在同一垂直线上进行高处作业;不在同一垂直线上作业时，上下作业之间的横向距离，应大于上层作业的可能坠落范围半径，并采取可靠的安全防护措施。</w:t>
      </w:r>
    </w:p>
    <w:p w14:paraId="12E1B45E">
      <w:pPr>
        <w:pStyle w:val="27"/>
        <w:numPr>
          <w:ilvl w:val="0"/>
          <w:numId w:val="5"/>
        </w:numPr>
        <w:spacing w:line="360" w:lineRule="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空调器高处作业时，作业人员不得少于2人，并指定其中1名为作业负责人，落实所有安全技术措施和劳动防护用品，未经落实不得作业。</w:t>
      </w:r>
    </w:p>
    <w:p w14:paraId="769DBA94">
      <w:pPr>
        <w:pStyle w:val="27"/>
        <w:numPr>
          <w:ilvl w:val="0"/>
          <w:numId w:val="5"/>
        </w:numPr>
        <w:spacing w:line="360" w:lineRule="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作业中一旦发现劳动防护用品有缺陷和隐患，必须及时解决，排除隐患或采取相应的可靠措施，经作业负责人同意后方可继续:无法排除危及人身安全时，应停止作业。</w:t>
      </w:r>
    </w:p>
    <w:p w14:paraId="0AA2471E">
      <w:pPr>
        <w:pStyle w:val="27"/>
        <w:numPr>
          <w:ilvl w:val="0"/>
          <w:numId w:val="5"/>
        </w:numPr>
        <w:spacing w:line="360" w:lineRule="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拆除空调器时，应对室外机采取绑扎等保护措施后，才能进行拆除作业。</w:t>
      </w:r>
    </w:p>
    <w:p w14:paraId="4192AC57">
      <w:pPr>
        <w:pStyle w:val="27"/>
        <w:numPr>
          <w:ilvl w:val="0"/>
          <w:numId w:val="5"/>
        </w:numPr>
        <w:spacing w:line="360" w:lineRule="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当需要登梯作业时，应有专人看护梯子，以防梯子滑倒或倾斜。</w:t>
      </w:r>
    </w:p>
    <w:p w14:paraId="034AF684">
      <w:pPr>
        <w:pStyle w:val="27"/>
        <w:numPr>
          <w:ilvl w:val="0"/>
          <w:numId w:val="5"/>
        </w:numPr>
        <w:spacing w:line="360" w:lineRule="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作业场所有落可能的物体，应先行撤除或加以固定;高处作业所产生的物料，均应堆放平稳或清理收拾，防止坠落伤人。</w:t>
      </w:r>
    </w:p>
    <w:sectPr>
      <w:headerReference r:id="rId6" w:type="default"/>
      <w:footerReference r:id="rId7" w:type="default"/>
      <w:pgSz w:w="11906" w:h="16838"/>
      <w:pgMar w:top="1418" w:right="1587" w:bottom="1418" w:left="1531" w:header="851" w:footer="992" w:gutter="0"/>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B1AA5">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686837"/>
    </w:sdtPr>
    <w:sdtContent>
      <w:p w14:paraId="25CDB483">
        <w:pPr>
          <w:pStyle w:val="11"/>
          <w:jc w:val="center"/>
        </w:pPr>
        <w:r>
          <w:fldChar w:fldCharType="begin"/>
        </w:r>
        <w:r>
          <w:instrText xml:space="preserve">PAGE   \* MERGEFORMAT</w:instrText>
        </w:r>
        <w:r>
          <w:fldChar w:fldCharType="separate"/>
        </w:r>
        <w:r>
          <w:rPr>
            <w:lang w:val="zh-CN"/>
          </w:rPr>
          <w:t>7</w:t>
        </w:r>
        <w:r>
          <w:fldChar w:fldCharType="end"/>
        </w:r>
      </w:p>
    </w:sdtContent>
  </w:sdt>
  <w:p w14:paraId="521D6058">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72253"/>
    </w:sdtPr>
    <w:sdtContent>
      <w:p w14:paraId="002569EF">
        <w:pPr>
          <w:pStyle w:val="11"/>
          <w:jc w:val="center"/>
        </w:pPr>
        <w:r>
          <w:fldChar w:fldCharType="begin"/>
        </w:r>
        <w:r>
          <w:instrText xml:space="preserve">PAGE   \* MERGEFORMAT</w:instrText>
        </w:r>
        <w:r>
          <w:fldChar w:fldCharType="separate"/>
        </w:r>
        <w:r>
          <w:rPr>
            <w:lang w:val="zh-CN"/>
          </w:rPr>
          <w:t>7</w:t>
        </w:r>
        <w:r>
          <w:fldChar w:fldCharType="end"/>
        </w:r>
      </w:p>
    </w:sdtContent>
  </w:sdt>
  <w:p w14:paraId="14CAB47E">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FC7D8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5F442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7C415A"/>
    <w:multiLevelType w:val="singleLevel"/>
    <w:tmpl w:val="C07C415A"/>
    <w:lvl w:ilvl="0" w:tentative="0">
      <w:start w:val="1"/>
      <w:numFmt w:val="decimal"/>
      <w:suff w:val="nothing"/>
      <w:lvlText w:val="（%1）"/>
      <w:lvlJc w:val="left"/>
    </w:lvl>
  </w:abstractNum>
  <w:abstractNum w:abstractNumId="1">
    <w:nsid w:val="DAF79493"/>
    <w:multiLevelType w:val="singleLevel"/>
    <w:tmpl w:val="DAF79493"/>
    <w:lvl w:ilvl="0" w:tentative="0">
      <w:start w:val="1"/>
      <w:numFmt w:val="decimal"/>
      <w:suff w:val="nothing"/>
      <w:lvlText w:val="%1、"/>
      <w:lvlJc w:val="left"/>
    </w:lvl>
  </w:abstractNum>
  <w:abstractNum w:abstractNumId="2">
    <w:nsid w:val="0E0B0173"/>
    <w:multiLevelType w:val="multilevel"/>
    <w:tmpl w:val="0E0B0173"/>
    <w:lvl w:ilvl="0" w:tentative="0">
      <w:start w:val="1"/>
      <w:numFmt w:val="decimal"/>
      <w:suff w:val="nothing"/>
      <w:lvlText w:val="%1"/>
      <w:lvlJc w:val="center"/>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F29DED4"/>
    <w:multiLevelType w:val="singleLevel"/>
    <w:tmpl w:val="2F29DED4"/>
    <w:lvl w:ilvl="0" w:tentative="0">
      <w:start w:val="1"/>
      <w:numFmt w:val="decimal"/>
      <w:suff w:val="nothing"/>
      <w:lvlText w:val="（%1）"/>
      <w:lvlJc w:val="left"/>
    </w:lvl>
  </w:abstractNum>
  <w:abstractNum w:abstractNumId="4">
    <w:nsid w:val="5AED5005"/>
    <w:multiLevelType w:val="singleLevel"/>
    <w:tmpl w:val="5AED5005"/>
    <w:lvl w:ilvl="0" w:tentative="0">
      <w:start w:val="1"/>
      <w:numFmt w:val="decimal"/>
      <w:suff w:val="nothing"/>
      <w:lvlText w:val="（%1）"/>
      <w:lvlJc w:val="left"/>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QxMDEyYTI5NmYyOGRmZDU2OGJlOGI0ZGJhOWVjMTgifQ=="/>
  </w:docVars>
  <w:rsids>
    <w:rsidRoot w:val="00285FDF"/>
    <w:rsid w:val="00033FC3"/>
    <w:rsid w:val="00035633"/>
    <w:rsid w:val="0004493C"/>
    <w:rsid w:val="000661DA"/>
    <w:rsid w:val="0007127B"/>
    <w:rsid w:val="000D68EE"/>
    <w:rsid w:val="000F5A8B"/>
    <w:rsid w:val="00100F64"/>
    <w:rsid w:val="0010441E"/>
    <w:rsid w:val="00124065"/>
    <w:rsid w:val="001918DD"/>
    <w:rsid w:val="001A4E27"/>
    <w:rsid w:val="001D73DD"/>
    <w:rsid w:val="001F11A0"/>
    <w:rsid w:val="001F5F52"/>
    <w:rsid w:val="0020432B"/>
    <w:rsid w:val="00206050"/>
    <w:rsid w:val="00216BDE"/>
    <w:rsid w:val="0024609C"/>
    <w:rsid w:val="002525EF"/>
    <w:rsid w:val="00265D8A"/>
    <w:rsid w:val="00276841"/>
    <w:rsid w:val="00285FDF"/>
    <w:rsid w:val="00293808"/>
    <w:rsid w:val="002E54FA"/>
    <w:rsid w:val="002F42B3"/>
    <w:rsid w:val="00312755"/>
    <w:rsid w:val="003652DC"/>
    <w:rsid w:val="00392D5E"/>
    <w:rsid w:val="00394E2E"/>
    <w:rsid w:val="003A5EF0"/>
    <w:rsid w:val="00421CD2"/>
    <w:rsid w:val="00427EC7"/>
    <w:rsid w:val="004335F3"/>
    <w:rsid w:val="0046075B"/>
    <w:rsid w:val="004B45DB"/>
    <w:rsid w:val="004B48CF"/>
    <w:rsid w:val="004C14AE"/>
    <w:rsid w:val="004F3DD5"/>
    <w:rsid w:val="00500508"/>
    <w:rsid w:val="00516A53"/>
    <w:rsid w:val="00525288"/>
    <w:rsid w:val="00526DFE"/>
    <w:rsid w:val="00560B1C"/>
    <w:rsid w:val="005735B4"/>
    <w:rsid w:val="0059462D"/>
    <w:rsid w:val="005A7985"/>
    <w:rsid w:val="005C7C6E"/>
    <w:rsid w:val="00602FA4"/>
    <w:rsid w:val="00612973"/>
    <w:rsid w:val="00621377"/>
    <w:rsid w:val="00621BC5"/>
    <w:rsid w:val="00622D25"/>
    <w:rsid w:val="00623CA5"/>
    <w:rsid w:val="0064528A"/>
    <w:rsid w:val="00657D5D"/>
    <w:rsid w:val="00664357"/>
    <w:rsid w:val="0067215B"/>
    <w:rsid w:val="00685AE8"/>
    <w:rsid w:val="0068657E"/>
    <w:rsid w:val="006A48DC"/>
    <w:rsid w:val="006A7018"/>
    <w:rsid w:val="006F5C9D"/>
    <w:rsid w:val="006F623D"/>
    <w:rsid w:val="00704DA4"/>
    <w:rsid w:val="00722B11"/>
    <w:rsid w:val="007231B2"/>
    <w:rsid w:val="00740EDE"/>
    <w:rsid w:val="007457D2"/>
    <w:rsid w:val="007504CD"/>
    <w:rsid w:val="00751E0C"/>
    <w:rsid w:val="00756B9D"/>
    <w:rsid w:val="0079226E"/>
    <w:rsid w:val="007B185F"/>
    <w:rsid w:val="007D0737"/>
    <w:rsid w:val="007D7F25"/>
    <w:rsid w:val="007E7BED"/>
    <w:rsid w:val="007F21CF"/>
    <w:rsid w:val="007F5965"/>
    <w:rsid w:val="007F62C7"/>
    <w:rsid w:val="00804A15"/>
    <w:rsid w:val="00827BA8"/>
    <w:rsid w:val="00835E4B"/>
    <w:rsid w:val="00860D5D"/>
    <w:rsid w:val="00860D77"/>
    <w:rsid w:val="00860F0F"/>
    <w:rsid w:val="008A7E92"/>
    <w:rsid w:val="008B6603"/>
    <w:rsid w:val="008D096F"/>
    <w:rsid w:val="008D39F0"/>
    <w:rsid w:val="008F2364"/>
    <w:rsid w:val="008F79A1"/>
    <w:rsid w:val="009010E1"/>
    <w:rsid w:val="00905FCF"/>
    <w:rsid w:val="00921852"/>
    <w:rsid w:val="00977D59"/>
    <w:rsid w:val="00982048"/>
    <w:rsid w:val="00986675"/>
    <w:rsid w:val="00992C0A"/>
    <w:rsid w:val="00996894"/>
    <w:rsid w:val="009A0772"/>
    <w:rsid w:val="009A492D"/>
    <w:rsid w:val="009B19DD"/>
    <w:rsid w:val="009E52CD"/>
    <w:rsid w:val="009E588A"/>
    <w:rsid w:val="009F3D38"/>
    <w:rsid w:val="00A43CA0"/>
    <w:rsid w:val="00A43CE8"/>
    <w:rsid w:val="00A52C59"/>
    <w:rsid w:val="00A64E51"/>
    <w:rsid w:val="00A826B8"/>
    <w:rsid w:val="00AA16EA"/>
    <w:rsid w:val="00AA34A4"/>
    <w:rsid w:val="00AA454F"/>
    <w:rsid w:val="00AB0554"/>
    <w:rsid w:val="00AB39CE"/>
    <w:rsid w:val="00AD1929"/>
    <w:rsid w:val="00AE0F20"/>
    <w:rsid w:val="00AE2E97"/>
    <w:rsid w:val="00AF6861"/>
    <w:rsid w:val="00B0045A"/>
    <w:rsid w:val="00B145E9"/>
    <w:rsid w:val="00B33A8F"/>
    <w:rsid w:val="00B54F6F"/>
    <w:rsid w:val="00B754B8"/>
    <w:rsid w:val="00BA6F2E"/>
    <w:rsid w:val="00BA719E"/>
    <w:rsid w:val="00BC07F9"/>
    <w:rsid w:val="00BF3D4E"/>
    <w:rsid w:val="00BF3E7A"/>
    <w:rsid w:val="00BF4191"/>
    <w:rsid w:val="00C13A45"/>
    <w:rsid w:val="00C2450C"/>
    <w:rsid w:val="00C47644"/>
    <w:rsid w:val="00C6109B"/>
    <w:rsid w:val="00C6750F"/>
    <w:rsid w:val="00CA6FC6"/>
    <w:rsid w:val="00CA7CD9"/>
    <w:rsid w:val="00CE2B07"/>
    <w:rsid w:val="00CE5D44"/>
    <w:rsid w:val="00D05A8E"/>
    <w:rsid w:val="00D05F1E"/>
    <w:rsid w:val="00D1095E"/>
    <w:rsid w:val="00D24999"/>
    <w:rsid w:val="00D40F88"/>
    <w:rsid w:val="00D63D4F"/>
    <w:rsid w:val="00D83316"/>
    <w:rsid w:val="00D93ECE"/>
    <w:rsid w:val="00D962D4"/>
    <w:rsid w:val="00DB74D4"/>
    <w:rsid w:val="00DC2FAA"/>
    <w:rsid w:val="00DF1CA1"/>
    <w:rsid w:val="00E46AA2"/>
    <w:rsid w:val="00E52B35"/>
    <w:rsid w:val="00E8104B"/>
    <w:rsid w:val="00E81FE2"/>
    <w:rsid w:val="00EA6877"/>
    <w:rsid w:val="00ED2273"/>
    <w:rsid w:val="00ED79DA"/>
    <w:rsid w:val="00EF37D2"/>
    <w:rsid w:val="00F0015F"/>
    <w:rsid w:val="00F0390F"/>
    <w:rsid w:val="00F07E6F"/>
    <w:rsid w:val="00F26953"/>
    <w:rsid w:val="00F34F30"/>
    <w:rsid w:val="00F36DE9"/>
    <w:rsid w:val="00F42427"/>
    <w:rsid w:val="00F53279"/>
    <w:rsid w:val="00FA7A84"/>
    <w:rsid w:val="00FC5229"/>
    <w:rsid w:val="00FD1A37"/>
    <w:rsid w:val="00FE172C"/>
    <w:rsid w:val="00FF0A5A"/>
    <w:rsid w:val="021311B0"/>
    <w:rsid w:val="046F4E25"/>
    <w:rsid w:val="04C65DDC"/>
    <w:rsid w:val="05F633D4"/>
    <w:rsid w:val="071F6E1C"/>
    <w:rsid w:val="08A01F6E"/>
    <w:rsid w:val="0A38108A"/>
    <w:rsid w:val="100C51FC"/>
    <w:rsid w:val="13A43AC8"/>
    <w:rsid w:val="147E1556"/>
    <w:rsid w:val="17CF39E0"/>
    <w:rsid w:val="180071D9"/>
    <w:rsid w:val="180D715A"/>
    <w:rsid w:val="19CA4A8E"/>
    <w:rsid w:val="1D13560D"/>
    <w:rsid w:val="1D364A2A"/>
    <w:rsid w:val="1DBE16CC"/>
    <w:rsid w:val="1E750B94"/>
    <w:rsid w:val="1F58750D"/>
    <w:rsid w:val="200E78EF"/>
    <w:rsid w:val="218A4E78"/>
    <w:rsid w:val="248E07B8"/>
    <w:rsid w:val="26747884"/>
    <w:rsid w:val="27697D30"/>
    <w:rsid w:val="2878627F"/>
    <w:rsid w:val="2889615E"/>
    <w:rsid w:val="29BD5C6D"/>
    <w:rsid w:val="2A942BD7"/>
    <w:rsid w:val="2CBC1664"/>
    <w:rsid w:val="3021153D"/>
    <w:rsid w:val="32F86C10"/>
    <w:rsid w:val="330E7BDC"/>
    <w:rsid w:val="332C309A"/>
    <w:rsid w:val="341A1D21"/>
    <w:rsid w:val="3729169F"/>
    <w:rsid w:val="373E2AFA"/>
    <w:rsid w:val="3A330AC8"/>
    <w:rsid w:val="3C146687"/>
    <w:rsid w:val="3DB94D57"/>
    <w:rsid w:val="3DFA0B12"/>
    <w:rsid w:val="41CA004A"/>
    <w:rsid w:val="44757A33"/>
    <w:rsid w:val="46B45C34"/>
    <w:rsid w:val="49F019D9"/>
    <w:rsid w:val="49FE7B06"/>
    <w:rsid w:val="4A4839C1"/>
    <w:rsid w:val="4DED40AD"/>
    <w:rsid w:val="4EB66D6E"/>
    <w:rsid w:val="4F755C98"/>
    <w:rsid w:val="500550D8"/>
    <w:rsid w:val="52903990"/>
    <w:rsid w:val="546C0DAD"/>
    <w:rsid w:val="555B55F4"/>
    <w:rsid w:val="556E38DA"/>
    <w:rsid w:val="55882F61"/>
    <w:rsid w:val="55AC1F4E"/>
    <w:rsid w:val="56420F92"/>
    <w:rsid w:val="56AC71B3"/>
    <w:rsid w:val="57890AF4"/>
    <w:rsid w:val="59324BF8"/>
    <w:rsid w:val="59AC70F6"/>
    <w:rsid w:val="5AF57FF0"/>
    <w:rsid w:val="5B4052B6"/>
    <w:rsid w:val="5C2C74E6"/>
    <w:rsid w:val="5D577820"/>
    <w:rsid w:val="5EAE42CC"/>
    <w:rsid w:val="60123266"/>
    <w:rsid w:val="632F6185"/>
    <w:rsid w:val="641F3691"/>
    <w:rsid w:val="664902EF"/>
    <w:rsid w:val="67410309"/>
    <w:rsid w:val="67847CC8"/>
    <w:rsid w:val="6A6B5E57"/>
    <w:rsid w:val="6A732C5E"/>
    <w:rsid w:val="6B542760"/>
    <w:rsid w:val="6B8C1AB4"/>
    <w:rsid w:val="6C0E2107"/>
    <w:rsid w:val="6C4D59E1"/>
    <w:rsid w:val="6DBB5F3B"/>
    <w:rsid w:val="6F68734C"/>
    <w:rsid w:val="72A61D3E"/>
    <w:rsid w:val="7346299E"/>
    <w:rsid w:val="74E6483F"/>
    <w:rsid w:val="77B01F10"/>
    <w:rsid w:val="77B37490"/>
    <w:rsid w:val="79E729F7"/>
    <w:rsid w:val="7C6A0859"/>
    <w:rsid w:val="7D8B4B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6"/>
    <w:qFormat/>
    <w:uiPriority w:val="9"/>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qFormat/>
    <w:uiPriority w:val="9"/>
    <w:pPr>
      <w:keepNext/>
      <w:keepLines/>
      <w:spacing w:after="50" w:afterLines="50" w:line="480" w:lineRule="exact"/>
      <w:outlineLvl w:val="2"/>
    </w:pPr>
    <w:rPr>
      <w:rFonts w:ascii="仿宋" w:hAnsi="仿宋"/>
      <w:b/>
      <w:sz w:val="28"/>
      <w:szCs w:val="24"/>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toa heading"/>
    <w:basedOn w:val="1"/>
    <w:next w:val="1"/>
    <w:unhideWhenUsed/>
    <w:qFormat/>
    <w:uiPriority w:val="99"/>
    <w:pPr>
      <w:spacing w:before="120"/>
    </w:pPr>
    <w:rPr>
      <w:rFonts w:ascii="等线 Light" w:hAnsi="等线 Light" w:cs="Times New Roman"/>
      <w:szCs w:val="24"/>
    </w:rPr>
  </w:style>
  <w:style w:type="paragraph" w:styleId="6">
    <w:name w:val="annotation text"/>
    <w:basedOn w:val="1"/>
    <w:link w:val="83"/>
    <w:unhideWhenUsed/>
    <w:qFormat/>
    <w:uiPriority w:val="99"/>
    <w:pPr>
      <w:jc w:val="left"/>
    </w:pPr>
  </w:style>
  <w:style w:type="paragraph" w:styleId="7">
    <w:name w:val="Body Text"/>
    <w:basedOn w:val="1"/>
    <w:next w:val="1"/>
    <w:unhideWhenUsed/>
    <w:qFormat/>
    <w:uiPriority w:val="99"/>
    <w:pPr>
      <w:spacing w:after="120"/>
    </w:pPr>
  </w:style>
  <w:style w:type="paragraph" w:styleId="8">
    <w:name w:val="Body Text Indent"/>
    <w:basedOn w:val="1"/>
    <w:next w:val="1"/>
    <w:qFormat/>
    <w:uiPriority w:val="0"/>
    <w:pPr>
      <w:spacing w:after="120"/>
      <w:ind w:left="420" w:leftChars="200"/>
    </w:pPr>
  </w:style>
  <w:style w:type="paragraph" w:styleId="9">
    <w:name w:val="toc 3"/>
    <w:basedOn w:val="1"/>
    <w:next w:val="1"/>
    <w:unhideWhenUsed/>
    <w:qFormat/>
    <w:uiPriority w:val="39"/>
    <w:pPr>
      <w:widowControl/>
      <w:spacing w:after="100" w:line="259" w:lineRule="auto"/>
      <w:ind w:left="440"/>
      <w:jc w:val="left"/>
    </w:pPr>
    <w:rPr>
      <w:rFonts w:cs="Times New Roman"/>
      <w:kern w:val="0"/>
      <w:sz w:val="22"/>
    </w:rPr>
  </w:style>
  <w:style w:type="paragraph" w:styleId="10">
    <w:name w:val="Balloon Text"/>
    <w:basedOn w:val="1"/>
    <w:link w:val="32"/>
    <w:unhideWhenUsed/>
    <w:qFormat/>
    <w:uiPriority w:val="0"/>
    <w:rPr>
      <w:sz w:val="18"/>
      <w:szCs w:val="18"/>
    </w:rPr>
  </w:style>
  <w:style w:type="paragraph" w:styleId="11">
    <w:name w:val="footer"/>
    <w:basedOn w:val="1"/>
    <w:link w:val="29"/>
    <w:unhideWhenUsed/>
    <w:qFormat/>
    <w:uiPriority w:val="0"/>
    <w:pPr>
      <w:tabs>
        <w:tab w:val="center" w:pos="4153"/>
        <w:tab w:val="right" w:pos="8306"/>
      </w:tabs>
      <w:snapToGrid w:val="0"/>
      <w:jc w:val="left"/>
    </w:pPr>
    <w:rPr>
      <w:sz w:val="18"/>
      <w:szCs w:val="18"/>
    </w:rPr>
  </w:style>
  <w:style w:type="paragraph" w:styleId="12">
    <w:name w:val="header"/>
    <w:basedOn w:val="1"/>
    <w:link w:val="28"/>
    <w:unhideWhenUsed/>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unhideWhenUsed/>
    <w:qFormat/>
    <w:uiPriority w:val="39"/>
    <w:pPr>
      <w:widowControl/>
      <w:spacing w:after="100" w:line="259" w:lineRule="auto"/>
      <w:jc w:val="left"/>
    </w:pPr>
    <w:rPr>
      <w:rFonts w:cs="Times New Roman"/>
      <w:kern w:val="0"/>
      <w:sz w:val="22"/>
    </w:rPr>
  </w:style>
  <w:style w:type="paragraph" w:styleId="14">
    <w:name w:val="toc 2"/>
    <w:basedOn w:val="1"/>
    <w:next w:val="1"/>
    <w:unhideWhenUsed/>
    <w:qFormat/>
    <w:uiPriority w:val="39"/>
    <w:pPr>
      <w:widowControl/>
      <w:spacing w:after="100" w:line="259" w:lineRule="auto"/>
      <w:ind w:left="220"/>
      <w:jc w:val="left"/>
    </w:pPr>
    <w:rPr>
      <w:rFonts w:cs="Times New Roman"/>
      <w:kern w:val="0"/>
      <w:sz w:val="22"/>
    </w:rPr>
  </w:style>
  <w:style w:type="paragraph" w:styleId="15">
    <w:name w:val="HTML Preformatted"/>
    <w:basedOn w:val="1"/>
    <w:link w:val="30"/>
    <w:autoRedefine/>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1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7">
    <w:name w:val="annotation subject"/>
    <w:basedOn w:val="6"/>
    <w:next w:val="6"/>
    <w:link w:val="84"/>
    <w:qFormat/>
    <w:uiPriority w:val="0"/>
    <w:rPr>
      <w:b/>
      <w:bCs/>
    </w:rPr>
  </w:style>
  <w:style w:type="paragraph" w:styleId="18">
    <w:name w:val="Body Text First Indent 2"/>
    <w:basedOn w:val="8"/>
    <w:next w:val="1"/>
    <w:qFormat/>
    <w:uiPriority w:val="0"/>
    <w:pPr>
      <w:ind w:left="420" w:firstLine="210"/>
    </w:pPr>
    <w:rPr>
      <w:sz w:val="21"/>
      <w:szCs w:val="20"/>
    </w:rPr>
  </w:style>
  <w:style w:type="table" w:styleId="20">
    <w:name w:val="Table Grid"/>
    <w:basedOn w:val="1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22"/>
    <w:rPr>
      <w:b/>
      <w:bCs/>
    </w:rPr>
  </w:style>
  <w:style w:type="character" w:styleId="23">
    <w:name w:val="FollowedHyperlink"/>
    <w:basedOn w:val="21"/>
    <w:semiHidden/>
    <w:unhideWhenUsed/>
    <w:qFormat/>
    <w:uiPriority w:val="99"/>
    <w:rPr>
      <w:color w:val="800080"/>
      <w:u w:val="single"/>
    </w:rPr>
  </w:style>
  <w:style w:type="character" w:styleId="24">
    <w:name w:val="Hyperlink"/>
    <w:basedOn w:val="21"/>
    <w:unhideWhenUsed/>
    <w:qFormat/>
    <w:uiPriority w:val="99"/>
    <w:rPr>
      <w:color w:val="0563C1" w:themeColor="hyperlink"/>
      <w:u w:val="single"/>
      <w14:textFill>
        <w14:solidFill>
          <w14:schemeClr w14:val="hlink"/>
        </w14:solidFill>
      </w14:textFill>
    </w:rPr>
  </w:style>
  <w:style w:type="character" w:styleId="25">
    <w:name w:val="annotation reference"/>
    <w:basedOn w:val="21"/>
    <w:qFormat/>
    <w:uiPriority w:val="0"/>
    <w:rPr>
      <w:sz w:val="21"/>
      <w:szCs w:val="21"/>
    </w:rPr>
  </w:style>
  <w:style w:type="character" w:customStyle="1" w:styleId="26">
    <w:name w:val="标题 1 Char"/>
    <w:basedOn w:val="21"/>
    <w:link w:val="2"/>
    <w:qFormat/>
    <w:uiPriority w:val="9"/>
    <w:rPr>
      <w:b/>
      <w:bCs/>
      <w:kern w:val="44"/>
      <w:sz w:val="44"/>
      <w:szCs w:val="44"/>
    </w:rPr>
  </w:style>
  <w:style w:type="paragraph" w:styleId="27">
    <w:name w:val="List Paragraph"/>
    <w:basedOn w:val="1"/>
    <w:qFormat/>
    <w:uiPriority w:val="34"/>
    <w:pPr>
      <w:ind w:firstLine="420" w:firstLineChars="200"/>
    </w:pPr>
  </w:style>
  <w:style w:type="character" w:customStyle="1" w:styleId="28">
    <w:name w:val="页眉 Char"/>
    <w:basedOn w:val="21"/>
    <w:link w:val="12"/>
    <w:qFormat/>
    <w:uiPriority w:val="0"/>
    <w:rPr>
      <w:sz w:val="18"/>
      <w:szCs w:val="18"/>
    </w:rPr>
  </w:style>
  <w:style w:type="character" w:customStyle="1" w:styleId="29">
    <w:name w:val="页脚 Char"/>
    <w:basedOn w:val="21"/>
    <w:link w:val="11"/>
    <w:qFormat/>
    <w:uiPriority w:val="0"/>
    <w:rPr>
      <w:sz w:val="18"/>
      <w:szCs w:val="18"/>
    </w:rPr>
  </w:style>
  <w:style w:type="character" w:customStyle="1" w:styleId="30">
    <w:name w:val="HTML 预设格式 Char"/>
    <w:basedOn w:val="21"/>
    <w:link w:val="15"/>
    <w:semiHidden/>
    <w:qFormat/>
    <w:uiPriority w:val="99"/>
    <w:rPr>
      <w:rFonts w:ascii="宋体" w:hAnsi="宋体" w:eastAsia="宋体" w:cs="宋体"/>
      <w:kern w:val="0"/>
      <w:sz w:val="24"/>
      <w:szCs w:val="24"/>
    </w:rPr>
  </w:style>
  <w:style w:type="paragraph" w:customStyle="1" w:styleId="31">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32">
    <w:name w:val="批注框文本 Char"/>
    <w:basedOn w:val="21"/>
    <w:link w:val="10"/>
    <w:qFormat/>
    <w:uiPriority w:val="0"/>
    <w:rPr>
      <w:sz w:val="18"/>
      <w:szCs w:val="18"/>
    </w:rPr>
  </w:style>
  <w:style w:type="paragraph" w:customStyle="1" w:styleId="33">
    <w:name w:val="font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34">
    <w:name w:val="xl65"/>
    <w:basedOn w:val="1"/>
    <w:qFormat/>
    <w:uiPriority w:val="0"/>
    <w:pPr>
      <w:widowControl/>
      <w:spacing w:before="100" w:beforeAutospacing="1" w:after="100" w:afterAutospacing="1"/>
      <w:jc w:val="left"/>
      <w:textAlignment w:val="center"/>
    </w:pPr>
    <w:rPr>
      <w:rFonts w:ascii="宋体" w:hAnsi="宋体" w:eastAsia="宋体" w:cs="宋体"/>
      <w:kern w:val="0"/>
      <w:sz w:val="24"/>
      <w:szCs w:val="24"/>
    </w:rPr>
  </w:style>
  <w:style w:type="paragraph" w:customStyle="1" w:styleId="35">
    <w:name w:val="xl66"/>
    <w:basedOn w:val="1"/>
    <w:qFormat/>
    <w:uiPriority w:val="0"/>
    <w:pPr>
      <w:widowControl/>
      <w:spacing w:before="100" w:beforeAutospacing="1" w:after="100" w:afterAutospacing="1"/>
      <w:jc w:val="center"/>
      <w:textAlignment w:val="center"/>
    </w:pPr>
    <w:rPr>
      <w:rFonts w:ascii="宋体" w:hAnsi="宋体" w:eastAsia="宋体" w:cs="宋体"/>
      <w:kern w:val="0"/>
      <w:sz w:val="24"/>
      <w:szCs w:val="24"/>
    </w:rPr>
  </w:style>
  <w:style w:type="paragraph" w:customStyle="1" w:styleId="36">
    <w:name w:val="xl67"/>
    <w:basedOn w:val="1"/>
    <w:qFormat/>
    <w:uiPriority w:val="0"/>
    <w:pPr>
      <w:widowControl/>
      <w:spacing w:before="100" w:beforeAutospacing="1" w:after="100" w:afterAutospacing="1"/>
      <w:jc w:val="center"/>
      <w:textAlignment w:val="center"/>
    </w:pPr>
    <w:rPr>
      <w:rFonts w:ascii="宋体" w:hAnsi="宋体" w:eastAsia="宋体" w:cs="宋体"/>
      <w:kern w:val="0"/>
      <w:sz w:val="32"/>
      <w:szCs w:val="32"/>
    </w:rPr>
  </w:style>
  <w:style w:type="paragraph" w:customStyle="1" w:styleId="37">
    <w:name w:val="xl68"/>
    <w:basedOn w:val="1"/>
    <w:qFormat/>
    <w:uiPriority w:val="0"/>
    <w:pPr>
      <w:widowControl/>
      <w:spacing w:before="100" w:beforeAutospacing="1" w:after="100" w:afterAutospacing="1"/>
      <w:jc w:val="left"/>
      <w:textAlignment w:val="center"/>
    </w:pPr>
    <w:rPr>
      <w:rFonts w:ascii="宋体" w:hAnsi="宋体" w:eastAsia="宋体" w:cs="宋体"/>
      <w:kern w:val="0"/>
      <w:sz w:val="24"/>
      <w:szCs w:val="24"/>
    </w:rPr>
  </w:style>
  <w:style w:type="paragraph" w:customStyle="1" w:styleId="38">
    <w:name w:val="xl6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39">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0">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41">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42">
    <w:name w:val="xl73"/>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43">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4">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eastAsia="宋体" w:cs="宋体"/>
      <w:kern w:val="0"/>
      <w:sz w:val="18"/>
      <w:szCs w:val="18"/>
    </w:rPr>
  </w:style>
  <w:style w:type="paragraph" w:customStyle="1" w:styleId="45">
    <w:name w:val="xl76"/>
    <w:basedOn w:val="1"/>
    <w:qFormat/>
    <w:uiPriority w:val="0"/>
    <w:pPr>
      <w:widowControl/>
      <w:shd w:val="clear" w:color="000000" w:fill="FFFFFF"/>
      <w:spacing w:before="100" w:beforeAutospacing="1" w:after="100" w:afterAutospacing="1"/>
      <w:jc w:val="center"/>
      <w:textAlignment w:val="center"/>
    </w:pPr>
    <w:rPr>
      <w:rFonts w:ascii="宋体" w:hAnsi="宋体" w:eastAsia="宋体" w:cs="宋体"/>
      <w:kern w:val="0"/>
      <w:sz w:val="18"/>
      <w:szCs w:val="18"/>
    </w:rPr>
  </w:style>
  <w:style w:type="paragraph" w:customStyle="1" w:styleId="46">
    <w:name w:val="xl77"/>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7">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8">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eastAsia="宋体" w:cs="宋体"/>
      <w:kern w:val="0"/>
      <w:sz w:val="18"/>
      <w:szCs w:val="18"/>
    </w:rPr>
  </w:style>
  <w:style w:type="paragraph" w:customStyle="1" w:styleId="49">
    <w:name w:val="xl8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50">
    <w:name w:val="xl81"/>
    <w:basedOn w:val="1"/>
    <w:qFormat/>
    <w:uiPriority w:val="0"/>
    <w:pPr>
      <w:widowControl/>
      <w:spacing w:before="100" w:beforeAutospacing="1" w:after="100" w:afterAutospacing="1"/>
      <w:jc w:val="left"/>
      <w:textAlignment w:val="center"/>
    </w:pPr>
    <w:rPr>
      <w:rFonts w:ascii="宋体" w:hAnsi="宋体" w:eastAsia="宋体" w:cs="宋体"/>
      <w:kern w:val="0"/>
      <w:sz w:val="18"/>
      <w:szCs w:val="18"/>
    </w:rPr>
  </w:style>
  <w:style w:type="paragraph" w:customStyle="1" w:styleId="51">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52">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53">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kern w:val="0"/>
      <w:sz w:val="20"/>
      <w:szCs w:val="20"/>
    </w:rPr>
  </w:style>
  <w:style w:type="paragraph" w:customStyle="1" w:styleId="54">
    <w:name w:val="font6"/>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55">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56">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57">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58">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59">
    <w:name w:val="xl89"/>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0">
    <w:name w:val="xl9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1">
    <w:name w:val="xl91"/>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62">
    <w:name w:val="xl9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63">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Calibri" w:hAnsi="Calibri" w:eastAsia="宋体" w:cs="Calibri"/>
      <w:kern w:val="0"/>
      <w:szCs w:val="21"/>
    </w:rPr>
  </w:style>
  <w:style w:type="paragraph" w:customStyle="1" w:styleId="64">
    <w:name w:val="xl94"/>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5">
    <w:name w:val="xl9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6">
    <w:name w:val="xl9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67">
    <w:name w:val="xl9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68">
    <w:name w:val="xl98"/>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9">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0">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1">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8"/>
      <w:szCs w:val="18"/>
    </w:rPr>
  </w:style>
  <w:style w:type="paragraph" w:customStyle="1" w:styleId="72">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73">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4">
    <w:name w:val="xl104"/>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8"/>
      <w:szCs w:val="18"/>
    </w:rPr>
  </w:style>
  <w:style w:type="paragraph" w:customStyle="1" w:styleId="75">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76">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7">
    <w:name w:val="xl10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b/>
      <w:bCs/>
      <w:kern w:val="0"/>
      <w:sz w:val="20"/>
      <w:szCs w:val="20"/>
    </w:rPr>
  </w:style>
  <w:style w:type="paragraph" w:customStyle="1" w:styleId="78">
    <w:name w:val="xl10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b/>
      <w:bCs/>
      <w:kern w:val="0"/>
      <w:sz w:val="20"/>
      <w:szCs w:val="20"/>
    </w:rPr>
  </w:style>
  <w:style w:type="paragraph" w:customStyle="1" w:styleId="79">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character" w:customStyle="1" w:styleId="80">
    <w:name w:val="cf01"/>
    <w:basedOn w:val="21"/>
    <w:qFormat/>
    <w:uiPriority w:val="0"/>
    <w:rPr>
      <w:rFonts w:hint="eastAsia" w:ascii="Microsoft YaHei UI" w:hAnsi="Microsoft YaHei UI" w:eastAsia="Microsoft YaHei UI"/>
      <w:sz w:val="18"/>
      <w:szCs w:val="18"/>
    </w:rPr>
  </w:style>
  <w:style w:type="paragraph" w:customStyle="1" w:styleId="81">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82">
    <w:name w:val="批注文字 字符"/>
    <w:basedOn w:val="21"/>
    <w:qFormat/>
    <w:uiPriority w:val="99"/>
    <w:rPr>
      <w:rFonts w:asciiTheme="minorHAnsi" w:hAnsiTheme="minorHAnsi" w:eastAsiaTheme="minorEastAsia" w:cstheme="minorBidi"/>
      <w:kern w:val="2"/>
      <w:sz w:val="21"/>
      <w:szCs w:val="22"/>
    </w:rPr>
  </w:style>
  <w:style w:type="character" w:customStyle="1" w:styleId="83">
    <w:name w:val="批注文字 Char"/>
    <w:basedOn w:val="21"/>
    <w:link w:val="6"/>
    <w:qFormat/>
    <w:uiPriority w:val="99"/>
    <w:rPr>
      <w:rFonts w:asciiTheme="minorHAnsi" w:hAnsiTheme="minorHAnsi" w:eastAsiaTheme="minorEastAsia" w:cstheme="minorBidi"/>
      <w:kern w:val="2"/>
      <w:sz w:val="21"/>
      <w:szCs w:val="22"/>
    </w:rPr>
  </w:style>
  <w:style w:type="character" w:customStyle="1" w:styleId="84">
    <w:name w:val="批注主题 Char"/>
    <w:basedOn w:val="83"/>
    <w:link w:val="17"/>
    <w:qFormat/>
    <w:uiPriority w:val="0"/>
    <w:rPr>
      <w:rFonts w:asciiTheme="minorHAnsi" w:hAnsiTheme="minorHAnsi" w:eastAsiaTheme="minorEastAsia" w:cstheme="minorBidi"/>
      <w:b/>
      <w:bCs/>
      <w:kern w:val="2"/>
      <w:sz w:val="21"/>
      <w:szCs w:val="22"/>
    </w:rPr>
  </w:style>
  <w:style w:type="paragraph" w:customStyle="1" w:styleId="85">
    <w:name w:val="修订1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86">
    <w:name w:val="pf0"/>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87">
    <w:name w:val="cf11"/>
    <w:basedOn w:val="21"/>
    <w:qFormat/>
    <w:uiPriority w:val="0"/>
    <w:rPr>
      <w:rFonts w:hint="eastAsia" w:ascii="Microsoft YaHei UI" w:hAnsi="Microsoft YaHei UI" w:eastAsia="Microsoft YaHei UI"/>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numbering" Target="numbering.xml"/><Relationship Id="rId13" Type="http://schemas.openxmlformats.org/officeDocument/2006/relationships/image" Target="media/image5.jpeg"/><Relationship Id="rId12" Type="http://schemas.openxmlformats.org/officeDocument/2006/relationships/image" Target="media/image4.jpeg"/><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8062E3-6527-4945-B372-F0664392E16F}">
  <ds:schemaRefs/>
</ds:datastoreItem>
</file>

<file path=docProps/app.xml><?xml version="1.0" encoding="utf-8"?>
<Properties xmlns="http://schemas.openxmlformats.org/officeDocument/2006/extended-properties" xmlns:vt="http://schemas.openxmlformats.org/officeDocument/2006/docPropsVTypes">
  <Template>Normal</Template>
  <Pages>22</Pages>
  <Words>11937</Words>
  <Characters>11965</Characters>
  <Lines>173</Lines>
  <Paragraphs>48</Paragraphs>
  <TotalTime>9</TotalTime>
  <ScaleCrop>false</ScaleCrop>
  <LinksUpToDate>false</LinksUpToDate>
  <CharactersWithSpaces>11987</CharactersWithSpaces>
  <Application>WPS Office_12.1.0.18240_F1E327BC-269C-435d-A152-05C5408002CA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2022-12-15T08:13:00Z</dcterms:created>
  <dc:creator>FENG</dc:creator>
  <cp:lastModifiedBy>Dr.美ˇ</cp:lastModifiedBy>
  <cp:lastPrinted>2023-08-29T08:25:00Z</cp:lastPrinted>
  <dcterms:modified xsi:type="dcterms:W3CDTF">2024-09-14T02:08:57Z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2052-12.1.0.18240</vt:lpwstr>
  </property>
  <property fmtid="{D5CDD505-2E9C-101B-9397-08002B2CF9AE}" pid="3" name="ICV">
    <vt:lpwstr>6715AD0A37A9493591304D4E10557B1F_13</vt:lpwstr>
  </property>
</Properties>
</file>