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08DC6">
      <w:pPr>
        <w:spacing w:line="360" w:lineRule="auto"/>
        <w:jc w:val="center"/>
        <w:rPr>
          <w:rFonts w:eastAsia="黑体"/>
          <w:b/>
          <w:sz w:val="54"/>
          <w:szCs w:val="54"/>
        </w:rPr>
      </w:pPr>
    </w:p>
    <w:p w14:paraId="6AEBEE64">
      <w:pPr>
        <w:spacing w:line="360" w:lineRule="auto"/>
        <w:jc w:val="center"/>
        <w:rPr>
          <w:rFonts w:hint="eastAsia" w:ascii="黑体" w:hAnsi="黑体" w:eastAsia="黑体"/>
          <w:sz w:val="52"/>
          <w:szCs w:val="52"/>
        </w:rPr>
      </w:pPr>
      <w:bookmarkStart w:id="0" w:name="_Toc264729017"/>
      <w:bookmarkStart w:id="1" w:name="_Toc264643771"/>
    </w:p>
    <w:p w14:paraId="6A9386DD">
      <w:pPr>
        <w:spacing w:line="360" w:lineRule="auto"/>
        <w:jc w:val="center"/>
        <w:rPr>
          <w:rFonts w:ascii="黑体" w:hAnsi="黑体" w:eastAsia="黑体"/>
          <w:sz w:val="48"/>
          <w:szCs w:val="48"/>
        </w:rPr>
      </w:pPr>
      <w:r>
        <w:rPr>
          <w:rFonts w:hint="eastAsia" w:ascii="黑体" w:hAnsi="黑体" w:eastAsia="黑体" w:cs="黑体"/>
          <w:b w:val="0"/>
          <w:bCs w:val="0"/>
          <w:sz w:val="48"/>
          <w:szCs w:val="48"/>
          <w:lang w:val="en-US" w:eastAsia="zh-CN"/>
        </w:rPr>
        <w:t>绿地远洋未来科学城南区【小市政】工程“3·25”</w:t>
      </w:r>
      <w:r>
        <w:rPr>
          <w:rFonts w:hint="eastAsia" w:ascii="黑体" w:hAnsi="黑体" w:eastAsia="黑体"/>
          <w:sz w:val="48"/>
          <w:szCs w:val="48"/>
        </w:rPr>
        <w:t>一般生产安全事故现场</w:t>
      </w:r>
    </w:p>
    <w:p w14:paraId="1C178FDB">
      <w:pPr>
        <w:spacing w:line="360" w:lineRule="auto"/>
        <w:jc w:val="center"/>
        <w:rPr>
          <w:rFonts w:eastAsia="黑体"/>
          <w:b/>
          <w:sz w:val="48"/>
          <w:szCs w:val="48"/>
        </w:rPr>
      </w:pPr>
      <w:r>
        <w:rPr>
          <w:rFonts w:hint="eastAsia" w:ascii="黑体" w:hAnsi="黑体" w:eastAsia="黑体"/>
          <w:sz w:val="48"/>
          <w:szCs w:val="48"/>
        </w:rPr>
        <w:t>安全现状评估报告</w:t>
      </w:r>
    </w:p>
    <w:bookmarkEnd w:id="0"/>
    <w:bookmarkEnd w:id="1"/>
    <w:p w14:paraId="1967A072">
      <w:pPr>
        <w:spacing w:line="360" w:lineRule="auto"/>
        <w:jc w:val="center"/>
        <w:rPr>
          <w:rFonts w:eastAsia="黑体"/>
          <w:b/>
          <w:sz w:val="48"/>
          <w:szCs w:val="48"/>
        </w:rPr>
      </w:pPr>
    </w:p>
    <w:p w14:paraId="76A7BB5B">
      <w:pPr>
        <w:spacing w:line="360" w:lineRule="auto"/>
        <w:jc w:val="center"/>
        <w:rPr>
          <w:rFonts w:eastAsia="黑体"/>
          <w:b/>
          <w:sz w:val="48"/>
          <w:szCs w:val="48"/>
        </w:rPr>
      </w:pPr>
    </w:p>
    <w:p w14:paraId="2185CD20">
      <w:pPr>
        <w:spacing w:line="360" w:lineRule="auto"/>
        <w:jc w:val="center"/>
        <w:rPr>
          <w:rFonts w:eastAsia="黑体"/>
          <w:b/>
          <w:sz w:val="48"/>
          <w:szCs w:val="48"/>
        </w:rPr>
      </w:pPr>
    </w:p>
    <w:p w14:paraId="0049F11F">
      <w:pPr>
        <w:spacing w:line="360" w:lineRule="auto"/>
        <w:jc w:val="center"/>
        <w:rPr>
          <w:rFonts w:eastAsia="黑体"/>
          <w:b/>
          <w:sz w:val="48"/>
          <w:szCs w:val="48"/>
        </w:rPr>
      </w:pPr>
    </w:p>
    <w:p w14:paraId="6B048121">
      <w:pPr>
        <w:spacing w:line="360" w:lineRule="auto"/>
        <w:jc w:val="center"/>
        <w:rPr>
          <w:rFonts w:eastAsia="黑体"/>
          <w:b/>
          <w:sz w:val="48"/>
          <w:szCs w:val="48"/>
        </w:rPr>
      </w:pPr>
    </w:p>
    <w:p w14:paraId="76E48FA7">
      <w:pPr>
        <w:spacing w:line="360" w:lineRule="auto"/>
        <w:jc w:val="center"/>
        <w:rPr>
          <w:rFonts w:eastAsia="黑体"/>
          <w:b/>
          <w:sz w:val="48"/>
          <w:szCs w:val="48"/>
        </w:rPr>
      </w:pPr>
    </w:p>
    <w:p w14:paraId="4ADA45ED">
      <w:pPr>
        <w:spacing w:line="360" w:lineRule="auto"/>
        <w:jc w:val="center"/>
        <w:rPr>
          <w:rFonts w:eastAsia="黑体"/>
          <w:b/>
          <w:sz w:val="48"/>
          <w:szCs w:val="48"/>
        </w:rPr>
      </w:pPr>
    </w:p>
    <w:p w14:paraId="63171053">
      <w:pPr>
        <w:spacing w:line="360" w:lineRule="auto"/>
        <w:jc w:val="center"/>
        <w:rPr>
          <w:rFonts w:ascii="黑体" w:hAnsi="黑体" w:eastAsia="黑体"/>
          <w:sz w:val="48"/>
          <w:szCs w:val="48"/>
        </w:rPr>
      </w:pPr>
      <w:r>
        <w:rPr>
          <w:rFonts w:hint="eastAsia" w:ascii="黑体" w:hAnsi="黑体" w:eastAsia="黑体"/>
          <w:sz w:val="48"/>
          <w:szCs w:val="48"/>
        </w:rPr>
        <w:t>北京市科学技术研究院</w:t>
      </w:r>
    </w:p>
    <w:p w14:paraId="5A3B7C3C">
      <w:pPr>
        <w:spacing w:line="360" w:lineRule="auto"/>
        <w:jc w:val="center"/>
        <w:rPr>
          <w:rFonts w:ascii="黑体" w:hAnsi="黑体" w:eastAsia="黑体"/>
          <w:sz w:val="48"/>
          <w:szCs w:val="48"/>
        </w:rPr>
      </w:pPr>
      <w:r>
        <w:rPr>
          <w:rFonts w:hint="eastAsia" w:ascii="黑体" w:hAnsi="黑体" w:eastAsia="黑体"/>
          <w:sz w:val="48"/>
          <w:szCs w:val="48"/>
        </w:rPr>
        <w:t xml:space="preserve">城市安全与环境科学研究所 </w:t>
      </w:r>
    </w:p>
    <w:p w14:paraId="66D50963">
      <w:pPr>
        <w:spacing w:line="360" w:lineRule="auto"/>
        <w:jc w:val="center"/>
        <w:rPr>
          <w:rFonts w:ascii="黑体" w:hAnsi="黑体" w:eastAsia="黑体"/>
          <w:sz w:val="48"/>
          <w:szCs w:val="48"/>
        </w:rPr>
        <w:sectPr>
          <w:footerReference r:id="rId3" w:type="default"/>
          <w:pgSz w:w="11906" w:h="16838"/>
          <w:pgMar w:top="1418" w:right="1588" w:bottom="1418" w:left="1531" w:header="851" w:footer="992" w:gutter="0"/>
          <w:cols w:space="425" w:num="1"/>
          <w:docGrid w:type="lines" w:linePitch="312" w:charSpace="0"/>
        </w:sectPr>
      </w:pPr>
      <w:r>
        <w:rPr>
          <w:rFonts w:hint="eastAsia" w:ascii="黑体" w:hAnsi="黑体" w:eastAsia="黑体"/>
          <w:sz w:val="48"/>
          <w:szCs w:val="48"/>
        </w:rPr>
        <w:t>202</w:t>
      </w:r>
      <w:r>
        <w:rPr>
          <w:rFonts w:hint="eastAsia" w:ascii="黑体" w:hAnsi="黑体" w:eastAsia="黑体"/>
          <w:sz w:val="48"/>
          <w:szCs w:val="48"/>
          <w:lang w:val="en-US" w:eastAsia="zh-CN"/>
        </w:rPr>
        <w:t>4</w:t>
      </w:r>
      <w:r>
        <w:rPr>
          <w:rFonts w:ascii="黑体" w:hAnsi="黑体" w:eastAsia="黑体"/>
          <w:sz w:val="48"/>
          <w:szCs w:val="48"/>
        </w:rPr>
        <w:t>年</w:t>
      </w:r>
      <w:r>
        <w:rPr>
          <w:rFonts w:hint="eastAsia" w:ascii="黑体" w:hAnsi="黑体" w:eastAsia="黑体"/>
          <w:sz w:val="48"/>
          <w:szCs w:val="48"/>
          <w:lang w:val="en-US" w:eastAsia="zh-CN"/>
        </w:rPr>
        <w:t>4</w:t>
      </w:r>
      <w:r>
        <w:rPr>
          <w:rFonts w:ascii="黑体" w:hAnsi="黑体" w:eastAsia="黑体"/>
          <w:sz w:val="48"/>
          <w:szCs w:val="48"/>
        </w:rPr>
        <w:t>月</w:t>
      </w:r>
    </w:p>
    <w:p w14:paraId="698B062E">
      <w:pPr>
        <w:jc w:val="center"/>
        <w:rPr>
          <w:rFonts w:ascii="宋体" w:hAnsi="宋体" w:eastAsia="宋体"/>
        </w:rPr>
      </w:pPr>
      <w:bookmarkStart w:id="2" w:name="_Toc4192"/>
    </w:p>
    <w:p w14:paraId="1753A3D1">
      <w:pPr>
        <w:jc w:val="center"/>
        <w:rPr>
          <w:rFonts w:ascii="黑体" w:hAnsi="黑体" w:eastAsia="黑体" w:cs="黑体"/>
          <w:sz w:val="28"/>
          <w:szCs w:val="32"/>
        </w:rPr>
      </w:pPr>
      <w:r>
        <w:rPr>
          <w:rFonts w:hint="eastAsia" w:ascii="黑体" w:hAnsi="黑体" w:eastAsia="黑体" w:cs="黑体"/>
          <w:sz w:val="28"/>
          <w:szCs w:val="32"/>
        </w:rPr>
        <w:t>目</w:t>
      </w:r>
      <w:r>
        <w:rPr>
          <w:rFonts w:hint="eastAsia" w:ascii="黑体" w:hAnsi="黑体" w:eastAsia="黑体" w:cs="黑体"/>
          <w:sz w:val="28"/>
          <w:szCs w:val="32"/>
          <w:lang w:val="en-US" w:eastAsia="zh-CN"/>
        </w:rPr>
        <w:t xml:space="preserve"> </w:t>
      </w:r>
      <w:r>
        <w:rPr>
          <w:rFonts w:hint="eastAsia" w:ascii="黑体" w:hAnsi="黑体" w:eastAsia="黑体" w:cs="黑体"/>
          <w:sz w:val="28"/>
          <w:szCs w:val="32"/>
        </w:rPr>
        <w:t>录</w:t>
      </w:r>
    </w:p>
    <w:p w14:paraId="74544504">
      <w:pPr>
        <w:pStyle w:val="6"/>
        <w:pageBreakBefore w:val="0"/>
        <w:kinsoku/>
        <w:wordWrap/>
        <w:overflowPunct/>
        <w:topLinePunct w:val="0"/>
        <w:autoSpaceDE/>
        <w:autoSpaceDN/>
        <w:bidi w:val="0"/>
        <w:adjustRightInd/>
        <w:snapToGrid/>
        <w:spacing w:after="0" w:line="360" w:lineRule="auto"/>
        <w:textAlignment w:val="auto"/>
      </w:pPr>
    </w:p>
    <w:p w14:paraId="39C620A1">
      <w:pPr>
        <w:pStyle w:val="12"/>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sz w:val="28"/>
          <w:szCs w:val="28"/>
        </w:rPr>
        <w:fldChar w:fldCharType="begin"/>
      </w:r>
      <w:r>
        <w:rPr>
          <w:rFonts w:ascii="Times New Roman" w:hAnsi="Times New Roman" w:eastAsia="黑体"/>
          <w:sz w:val="28"/>
          <w:szCs w:val="28"/>
        </w:rPr>
        <w:instrText xml:space="preserve">TOC \o "1-3" \h \u </w:instrText>
      </w:r>
      <w:r>
        <w:rPr>
          <w:rFonts w:ascii="Times New Roman" w:hAnsi="Times New Roman" w:eastAsia="黑体"/>
          <w:sz w:val="28"/>
          <w:szCs w:val="28"/>
        </w:rPr>
        <w:fldChar w:fldCharType="separate"/>
      </w:r>
      <w:r>
        <w:rPr>
          <w:rFonts w:ascii="Times New Roman" w:hAnsi="Times New Roman" w:eastAsia="黑体"/>
          <w:sz w:val="28"/>
          <w:szCs w:val="28"/>
        </w:rPr>
        <w:fldChar w:fldCharType="begin"/>
      </w:r>
      <w:r>
        <w:rPr>
          <w:rFonts w:ascii="Times New Roman" w:hAnsi="Times New Roman" w:eastAsia="黑体"/>
          <w:sz w:val="28"/>
          <w:szCs w:val="28"/>
        </w:rPr>
        <w:instrText xml:space="preserve"> HYPERLINK \l _Toc10323 </w:instrText>
      </w:r>
      <w:r>
        <w:rPr>
          <w:rFonts w:ascii="Times New Roman" w:hAnsi="Times New Roman" w:eastAsia="黑体"/>
          <w:sz w:val="28"/>
          <w:szCs w:val="28"/>
        </w:rPr>
        <w:fldChar w:fldCharType="separate"/>
      </w:r>
      <w:r>
        <w:rPr>
          <w:rFonts w:hint="eastAsia" w:ascii="黑体" w:hAnsi="黑体" w:eastAsia="黑体" w:cs="黑体"/>
          <w:sz w:val="28"/>
          <w:szCs w:val="28"/>
        </w:rPr>
        <w:t>一、目的依据</w:t>
      </w:r>
      <w:r>
        <w:rPr>
          <w:sz w:val="28"/>
          <w:szCs w:val="28"/>
        </w:rPr>
        <w:tab/>
      </w:r>
      <w:r>
        <w:rPr>
          <w:sz w:val="28"/>
          <w:szCs w:val="28"/>
        </w:rPr>
        <w:fldChar w:fldCharType="begin"/>
      </w:r>
      <w:r>
        <w:rPr>
          <w:sz w:val="28"/>
          <w:szCs w:val="28"/>
        </w:rPr>
        <w:instrText xml:space="preserve"> PAGEREF _Toc10323 \h </w:instrText>
      </w:r>
      <w:r>
        <w:rPr>
          <w:sz w:val="28"/>
          <w:szCs w:val="28"/>
        </w:rPr>
        <w:fldChar w:fldCharType="separate"/>
      </w:r>
      <w:r>
        <w:rPr>
          <w:sz w:val="28"/>
          <w:szCs w:val="28"/>
        </w:rPr>
        <w:t>1</w:t>
      </w:r>
      <w:r>
        <w:rPr>
          <w:sz w:val="28"/>
          <w:szCs w:val="28"/>
        </w:rPr>
        <w:fldChar w:fldCharType="end"/>
      </w:r>
      <w:r>
        <w:rPr>
          <w:rFonts w:ascii="Times New Roman" w:hAnsi="Times New Roman" w:eastAsia="黑体"/>
          <w:sz w:val="28"/>
          <w:szCs w:val="28"/>
        </w:rPr>
        <w:fldChar w:fldCharType="end"/>
      </w:r>
    </w:p>
    <w:p w14:paraId="0D4FDBD0">
      <w:pPr>
        <w:pStyle w:val="12"/>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_Toc7262 </w:instrText>
      </w:r>
      <w:r>
        <w:rPr>
          <w:rFonts w:ascii="Times New Roman" w:hAnsi="Times New Roman" w:eastAsia="黑体" w:cs="Times New Roman"/>
          <w:sz w:val="28"/>
          <w:szCs w:val="28"/>
        </w:rPr>
        <w:fldChar w:fldCharType="separate"/>
      </w:r>
      <w:r>
        <w:rPr>
          <w:rFonts w:hint="eastAsia" w:ascii="黑体" w:hAnsi="黑体" w:eastAsia="黑体" w:cs="黑体"/>
          <w:sz w:val="28"/>
          <w:szCs w:val="28"/>
        </w:rPr>
        <w:t>二、工作范围和方式</w:t>
      </w:r>
      <w:r>
        <w:rPr>
          <w:sz w:val="28"/>
          <w:szCs w:val="28"/>
        </w:rPr>
        <w:tab/>
      </w:r>
      <w:r>
        <w:rPr>
          <w:sz w:val="28"/>
          <w:szCs w:val="28"/>
        </w:rPr>
        <w:fldChar w:fldCharType="begin"/>
      </w:r>
      <w:r>
        <w:rPr>
          <w:sz w:val="28"/>
          <w:szCs w:val="28"/>
        </w:rPr>
        <w:instrText xml:space="preserve"> PAGEREF _Toc7262 \h </w:instrText>
      </w:r>
      <w:r>
        <w:rPr>
          <w:sz w:val="28"/>
          <w:szCs w:val="28"/>
        </w:rPr>
        <w:fldChar w:fldCharType="separate"/>
      </w:r>
      <w:r>
        <w:rPr>
          <w:sz w:val="28"/>
          <w:szCs w:val="28"/>
        </w:rPr>
        <w:t>1</w:t>
      </w:r>
      <w:r>
        <w:rPr>
          <w:sz w:val="28"/>
          <w:szCs w:val="28"/>
        </w:rPr>
        <w:fldChar w:fldCharType="end"/>
      </w:r>
      <w:r>
        <w:rPr>
          <w:rFonts w:ascii="Times New Roman" w:hAnsi="Times New Roman" w:eastAsia="黑体" w:cs="Times New Roman"/>
          <w:sz w:val="28"/>
          <w:szCs w:val="28"/>
        </w:rPr>
        <w:fldChar w:fldCharType="end"/>
      </w:r>
    </w:p>
    <w:p w14:paraId="08132D0E">
      <w:pPr>
        <w:pStyle w:val="13"/>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_Toc18310 </w:instrText>
      </w:r>
      <w:r>
        <w:rPr>
          <w:rFonts w:ascii="Times New Roman" w:hAnsi="Times New Roman" w:eastAsia="黑体" w:cs="Times New Roman"/>
          <w:sz w:val="28"/>
          <w:szCs w:val="28"/>
        </w:rPr>
        <w:fldChar w:fldCharType="separate"/>
      </w:r>
      <w:r>
        <w:rPr>
          <w:rFonts w:hint="eastAsia"/>
          <w:sz w:val="28"/>
          <w:szCs w:val="28"/>
        </w:rPr>
        <w:t>（一）资料查阅</w:t>
      </w:r>
      <w:r>
        <w:rPr>
          <w:sz w:val="28"/>
          <w:szCs w:val="28"/>
        </w:rPr>
        <w:tab/>
      </w:r>
      <w:r>
        <w:rPr>
          <w:sz w:val="28"/>
          <w:szCs w:val="28"/>
        </w:rPr>
        <w:fldChar w:fldCharType="begin"/>
      </w:r>
      <w:r>
        <w:rPr>
          <w:sz w:val="28"/>
          <w:szCs w:val="28"/>
        </w:rPr>
        <w:instrText xml:space="preserve"> PAGEREF _Toc18310 \h </w:instrText>
      </w:r>
      <w:r>
        <w:rPr>
          <w:sz w:val="28"/>
          <w:szCs w:val="28"/>
        </w:rPr>
        <w:fldChar w:fldCharType="separate"/>
      </w:r>
      <w:r>
        <w:rPr>
          <w:sz w:val="28"/>
          <w:szCs w:val="28"/>
        </w:rPr>
        <w:t>1</w:t>
      </w:r>
      <w:r>
        <w:rPr>
          <w:sz w:val="28"/>
          <w:szCs w:val="28"/>
        </w:rPr>
        <w:fldChar w:fldCharType="end"/>
      </w:r>
      <w:r>
        <w:rPr>
          <w:rFonts w:ascii="Times New Roman" w:hAnsi="Times New Roman" w:eastAsia="黑体" w:cs="Times New Roman"/>
          <w:sz w:val="28"/>
          <w:szCs w:val="28"/>
        </w:rPr>
        <w:fldChar w:fldCharType="end"/>
      </w:r>
    </w:p>
    <w:p w14:paraId="072C1DDC">
      <w:pPr>
        <w:pStyle w:val="13"/>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_Toc9186 </w:instrText>
      </w:r>
      <w:r>
        <w:rPr>
          <w:rFonts w:ascii="Times New Roman" w:hAnsi="Times New Roman" w:eastAsia="黑体" w:cs="Times New Roman"/>
          <w:sz w:val="28"/>
          <w:szCs w:val="28"/>
        </w:rPr>
        <w:fldChar w:fldCharType="separate"/>
      </w:r>
      <w:r>
        <w:rPr>
          <w:rFonts w:hint="eastAsia"/>
          <w:sz w:val="28"/>
          <w:szCs w:val="28"/>
        </w:rPr>
        <w:t>（</w:t>
      </w:r>
      <w:r>
        <w:rPr>
          <w:rFonts w:hint="eastAsia"/>
          <w:sz w:val="28"/>
          <w:szCs w:val="28"/>
          <w:lang w:val="en-US" w:eastAsia="zh-CN"/>
        </w:rPr>
        <w:t>二</w:t>
      </w:r>
      <w:r>
        <w:rPr>
          <w:rFonts w:hint="eastAsia"/>
          <w:sz w:val="28"/>
          <w:szCs w:val="28"/>
        </w:rPr>
        <w:t>）走访核查</w:t>
      </w:r>
      <w:r>
        <w:rPr>
          <w:sz w:val="28"/>
          <w:szCs w:val="28"/>
        </w:rPr>
        <w:tab/>
      </w:r>
      <w:r>
        <w:rPr>
          <w:sz w:val="28"/>
          <w:szCs w:val="28"/>
        </w:rPr>
        <w:fldChar w:fldCharType="begin"/>
      </w:r>
      <w:r>
        <w:rPr>
          <w:sz w:val="28"/>
          <w:szCs w:val="28"/>
        </w:rPr>
        <w:instrText xml:space="preserve"> PAGEREF _Toc9186 \h </w:instrText>
      </w:r>
      <w:r>
        <w:rPr>
          <w:sz w:val="28"/>
          <w:szCs w:val="28"/>
        </w:rPr>
        <w:fldChar w:fldCharType="separate"/>
      </w:r>
      <w:r>
        <w:rPr>
          <w:sz w:val="28"/>
          <w:szCs w:val="28"/>
        </w:rPr>
        <w:t>5</w:t>
      </w:r>
      <w:r>
        <w:rPr>
          <w:sz w:val="28"/>
          <w:szCs w:val="28"/>
        </w:rPr>
        <w:fldChar w:fldCharType="end"/>
      </w:r>
      <w:r>
        <w:rPr>
          <w:rFonts w:ascii="Times New Roman" w:hAnsi="Times New Roman" w:eastAsia="黑体" w:cs="Times New Roman"/>
          <w:sz w:val="28"/>
          <w:szCs w:val="28"/>
        </w:rPr>
        <w:fldChar w:fldCharType="end"/>
      </w:r>
    </w:p>
    <w:p w14:paraId="7DC1F91F">
      <w:pPr>
        <w:pStyle w:val="12"/>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_Toc23104 </w:instrText>
      </w:r>
      <w:r>
        <w:rPr>
          <w:rFonts w:ascii="Times New Roman" w:hAnsi="Times New Roman" w:eastAsia="黑体" w:cs="Times New Roman"/>
          <w:sz w:val="28"/>
          <w:szCs w:val="28"/>
        </w:rPr>
        <w:fldChar w:fldCharType="separate"/>
      </w:r>
      <w:r>
        <w:rPr>
          <w:rFonts w:hint="eastAsia" w:ascii="黑体" w:hAnsi="黑体" w:eastAsia="黑体" w:cs="黑体"/>
          <w:sz w:val="28"/>
          <w:szCs w:val="28"/>
        </w:rPr>
        <w:t>三、安全现状评估</w:t>
      </w:r>
      <w:r>
        <w:rPr>
          <w:sz w:val="28"/>
          <w:szCs w:val="28"/>
        </w:rPr>
        <w:tab/>
      </w:r>
      <w:r>
        <w:rPr>
          <w:sz w:val="28"/>
          <w:szCs w:val="28"/>
        </w:rPr>
        <w:fldChar w:fldCharType="begin"/>
      </w:r>
      <w:r>
        <w:rPr>
          <w:sz w:val="28"/>
          <w:szCs w:val="28"/>
        </w:rPr>
        <w:instrText xml:space="preserve"> PAGEREF _Toc23104 \h </w:instrText>
      </w:r>
      <w:r>
        <w:rPr>
          <w:sz w:val="28"/>
          <w:szCs w:val="28"/>
        </w:rPr>
        <w:fldChar w:fldCharType="separate"/>
      </w:r>
      <w:r>
        <w:rPr>
          <w:sz w:val="28"/>
          <w:szCs w:val="28"/>
        </w:rPr>
        <w:t>6</w:t>
      </w:r>
      <w:r>
        <w:rPr>
          <w:sz w:val="28"/>
          <w:szCs w:val="28"/>
        </w:rPr>
        <w:fldChar w:fldCharType="end"/>
      </w:r>
      <w:r>
        <w:rPr>
          <w:rFonts w:ascii="Times New Roman" w:hAnsi="Times New Roman" w:eastAsia="黑体" w:cs="Times New Roman"/>
          <w:sz w:val="28"/>
          <w:szCs w:val="28"/>
        </w:rPr>
        <w:fldChar w:fldCharType="end"/>
      </w:r>
    </w:p>
    <w:p w14:paraId="3B861E8B">
      <w:pPr>
        <w:pStyle w:val="13"/>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_Toc26111 </w:instrText>
      </w:r>
      <w:r>
        <w:rPr>
          <w:rFonts w:ascii="Times New Roman" w:hAnsi="Times New Roman" w:eastAsia="黑体" w:cs="Times New Roman"/>
          <w:sz w:val="28"/>
          <w:szCs w:val="28"/>
        </w:rPr>
        <w:fldChar w:fldCharType="separate"/>
      </w:r>
      <w:r>
        <w:rPr>
          <w:rFonts w:hint="eastAsia"/>
          <w:sz w:val="28"/>
          <w:szCs w:val="28"/>
        </w:rPr>
        <w:t>（一）现行安全管理制度制定及落实情况评估</w:t>
      </w:r>
      <w:r>
        <w:rPr>
          <w:sz w:val="28"/>
          <w:szCs w:val="28"/>
        </w:rPr>
        <w:tab/>
      </w:r>
      <w:r>
        <w:rPr>
          <w:sz w:val="28"/>
          <w:szCs w:val="28"/>
        </w:rPr>
        <w:fldChar w:fldCharType="begin"/>
      </w:r>
      <w:r>
        <w:rPr>
          <w:sz w:val="28"/>
          <w:szCs w:val="28"/>
        </w:rPr>
        <w:instrText xml:space="preserve"> PAGEREF _Toc26111 \h </w:instrText>
      </w:r>
      <w:r>
        <w:rPr>
          <w:sz w:val="28"/>
          <w:szCs w:val="28"/>
        </w:rPr>
        <w:fldChar w:fldCharType="separate"/>
      </w:r>
      <w:r>
        <w:rPr>
          <w:sz w:val="28"/>
          <w:szCs w:val="28"/>
        </w:rPr>
        <w:t>6</w:t>
      </w:r>
      <w:r>
        <w:rPr>
          <w:sz w:val="28"/>
          <w:szCs w:val="28"/>
        </w:rPr>
        <w:fldChar w:fldCharType="end"/>
      </w:r>
      <w:r>
        <w:rPr>
          <w:rFonts w:ascii="Times New Roman" w:hAnsi="Times New Roman" w:eastAsia="黑体" w:cs="Times New Roman"/>
          <w:sz w:val="28"/>
          <w:szCs w:val="28"/>
        </w:rPr>
        <w:fldChar w:fldCharType="end"/>
      </w:r>
    </w:p>
    <w:p w14:paraId="4A8DEFC6">
      <w:pPr>
        <w:pStyle w:val="13"/>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_Toc17065 </w:instrText>
      </w:r>
      <w:r>
        <w:rPr>
          <w:rFonts w:ascii="Times New Roman" w:hAnsi="Times New Roman" w:eastAsia="黑体" w:cs="Times New Roman"/>
          <w:sz w:val="28"/>
          <w:szCs w:val="28"/>
        </w:rPr>
        <w:fldChar w:fldCharType="separate"/>
      </w:r>
      <w:r>
        <w:rPr>
          <w:rFonts w:hint="eastAsia"/>
          <w:sz w:val="28"/>
          <w:szCs w:val="28"/>
        </w:rPr>
        <w:t>（二）现场施工环境安全评估</w:t>
      </w:r>
      <w:r>
        <w:rPr>
          <w:sz w:val="28"/>
          <w:szCs w:val="28"/>
        </w:rPr>
        <w:tab/>
      </w:r>
      <w:r>
        <w:rPr>
          <w:sz w:val="28"/>
          <w:szCs w:val="28"/>
        </w:rPr>
        <w:fldChar w:fldCharType="begin"/>
      </w:r>
      <w:r>
        <w:rPr>
          <w:sz w:val="28"/>
          <w:szCs w:val="28"/>
        </w:rPr>
        <w:instrText xml:space="preserve"> PAGEREF _Toc17065 \h </w:instrText>
      </w:r>
      <w:r>
        <w:rPr>
          <w:sz w:val="28"/>
          <w:szCs w:val="28"/>
        </w:rPr>
        <w:fldChar w:fldCharType="separate"/>
      </w:r>
      <w:r>
        <w:rPr>
          <w:sz w:val="28"/>
          <w:szCs w:val="28"/>
        </w:rPr>
        <w:t>27</w:t>
      </w:r>
      <w:r>
        <w:rPr>
          <w:sz w:val="28"/>
          <w:szCs w:val="28"/>
        </w:rPr>
        <w:fldChar w:fldCharType="end"/>
      </w:r>
      <w:r>
        <w:rPr>
          <w:rFonts w:ascii="Times New Roman" w:hAnsi="Times New Roman" w:eastAsia="黑体" w:cs="Times New Roman"/>
          <w:sz w:val="28"/>
          <w:szCs w:val="28"/>
        </w:rPr>
        <w:fldChar w:fldCharType="end"/>
      </w:r>
    </w:p>
    <w:p w14:paraId="1C55EB53">
      <w:pPr>
        <w:pStyle w:val="12"/>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_Toc18343 </w:instrText>
      </w:r>
      <w:r>
        <w:rPr>
          <w:rFonts w:ascii="Times New Roman" w:hAnsi="Times New Roman" w:eastAsia="黑体" w:cs="Times New Roman"/>
          <w:sz w:val="28"/>
          <w:szCs w:val="28"/>
        </w:rPr>
        <w:fldChar w:fldCharType="separate"/>
      </w:r>
      <w:r>
        <w:rPr>
          <w:rFonts w:hint="eastAsia" w:ascii="黑体" w:hAnsi="黑体" w:eastAsia="黑体" w:cs="黑体"/>
          <w:sz w:val="28"/>
          <w:szCs w:val="28"/>
          <w:lang w:val="en-US" w:eastAsia="zh-CN"/>
        </w:rPr>
        <w:t>四</w:t>
      </w:r>
      <w:r>
        <w:rPr>
          <w:rFonts w:hint="eastAsia" w:ascii="黑体" w:hAnsi="黑体" w:eastAsia="黑体" w:cs="黑体"/>
          <w:sz w:val="28"/>
          <w:szCs w:val="28"/>
        </w:rPr>
        <w:t>、</w:t>
      </w:r>
      <w:r>
        <w:rPr>
          <w:rFonts w:hint="eastAsia" w:ascii="黑体" w:hAnsi="黑体" w:eastAsia="黑体" w:cs="黑体"/>
          <w:sz w:val="28"/>
          <w:szCs w:val="28"/>
          <w:lang w:val="en-US" w:eastAsia="zh-CN"/>
        </w:rPr>
        <w:t>安全现状</w:t>
      </w:r>
      <w:r>
        <w:rPr>
          <w:rFonts w:hint="eastAsia" w:ascii="黑体" w:hAnsi="黑体" w:eastAsia="黑体" w:cs="黑体"/>
          <w:sz w:val="28"/>
          <w:szCs w:val="28"/>
        </w:rPr>
        <w:t>评估结论与建议</w:t>
      </w:r>
      <w:r>
        <w:rPr>
          <w:sz w:val="28"/>
          <w:szCs w:val="28"/>
        </w:rPr>
        <w:tab/>
      </w:r>
      <w:r>
        <w:rPr>
          <w:sz w:val="28"/>
          <w:szCs w:val="28"/>
        </w:rPr>
        <w:fldChar w:fldCharType="begin"/>
      </w:r>
      <w:r>
        <w:rPr>
          <w:sz w:val="28"/>
          <w:szCs w:val="28"/>
        </w:rPr>
        <w:instrText xml:space="preserve"> PAGEREF _Toc18343 \h </w:instrText>
      </w:r>
      <w:r>
        <w:rPr>
          <w:sz w:val="28"/>
          <w:szCs w:val="28"/>
        </w:rPr>
        <w:fldChar w:fldCharType="separate"/>
      </w:r>
      <w:r>
        <w:rPr>
          <w:sz w:val="28"/>
          <w:szCs w:val="28"/>
        </w:rPr>
        <w:t>27</w:t>
      </w:r>
      <w:r>
        <w:rPr>
          <w:sz w:val="28"/>
          <w:szCs w:val="28"/>
        </w:rPr>
        <w:fldChar w:fldCharType="end"/>
      </w:r>
      <w:r>
        <w:rPr>
          <w:rFonts w:ascii="Times New Roman" w:hAnsi="Times New Roman" w:eastAsia="黑体" w:cs="Times New Roman"/>
          <w:sz w:val="28"/>
          <w:szCs w:val="28"/>
        </w:rPr>
        <w:fldChar w:fldCharType="end"/>
      </w:r>
    </w:p>
    <w:p w14:paraId="4CEC8624">
      <w:pPr>
        <w:pStyle w:val="13"/>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_Toc22443 </w:instrText>
      </w:r>
      <w:r>
        <w:rPr>
          <w:rFonts w:ascii="Times New Roman" w:hAnsi="Times New Roman" w:eastAsia="黑体" w:cs="Times New Roman"/>
          <w:sz w:val="28"/>
          <w:szCs w:val="28"/>
        </w:rPr>
        <w:fldChar w:fldCharType="separate"/>
      </w:r>
      <w:r>
        <w:rPr>
          <w:rFonts w:hint="eastAsia"/>
          <w:sz w:val="28"/>
          <w:szCs w:val="28"/>
        </w:rPr>
        <w:t>（一）评估结论</w:t>
      </w:r>
      <w:r>
        <w:rPr>
          <w:sz w:val="28"/>
          <w:szCs w:val="28"/>
        </w:rPr>
        <w:tab/>
      </w:r>
      <w:r>
        <w:rPr>
          <w:sz w:val="28"/>
          <w:szCs w:val="28"/>
        </w:rPr>
        <w:fldChar w:fldCharType="begin"/>
      </w:r>
      <w:r>
        <w:rPr>
          <w:sz w:val="28"/>
          <w:szCs w:val="28"/>
        </w:rPr>
        <w:instrText xml:space="preserve"> PAGEREF _Toc22443 \h </w:instrText>
      </w:r>
      <w:r>
        <w:rPr>
          <w:sz w:val="28"/>
          <w:szCs w:val="28"/>
        </w:rPr>
        <w:fldChar w:fldCharType="separate"/>
      </w:r>
      <w:r>
        <w:rPr>
          <w:sz w:val="28"/>
          <w:szCs w:val="28"/>
        </w:rPr>
        <w:t>27</w:t>
      </w:r>
      <w:r>
        <w:rPr>
          <w:sz w:val="28"/>
          <w:szCs w:val="28"/>
        </w:rPr>
        <w:fldChar w:fldCharType="end"/>
      </w:r>
      <w:r>
        <w:rPr>
          <w:rFonts w:ascii="Times New Roman" w:hAnsi="Times New Roman" w:eastAsia="黑体" w:cs="Times New Roman"/>
          <w:sz w:val="28"/>
          <w:szCs w:val="28"/>
        </w:rPr>
        <w:fldChar w:fldCharType="end"/>
      </w:r>
    </w:p>
    <w:p w14:paraId="2353A916">
      <w:pPr>
        <w:pStyle w:val="13"/>
        <w:pageBreakBefore w:val="0"/>
        <w:tabs>
          <w:tab w:val="right" w:leader="dot" w:pos="8787"/>
        </w:tabs>
        <w:kinsoku/>
        <w:wordWrap/>
        <w:overflowPunct/>
        <w:topLinePunct w:val="0"/>
        <w:autoSpaceDE/>
        <w:autoSpaceDN/>
        <w:bidi w:val="0"/>
        <w:adjustRightInd/>
        <w:snapToGrid/>
        <w:spacing w:after="157" w:afterLines="50" w:line="360" w:lineRule="auto"/>
        <w:textAlignment w:val="auto"/>
        <w:rPr>
          <w:sz w:val="28"/>
          <w:szCs w:val="28"/>
        </w:rPr>
      </w:pPr>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HYPERLINK \l _Toc15061 </w:instrText>
      </w:r>
      <w:r>
        <w:rPr>
          <w:rFonts w:ascii="Times New Roman" w:hAnsi="Times New Roman" w:eastAsia="黑体" w:cs="Times New Roman"/>
          <w:sz w:val="28"/>
          <w:szCs w:val="28"/>
        </w:rPr>
        <w:fldChar w:fldCharType="separate"/>
      </w:r>
      <w:r>
        <w:rPr>
          <w:rFonts w:hint="eastAsia"/>
          <w:sz w:val="28"/>
          <w:szCs w:val="28"/>
        </w:rPr>
        <w:t>（二）工作提升建议</w:t>
      </w:r>
      <w:r>
        <w:rPr>
          <w:sz w:val="28"/>
          <w:szCs w:val="28"/>
        </w:rPr>
        <w:tab/>
      </w:r>
      <w:r>
        <w:rPr>
          <w:sz w:val="28"/>
          <w:szCs w:val="28"/>
        </w:rPr>
        <w:fldChar w:fldCharType="begin"/>
      </w:r>
      <w:r>
        <w:rPr>
          <w:sz w:val="28"/>
          <w:szCs w:val="28"/>
        </w:rPr>
        <w:instrText xml:space="preserve"> PAGEREF _Toc15061 \h </w:instrText>
      </w:r>
      <w:r>
        <w:rPr>
          <w:sz w:val="28"/>
          <w:szCs w:val="28"/>
        </w:rPr>
        <w:fldChar w:fldCharType="separate"/>
      </w:r>
      <w:r>
        <w:rPr>
          <w:sz w:val="28"/>
          <w:szCs w:val="28"/>
        </w:rPr>
        <w:t>28</w:t>
      </w:r>
      <w:r>
        <w:rPr>
          <w:sz w:val="28"/>
          <w:szCs w:val="28"/>
        </w:rPr>
        <w:fldChar w:fldCharType="end"/>
      </w:r>
      <w:r>
        <w:rPr>
          <w:rFonts w:ascii="Times New Roman" w:hAnsi="Times New Roman" w:eastAsia="黑体" w:cs="Times New Roman"/>
          <w:sz w:val="28"/>
          <w:szCs w:val="28"/>
        </w:rPr>
        <w:fldChar w:fldCharType="end"/>
      </w:r>
    </w:p>
    <w:p w14:paraId="65EA0763">
      <w:pPr>
        <w:pStyle w:val="2"/>
        <w:pageBreakBefore w:val="0"/>
        <w:kinsoku/>
        <w:wordWrap/>
        <w:overflowPunct/>
        <w:topLinePunct w:val="0"/>
        <w:autoSpaceDE/>
        <w:autoSpaceDN/>
        <w:bidi w:val="0"/>
        <w:adjustRightInd/>
        <w:snapToGrid/>
        <w:spacing w:before="0" w:after="157" w:afterLines="50" w:line="360" w:lineRule="auto"/>
        <w:textAlignment w:val="auto"/>
        <w:rPr>
          <w:rFonts w:ascii="黑体" w:hAnsi="黑体" w:eastAsia="黑体" w:cs="黑体"/>
          <w:szCs w:val="28"/>
        </w:rPr>
        <w:sectPr>
          <w:headerReference r:id="rId4" w:type="default"/>
          <w:footerReference r:id="rId5" w:type="default"/>
          <w:pgSz w:w="11906" w:h="16838"/>
          <w:pgMar w:top="1418" w:right="1588" w:bottom="1418" w:left="1531" w:header="851" w:footer="992" w:gutter="0"/>
          <w:cols w:space="425" w:num="1"/>
          <w:docGrid w:type="lines" w:linePitch="312" w:charSpace="0"/>
        </w:sectPr>
      </w:pPr>
      <w:r>
        <w:rPr>
          <w:rFonts w:ascii="Times New Roman" w:hAnsi="Times New Roman" w:eastAsia="黑体" w:cs="Times New Roman"/>
          <w:sz w:val="28"/>
          <w:szCs w:val="28"/>
        </w:rPr>
        <w:fldChar w:fldCharType="end"/>
      </w:r>
      <w:bookmarkStart w:id="3" w:name="_Toc10323"/>
    </w:p>
    <w:p w14:paraId="072955FD">
      <w:pPr>
        <w:pStyle w:val="2"/>
        <w:pageBreakBefore w:val="0"/>
        <w:kinsoku/>
        <w:wordWrap/>
        <w:overflowPunct/>
        <w:topLinePunct w:val="0"/>
        <w:autoSpaceDE/>
        <w:autoSpaceDN/>
        <w:bidi w:val="0"/>
        <w:adjustRightInd/>
        <w:snapToGrid/>
        <w:spacing w:before="0" w:after="157" w:afterLines="50" w:line="360" w:lineRule="auto"/>
        <w:textAlignment w:val="auto"/>
        <w:rPr>
          <w:rFonts w:ascii="黑体" w:hAnsi="黑体" w:eastAsia="黑体" w:cs="黑体"/>
          <w:sz w:val="28"/>
          <w:szCs w:val="28"/>
        </w:rPr>
      </w:pPr>
      <w:r>
        <w:rPr>
          <w:rFonts w:hint="eastAsia" w:ascii="黑体" w:hAnsi="黑体" w:eastAsia="黑体" w:cs="黑体"/>
          <w:sz w:val="28"/>
          <w:szCs w:val="28"/>
        </w:rPr>
        <w:t>一、目的依据</w:t>
      </w:r>
      <w:bookmarkEnd w:id="2"/>
      <w:bookmarkEnd w:id="3"/>
    </w:p>
    <w:p w14:paraId="37014273">
      <w:pPr>
        <w:pStyle w:val="26"/>
        <w:spacing w:line="360" w:lineRule="auto"/>
        <w:ind w:firstLine="560"/>
        <w:rPr>
          <w:rFonts w:ascii="宋体" w:hAnsi="宋体" w:eastAsia="宋体"/>
          <w:sz w:val="28"/>
          <w:szCs w:val="28"/>
        </w:rPr>
      </w:pPr>
      <w:r>
        <w:rPr>
          <w:rFonts w:hint="eastAsia" w:ascii="宋体" w:hAnsi="宋体" w:eastAsia="宋体"/>
          <w:sz w:val="28"/>
          <w:szCs w:val="28"/>
        </w:rPr>
        <w:t>为充分发挥事故调查处理对加强和改进安全生产工作的促进作用，督促落实生产经营单位的安全生产主体责任，防范和减少事故发生，保障人民群众生命财产安全，依据《北京市生产安全事故整改和防范措施落实情况评估办法》</w:t>
      </w:r>
      <w:r>
        <w:rPr>
          <w:rFonts w:ascii="宋体" w:hAnsi="宋体" w:eastAsia="宋体"/>
          <w:sz w:val="28"/>
          <w:szCs w:val="28"/>
        </w:rPr>
        <w:t>等文件要求</w:t>
      </w:r>
      <w:r>
        <w:rPr>
          <w:rFonts w:hint="eastAsia" w:ascii="宋体" w:hAnsi="宋体" w:eastAsia="宋体"/>
          <w:sz w:val="28"/>
          <w:szCs w:val="28"/>
        </w:rPr>
        <w:t>，开展本次一般生产安全事故现场安全现状评估工作。</w:t>
      </w:r>
    </w:p>
    <w:p w14:paraId="205119BD">
      <w:pPr>
        <w:pStyle w:val="2"/>
        <w:spacing w:before="240" w:after="240" w:line="360" w:lineRule="auto"/>
        <w:rPr>
          <w:rFonts w:ascii="黑体" w:hAnsi="黑体" w:eastAsia="黑体" w:cs="黑体"/>
          <w:sz w:val="28"/>
          <w:szCs w:val="28"/>
        </w:rPr>
      </w:pPr>
      <w:bookmarkStart w:id="4" w:name="_Toc26337"/>
      <w:bookmarkStart w:id="5" w:name="_Toc7262"/>
      <w:r>
        <w:rPr>
          <w:rFonts w:hint="eastAsia" w:ascii="黑体" w:hAnsi="黑体" w:eastAsia="黑体" w:cs="黑体"/>
          <w:sz w:val="28"/>
          <w:szCs w:val="28"/>
        </w:rPr>
        <w:t>二、工作</w:t>
      </w:r>
      <w:bookmarkEnd w:id="4"/>
      <w:r>
        <w:rPr>
          <w:rFonts w:hint="eastAsia" w:ascii="黑体" w:hAnsi="黑体" w:eastAsia="黑体" w:cs="黑体"/>
          <w:sz w:val="28"/>
          <w:szCs w:val="28"/>
        </w:rPr>
        <w:t>范围和方式</w:t>
      </w:r>
      <w:bookmarkEnd w:id="5"/>
    </w:p>
    <w:p w14:paraId="0B534E69">
      <w:pPr>
        <w:pStyle w:val="26"/>
        <w:spacing w:line="360" w:lineRule="auto"/>
        <w:ind w:firstLine="480"/>
        <w:rPr>
          <w:rFonts w:hint="eastAsia" w:ascii="宋体" w:hAnsi="宋体" w:eastAsia="宋体"/>
          <w:sz w:val="28"/>
          <w:szCs w:val="28"/>
          <w:lang w:val="en-US" w:eastAsia="zh-CN"/>
        </w:rPr>
      </w:pPr>
      <w:r>
        <w:rPr>
          <w:rFonts w:hint="eastAsia" w:ascii="宋体" w:hAnsi="宋体" w:eastAsia="宋体"/>
          <w:sz w:val="28"/>
          <w:szCs w:val="28"/>
          <w:lang w:val="en-US" w:eastAsia="zh-CN"/>
        </w:rPr>
        <w:t>本次现场评估的对象是北京恒商电力市政工程有限责任公司（以下简称：恒商电力市政工程公司）和邯郸市兴辰建筑安装劳务分包有限公司（以下简称：邯郸兴辰建筑安装公司）。</w:t>
      </w:r>
    </w:p>
    <w:p w14:paraId="6227DCF3">
      <w:pPr>
        <w:pStyle w:val="26"/>
        <w:spacing w:line="360" w:lineRule="auto"/>
        <w:ind w:firstLine="560"/>
        <w:rPr>
          <w:rFonts w:hint="eastAsia" w:ascii="宋体" w:hAnsi="宋体" w:eastAsia="宋体"/>
          <w:sz w:val="28"/>
          <w:szCs w:val="28"/>
        </w:rPr>
      </w:pPr>
      <w:r>
        <w:rPr>
          <w:rFonts w:hint="eastAsia" w:ascii="宋体" w:hAnsi="宋体" w:eastAsia="宋体"/>
          <w:sz w:val="28"/>
          <w:szCs w:val="28"/>
        </w:rPr>
        <w:t>绿地远洋未来科学城南区【小市政】工程已施工结束</w:t>
      </w:r>
      <w:r>
        <w:rPr>
          <w:rFonts w:hint="eastAsia" w:ascii="宋体" w:hAnsi="宋体" w:eastAsia="宋体"/>
          <w:sz w:val="28"/>
          <w:szCs w:val="28"/>
          <w:lang w:eastAsia="zh-CN"/>
        </w:rPr>
        <w:t>，</w:t>
      </w:r>
      <w:r>
        <w:rPr>
          <w:rFonts w:hint="eastAsia" w:ascii="宋体" w:hAnsi="宋体" w:eastAsia="宋体"/>
          <w:sz w:val="28"/>
          <w:szCs w:val="28"/>
        </w:rPr>
        <w:t>两家事故责任单位</w:t>
      </w:r>
      <w:r>
        <w:rPr>
          <w:rFonts w:hint="eastAsia" w:ascii="宋体" w:hAnsi="宋体" w:eastAsia="宋体"/>
          <w:sz w:val="28"/>
          <w:szCs w:val="28"/>
          <w:lang w:val="en-US" w:eastAsia="zh-CN"/>
        </w:rPr>
        <w:t>目前</w:t>
      </w:r>
      <w:r>
        <w:rPr>
          <w:rFonts w:hint="eastAsia" w:ascii="宋体" w:hAnsi="宋体" w:eastAsia="宋体"/>
          <w:sz w:val="28"/>
          <w:szCs w:val="28"/>
        </w:rPr>
        <w:t>均无现场施工作业活动。</w:t>
      </w:r>
    </w:p>
    <w:p w14:paraId="0E2F42B8">
      <w:pPr>
        <w:pStyle w:val="26"/>
        <w:spacing w:line="360" w:lineRule="auto"/>
        <w:rPr>
          <w:rFonts w:hint="eastAsia" w:ascii="宋体" w:hAnsi="宋体" w:eastAsia="宋体"/>
          <w:sz w:val="28"/>
          <w:szCs w:val="28"/>
          <w:lang w:eastAsia="zh-CN"/>
        </w:rPr>
      </w:pPr>
      <w:r>
        <w:rPr>
          <w:rFonts w:hint="eastAsia" w:ascii="宋体" w:hAnsi="宋体" w:eastAsia="宋体"/>
          <w:sz w:val="28"/>
          <w:szCs w:val="28"/>
        </w:rPr>
        <w:t>本次评估主要通过内业资料调查，评估企业整改</w:t>
      </w:r>
      <w:r>
        <w:rPr>
          <w:rFonts w:hint="eastAsia" w:ascii="宋体" w:hAnsi="宋体" w:eastAsia="宋体"/>
          <w:sz w:val="28"/>
          <w:szCs w:val="28"/>
          <w:lang w:val="en-US" w:eastAsia="zh-CN"/>
        </w:rPr>
        <w:t>和现状落实</w:t>
      </w:r>
      <w:r>
        <w:rPr>
          <w:rFonts w:hint="eastAsia" w:ascii="宋体" w:hAnsi="宋体" w:eastAsia="宋体"/>
          <w:sz w:val="28"/>
          <w:szCs w:val="28"/>
        </w:rPr>
        <w:t>情况</w:t>
      </w:r>
      <w:r>
        <w:rPr>
          <w:rFonts w:hint="eastAsia" w:ascii="宋体" w:hAnsi="宋体" w:eastAsia="宋体"/>
          <w:sz w:val="28"/>
          <w:szCs w:val="28"/>
          <w:lang w:eastAsia="zh-CN"/>
        </w:rPr>
        <w:t>。</w:t>
      </w:r>
    </w:p>
    <w:p w14:paraId="4E65FFF8">
      <w:pPr>
        <w:pStyle w:val="3"/>
        <w:spacing w:before="120" w:after="120" w:line="360" w:lineRule="auto"/>
        <w:rPr>
          <w:sz w:val="28"/>
          <w:szCs w:val="21"/>
        </w:rPr>
      </w:pPr>
      <w:bookmarkStart w:id="6" w:name="_Toc18310"/>
      <w:r>
        <w:rPr>
          <w:rFonts w:hint="eastAsia"/>
          <w:sz w:val="28"/>
          <w:szCs w:val="21"/>
        </w:rPr>
        <w:t>（一）资料查阅</w:t>
      </w:r>
      <w:bookmarkEnd w:id="6"/>
    </w:p>
    <w:p w14:paraId="2AAC69F8">
      <w:pPr>
        <w:pStyle w:val="26"/>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恒商电力市政工程公司</w:t>
      </w:r>
    </w:p>
    <w:p w14:paraId="13F7DC13">
      <w:pPr>
        <w:pStyle w:val="26"/>
        <w:spacing w:line="360" w:lineRule="auto"/>
        <w:rPr>
          <w:rFonts w:hint="eastAsia" w:ascii="宋体" w:hAnsi="宋体" w:eastAsia="宋体"/>
          <w:sz w:val="28"/>
          <w:szCs w:val="28"/>
        </w:rPr>
      </w:pPr>
      <w:r>
        <w:rPr>
          <w:rFonts w:hint="eastAsia" w:ascii="宋体" w:hAnsi="宋体" w:eastAsia="宋体"/>
          <w:sz w:val="28"/>
          <w:szCs w:val="28"/>
        </w:rPr>
        <w:t>恒商电力市政工程公司提供了</w:t>
      </w:r>
      <w:r>
        <w:rPr>
          <w:rFonts w:hint="eastAsia" w:ascii="宋体" w:hAnsi="宋体" w:eastAsia="宋体"/>
          <w:sz w:val="28"/>
          <w:szCs w:val="28"/>
          <w:lang w:val="en-US" w:eastAsia="zh-CN"/>
        </w:rPr>
        <w:t>事故整改落实报告及现场整改落实照片、现状经营情况说明、</w:t>
      </w:r>
      <w:r>
        <w:rPr>
          <w:rFonts w:hint="eastAsia" w:ascii="宋体" w:hAnsi="宋体" w:eastAsia="宋体"/>
          <w:sz w:val="28"/>
          <w:szCs w:val="32"/>
          <w:lang w:val="en-US" w:eastAsia="zh-CN"/>
        </w:rPr>
        <w:t>各专项负责人安全生产责任制、安全教育培训制度、生产安全事故报告调查处理制度、安全生产定期检查制度、职业病危害防治措施、安全事故的预防监控措施和应急预案、消防安全检查制度、人员资质管理制度、施工组织设计审查制度、机械设备安全管理制度、有限空间作业安全管理制度、本单位安全操作规程，项目</w:t>
      </w:r>
      <w:r>
        <w:rPr>
          <w:rFonts w:hint="eastAsia" w:ascii="宋体" w:hAnsi="宋体" w:eastAsia="宋体"/>
          <w:sz w:val="28"/>
          <w:szCs w:val="32"/>
          <w:lang w:eastAsia="zh-CN"/>
        </w:rPr>
        <w:t>管理人员施工作业人员</w:t>
      </w:r>
      <w:r>
        <w:rPr>
          <w:rFonts w:hint="eastAsia" w:ascii="宋体" w:hAnsi="宋体" w:eastAsia="宋体"/>
          <w:sz w:val="28"/>
          <w:szCs w:val="32"/>
          <w:lang w:val="en-US" w:eastAsia="zh-CN"/>
        </w:rPr>
        <w:t>的安全教育培训情况、</w:t>
      </w:r>
      <w:bookmarkStart w:id="7" w:name="_Toc15530"/>
      <w:r>
        <w:rPr>
          <w:rFonts w:hint="eastAsia" w:ascii="宋体" w:hAnsi="宋体" w:eastAsia="宋体"/>
          <w:sz w:val="28"/>
          <w:szCs w:val="28"/>
          <w:lang w:val="en-US" w:eastAsia="zh-CN"/>
        </w:rPr>
        <w:t>分包工程</w:t>
      </w:r>
      <w:r>
        <w:rPr>
          <w:rFonts w:hint="eastAsia" w:ascii="宋体" w:hAnsi="宋体" w:eastAsia="宋体"/>
          <w:sz w:val="28"/>
          <w:szCs w:val="28"/>
          <w:lang w:eastAsia="zh-CN"/>
        </w:rPr>
        <w:t>事故处理应急预案及响应组织措施</w:t>
      </w:r>
      <w:bookmarkEnd w:id="7"/>
      <w:r>
        <w:rPr>
          <w:rFonts w:hint="eastAsia" w:ascii="宋体" w:hAnsi="宋体" w:eastAsia="宋体"/>
          <w:sz w:val="28"/>
          <w:szCs w:val="28"/>
          <w:lang w:eastAsia="zh-CN"/>
        </w:rPr>
        <w:t>、本单位劳保用品发放记录、本单位安全管理人员证书、项目现场各类事故处置措施</w:t>
      </w:r>
      <w:r>
        <w:rPr>
          <w:rFonts w:hint="eastAsia" w:ascii="宋体" w:hAnsi="宋体" w:eastAsia="宋体"/>
          <w:sz w:val="28"/>
          <w:szCs w:val="28"/>
          <w:lang w:val="en-US" w:eastAsia="zh-CN"/>
        </w:rPr>
        <w:t>及</w:t>
      </w:r>
      <w:r>
        <w:rPr>
          <w:rFonts w:hint="eastAsia" w:ascii="宋体" w:hAnsi="宋体" w:eastAsia="宋体"/>
          <w:sz w:val="28"/>
          <w:szCs w:val="28"/>
        </w:rPr>
        <w:t>其他可以证明开展事故整改</w:t>
      </w:r>
      <w:r>
        <w:rPr>
          <w:rFonts w:hint="eastAsia" w:ascii="宋体" w:hAnsi="宋体" w:eastAsia="宋体"/>
          <w:sz w:val="28"/>
          <w:szCs w:val="28"/>
          <w:lang w:val="en-US" w:eastAsia="zh-CN"/>
        </w:rPr>
        <w:t>和防范</w:t>
      </w:r>
      <w:r>
        <w:rPr>
          <w:rFonts w:hint="eastAsia" w:ascii="宋体" w:hAnsi="宋体" w:eastAsia="宋体"/>
          <w:sz w:val="28"/>
          <w:szCs w:val="28"/>
        </w:rPr>
        <w:t>措施的相关资料。</w:t>
      </w:r>
      <w:r>
        <w:rPr>
          <w:rFonts w:hint="eastAsia" w:ascii="宋体" w:hAnsi="宋体" w:eastAsia="宋体"/>
          <w:sz w:val="28"/>
          <w:szCs w:val="28"/>
          <w:lang w:eastAsia="zh-CN"/>
        </w:rPr>
        <w:t>评估组</w:t>
      </w:r>
      <w:r>
        <w:rPr>
          <w:rFonts w:hint="eastAsia" w:ascii="宋体" w:hAnsi="宋体" w:eastAsia="宋体"/>
          <w:sz w:val="28"/>
          <w:szCs w:val="28"/>
        </w:rPr>
        <w:t>按照安全生产</w:t>
      </w:r>
      <w:r>
        <w:rPr>
          <w:rFonts w:hint="eastAsia" w:ascii="宋体" w:hAnsi="宋体" w:eastAsia="宋体"/>
          <w:sz w:val="28"/>
          <w:szCs w:val="28"/>
          <w:lang w:eastAsia="zh-CN"/>
        </w:rPr>
        <w:t>、</w:t>
      </w:r>
      <w:r>
        <w:rPr>
          <w:rFonts w:hint="eastAsia" w:ascii="宋体" w:hAnsi="宋体" w:eastAsia="宋体"/>
          <w:sz w:val="28"/>
          <w:szCs w:val="28"/>
          <w:lang w:val="en-US" w:eastAsia="zh-CN"/>
        </w:rPr>
        <w:t>建筑施工</w:t>
      </w:r>
      <w:r>
        <w:rPr>
          <w:rFonts w:hint="eastAsia" w:ascii="宋体" w:hAnsi="宋体" w:eastAsia="宋体"/>
          <w:sz w:val="28"/>
          <w:szCs w:val="28"/>
        </w:rPr>
        <w:t>法律法规和《事故调查报告》中的事故间接原因、整改防范措施，对上述资料进行查阅。恒商电力市政工程公司的整改措施具体落实情况如下：</w:t>
      </w:r>
    </w:p>
    <w:p w14:paraId="7B6DFA2A">
      <w:pPr>
        <w:pStyle w:val="26"/>
        <w:spacing w:line="360" w:lineRule="auto"/>
        <w:ind w:firstLine="560"/>
        <w:rPr>
          <w:rFonts w:hint="eastAsia" w:ascii="宋体" w:hAnsi="宋体" w:eastAsia="宋体"/>
          <w:sz w:val="28"/>
          <w:szCs w:val="28"/>
        </w:rPr>
      </w:pPr>
      <w:r>
        <w:rPr>
          <w:rFonts w:hint="eastAsia" w:ascii="宋体" w:hAnsi="宋体" w:eastAsia="宋体"/>
          <w:sz w:val="28"/>
          <w:szCs w:val="28"/>
        </w:rPr>
        <w:t>（一）深刻汲取本起事故的教训，加强项目管理。</w:t>
      </w:r>
    </w:p>
    <w:p w14:paraId="288D7FE2">
      <w:pPr>
        <w:pStyle w:val="26"/>
        <w:spacing w:line="360" w:lineRule="auto"/>
        <w:ind w:firstLine="560"/>
        <w:rPr>
          <w:rFonts w:hint="eastAsia" w:ascii="宋体" w:hAnsi="宋体" w:eastAsia="宋体"/>
          <w:sz w:val="28"/>
          <w:szCs w:val="28"/>
        </w:rPr>
      </w:pPr>
      <w:r>
        <w:rPr>
          <w:rFonts w:hint="eastAsia" w:ascii="宋体" w:hAnsi="宋体" w:eastAsia="宋体"/>
          <w:sz w:val="28"/>
          <w:szCs w:val="28"/>
        </w:rPr>
        <w:t>恒商电力市政工程公司增强项目经理第一责任人责任性，做到“谁主管、谁负责”,全面管理项目，加强安全意识和安全观念，尤其是提高责任者“安全第一”的安全意识，真正落实“安全第一，预防为主”的安全生产方针。“安全第一”就是在安全与生产发生矛盾的时候，首先要解决安全问题，在确保安全条件下进行生产作业。抓安全工作，要认真负责，一丝不苟，真正落到实处，把安全生产责任落实到人。</w:t>
      </w:r>
    </w:p>
    <w:p w14:paraId="20577730">
      <w:pPr>
        <w:pStyle w:val="26"/>
        <w:spacing w:line="360" w:lineRule="auto"/>
        <w:ind w:firstLine="560"/>
        <w:rPr>
          <w:rFonts w:hint="eastAsia" w:ascii="宋体" w:hAnsi="宋体" w:eastAsia="宋体"/>
          <w:sz w:val="28"/>
          <w:szCs w:val="28"/>
        </w:rPr>
      </w:pPr>
      <w:r>
        <w:rPr>
          <w:rFonts w:hint="eastAsia" w:ascii="宋体" w:hAnsi="宋体" w:eastAsia="宋体"/>
          <w:sz w:val="28"/>
          <w:szCs w:val="28"/>
        </w:rPr>
        <w:t>（二）认真贯彻“管生产必须管安全”的原则，各负其责，各司其职抓好安全工作。</w:t>
      </w:r>
    </w:p>
    <w:p w14:paraId="6C42CB4E">
      <w:pPr>
        <w:pStyle w:val="26"/>
        <w:spacing w:line="360" w:lineRule="auto"/>
        <w:ind w:firstLine="560"/>
        <w:rPr>
          <w:rFonts w:hint="eastAsia" w:ascii="宋体" w:hAnsi="宋体" w:eastAsia="宋体"/>
          <w:sz w:val="28"/>
          <w:szCs w:val="28"/>
        </w:rPr>
      </w:pPr>
      <w:r>
        <w:rPr>
          <w:rFonts w:hint="eastAsia" w:ascii="宋体" w:hAnsi="宋体" w:eastAsia="宋体"/>
          <w:sz w:val="28"/>
          <w:szCs w:val="28"/>
        </w:rPr>
        <w:t>恒商电力市政工程公司要求每个主管部门都应把安全工作当做第一位的事来抓。把本行业、本部门的安全工作真正抓好，做到“谁主管、谁负责”。要抓全员、全过程、全方位的安全工作。在“抓安全工作上谁抓都不算越位，怎么抓也不算过分”。在企业内要做到人人都关心安全、人人都过问安全，不能把安全工作只看作是安全管理部门的事。</w:t>
      </w:r>
    </w:p>
    <w:p w14:paraId="4C279D08">
      <w:pPr>
        <w:pStyle w:val="26"/>
        <w:spacing w:line="360" w:lineRule="auto"/>
        <w:ind w:firstLine="560"/>
        <w:rPr>
          <w:rFonts w:hint="eastAsia" w:ascii="宋体" w:hAnsi="宋体" w:eastAsia="宋体"/>
          <w:sz w:val="28"/>
          <w:szCs w:val="28"/>
        </w:rPr>
      </w:pPr>
      <w:r>
        <w:rPr>
          <w:rFonts w:hint="eastAsia" w:ascii="宋体" w:hAnsi="宋体" w:eastAsia="宋体"/>
          <w:sz w:val="28"/>
          <w:szCs w:val="28"/>
        </w:rPr>
        <w:t>（三）加强施工安全教育，抓好安全技术培训，提高职工的安全素质。</w:t>
      </w:r>
    </w:p>
    <w:p w14:paraId="73DD8E67">
      <w:pPr>
        <w:pStyle w:val="26"/>
        <w:spacing w:line="360" w:lineRule="auto"/>
        <w:ind w:firstLine="560"/>
        <w:rPr>
          <w:rFonts w:hint="eastAsia" w:ascii="宋体" w:hAnsi="宋体" w:eastAsia="宋体"/>
          <w:sz w:val="28"/>
          <w:szCs w:val="28"/>
        </w:rPr>
      </w:pPr>
      <w:r>
        <w:rPr>
          <w:rFonts w:hint="eastAsia" w:ascii="宋体" w:hAnsi="宋体" w:eastAsia="宋体"/>
          <w:sz w:val="28"/>
          <w:szCs w:val="28"/>
        </w:rPr>
        <w:t>恒商电力市政工程公司在加强安全教育的同时，安全教育培训，落实学习内容、落实学习时间，还要有专人检查落实情况；其次要抓好特种作业人员的安全技术培训、持证上岗，抓好生产指挥人员的安全技术培训，实行安全生产原则，杜绝违章无证操作，无证指挥的现象发生。要开展经常性的安全知识教育，安全知识演讲竞赛等多种形式，使之达到人人懂安全知识、人人遵章守纪。</w:t>
      </w:r>
    </w:p>
    <w:p w14:paraId="7832E763">
      <w:pPr>
        <w:pStyle w:val="26"/>
        <w:spacing w:line="360" w:lineRule="auto"/>
        <w:ind w:firstLine="560"/>
        <w:rPr>
          <w:rFonts w:hint="eastAsia" w:ascii="宋体" w:hAnsi="宋体" w:eastAsia="宋体"/>
          <w:sz w:val="28"/>
          <w:szCs w:val="28"/>
        </w:rPr>
      </w:pPr>
      <w:r>
        <w:rPr>
          <w:rFonts w:hint="eastAsia" w:ascii="宋体" w:hAnsi="宋体" w:eastAsia="宋体"/>
          <w:sz w:val="28"/>
          <w:szCs w:val="28"/>
        </w:rPr>
        <w:t>（四）重新建立健全规章制度，强化作业现场管理。</w:t>
      </w:r>
    </w:p>
    <w:p w14:paraId="6AC97783">
      <w:pPr>
        <w:pStyle w:val="26"/>
        <w:spacing w:line="360" w:lineRule="auto"/>
        <w:ind w:firstLine="560"/>
        <w:rPr>
          <w:rFonts w:hint="eastAsia" w:ascii="宋体" w:hAnsi="宋体" w:eastAsia="宋体"/>
          <w:sz w:val="28"/>
          <w:szCs w:val="28"/>
        </w:rPr>
      </w:pPr>
      <w:r>
        <w:rPr>
          <w:rFonts w:hint="eastAsia" w:ascii="宋体" w:hAnsi="宋体" w:eastAsia="宋体"/>
          <w:sz w:val="28"/>
          <w:szCs w:val="28"/>
        </w:rPr>
        <w:t>恒商电力市政工程公司为使作业现场都按规程操作，把安全工作落到实处，必须做到有章必循、违章</w:t>
      </w:r>
      <w:r>
        <w:rPr>
          <w:rFonts w:hint="eastAsia" w:ascii="宋体" w:hAnsi="宋体" w:eastAsia="宋体"/>
          <w:sz w:val="28"/>
          <w:szCs w:val="28"/>
          <w:lang w:eastAsia="zh-CN"/>
        </w:rPr>
        <w:t>必究</w:t>
      </w:r>
      <w:r>
        <w:rPr>
          <w:rFonts w:hint="eastAsia" w:ascii="宋体" w:hAnsi="宋体" w:eastAsia="宋体"/>
          <w:sz w:val="28"/>
          <w:szCs w:val="28"/>
        </w:rPr>
        <w:t>，在抓作业现场管理时，必须做到对违章行为坚决制止纠正，决不能姑息迁就。建立安全自查制度，加强项目现场的安全自查力度，建立船舶以队长，船长为主，项目以项目经理为主自查小组，全面开展安全检查，发现问题及时解决.同时每月上报专业安全员备案。</w:t>
      </w:r>
    </w:p>
    <w:p w14:paraId="3217DCA2">
      <w:pPr>
        <w:pStyle w:val="26"/>
        <w:spacing w:line="360" w:lineRule="auto"/>
        <w:ind w:firstLine="560"/>
        <w:rPr>
          <w:rFonts w:hint="eastAsia" w:ascii="宋体" w:hAnsi="宋体" w:eastAsia="宋体"/>
          <w:sz w:val="28"/>
          <w:szCs w:val="28"/>
        </w:rPr>
      </w:pPr>
      <w:r>
        <w:rPr>
          <w:rFonts w:hint="eastAsia" w:ascii="宋体" w:hAnsi="宋体" w:eastAsia="宋体"/>
          <w:sz w:val="28"/>
          <w:szCs w:val="28"/>
        </w:rPr>
        <w:t>（五）加强专业安全员责任，施工作业人员的安全教育培训。</w:t>
      </w:r>
    </w:p>
    <w:p w14:paraId="58F67CAE">
      <w:pPr>
        <w:pStyle w:val="26"/>
        <w:spacing w:line="360" w:lineRule="auto"/>
        <w:ind w:firstLine="560"/>
        <w:rPr>
          <w:rFonts w:hint="eastAsia" w:ascii="宋体" w:hAnsi="宋体" w:eastAsia="宋体"/>
          <w:sz w:val="28"/>
          <w:szCs w:val="28"/>
        </w:rPr>
      </w:pPr>
      <w:r>
        <w:rPr>
          <w:rFonts w:hint="eastAsia" w:ascii="宋体" w:hAnsi="宋体" w:eastAsia="宋体"/>
          <w:sz w:val="28"/>
          <w:szCs w:val="28"/>
        </w:rPr>
        <w:t>恒商电力市政工程公司本着对各项目，各单位负责，全面抓好安全检查工作，及时发现隐患。安全检查是发现事故隐患、落实整改措施消除不安全因素，做到防患于未然的一种重要手段。安全检查可分定期和不定期的、综合性和专业性的，安全检查的频率可以因各船舶而异，安全检查可先发安民告示，也可采用随机抽查等办法，这样能查出事物的真实面目，检查后要抓紧事故的整改，并且要定时复查，做到及时反馈。</w:t>
      </w:r>
    </w:p>
    <w:p w14:paraId="28C01933">
      <w:pPr>
        <w:pStyle w:val="26"/>
        <w:spacing w:line="360" w:lineRule="auto"/>
        <w:ind w:firstLine="560"/>
        <w:rPr>
          <w:rFonts w:hint="eastAsia" w:ascii="宋体" w:hAnsi="宋体" w:eastAsia="宋体"/>
          <w:sz w:val="28"/>
          <w:szCs w:val="28"/>
        </w:rPr>
      </w:pPr>
      <w:r>
        <w:rPr>
          <w:rFonts w:hint="eastAsia" w:ascii="宋体" w:hAnsi="宋体" w:eastAsia="宋体"/>
          <w:sz w:val="28"/>
          <w:szCs w:val="28"/>
        </w:rPr>
        <w:t>（六）加强现场安全管理和设备检修。</w:t>
      </w:r>
    </w:p>
    <w:p w14:paraId="26B06F8E">
      <w:pPr>
        <w:pStyle w:val="26"/>
        <w:spacing w:line="360" w:lineRule="auto"/>
        <w:ind w:firstLine="560"/>
        <w:rPr>
          <w:rFonts w:hint="eastAsia" w:ascii="宋体" w:hAnsi="宋体" w:eastAsia="宋体"/>
          <w:sz w:val="28"/>
          <w:szCs w:val="28"/>
        </w:rPr>
      </w:pPr>
      <w:r>
        <w:rPr>
          <w:rFonts w:hint="eastAsia" w:ascii="宋体" w:hAnsi="宋体" w:eastAsia="宋体"/>
          <w:sz w:val="28"/>
          <w:szCs w:val="28"/>
        </w:rPr>
        <w:t>恒商电力市政工程公司增强设备安全性，确保全部设备可靠性，完整性，安全性，定时对设备保养维修，发缺陷损坏，及时更换，修理，加强对船舶设备专人管理制度，建立开航前，及施工前设备安全性检查制度，保证施工安全，对于有安全隐患设备及时更换或更改.对工作中操作方法有不安全因素，必须及时更改</w:t>
      </w:r>
      <w:r>
        <w:rPr>
          <w:rFonts w:hint="eastAsia" w:ascii="宋体" w:hAnsi="宋体" w:eastAsia="宋体"/>
          <w:sz w:val="28"/>
          <w:szCs w:val="28"/>
          <w:lang w:eastAsia="zh-CN"/>
        </w:rPr>
        <w:t>调整</w:t>
      </w:r>
      <w:r>
        <w:rPr>
          <w:rFonts w:hint="eastAsia" w:ascii="宋体" w:hAnsi="宋体" w:eastAsia="宋体"/>
          <w:sz w:val="28"/>
          <w:szCs w:val="28"/>
        </w:rPr>
        <w:t>。</w:t>
      </w:r>
    </w:p>
    <w:p w14:paraId="6851F029">
      <w:pPr>
        <w:pStyle w:val="26"/>
        <w:spacing w:line="360" w:lineRule="auto"/>
        <w:ind w:firstLine="560"/>
        <w:rPr>
          <w:rFonts w:hint="eastAsia" w:ascii="宋体" w:hAnsi="宋体" w:eastAsia="宋体"/>
          <w:sz w:val="28"/>
          <w:szCs w:val="28"/>
        </w:rPr>
      </w:pPr>
      <w:r>
        <w:rPr>
          <w:rFonts w:hint="eastAsia" w:ascii="宋体" w:hAnsi="宋体" w:eastAsia="宋体"/>
          <w:sz w:val="28"/>
          <w:szCs w:val="28"/>
        </w:rPr>
        <w:t>（七）严格落实对工程项目的安全生产管理职责。</w:t>
      </w:r>
    </w:p>
    <w:p w14:paraId="2A9FDBBA">
      <w:pPr>
        <w:pStyle w:val="26"/>
        <w:spacing w:line="360" w:lineRule="auto"/>
        <w:ind w:firstLine="560"/>
        <w:rPr>
          <w:rFonts w:hint="eastAsia" w:ascii="宋体" w:hAnsi="宋体" w:eastAsia="宋体"/>
          <w:sz w:val="28"/>
          <w:szCs w:val="28"/>
        </w:rPr>
      </w:pPr>
      <w:r>
        <w:rPr>
          <w:rFonts w:hint="eastAsia" w:ascii="宋体" w:hAnsi="宋体" w:eastAsia="宋体"/>
          <w:sz w:val="28"/>
          <w:szCs w:val="28"/>
        </w:rPr>
        <w:t>恒商电力市政工程公司严禁对施工项目“以包代管”，加强分包工程承包人资质、专项施工方案落实、施工作业防护措施等监督管理工作；认真履行安全管理职责，加强督促、检查项目施工作业过程中的安全生产工作，及时消除生产安全事故隐患，防止类似事故的再发生。</w:t>
      </w:r>
    </w:p>
    <w:p w14:paraId="7CBD2A88">
      <w:pPr>
        <w:pStyle w:val="26"/>
        <w:numPr>
          <w:ilvl w:val="0"/>
          <w:numId w:val="1"/>
        </w:numPr>
        <w:spacing w:line="360" w:lineRule="auto"/>
        <w:ind w:firstLine="560"/>
        <w:rPr>
          <w:rFonts w:ascii="宋体" w:hAnsi="宋体" w:eastAsia="宋体"/>
          <w:b/>
          <w:bCs/>
          <w:sz w:val="28"/>
          <w:szCs w:val="28"/>
        </w:rPr>
      </w:pPr>
      <w:r>
        <w:rPr>
          <w:rFonts w:hint="eastAsia" w:ascii="宋体" w:hAnsi="宋体" w:eastAsia="宋体"/>
          <w:b/>
          <w:bCs/>
          <w:sz w:val="28"/>
          <w:szCs w:val="28"/>
        </w:rPr>
        <w:t>邯郸兴辰建筑安装公司</w:t>
      </w:r>
    </w:p>
    <w:p w14:paraId="7F75691F">
      <w:pPr>
        <w:pStyle w:val="26"/>
        <w:spacing w:line="360" w:lineRule="auto"/>
        <w:ind w:firstLine="560"/>
        <w:rPr>
          <w:rFonts w:hint="eastAsia" w:ascii="宋体" w:hAnsi="宋体" w:eastAsia="宋体"/>
          <w:sz w:val="28"/>
          <w:szCs w:val="28"/>
        </w:rPr>
      </w:pPr>
      <w:r>
        <w:rPr>
          <w:rFonts w:hint="eastAsia" w:ascii="宋体" w:hAnsi="宋体" w:eastAsia="宋体"/>
          <w:sz w:val="28"/>
          <w:szCs w:val="28"/>
        </w:rPr>
        <w:t>邯郸兴辰建筑安装公司提供了</w:t>
      </w:r>
      <w:r>
        <w:rPr>
          <w:rFonts w:hint="eastAsia" w:ascii="宋体" w:hAnsi="宋体" w:eastAsia="宋体"/>
          <w:sz w:val="28"/>
          <w:szCs w:val="28"/>
          <w:lang w:val="en-US" w:eastAsia="zh-CN"/>
        </w:rPr>
        <w:t>企业现状经营说明、整改报告、质量管理制度、安全管理制度、人员管理制度、工资分配制度等</w:t>
      </w:r>
      <w:r>
        <w:rPr>
          <w:rFonts w:hint="eastAsia" w:ascii="宋体" w:hAnsi="宋体" w:eastAsia="宋体"/>
          <w:sz w:val="28"/>
          <w:szCs w:val="28"/>
        </w:rPr>
        <w:t>相关资料。</w:t>
      </w:r>
      <w:r>
        <w:rPr>
          <w:rFonts w:hint="eastAsia" w:ascii="宋体" w:hAnsi="宋体" w:eastAsia="宋体"/>
          <w:sz w:val="28"/>
          <w:szCs w:val="28"/>
          <w:lang w:eastAsia="zh-CN"/>
        </w:rPr>
        <w:t>评估组</w:t>
      </w:r>
      <w:r>
        <w:rPr>
          <w:rFonts w:hint="eastAsia" w:ascii="宋体" w:hAnsi="宋体" w:eastAsia="宋体"/>
          <w:sz w:val="28"/>
          <w:szCs w:val="28"/>
        </w:rPr>
        <w:t>按照安全生产</w:t>
      </w:r>
      <w:r>
        <w:rPr>
          <w:rFonts w:hint="eastAsia" w:ascii="宋体" w:hAnsi="宋体" w:eastAsia="宋体"/>
          <w:sz w:val="28"/>
          <w:szCs w:val="28"/>
          <w:lang w:eastAsia="zh-CN"/>
        </w:rPr>
        <w:t>、</w:t>
      </w:r>
      <w:r>
        <w:rPr>
          <w:rFonts w:hint="eastAsia" w:ascii="宋体" w:hAnsi="宋体" w:eastAsia="宋体"/>
          <w:sz w:val="28"/>
          <w:szCs w:val="28"/>
          <w:lang w:val="en-US" w:eastAsia="zh-CN"/>
        </w:rPr>
        <w:t>建筑施工</w:t>
      </w:r>
      <w:r>
        <w:rPr>
          <w:rFonts w:hint="eastAsia" w:ascii="宋体" w:hAnsi="宋体" w:eastAsia="宋体"/>
          <w:sz w:val="28"/>
          <w:szCs w:val="28"/>
        </w:rPr>
        <w:t>法律法规和《事故调查报告》中的事故间接原因、整改防范措施，对上述资料进行查阅。邯郸兴辰建筑安装公司的整改措施具体落实情况如下：</w:t>
      </w:r>
    </w:p>
    <w:p w14:paraId="39DB09AC">
      <w:pPr>
        <w:pStyle w:val="26"/>
        <w:spacing w:line="360" w:lineRule="auto"/>
        <w:ind w:firstLine="560"/>
        <w:rPr>
          <w:rFonts w:hint="eastAsia" w:ascii="宋体" w:hAnsi="宋体" w:eastAsia="宋体"/>
          <w:sz w:val="28"/>
          <w:szCs w:val="28"/>
        </w:rPr>
      </w:pPr>
      <w:r>
        <w:rPr>
          <w:rFonts w:hint="eastAsia" w:ascii="宋体" w:hAnsi="宋体" w:eastAsia="宋体"/>
          <w:sz w:val="28"/>
          <w:szCs w:val="28"/>
        </w:rPr>
        <w:t>一是挂靠事件发生后，为深刻汲取总结事故的惨痛经验教训，公司成立了以总经理刘海生任组长，副总经理刘朋飞为副组长，部门负责人和项目部负责人为组员的专项整改小组，明确工作职责，落实各项责任，制定了整改措施。对事件相关责任人进行批评教育和严肃处理。严禁公司人员出借公司资质给外来人员使用。在事件调查结束后，启动企业内部管理问责机制，对涉及的工程部、项目负责人进行问责。令其相关部门负责人拿出切实可行的整改方案，报公司总经理审批后实施，并经公司主管部门复查合格。</w:t>
      </w:r>
    </w:p>
    <w:p w14:paraId="3F89112E">
      <w:pPr>
        <w:pStyle w:val="26"/>
        <w:spacing w:line="360" w:lineRule="auto"/>
        <w:ind w:firstLine="560"/>
        <w:rPr>
          <w:rFonts w:hint="eastAsia" w:ascii="宋体" w:hAnsi="宋体" w:eastAsia="宋体"/>
          <w:sz w:val="28"/>
          <w:szCs w:val="28"/>
        </w:rPr>
      </w:pPr>
      <w:r>
        <w:rPr>
          <w:rFonts w:hint="eastAsia" w:ascii="宋体" w:hAnsi="宋体" w:eastAsia="宋体"/>
          <w:sz w:val="28"/>
          <w:szCs w:val="28"/>
        </w:rPr>
        <w:t>二是开展建设部颁布《全国建筑市场各方主体不良行为记录认定标准</w:t>
      </w:r>
      <w:r>
        <w:rPr>
          <w:rFonts w:hint="eastAsia" w:ascii="宋体" w:hAnsi="宋体" w:eastAsia="宋体"/>
          <w:sz w:val="28"/>
          <w:szCs w:val="28"/>
          <w:lang w:eastAsia="zh-CN"/>
        </w:rPr>
        <w:t>》《</w:t>
      </w:r>
      <w:r>
        <w:rPr>
          <w:rFonts w:hint="eastAsia" w:ascii="宋体" w:hAnsi="宋体" w:eastAsia="宋体"/>
          <w:sz w:val="28"/>
          <w:szCs w:val="28"/>
        </w:rPr>
        <w:t>安全生产法</w:t>
      </w:r>
      <w:r>
        <w:rPr>
          <w:rFonts w:hint="eastAsia" w:ascii="宋体" w:hAnsi="宋体" w:eastAsia="宋体"/>
          <w:sz w:val="28"/>
          <w:szCs w:val="28"/>
          <w:lang w:eastAsia="zh-CN"/>
        </w:rPr>
        <w:t>》《</w:t>
      </w:r>
      <w:r>
        <w:rPr>
          <w:rFonts w:hint="eastAsia" w:ascii="宋体" w:hAnsi="宋体" w:eastAsia="宋体"/>
          <w:sz w:val="28"/>
          <w:szCs w:val="28"/>
        </w:rPr>
        <w:t>建设工程安全生产管理条例》等法律法规文件的学习。认真贯彻关于我施工单位不良行为记录认定标准的 5大类条，要求全公司所有从事管理工作的人员必须牢记掌握，并通过测试方能合格上岗。</w:t>
      </w:r>
    </w:p>
    <w:p w14:paraId="7D9735D3">
      <w:pPr>
        <w:pStyle w:val="26"/>
        <w:spacing w:line="360" w:lineRule="auto"/>
        <w:ind w:firstLine="560"/>
        <w:rPr>
          <w:rFonts w:hint="eastAsia" w:ascii="宋体" w:hAnsi="宋体" w:eastAsia="宋体"/>
          <w:sz w:val="28"/>
          <w:szCs w:val="28"/>
        </w:rPr>
      </w:pPr>
      <w:r>
        <w:rPr>
          <w:rFonts w:hint="eastAsia" w:ascii="宋体" w:hAnsi="宋体" w:eastAsia="宋体"/>
          <w:sz w:val="28"/>
          <w:szCs w:val="28"/>
        </w:rPr>
        <w:t>三是要求项目部和单位管理人员要以此事故引起高度重视，总结教训，加强安全学习，加大印章，资质教育培训投入，完善和改进公司管理各项措施，统一思想，提高安全意识，同时加强对全体管理人员思想教育培训，坚决杜绝资质挂靠再次发生。</w:t>
      </w:r>
    </w:p>
    <w:p w14:paraId="5F955F0D">
      <w:pPr>
        <w:pStyle w:val="3"/>
        <w:spacing w:before="120" w:after="120" w:line="360" w:lineRule="auto"/>
        <w:rPr>
          <w:sz w:val="28"/>
          <w:szCs w:val="21"/>
        </w:rPr>
      </w:pPr>
      <w:bookmarkStart w:id="8" w:name="_Toc9186"/>
      <w:r>
        <w:rPr>
          <w:rFonts w:hint="eastAsia"/>
          <w:sz w:val="28"/>
          <w:szCs w:val="21"/>
        </w:rPr>
        <w:t>（</w:t>
      </w:r>
      <w:r>
        <w:rPr>
          <w:rFonts w:hint="eastAsia"/>
          <w:sz w:val="28"/>
          <w:szCs w:val="21"/>
          <w:lang w:val="en-US" w:eastAsia="zh-CN"/>
        </w:rPr>
        <w:t>二</w:t>
      </w:r>
      <w:r>
        <w:rPr>
          <w:rFonts w:hint="eastAsia"/>
          <w:sz w:val="28"/>
          <w:szCs w:val="21"/>
        </w:rPr>
        <w:t>）走访核查</w:t>
      </w:r>
      <w:bookmarkEnd w:id="8"/>
    </w:p>
    <w:p w14:paraId="55D94732">
      <w:pPr>
        <w:pStyle w:val="26"/>
        <w:spacing w:line="360" w:lineRule="auto"/>
        <w:ind w:firstLine="560"/>
        <w:rPr>
          <w:rFonts w:hint="eastAsia" w:ascii="宋体" w:hAnsi="宋体" w:eastAsia="宋体"/>
          <w:sz w:val="28"/>
          <w:szCs w:val="28"/>
        </w:rPr>
      </w:pPr>
      <w:r>
        <w:rPr>
          <w:rFonts w:hint="eastAsia" w:ascii="宋体" w:hAnsi="宋体" w:eastAsia="宋体"/>
          <w:sz w:val="28"/>
          <w:szCs w:val="28"/>
        </w:rPr>
        <w:t>4月9日，评估组赴事故现场调研，经现场核实，绿地远洋未来科学城南区【小市政】工程已建设完毕，道路已开通运行。</w:t>
      </w:r>
    </w:p>
    <w:p w14:paraId="2FB1DD2E">
      <w:pPr>
        <w:pStyle w:val="17"/>
        <w:ind w:left="0" w:leftChars="0" w:firstLine="0" w:firstLineChars="0"/>
        <w:jc w:val="center"/>
        <w:rPr>
          <w:rFonts w:hint="eastAsia" w:eastAsia="宋体"/>
          <w:lang w:val="en-US" w:eastAsia="zh-CN"/>
        </w:rPr>
      </w:pPr>
      <w:r>
        <w:rPr>
          <w:rFonts w:hint="eastAsia" w:eastAsia="宋体"/>
          <w:lang w:val="en-US" w:eastAsia="zh-CN"/>
        </w:rPr>
        <w:drawing>
          <wp:inline distT="0" distB="0" distL="114300" distR="114300">
            <wp:extent cx="5264785" cy="3943985"/>
            <wp:effectExtent l="0" t="0" r="5715" b="5715"/>
            <wp:docPr id="2" name="图片 2" descr="bd7c6dea916206c63430004b303a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d7c6dea916206c63430004b303a052"/>
                    <pic:cNvPicPr>
                      <a:picLocks noChangeAspect="1"/>
                    </pic:cNvPicPr>
                  </pic:nvPicPr>
                  <pic:blipFill>
                    <a:blip r:embed="rId10"/>
                    <a:stretch>
                      <a:fillRect/>
                    </a:stretch>
                  </pic:blipFill>
                  <pic:spPr>
                    <a:xfrm>
                      <a:off x="0" y="0"/>
                      <a:ext cx="5264785" cy="3943985"/>
                    </a:xfrm>
                    <a:prstGeom prst="rect">
                      <a:avLst/>
                    </a:prstGeom>
                  </pic:spPr>
                </pic:pic>
              </a:graphicData>
            </a:graphic>
          </wp:inline>
        </w:drawing>
      </w:r>
    </w:p>
    <w:p w14:paraId="788DCA3B">
      <w:pPr>
        <w:ind w:left="0" w:leftChars="0" w:firstLine="0" w:firstLineChars="0"/>
        <w:jc w:val="center"/>
        <w:rPr>
          <w:rFonts w:hint="default" w:ascii="黑体" w:hAnsi="黑体" w:eastAsia="黑体" w:cs="黑体"/>
          <w:sz w:val="24"/>
          <w:szCs w:val="21"/>
          <w:lang w:val="en-US" w:eastAsia="zh-CN"/>
        </w:rPr>
      </w:pPr>
      <w:r>
        <w:rPr>
          <w:rFonts w:hint="eastAsia" w:ascii="黑体" w:hAnsi="黑体" w:eastAsia="黑体" w:cs="黑体"/>
          <w:sz w:val="24"/>
          <w:szCs w:val="21"/>
          <w:lang w:val="en-US" w:eastAsia="zh-CN"/>
        </w:rPr>
        <w:t>图1 事故现场现状照片</w:t>
      </w:r>
    </w:p>
    <w:p w14:paraId="0D8A2431">
      <w:pPr>
        <w:pStyle w:val="2"/>
        <w:spacing w:before="240" w:after="240" w:line="360" w:lineRule="auto"/>
        <w:rPr>
          <w:rFonts w:ascii="黑体" w:hAnsi="黑体" w:eastAsia="黑体" w:cs="黑体"/>
          <w:sz w:val="28"/>
          <w:szCs w:val="28"/>
        </w:rPr>
      </w:pPr>
      <w:bookmarkStart w:id="9" w:name="_Toc23104"/>
      <w:r>
        <w:rPr>
          <w:rFonts w:hint="eastAsia" w:ascii="黑体" w:hAnsi="黑体" w:eastAsia="黑体" w:cs="黑体"/>
          <w:sz w:val="28"/>
          <w:szCs w:val="28"/>
        </w:rPr>
        <w:t>三、安全现状评估</w:t>
      </w:r>
      <w:bookmarkEnd w:id="9"/>
    </w:p>
    <w:p w14:paraId="4A0B9C63">
      <w:pPr>
        <w:pStyle w:val="3"/>
        <w:spacing w:before="120" w:after="120" w:line="360" w:lineRule="auto"/>
        <w:rPr>
          <w:sz w:val="28"/>
          <w:szCs w:val="21"/>
        </w:rPr>
      </w:pPr>
      <w:bookmarkStart w:id="10" w:name="_Toc26111"/>
      <w:r>
        <w:rPr>
          <w:rFonts w:hint="eastAsia"/>
          <w:sz w:val="28"/>
          <w:szCs w:val="21"/>
        </w:rPr>
        <w:t>（一）现行安全管理制度制定及落实情况评估</w:t>
      </w:r>
      <w:bookmarkEnd w:id="10"/>
    </w:p>
    <w:p w14:paraId="4F4F48E5">
      <w:pPr>
        <w:pStyle w:val="26"/>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恒商电力市政工程公司</w:t>
      </w:r>
    </w:p>
    <w:p w14:paraId="441DF159">
      <w:pPr>
        <w:pStyle w:val="26"/>
        <w:spacing w:line="360" w:lineRule="auto"/>
        <w:ind w:firstLine="560"/>
        <w:rPr>
          <w:rFonts w:ascii="宋体" w:hAnsi="宋体" w:eastAsia="宋体"/>
          <w:sz w:val="28"/>
          <w:szCs w:val="28"/>
        </w:rPr>
        <w:sectPr>
          <w:headerReference r:id="rId6" w:type="default"/>
          <w:footerReference r:id="rId7" w:type="default"/>
          <w:pgSz w:w="11906" w:h="16838"/>
          <w:pgMar w:top="1418" w:right="1588" w:bottom="1418" w:left="1531" w:header="851" w:footer="992" w:gutter="0"/>
          <w:pgNumType w:start="1"/>
          <w:cols w:space="425" w:num="1"/>
          <w:docGrid w:type="lines" w:linePitch="312" w:charSpace="0"/>
        </w:sectPr>
      </w:pPr>
      <w:r>
        <w:rPr>
          <w:rFonts w:hint="eastAsia" w:ascii="宋体" w:hAnsi="宋体" w:eastAsia="宋体"/>
          <w:sz w:val="28"/>
          <w:szCs w:val="28"/>
          <w:lang w:eastAsia="zh-CN"/>
        </w:rPr>
        <w:t>评估组</w:t>
      </w:r>
      <w:r>
        <w:rPr>
          <w:rFonts w:hint="eastAsia" w:ascii="宋体" w:hAnsi="宋体" w:eastAsia="宋体"/>
          <w:sz w:val="28"/>
          <w:szCs w:val="28"/>
        </w:rPr>
        <w:t>对恒商电力市政工程公司提供的制度文件、</w:t>
      </w:r>
      <w:r>
        <w:rPr>
          <w:rFonts w:hint="eastAsia" w:ascii="宋体" w:hAnsi="宋体" w:eastAsia="宋体"/>
          <w:sz w:val="28"/>
          <w:szCs w:val="28"/>
          <w:lang w:eastAsia="zh-CN"/>
        </w:rPr>
        <w:t>台账</w:t>
      </w:r>
      <w:r>
        <w:rPr>
          <w:rFonts w:hint="eastAsia" w:ascii="宋体" w:hAnsi="宋体" w:eastAsia="宋体"/>
          <w:sz w:val="28"/>
          <w:szCs w:val="28"/>
        </w:rPr>
        <w:t>、记录、档案等资料进行了评估，该单位现行安全管理制度基本符《中华人民共和国安全生产法》《建设工程安全生产</w:t>
      </w:r>
      <w:r>
        <w:rPr>
          <w:rFonts w:hint="eastAsia" w:ascii="宋体" w:hAnsi="宋体" w:eastAsia="宋体"/>
          <w:sz w:val="28"/>
          <w:szCs w:val="28"/>
          <w:lang w:val="en-US" w:eastAsia="zh-CN"/>
        </w:rPr>
        <w:t>管理</w:t>
      </w:r>
      <w:r>
        <w:rPr>
          <w:rFonts w:hint="eastAsia" w:ascii="宋体" w:hAnsi="宋体" w:eastAsia="宋体"/>
          <w:sz w:val="28"/>
          <w:szCs w:val="28"/>
        </w:rPr>
        <w:t>条例》</w:t>
      </w:r>
      <w:r>
        <w:rPr>
          <w:rFonts w:hint="eastAsia" w:ascii="宋体" w:hAnsi="宋体" w:eastAsia="宋体"/>
          <w:sz w:val="28"/>
          <w:szCs w:val="28"/>
          <w:lang w:val="en-US" w:eastAsia="zh-CN"/>
        </w:rPr>
        <w:t>相关规定，但具体落实工作还需按照</w:t>
      </w:r>
      <w:r>
        <w:rPr>
          <w:rFonts w:hint="eastAsia" w:ascii="宋体" w:hAnsi="宋体" w:eastAsia="宋体"/>
          <w:sz w:val="28"/>
          <w:szCs w:val="28"/>
        </w:rPr>
        <w:t>安全生产</w:t>
      </w:r>
      <w:r>
        <w:rPr>
          <w:rFonts w:hint="eastAsia" w:ascii="宋体" w:hAnsi="宋体" w:eastAsia="宋体"/>
          <w:sz w:val="28"/>
          <w:szCs w:val="28"/>
          <w:lang w:val="en-US" w:eastAsia="zh-CN"/>
        </w:rPr>
        <w:t>相关</w:t>
      </w:r>
      <w:r>
        <w:rPr>
          <w:rFonts w:hint="eastAsia" w:ascii="宋体" w:hAnsi="宋体" w:eastAsia="宋体"/>
          <w:sz w:val="28"/>
          <w:szCs w:val="28"/>
        </w:rPr>
        <w:t>法律法规</w:t>
      </w:r>
      <w:r>
        <w:rPr>
          <w:rFonts w:hint="eastAsia" w:ascii="宋体" w:hAnsi="宋体" w:eastAsia="宋体"/>
          <w:sz w:val="28"/>
          <w:szCs w:val="28"/>
          <w:lang w:val="en-US" w:eastAsia="zh-CN"/>
        </w:rPr>
        <w:t>进一步提升，</w:t>
      </w:r>
      <w:r>
        <w:rPr>
          <w:rFonts w:hint="eastAsia" w:ascii="宋体" w:hAnsi="宋体" w:eastAsia="宋体"/>
          <w:sz w:val="28"/>
          <w:szCs w:val="28"/>
        </w:rPr>
        <w:t>详见下表。</w:t>
      </w:r>
    </w:p>
    <w:p w14:paraId="547E24FE">
      <w:pPr>
        <w:pStyle w:val="26"/>
        <w:spacing w:line="360" w:lineRule="auto"/>
        <w:ind w:left="0" w:leftChars="0" w:firstLine="0" w:firstLineChars="0"/>
        <w:jc w:val="center"/>
        <w:rPr>
          <w:rFonts w:ascii="Times New Roman" w:hAnsi="Times New Roman" w:eastAsia="宋体" w:cs="Times New Roman"/>
          <w:bCs/>
          <w:sz w:val="28"/>
          <w:szCs w:val="28"/>
        </w:rPr>
      </w:pPr>
      <w:bookmarkStart w:id="11" w:name="_Toc17894"/>
      <w:bookmarkStart w:id="12" w:name="_Toc27466"/>
      <w:bookmarkStart w:id="13" w:name="_Toc3770"/>
      <w:bookmarkStart w:id="14" w:name="_Toc10908"/>
      <w:bookmarkStart w:id="15" w:name="_Toc107394620"/>
      <w:bookmarkStart w:id="16" w:name="_Toc107394549"/>
      <w:r>
        <w:rPr>
          <w:rFonts w:ascii="Times New Roman" w:hAnsi="Times New Roman" w:eastAsia="宋体" w:cs="Times New Roman"/>
          <w:bCs/>
          <w:sz w:val="28"/>
          <w:szCs w:val="28"/>
        </w:rPr>
        <w:t xml:space="preserve">表1  </w:t>
      </w:r>
      <w:r>
        <w:rPr>
          <w:rFonts w:hint="eastAsia" w:ascii="Times New Roman" w:hAnsi="Times New Roman" w:eastAsia="宋体" w:cs="Times New Roman"/>
          <w:bCs/>
          <w:sz w:val="28"/>
          <w:szCs w:val="28"/>
        </w:rPr>
        <w:t>恒商电力市政工程公司</w:t>
      </w:r>
      <w:r>
        <w:rPr>
          <w:rFonts w:ascii="Times New Roman" w:hAnsi="Times New Roman" w:eastAsia="宋体" w:cs="Times New Roman"/>
          <w:bCs/>
          <w:sz w:val="28"/>
          <w:szCs w:val="28"/>
        </w:rPr>
        <w:t>安全管理制度制定情况评估</w:t>
      </w:r>
      <w:bookmarkEnd w:id="11"/>
      <w:bookmarkEnd w:id="12"/>
      <w:bookmarkEnd w:id="13"/>
      <w:bookmarkEnd w:id="14"/>
    </w:p>
    <w:bookmarkEnd w:id="15"/>
    <w:bookmarkEnd w:id="16"/>
    <w:tbl>
      <w:tblPr>
        <w:tblStyle w:val="1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28"/>
        <w:gridCol w:w="6090"/>
        <w:gridCol w:w="2821"/>
        <w:gridCol w:w="4435"/>
      </w:tblGrid>
      <w:tr w14:paraId="0B838E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blHeader/>
        </w:trPr>
        <w:tc>
          <w:tcPr>
            <w:tcW w:w="292" w:type="pct"/>
            <w:tcBorders>
              <w:top w:val="single" w:color="auto" w:sz="12" w:space="0"/>
            </w:tcBorders>
            <w:vAlign w:val="center"/>
          </w:tcPr>
          <w:p w14:paraId="77BCF341">
            <w:pPr>
              <w:overflowPunct w:val="0"/>
              <w:autoSpaceDE w:val="0"/>
              <w:autoSpaceDN w:val="0"/>
              <w:adjustRightInd w:val="0"/>
              <w:jc w:val="center"/>
              <w:rPr>
                <w:rFonts w:ascii="Times New Roman" w:hAnsi="Times New Roman" w:eastAsia="宋体" w:cs="Times New Roman"/>
                <w:b/>
                <w:sz w:val="28"/>
                <w:szCs w:val="28"/>
                <w:lang w:val="zh-CN"/>
              </w:rPr>
            </w:pPr>
            <w:bookmarkStart w:id="17" w:name="_Toc17157"/>
            <w:bookmarkStart w:id="18" w:name="_Toc32696"/>
            <w:r>
              <w:rPr>
                <w:rFonts w:ascii="Times New Roman" w:hAnsi="Times New Roman" w:eastAsia="宋体" w:cs="Times New Roman"/>
                <w:b/>
                <w:sz w:val="28"/>
                <w:szCs w:val="28"/>
                <w:lang w:val="zh-CN"/>
              </w:rPr>
              <w:t>序号</w:t>
            </w:r>
          </w:p>
        </w:tc>
        <w:tc>
          <w:tcPr>
            <w:tcW w:w="2148" w:type="pct"/>
            <w:tcBorders>
              <w:top w:val="single" w:color="auto" w:sz="12" w:space="0"/>
            </w:tcBorders>
            <w:vAlign w:val="center"/>
          </w:tcPr>
          <w:p w14:paraId="4EA0AE65">
            <w:pPr>
              <w:overflowPunct w:val="0"/>
              <w:autoSpaceDE w:val="0"/>
              <w:autoSpaceDN w:val="0"/>
              <w:adjustRightInd w:val="0"/>
              <w:jc w:val="center"/>
              <w:rPr>
                <w:rFonts w:ascii="Times New Roman" w:hAnsi="Times New Roman" w:eastAsia="宋体" w:cs="Times New Roman"/>
                <w:b/>
                <w:sz w:val="28"/>
                <w:szCs w:val="28"/>
                <w:lang w:val="zh-CN"/>
              </w:rPr>
            </w:pPr>
            <w:r>
              <w:rPr>
                <w:rFonts w:ascii="Times New Roman" w:hAnsi="Times New Roman" w:eastAsia="宋体" w:cs="Times New Roman"/>
                <w:b/>
                <w:sz w:val="28"/>
                <w:szCs w:val="28"/>
                <w:lang w:val="zh-CN"/>
              </w:rPr>
              <w:t>评估项目</w:t>
            </w:r>
          </w:p>
        </w:tc>
        <w:tc>
          <w:tcPr>
            <w:tcW w:w="995" w:type="pct"/>
            <w:tcBorders>
              <w:top w:val="single" w:color="auto" w:sz="12" w:space="0"/>
            </w:tcBorders>
            <w:vAlign w:val="center"/>
          </w:tcPr>
          <w:p w14:paraId="7F1FF61E">
            <w:pPr>
              <w:overflowPunct w:val="0"/>
              <w:autoSpaceDE w:val="0"/>
              <w:autoSpaceDN w:val="0"/>
              <w:adjustRightInd w:val="0"/>
              <w:jc w:val="center"/>
              <w:rPr>
                <w:rFonts w:ascii="Times New Roman" w:hAnsi="Times New Roman" w:eastAsia="宋体" w:cs="Times New Roman"/>
                <w:b/>
                <w:sz w:val="28"/>
                <w:szCs w:val="28"/>
                <w:lang w:val="zh-CN"/>
              </w:rPr>
            </w:pPr>
            <w:r>
              <w:rPr>
                <w:rFonts w:ascii="Times New Roman" w:hAnsi="Times New Roman" w:eastAsia="宋体" w:cs="Times New Roman"/>
                <w:b/>
                <w:sz w:val="28"/>
                <w:szCs w:val="28"/>
                <w:lang w:val="zh-CN"/>
              </w:rPr>
              <w:t>评估依据</w:t>
            </w:r>
          </w:p>
        </w:tc>
        <w:tc>
          <w:tcPr>
            <w:tcW w:w="1564" w:type="pct"/>
            <w:tcBorders>
              <w:top w:val="single" w:color="auto" w:sz="12" w:space="0"/>
            </w:tcBorders>
            <w:vAlign w:val="center"/>
          </w:tcPr>
          <w:p w14:paraId="7FEEE417">
            <w:pPr>
              <w:overflowPunct w:val="0"/>
              <w:autoSpaceDE w:val="0"/>
              <w:autoSpaceDN w:val="0"/>
              <w:adjustRightInd w:val="0"/>
              <w:jc w:val="center"/>
              <w:rPr>
                <w:rFonts w:ascii="Times New Roman" w:hAnsi="Times New Roman" w:eastAsia="宋体" w:cs="Times New Roman"/>
                <w:b/>
                <w:sz w:val="28"/>
                <w:szCs w:val="28"/>
                <w:lang w:val="zh-CN"/>
              </w:rPr>
            </w:pPr>
            <w:r>
              <w:rPr>
                <w:rFonts w:ascii="Times New Roman" w:hAnsi="Times New Roman" w:eastAsia="宋体" w:cs="Times New Roman"/>
                <w:b/>
                <w:sz w:val="28"/>
                <w:szCs w:val="28"/>
                <w:lang w:val="zh-CN"/>
              </w:rPr>
              <w:t>评估情况</w:t>
            </w:r>
          </w:p>
        </w:tc>
      </w:tr>
      <w:tr w14:paraId="62E6C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2C65253">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71BC63AB">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tc>
        <w:tc>
          <w:tcPr>
            <w:tcW w:w="995" w:type="pct"/>
            <w:vAlign w:val="center"/>
          </w:tcPr>
          <w:p w14:paraId="6C3E1D07">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《中华人民共和国安全生产法》第四条</w:t>
            </w:r>
          </w:p>
        </w:tc>
        <w:tc>
          <w:tcPr>
            <w:tcW w:w="1564" w:type="pct"/>
            <w:vAlign w:val="center"/>
          </w:tcPr>
          <w:p w14:paraId="056DF079">
            <w:pPr>
              <w:overflowPunct w:val="0"/>
              <w:rPr>
                <w:rFonts w:ascii="Times New Roman" w:hAnsi="Times New Roman" w:eastAsia="宋体" w:cs="Times New Roman"/>
                <w:sz w:val="28"/>
                <w:szCs w:val="28"/>
              </w:rPr>
            </w:pPr>
            <w:r>
              <w:rPr>
                <w:rFonts w:hint="eastAsia" w:ascii="Times New Roman" w:hAnsi="Times New Roman" w:eastAsia="宋体" w:cs="Times New Roman"/>
                <w:bCs/>
                <w:sz w:val="28"/>
                <w:szCs w:val="28"/>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各专项负责人安全生产责任制、安全教育培训制度、生产安全事故报告调查处理制度、安全生产定期检查制度、职业病危害防治措施、安全事故的预防监控措施和应急预案、消防安全检查制度、人员资质管理制度、施工组织设计审查制度、机械设备安全管理制度、有限空间作业安全管理制度、本单位安全操作规程，项目管理人员施工作业人员的安全教育培训情况、分包工程事故处理应急预案及响应组织措施、本单位劳保用品发放记录、本单位安全管理人员证书、项目现场各类事故处置措施</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，落实了相关要求。</w:t>
            </w:r>
          </w:p>
        </w:tc>
      </w:tr>
      <w:tr w14:paraId="73C9EF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DDE9112">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62BE0C68">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生产经营单位的全员安全生产责任制应当明确各岗位的责任人员、责任范围和考核标准等内容。</w:t>
            </w:r>
          </w:p>
        </w:tc>
        <w:tc>
          <w:tcPr>
            <w:tcW w:w="995" w:type="pct"/>
            <w:vAlign w:val="center"/>
          </w:tcPr>
          <w:p w14:paraId="47B18077">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《中华人民共和国安全生产法》第二十二条</w:t>
            </w:r>
          </w:p>
        </w:tc>
        <w:tc>
          <w:tcPr>
            <w:tcW w:w="1564" w:type="pct"/>
            <w:vAlign w:val="center"/>
          </w:tcPr>
          <w:p w14:paraId="0CED174E">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32"/>
                <w:lang w:val="en-US" w:eastAsia="zh-CN"/>
              </w:rPr>
              <w:t>各专项负责人安全生产责任制</w:t>
            </w:r>
            <w:r>
              <w:rPr>
                <w:rFonts w:ascii="Times New Roman" w:hAnsi="Times New Roman" w:eastAsia="宋体" w:cs="Times New Roman"/>
                <w:sz w:val="28"/>
                <w:szCs w:val="28"/>
              </w:rPr>
              <w:t>，落实了相关要求。</w:t>
            </w:r>
          </w:p>
        </w:tc>
      </w:tr>
      <w:tr w14:paraId="2F71E9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DEC5AFF">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1BF4EACD">
            <w:pPr>
              <w:overflowPunct w:val="0"/>
              <w:rPr>
                <w:rFonts w:ascii="Times New Roman" w:hAnsi="Times New Roman" w:eastAsia="宋体" w:cs="Times New Roman"/>
                <w:sz w:val="28"/>
                <w:szCs w:val="28"/>
              </w:rPr>
            </w:pPr>
            <w:r>
              <w:rPr>
                <w:rFonts w:ascii="Times New Roman" w:hAnsi="Times New Roman" w:eastAsia="宋体" w:cs="Times New Roman"/>
                <w:color w:val="333333"/>
                <w:sz w:val="28"/>
                <w:szCs w:val="28"/>
                <w:shd w:val="clear" w:color="auto" w:fill="FFFFFF"/>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995" w:type="pct"/>
            <w:vAlign w:val="center"/>
          </w:tcPr>
          <w:p w14:paraId="00C63502">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《中华人民共和国安全生产法》第二十三条</w:t>
            </w:r>
          </w:p>
        </w:tc>
        <w:tc>
          <w:tcPr>
            <w:tcW w:w="1564" w:type="pct"/>
            <w:vAlign w:val="center"/>
          </w:tcPr>
          <w:p w14:paraId="6ED940B2">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了劳保用品</w:t>
            </w:r>
            <w:r>
              <w:rPr>
                <w:rFonts w:hint="eastAsia" w:ascii="Times New Roman" w:hAnsi="Times New Roman" w:eastAsia="宋体" w:cs="Times New Roman"/>
                <w:sz w:val="28"/>
                <w:szCs w:val="28"/>
                <w:lang w:val="en-US" w:eastAsia="zh-CN"/>
              </w:rPr>
              <w:t>发放记录</w:t>
            </w:r>
            <w:r>
              <w:rPr>
                <w:rFonts w:ascii="Times New Roman" w:hAnsi="Times New Roman" w:eastAsia="宋体" w:cs="Times New Roman"/>
                <w:sz w:val="28"/>
                <w:szCs w:val="28"/>
              </w:rPr>
              <w:t>，</w:t>
            </w:r>
            <w:r>
              <w:rPr>
                <w:rFonts w:hint="eastAsia" w:ascii="Times New Roman" w:hAnsi="Times New Roman" w:eastAsia="宋体" w:cs="Times New Roman"/>
                <w:sz w:val="28"/>
                <w:szCs w:val="28"/>
              </w:rPr>
              <w:t>其他支出未统一列明。</w:t>
            </w:r>
          </w:p>
        </w:tc>
      </w:tr>
      <w:tr w14:paraId="18BF6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D638A29">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4BADF7ED">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矿山、金属冶炼、建筑施工、运输单位和危险物品的生产、经营、储存、装卸单位，应当设置安全生产管理机构或者配备专职安全生产管理人员。</w:t>
            </w:r>
          </w:p>
        </w:tc>
        <w:tc>
          <w:tcPr>
            <w:tcW w:w="995" w:type="pct"/>
            <w:vAlign w:val="center"/>
          </w:tcPr>
          <w:p w14:paraId="5805F481">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《中华人民共和国安全生产法》第二十四条</w:t>
            </w:r>
          </w:p>
        </w:tc>
        <w:tc>
          <w:tcPr>
            <w:tcW w:w="1564" w:type="pct"/>
            <w:vAlign w:val="center"/>
          </w:tcPr>
          <w:p w14:paraId="327B4408">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rPr>
              <w:t>名专职安全管理人员证书，</w:t>
            </w:r>
            <w:r>
              <w:rPr>
                <w:rFonts w:ascii="Times New Roman" w:hAnsi="Times New Roman" w:eastAsia="宋体" w:cs="Times New Roman"/>
                <w:sz w:val="28"/>
                <w:szCs w:val="28"/>
              </w:rPr>
              <w:t>落实了相关要求。</w:t>
            </w:r>
          </w:p>
        </w:tc>
      </w:tr>
      <w:tr w14:paraId="586805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C6C0F71">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7A288AD7">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生产经营单位的安全生产管理机构以及安全生产管理人员履行下列职责：</w:t>
            </w:r>
          </w:p>
          <w:p w14:paraId="60988588">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（一）组织或者参与拟订本单位安全生产规章制度、操作规程和生产安全事故应急救援预案；</w:t>
            </w:r>
          </w:p>
          <w:p w14:paraId="24371CD2">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（二）组织或者参与本单位安全生产教育和培训，如实记录安全生产教育和培训情况；</w:t>
            </w:r>
          </w:p>
          <w:p w14:paraId="3223C9F5">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（三）组织开展危险源辨识和评估，督促落实本单位重大危险源的安全管理措施；</w:t>
            </w:r>
          </w:p>
          <w:p w14:paraId="66643438">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（四）组织或者参与本单位应急救援演练；</w:t>
            </w:r>
          </w:p>
          <w:p w14:paraId="78AFC4FC">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（五）检查本单位的安全生产状况，及时排查生产安全事故隐患，提出改进安全生产管理的建议；</w:t>
            </w:r>
          </w:p>
          <w:p w14:paraId="502EA66C">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（六）制止和纠正违章指挥、强令冒险作业、违反操作规程的行为；</w:t>
            </w:r>
          </w:p>
          <w:p w14:paraId="14963D20">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（七）督促落实本单位安全生产整改措施。</w:t>
            </w:r>
          </w:p>
        </w:tc>
        <w:tc>
          <w:tcPr>
            <w:tcW w:w="995" w:type="pct"/>
            <w:vAlign w:val="center"/>
          </w:tcPr>
          <w:p w14:paraId="75CCA2CA">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《中华人民共和国安全生产法》第二十五条</w:t>
            </w:r>
          </w:p>
        </w:tc>
        <w:tc>
          <w:tcPr>
            <w:tcW w:w="1564" w:type="pct"/>
            <w:vAlign w:val="center"/>
          </w:tcPr>
          <w:p w14:paraId="29A751B0">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各专项负责人安全生产责任制、安全教育培训制度、生产安全事故报告调查处理制度、安全生产定期检查制度、职业病危害防治措施、安全事故的预防监控措施和应急预案、消防安全检查制度、人员资质管理制度、施工组织设计审查制度、机械设备安全管理制度、有限空间作业安全管理制度、本单位安全操作规程，项目管理人员施工作业人员的安全教育培训情况、分包工程事故处理应急预案及响应组织措施、本单位劳保用品发放记录、本单位安全管理人员证书、项目现场各类事故处置措施</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，落实了相关要求。</w:t>
            </w:r>
          </w:p>
        </w:tc>
      </w:tr>
      <w:tr w14:paraId="33416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F8E2CDD">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68B27BD0">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生产经营单位的主要负责人和安全生产管理人员必须具备与本单位所从事的生产经营活动相应的安全生产知识和管理能力。</w:t>
            </w:r>
          </w:p>
          <w:p w14:paraId="106CB042">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危险物品的生产、经营、储存、装卸单位以及矿山、金属冶炼、建筑施工、运输单位的主要负责人和安全生产管理人员，应当由主管的负有安全生产监督管理职责的部门对其安全生产知识和管理能力考核合格。</w:t>
            </w:r>
          </w:p>
        </w:tc>
        <w:tc>
          <w:tcPr>
            <w:tcW w:w="995" w:type="pct"/>
            <w:vAlign w:val="center"/>
          </w:tcPr>
          <w:p w14:paraId="513D08FE">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《中华人民共和国安全生产法》第二十七条</w:t>
            </w:r>
          </w:p>
        </w:tc>
        <w:tc>
          <w:tcPr>
            <w:tcW w:w="1564" w:type="pct"/>
            <w:vAlign w:val="center"/>
          </w:tcPr>
          <w:p w14:paraId="0BE4FF9C">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rPr>
              <w:t>名专职安全管理人员证书，</w:t>
            </w:r>
            <w:r>
              <w:rPr>
                <w:rFonts w:ascii="Times New Roman" w:hAnsi="Times New Roman" w:eastAsia="宋体" w:cs="Times New Roman"/>
                <w:sz w:val="28"/>
                <w:szCs w:val="28"/>
              </w:rPr>
              <w:t>落实了相关要求。</w:t>
            </w:r>
          </w:p>
        </w:tc>
      </w:tr>
      <w:tr w14:paraId="11AF8A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1D31FFF">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041C0E31">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tc>
        <w:tc>
          <w:tcPr>
            <w:tcW w:w="995" w:type="pct"/>
            <w:vAlign w:val="center"/>
          </w:tcPr>
          <w:p w14:paraId="669FB0FD">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《中华人民共和国安全生产法》第二十八条</w:t>
            </w:r>
          </w:p>
        </w:tc>
        <w:tc>
          <w:tcPr>
            <w:tcW w:w="1564" w:type="pct"/>
            <w:vAlign w:val="center"/>
          </w:tcPr>
          <w:p w14:paraId="638CC428">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32"/>
                <w:lang w:val="en-US" w:eastAsia="zh-CN"/>
              </w:rPr>
              <w:t>安全教育培训制度、项目</w:t>
            </w:r>
            <w:r>
              <w:rPr>
                <w:rFonts w:hint="eastAsia" w:ascii="宋体" w:hAnsi="宋体" w:eastAsia="宋体"/>
                <w:sz w:val="28"/>
                <w:szCs w:val="32"/>
                <w:lang w:eastAsia="zh-CN"/>
              </w:rPr>
              <w:t>管理人员施工作业人员</w:t>
            </w:r>
            <w:r>
              <w:rPr>
                <w:rFonts w:hint="eastAsia" w:ascii="宋体" w:hAnsi="宋体" w:eastAsia="宋体"/>
                <w:sz w:val="28"/>
                <w:szCs w:val="32"/>
                <w:lang w:val="en-US" w:eastAsia="zh-CN"/>
              </w:rPr>
              <w:t>的安全教育培训情况</w:t>
            </w:r>
            <w:r>
              <w:rPr>
                <w:rFonts w:ascii="Times New Roman" w:hAnsi="Times New Roman" w:eastAsia="宋体" w:cs="Times New Roman"/>
                <w:sz w:val="28"/>
                <w:szCs w:val="28"/>
              </w:rPr>
              <w:t>，落实了相关要求。</w:t>
            </w:r>
          </w:p>
        </w:tc>
      </w:tr>
      <w:tr w14:paraId="59ACCD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0BBDF401">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1568295C">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生产经营单位应当建立安全风险分级管控制度，按照安全风险分级采取相应的管控措施。</w:t>
            </w:r>
          </w:p>
          <w:p w14:paraId="38A7CE75">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生产经营单位应当建立健全并落实生产安全事故隐患排查治理制度，采取技术、管理措施，及时发现并消除事故隐患。</w:t>
            </w:r>
          </w:p>
        </w:tc>
        <w:tc>
          <w:tcPr>
            <w:tcW w:w="995" w:type="pct"/>
            <w:vAlign w:val="center"/>
          </w:tcPr>
          <w:p w14:paraId="5DA4294F">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《中华人民共和国安全生产法》第四十一条</w:t>
            </w:r>
          </w:p>
        </w:tc>
        <w:tc>
          <w:tcPr>
            <w:tcW w:w="1564" w:type="pct"/>
            <w:vAlign w:val="center"/>
          </w:tcPr>
          <w:p w14:paraId="65AEAE2A">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32"/>
                <w:lang w:val="en-US" w:eastAsia="zh-CN"/>
              </w:rPr>
              <w:t>安全生产定期检查制度，未见风险分级管控制度</w:t>
            </w:r>
            <w:r>
              <w:rPr>
                <w:rFonts w:ascii="Times New Roman" w:hAnsi="Times New Roman" w:eastAsia="宋体" w:cs="Times New Roman"/>
                <w:sz w:val="28"/>
                <w:szCs w:val="28"/>
              </w:rPr>
              <w:t>。</w:t>
            </w:r>
          </w:p>
        </w:tc>
      </w:tr>
      <w:tr w14:paraId="3C86B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6740A4C">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52FD3CCF">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生产经营单位进行爆破、吊装、动火、临时用电以及国务院应急管理部门会同国务院有关部门规定的其他危险作业，应当安排专门人员进行现场安全管理，确保操作规程的遵守和安全措施的落实。</w:t>
            </w:r>
          </w:p>
        </w:tc>
        <w:tc>
          <w:tcPr>
            <w:tcW w:w="995" w:type="pct"/>
            <w:vAlign w:val="center"/>
          </w:tcPr>
          <w:p w14:paraId="63F54459">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《中华人民共和国安全生产法》第四十三条</w:t>
            </w:r>
          </w:p>
        </w:tc>
        <w:tc>
          <w:tcPr>
            <w:tcW w:w="1564" w:type="pct"/>
            <w:vAlign w:val="center"/>
          </w:tcPr>
          <w:p w14:paraId="3921C796">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了消防安全检查制度</w:t>
            </w:r>
            <w:r>
              <w:rPr>
                <w:rFonts w:hint="eastAsia" w:ascii="Times New Roman" w:hAnsi="Times New Roman" w:eastAsia="宋体" w:cs="Times New Roman"/>
                <w:sz w:val="28"/>
                <w:szCs w:val="28"/>
                <w:lang w:eastAsia="zh-CN"/>
              </w:rPr>
              <w:t>、</w:t>
            </w:r>
            <w:r>
              <w:rPr>
                <w:rFonts w:hint="eastAsia" w:ascii="宋体" w:hAnsi="宋体" w:eastAsia="宋体"/>
                <w:sz w:val="28"/>
                <w:szCs w:val="32"/>
                <w:lang w:val="en-US" w:eastAsia="zh-CN"/>
              </w:rPr>
              <w:t>职业病危害防治措施、有限空间作业安全管理制度、本单位安全操作规程</w:t>
            </w:r>
            <w:r>
              <w:rPr>
                <w:rFonts w:ascii="Times New Roman" w:hAnsi="Times New Roman" w:eastAsia="宋体" w:cs="Times New Roman"/>
                <w:sz w:val="28"/>
                <w:szCs w:val="28"/>
              </w:rPr>
              <w:t>，落实了相关要求。</w:t>
            </w:r>
          </w:p>
        </w:tc>
      </w:tr>
      <w:tr w14:paraId="4E3A28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BE67C76">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146EC5B4">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生产经营单位应当教育和督促从业人员严格执行本单位的安全生产规章制度和安全操作规程；并向从业人员如实告知作业场所和工作岗位存在的危险因素、防范措施以及事故应急措施。</w:t>
            </w:r>
          </w:p>
        </w:tc>
        <w:tc>
          <w:tcPr>
            <w:tcW w:w="995" w:type="pct"/>
            <w:vAlign w:val="center"/>
          </w:tcPr>
          <w:p w14:paraId="0F7F6F64">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《中华人民共和国安全生产法》第四十四条</w:t>
            </w:r>
          </w:p>
        </w:tc>
        <w:tc>
          <w:tcPr>
            <w:tcW w:w="1564" w:type="pct"/>
            <w:vAlign w:val="center"/>
          </w:tcPr>
          <w:p w14:paraId="2067050E">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Times New Roman" w:hAnsi="Times New Roman" w:eastAsia="宋体" w:cs="Times New Roman"/>
                <w:sz w:val="28"/>
                <w:szCs w:val="28"/>
                <w:lang w:val="en-US" w:eastAsia="zh-CN"/>
              </w:rPr>
              <w:t>各项生产安全制度、安全操作规程</w:t>
            </w:r>
            <w:r>
              <w:rPr>
                <w:rFonts w:hint="eastAsia" w:ascii="Times New Roman" w:hAnsi="Times New Roman" w:eastAsia="宋体" w:cs="Times New Roman"/>
                <w:sz w:val="28"/>
                <w:szCs w:val="28"/>
              </w:rPr>
              <w:t>和</w:t>
            </w:r>
            <w:r>
              <w:rPr>
                <w:rFonts w:hint="eastAsia" w:ascii="宋体" w:hAnsi="宋体" w:eastAsia="宋体"/>
                <w:sz w:val="28"/>
                <w:szCs w:val="32"/>
                <w:lang w:val="en-US" w:eastAsia="zh-CN"/>
              </w:rPr>
              <w:t>职业病危害防治措施、安全事故的预防监控措施和应急预案</w:t>
            </w:r>
          </w:p>
          <w:p w14:paraId="0CF247EE">
            <w:pPr>
              <w:rPr>
                <w:rFonts w:ascii="Times New Roman" w:hAnsi="Times New Roman" w:eastAsia="宋体" w:cs="Times New Roman"/>
                <w:sz w:val="28"/>
                <w:szCs w:val="28"/>
              </w:rPr>
            </w:pPr>
            <w:r>
              <w:rPr>
                <w:rFonts w:hint="eastAsia" w:ascii="宋体" w:hAnsi="宋体" w:eastAsia="宋体"/>
                <w:sz w:val="28"/>
                <w:szCs w:val="32"/>
                <w:lang w:val="en-US" w:eastAsia="zh-CN"/>
              </w:rPr>
              <w:t>项目</w:t>
            </w:r>
            <w:r>
              <w:rPr>
                <w:rFonts w:hint="eastAsia" w:ascii="宋体" w:hAnsi="宋体" w:eastAsia="宋体"/>
                <w:sz w:val="28"/>
                <w:szCs w:val="32"/>
                <w:lang w:eastAsia="zh-CN"/>
              </w:rPr>
              <w:t>管理人员施工作业人员</w:t>
            </w:r>
            <w:r>
              <w:rPr>
                <w:rFonts w:hint="eastAsia" w:ascii="宋体" w:hAnsi="宋体" w:eastAsia="宋体"/>
                <w:sz w:val="28"/>
                <w:szCs w:val="32"/>
                <w:lang w:val="en-US" w:eastAsia="zh-CN"/>
              </w:rPr>
              <w:t>的安全教育培训情况、</w:t>
            </w:r>
            <w:r>
              <w:rPr>
                <w:rFonts w:hint="eastAsia" w:ascii="宋体" w:hAnsi="宋体" w:eastAsia="宋体"/>
                <w:sz w:val="28"/>
                <w:szCs w:val="28"/>
                <w:lang w:val="en-US" w:eastAsia="zh-CN"/>
              </w:rPr>
              <w:t>分包工程</w:t>
            </w:r>
            <w:r>
              <w:rPr>
                <w:rFonts w:hint="eastAsia" w:ascii="宋体" w:hAnsi="宋体" w:eastAsia="宋体"/>
                <w:sz w:val="28"/>
                <w:szCs w:val="28"/>
                <w:lang w:eastAsia="zh-CN"/>
              </w:rPr>
              <w:t>事故处理应急预案及相应组织措施</w:t>
            </w:r>
            <w:r>
              <w:rPr>
                <w:rFonts w:hint="eastAsia" w:ascii="宋体" w:hAnsi="宋体" w:eastAsia="宋体"/>
                <w:sz w:val="28"/>
                <w:szCs w:val="28"/>
                <w:lang w:val="en-US" w:eastAsia="zh-CN"/>
              </w:rPr>
              <w:t>等文件</w:t>
            </w:r>
            <w:r>
              <w:rPr>
                <w:rFonts w:ascii="Times New Roman" w:hAnsi="Times New Roman" w:eastAsia="宋体" w:cs="Times New Roman"/>
                <w:sz w:val="28"/>
                <w:szCs w:val="28"/>
              </w:rPr>
              <w:t>，落实了相关要求。</w:t>
            </w:r>
          </w:p>
        </w:tc>
      </w:tr>
      <w:tr w14:paraId="54120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8ED4DF9">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14DF790A">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生产经营单位必须为从业人员提供符合国家标准或者行业标准的劳动防护用品，并监督、教育从业人员按照使用规则佩戴、使用。</w:t>
            </w:r>
          </w:p>
        </w:tc>
        <w:tc>
          <w:tcPr>
            <w:tcW w:w="995" w:type="pct"/>
            <w:vAlign w:val="center"/>
          </w:tcPr>
          <w:p w14:paraId="163C2ED5">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《中华人民共和国安全生产法》第四十五条</w:t>
            </w:r>
          </w:p>
        </w:tc>
        <w:tc>
          <w:tcPr>
            <w:tcW w:w="1564" w:type="pct"/>
            <w:vAlign w:val="center"/>
          </w:tcPr>
          <w:p w14:paraId="4D153670">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了劳保用品发放记录</w:t>
            </w:r>
            <w:r>
              <w:rPr>
                <w:rFonts w:ascii="Times New Roman" w:hAnsi="Times New Roman" w:eastAsia="宋体" w:cs="Times New Roman"/>
                <w:sz w:val="28"/>
                <w:szCs w:val="28"/>
              </w:rPr>
              <w:t>，落实了相关要求。</w:t>
            </w:r>
          </w:p>
        </w:tc>
      </w:tr>
      <w:tr w14:paraId="06BA8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A156AD0">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0A83496D">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tc>
        <w:tc>
          <w:tcPr>
            <w:tcW w:w="995" w:type="pct"/>
            <w:vAlign w:val="center"/>
          </w:tcPr>
          <w:p w14:paraId="06EF6017">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《中华人民共和国安全生产法》第四十六条</w:t>
            </w:r>
          </w:p>
        </w:tc>
        <w:tc>
          <w:tcPr>
            <w:tcW w:w="1564" w:type="pct"/>
            <w:vAlign w:val="center"/>
          </w:tcPr>
          <w:p w14:paraId="4B3BA976">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了项目</w:t>
            </w:r>
            <w:r>
              <w:rPr>
                <w:rFonts w:hint="eastAsia" w:ascii="宋体" w:hAnsi="宋体" w:eastAsia="宋体"/>
                <w:sz w:val="28"/>
                <w:szCs w:val="32"/>
                <w:lang w:val="en-US" w:eastAsia="zh-CN"/>
              </w:rPr>
              <w:t>安全生产定期检查制度、现场检查情况等</w:t>
            </w:r>
            <w:r>
              <w:rPr>
                <w:rFonts w:ascii="Times New Roman" w:hAnsi="Times New Roman" w:eastAsia="宋体" w:cs="Times New Roman"/>
                <w:sz w:val="28"/>
                <w:szCs w:val="28"/>
              </w:rPr>
              <w:t>，落实了相关要求。</w:t>
            </w:r>
          </w:p>
        </w:tc>
      </w:tr>
      <w:tr w14:paraId="0DA20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F0FDE55">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562263DB">
            <w:pPr>
              <w:rPr>
                <w:rFonts w:ascii="Times New Roman" w:hAnsi="Times New Roman" w:eastAsia="宋体" w:cs="Times New Roman"/>
                <w:sz w:val="28"/>
                <w:szCs w:val="28"/>
              </w:rPr>
            </w:pPr>
            <w:r>
              <w:rPr>
                <w:rFonts w:ascii="Times New Roman" w:hAnsi="Times New Roman" w:eastAsia="宋体" w:cs="Times New Roman"/>
                <w:sz w:val="28"/>
                <w:szCs w:val="28"/>
              </w:rPr>
              <w:t>生产经营单位应当安排用于配备劳动防护用品、进行安全生产培训的经费。</w:t>
            </w:r>
          </w:p>
        </w:tc>
        <w:tc>
          <w:tcPr>
            <w:tcW w:w="995" w:type="pct"/>
            <w:vAlign w:val="center"/>
          </w:tcPr>
          <w:p w14:paraId="4784426A">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《中华人民共和国安全生产法》第四十七条</w:t>
            </w:r>
          </w:p>
        </w:tc>
        <w:tc>
          <w:tcPr>
            <w:tcW w:w="1564" w:type="pct"/>
            <w:vAlign w:val="center"/>
          </w:tcPr>
          <w:p w14:paraId="25146595">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了劳保用品发放记录</w:t>
            </w:r>
            <w:r>
              <w:rPr>
                <w:rFonts w:ascii="Times New Roman" w:hAnsi="Times New Roman" w:eastAsia="宋体" w:cs="Times New Roman"/>
                <w:sz w:val="28"/>
                <w:szCs w:val="28"/>
              </w:rPr>
              <w:t>。</w:t>
            </w:r>
          </w:p>
        </w:tc>
      </w:tr>
      <w:tr w14:paraId="76DDAC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8" w:hRule="atLeast"/>
        </w:trPr>
        <w:tc>
          <w:tcPr>
            <w:tcW w:w="292" w:type="pct"/>
            <w:vAlign w:val="center"/>
          </w:tcPr>
          <w:p w14:paraId="48EEA111">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741B4331">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两个以上生产经营单位在同一作业区域内进行生产经营活动，可能危及对方生产安全的，应当签订安全生产管理协议，明确各自的安全生产管理职责和应当采取的安全措施，并指定专职安全生产管理人员进行安全检查与协调。</w:t>
            </w:r>
          </w:p>
        </w:tc>
        <w:tc>
          <w:tcPr>
            <w:tcW w:w="995" w:type="pct"/>
            <w:vAlign w:val="center"/>
          </w:tcPr>
          <w:p w14:paraId="747AA6FE">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《中华人民共和国安全生产法》第四十八条</w:t>
            </w:r>
          </w:p>
        </w:tc>
        <w:tc>
          <w:tcPr>
            <w:tcW w:w="1564" w:type="pct"/>
            <w:vAlign w:val="center"/>
          </w:tcPr>
          <w:p w14:paraId="75437106">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28"/>
                <w:lang w:val="en-US" w:eastAsia="zh-CN"/>
              </w:rPr>
              <w:t>分包工程</w:t>
            </w:r>
            <w:r>
              <w:rPr>
                <w:rFonts w:hint="eastAsia" w:ascii="宋体" w:hAnsi="宋体" w:eastAsia="宋体"/>
                <w:sz w:val="28"/>
                <w:szCs w:val="28"/>
                <w:lang w:eastAsia="zh-CN"/>
              </w:rPr>
              <w:t>事故处理应急预案及响应组织措施</w:t>
            </w:r>
            <w:r>
              <w:rPr>
                <w:rFonts w:ascii="Times New Roman" w:hAnsi="Times New Roman" w:eastAsia="宋体" w:cs="Times New Roman"/>
                <w:sz w:val="28"/>
                <w:szCs w:val="28"/>
              </w:rPr>
              <w:t>。</w:t>
            </w:r>
          </w:p>
        </w:tc>
      </w:tr>
      <w:tr w14:paraId="0E1265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1168846">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31793567">
            <w:pPr>
              <w:rPr>
                <w:rFonts w:ascii="Times New Roman" w:hAnsi="Times New Roman" w:eastAsia="宋体" w:cs="Times New Roman"/>
                <w:sz w:val="28"/>
                <w:szCs w:val="28"/>
              </w:rPr>
            </w:pPr>
            <w:r>
              <w:rPr>
                <w:rFonts w:ascii="Times New Roman" w:hAnsi="Times New Roman" w:eastAsia="宋体" w:cs="Times New Roman"/>
                <w:sz w:val="28"/>
                <w:szCs w:val="28"/>
              </w:rPr>
              <w:t>生产经营单位发生生产安全事故时，单位的主要负责人应当立即组织抢救，并不得在事故调查处理期间擅离职守。</w:t>
            </w:r>
          </w:p>
        </w:tc>
        <w:tc>
          <w:tcPr>
            <w:tcW w:w="995" w:type="pct"/>
            <w:vAlign w:val="center"/>
          </w:tcPr>
          <w:p w14:paraId="25C869FB">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《中华人民共和国安全生产法》第五十条</w:t>
            </w:r>
          </w:p>
        </w:tc>
        <w:tc>
          <w:tcPr>
            <w:tcW w:w="1564" w:type="pct"/>
            <w:vAlign w:val="center"/>
          </w:tcPr>
          <w:p w14:paraId="0CE4D3D0">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宋体" w:hAnsi="宋体" w:eastAsia="宋体"/>
                <w:sz w:val="28"/>
                <w:szCs w:val="32"/>
                <w:lang w:val="en-US" w:eastAsia="zh-CN"/>
              </w:rPr>
              <w:t>生产安全事故报告调查处理制度、安全事故的预防监控措施和应急预案、</w:t>
            </w:r>
            <w:r>
              <w:rPr>
                <w:rFonts w:hint="eastAsia" w:ascii="宋体" w:hAnsi="宋体" w:eastAsia="宋体"/>
                <w:sz w:val="28"/>
                <w:szCs w:val="28"/>
                <w:lang w:val="en-US" w:eastAsia="zh-CN"/>
              </w:rPr>
              <w:t>分包工程</w:t>
            </w:r>
            <w:r>
              <w:rPr>
                <w:rFonts w:hint="eastAsia" w:ascii="宋体" w:hAnsi="宋体" w:eastAsia="宋体"/>
                <w:sz w:val="28"/>
                <w:szCs w:val="28"/>
                <w:lang w:eastAsia="zh-CN"/>
              </w:rPr>
              <w:t>事故处理应急预案及响应组织措施、项目现场各类事故处置措施</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，落实了相关要求。</w:t>
            </w:r>
          </w:p>
        </w:tc>
      </w:tr>
      <w:tr w14:paraId="79FB9B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93DD335">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5BE14B54">
            <w:pPr>
              <w:rPr>
                <w:rFonts w:ascii="Times New Roman" w:hAnsi="Times New Roman" w:eastAsia="宋体" w:cs="Times New Roman"/>
                <w:sz w:val="28"/>
                <w:szCs w:val="28"/>
              </w:rPr>
            </w:pPr>
            <w:r>
              <w:rPr>
                <w:rFonts w:ascii="Times New Roman" w:hAnsi="Times New Roman" w:eastAsia="宋体" w:cs="Times New Roman"/>
                <w:sz w:val="28"/>
                <w:szCs w:val="28"/>
              </w:rPr>
              <w:t>生产经营单位必须依法参加工伤保险，为从业人员缴纳保险费。</w:t>
            </w:r>
          </w:p>
        </w:tc>
        <w:tc>
          <w:tcPr>
            <w:tcW w:w="995" w:type="pct"/>
            <w:vAlign w:val="center"/>
          </w:tcPr>
          <w:p w14:paraId="610D54F2">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《中华人民共和国安全生产法》第五十一条</w:t>
            </w:r>
          </w:p>
        </w:tc>
        <w:tc>
          <w:tcPr>
            <w:tcW w:w="1564" w:type="pct"/>
            <w:vAlign w:val="center"/>
          </w:tcPr>
          <w:p w14:paraId="16027314">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未提供相关资料</w:t>
            </w:r>
            <w:r>
              <w:rPr>
                <w:rFonts w:ascii="Times New Roman" w:hAnsi="Times New Roman" w:eastAsia="宋体" w:cs="Times New Roman"/>
                <w:sz w:val="28"/>
                <w:szCs w:val="28"/>
              </w:rPr>
              <w:t>。</w:t>
            </w:r>
          </w:p>
        </w:tc>
      </w:tr>
      <w:tr w14:paraId="647164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4E91D1B">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00AD46F2">
            <w:pPr>
              <w:rPr>
                <w:rFonts w:ascii="Times New Roman" w:hAnsi="Times New Roman" w:eastAsia="宋体" w:cs="Times New Roman"/>
                <w:sz w:val="28"/>
                <w:szCs w:val="28"/>
              </w:rPr>
            </w:pPr>
            <w:r>
              <w:rPr>
                <w:rFonts w:ascii="Times New Roman" w:hAnsi="Times New Roman" w:eastAsia="宋体" w:cs="Times New Roman"/>
                <w:sz w:val="28"/>
                <w:szCs w:val="28"/>
              </w:rPr>
              <w:t>生产经营单位应当制定本单位生产安全事故应急救援预案，与所在地县级以上地方人民政府组织制定的生产安全事故应急救援预案相衔接，并定期组织演练。</w:t>
            </w:r>
          </w:p>
        </w:tc>
        <w:tc>
          <w:tcPr>
            <w:tcW w:w="995" w:type="pct"/>
            <w:vAlign w:val="center"/>
          </w:tcPr>
          <w:p w14:paraId="2601C80A">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《中华人民共和国安全生产法》第八十一条</w:t>
            </w:r>
          </w:p>
        </w:tc>
        <w:tc>
          <w:tcPr>
            <w:tcW w:w="1564" w:type="pct"/>
            <w:shd w:val="clear" w:color="auto" w:fill="auto"/>
            <w:vAlign w:val="center"/>
          </w:tcPr>
          <w:p w14:paraId="43C083FD">
            <w:pPr>
              <w:rPr>
                <w:rFonts w:hint="default" w:ascii="Times New Roman" w:hAnsi="Times New Roman" w:eastAsia="宋体" w:cs="Times New Roman"/>
                <w:kern w:val="2"/>
                <w:sz w:val="28"/>
                <w:szCs w:val="28"/>
                <w:lang w:val="en-US" w:eastAsia="zh-CN" w:bidi="ar-SA"/>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宋体" w:hAnsi="宋体" w:eastAsia="宋体"/>
                <w:sz w:val="28"/>
                <w:szCs w:val="32"/>
                <w:lang w:val="en-US" w:eastAsia="zh-CN"/>
              </w:rPr>
              <w:t>生产安全事故报告调查处理制度、安全事故的预防监控措施和应急预案、</w:t>
            </w:r>
            <w:r>
              <w:rPr>
                <w:rFonts w:hint="eastAsia" w:ascii="宋体" w:hAnsi="宋体" w:eastAsia="宋体"/>
                <w:sz w:val="28"/>
                <w:szCs w:val="28"/>
                <w:lang w:val="en-US" w:eastAsia="zh-CN"/>
              </w:rPr>
              <w:t>分包工程</w:t>
            </w:r>
            <w:r>
              <w:rPr>
                <w:rFonts w:hint="eastAsia" w:ascii="宋体" w:hAnsi="宋体" w:eastAsia="宋体"/>
                <w:sz w:val="28"/>
                <w:szCs w:val="28"/>
                <w:lang w:eastAsia="zh-CN"/>
              </w:rPr>
              <w:t>事故处理应急预案及响应组织措施、项目现场各类事故处置措施</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未见相关演练记录。</w:t>
            </w:r>
          </w:p>
        </w:tc>
      </w:tr>
      <w:tr w14:paraId="635495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DDDA9FC">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57C4BE5A">
            <w:pPr>
              <w:rPr>
                <w:rFonts w:ascii="Times New Roman" w:hAnsi="Times New Roman" w:eastAsia="宋体" w:cs="Times New Roman"/>
                <w:sz w:val="28"/>
                <w:szCs w:val="28"/>
              </w:rPr>
            </w:pPr>
            <w:r>
              <w:rPr>
                <w:rFonts w:ascii="Times New Roman" w:hAnsi="Times New Roman" w:eastAsia="宋体" w:cs="Times New Roman"/>
                <w:sz w:val="28"/>
                <w:szCs w:val="28"/>
              </w:rPr>
              <w:t>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tc>
        <w:tc>
          <w:tcPr>
            <w:tcW w:w="995" w:type="pct"/>
            <w:vAlign w:val="center"/>
          </w:tcPr>
          <w:p w14:paraId="26207FD1">
            <w:pPr>
              <w:jc w:val="center"/>
              <w:rPr>
                <w:rFonts w:ascii="Times New Roman" w:hAnsi="Times New Roman" w:eastAsia="宋体" w:cs="Times New Roman"/>
                <w:sz w:val="28"/>
                <w:szCs w:val="28"/>
              </w:rPr>
            </w:pPr>
            <w:r>
              <w:rPr>
                <w:rFonts w:ascii="Times New Roman" w:hAnsi="Times New Roman" w:eastAsia="宋体" w:cs="Times New Roman"/>
                <w:sz w:val="28"/>
                <w:szCs w:val="28"/>
              </w:rPr>
              <w:t>《中华人民共和国安全生产法》第八十三条</w:t>
            </w:r>
          </w:p>
        </w:tc>
        <w:tc>
          <w:tcPr>
            <w:tcW w:w="1564" w:type="pct"/>
            <w:vAlign w:val="center"/>
          </w:tcPr>
          <w:p w14:paraId="224DCACB">
            <w:pPr>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宋体" w:hAnsi="宋体" w:eastAsia="宋体"/>
                <w:sz w:val="28"/>
                <w:szCs w:val="32"/>
                <w:lang w:val="en-US" w:eastAsia="zh-CN"/>
              </w:rPr>
              <w:t>生产安全事故报告调查处理制度、安全事故的预防监控措施和应急预案、</w:t>
            </w:r>
            <w:r>
              <w:rPr>
                <w:rFonts w:hint="eastAsia" w:ascii="宋体" w:hAnsi="宋体" w:eastAsia="宋体"/>
                <w:sz w:val="28"/>
                <w:szCs w:val="28"/>
                <w:lang w:val="en-US" w:eastAsia="zh-CN"/>
              </w:rPr>
              <w:t>分包工程</w:t>
            </w:r>
            <w:r>
              <w:rPr>
                <w:rFonts w:hint="eastAsia" w:ascii="宋体" w:hAnsi="宋体" w:eastAsia="宋体"/>
                <w:sz w:val="28"/>
                <w:szCs w:val="28"/>
                <w:lang w:eastAsia="zh-CN"/>
              </w:rPr>
              <w:t>事故处理应急预案及响应组织措施、项目现场各类事故处置措施</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，落实了相关要求。</w:t>
            </w:r>
          </w:p>
        </w:tc>
      </w:tr>
      <w:tr w14:paraId="35D6C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BC5E538">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02F888AD">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施工单位从事建设工程的新建、扩建、改建和拆除等活动，应当具备国家规定的注册资本、专业技术人员、技术装备和安全生产等条件，依法取得相应等级的资质证书，并在其资质等级许可的范围内承揽工程。</w:t>
            </w:r>
          </w:p>
        </w:tc>
        <w:tc>
          <w:tcPr>
            <w:tcW w:w="995" w:type="pct"/>
            <w:vAlign w:val="center"/>
          </w:tcPr>
          <w:p w14:paraId="4CA2862B">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《建设工程安全生产管理条例》第二十条</w:t>
            </w:r>
          </w:p>
        </w:tc>
        <w:tc>
          <w:tcPr>
            <w:tcW w:w="1564" w:type="pct"/>
            <w:vAlign w:val="center"/>
          </w:tcPr>
          <w:p w14:paraId="01B15141">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了建筑企业资质证书和安全生产许可证</w:t>
            </w: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落实了相关要求。</w:t>
            </w:r>
          </w:p>
        </w:tc>
      </w:tr>
      <w:tr w14:paraId="373BFB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E3850E0">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2E2558E5">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14:paraId="12FB22F1">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tc>
        <w:tc>
          <w:tcPr>
            <w:tcW w:w="995" w:type="pct"/>
            <w:vAlign w:val="center"/>
          </w:tcPr>
          <w:p w14:paraId="69929C07">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《建设工程安全生产管理条例》第二十一条</w:t>
            </w:r>
          </w:p>
        </w:tc>
        <w:tc>
          <w:tcPr>
            <w:tcW w:w="1564" w:type="pct"/>
            <w:vAlign w:val="center"/>
          </w:tcPr>
          <w:p w14:paraId="278F23FC">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rPr>
              <w:t>提供了</w:t>
            </w:r>
            <w:r>
              <w:rPr>
                <w:rFonts w:hint="eastAsia" w:ascii="宋体" w:hAnsi="宋体" w:eastAsia="宋体"/>
                <w:sz w:val="28"/>
                <w:szCs w:val="32"/>
                <w:lang w:val="en-US" w:eastAsia="zh-CN"/>
              </w:rPr>
              <w:t>各专项负责人安全生产责任制、安全教育培训制度、生产安全事故报告调查处理制度、安全生产定期检查制度、职业病危害防治措施、安全事故的预防监控措施和应急预案、消防安全检查制度、人员资质管理制度、施工组织设计审查制度、机械设备安全管理制度、有限空间作业安全管理制度、本单位安全操作规程，项目</w:t>
            </w:r>
            <w:r>
              <w:rPr>
                <w:rFonts w:hint="eastAsia" w:ascii="宋体" w:hAnsi="宋体" w:eastAsia="宋体"/>
                <w:sz w:val="28"/>
                <w:szCs w:val="32"/>
                <w:lang w:eastAsia="zh-CN"/>
              </w:rPr>
              <w:t>管理人员施工作业人员</w:t>
            </w:r>
            <w:r>
              <w:rPr>
                <w:rFonts w:hint="eastAsia" w:ascii="宋体" w:hAnsi="宋体" w:eastAsia="宋体"/>
                <w:sz w:val="28"/>
                <w:szCs w:val="32"/>
                <w:lang w:val="en-US" w:eastAsia="zh-CN"/>
              </w:rPr>
              <w:t>的安全教育培训情况、</w:t>
            </w:r>
            <w:r>
              <w:rPr>
                <w:rFonts w:hint="eastAsia" w:ascii="宋体" w:hAnsi="宋体" w:eastAsia="宋体"/>
                <w:sz w:val="28"/>
                <w:szCs w:val="28"/>
                <w:lang w:val="en-US" w:eastAsia="zh-CN"/>
              </w:rPr>
              <w:t>分包工程</w:t>
            </w:r>
            <w:r>
              <w:rPr>
                <w:rFonts w:hint="eastAsia" w:ascii="宋体" w:hAnsi="宋体" w:eastAsia="宋体"/>
                <w:sz w:val="28"/>
                <w:szCs w:val="28"/>
                <w:lang w:eastAsia="zh-CN"/>
              </w:rPr>
              <w:t>事故处理应急预案及响应组织措施、本单位劳保用品发放记录、本单位安全管理人员证书、项目现场各类事故处置措施</w:t>
            </w:r>
            <w:r>
              <w:rPr>
                <w:rFonts w:hint="eastAsia" w:ascii="Times New Roman" w:hAnsi="Times New Roman" w:eastAsia="宋体" w:cs="Times New Roman"/>
                <w:sz w:val="28"/>
                <w:szCs w:val="28"/>
                <w:lang w:val="en-US" w:eastAsia="zh-CN"/>
              </w:rPr>
              <w:t>等文件</w:t>
            </w:r>
            <w:r>
              <w:rPr>
                <w:rFonts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但除劳保用品外，未见各项记录</w:t>
            </w:r>
            <w:r>
              <w:rPr>
                <w:rFonts w:ascii="Times New Roman" w:hAnsi="Times New Roman" w:eastAsia="宋体" w:cs="Times New Roman"/>
                <w:sz w:val="28"/>
                <w:szCs w:val="28"/>
              </w:rPr>
              <w:t>。</w:t>
            </w:r>
          </w:p>
        </w:tc>
      </w:tr>
      <w:tr w14:paraId="1F33BF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BCD3C8E">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365F2652">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施工单位对列入建设工程概算的安全作业环境及安全施工措施所需费用，应当用于施工安全防护用具及设施的采购和更新、安全施工措施的落实、安全生产条件的改善，不得挪作他用。</w:t>
            </w:r>
          </w:p>
        </w:tc>
        <w:tc>
          <w:tcPr>
            <w:tcW w:w="995" w:type="pct"/>
            <w:vAlign w:val="center"/>
          </w:tcPr>
          <w:p w14:paraId="14E5325F">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《建设工程安全生产管理条例》第二十二条</w:t>
            </w:r>
          </w:p>
        </w:tc>
        <w:tc>
          <w:tcPr>
            <w:tcW w:w="1564" w:type="pct"/>
            <w:vAlign w:val="center"/>
          </w:tcPr>
          <w:p w14:paraId="64A7997A">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rPr>
              <w:t>提供了劳保用品发放记录</w:t>
            </w:r>
            <w:r>
              <w:rPr>
                <w:rFonts w:ascii="Times New Roman" w:hAnsi="Times New Roman" w:eastAsia="宋体" w:cs="Times New Roman"/>
                <w:sz w:val="28"/>
                <w:szCs w:val="28"/>
              </w:rPr>
              <w:t>，</w:t>
            </w:r>
            <w:r>
              <w:rPr>
                <w:rFonts w:hint="eastAsia" w:ascii="Times New Roman" w:hAnsi="Times New Roman" w:eastAsia="宋体" w:cs="Times New Roman"/>
                <w:sz w:val="28"/>
                <w:szCs w:val="28"/>
              </w:rPr>
              <w:t>其他支出未统一列明。</w:t>
            </w:r>
          </w:p>
        </w:tc>
      </w:tr>
      <w:tr w14:paraId="2716EA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C467714">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77E52F11">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施工单位应当设立安全生产管理机构，配备专职安全生产管理人员。</w:t>
            </w:r>
          </w:p>
        </w:tc>
        <w:tc>
          <w:tcPr>
            <w:tcW w:w="995" w:type="pct"/>
            <w:vAlign w:val="center"/>
          </w:tcPr>
          <w:p w14:paraId="63C37606">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《建设工程安全生产管理条例》第二十三条</w:t>
            </w:r>
          </w:p>
        </w:tc>
        <w:tc>
          <w:tcPr>
            <w:tcW w:w="1564" w:type="pct"/>
            <w:vAlign w:val="center"/>
          </w:tcPr>
          <w:p w14:paraId="567C74C2">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了项目的</w:t>
            </w:r>
            <w:r>
              <w:rPr>
                <w:rFonts w:hint="eastAsia"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rPr>
              <w:t>名专职安全管理人员证书</w:t>
            </w:r>
            <w:r>
              <w:rPr>
                <w:rFonts w:ascii="Times New Roman" w:hAnsi="Times New Roman" w:eastAsia="宋体" w:cs="Times New Roman"/>
                <w:sz w:val="28"/>
                <w:szCs w:val="28"/>
              </w:rPr>
              <w:t>，落实了相关要求。</w:t>
            </w:r>
          </w:p>
        </w:tc>
      </w:tr>
      <w:tr w14:paraId="1770FA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65D5949">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3CFF36C9">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建设工程实行施工总承包的，由总承包单位对施工现场的安全生产负总责。</w:t>
            </w:r>
          </w:p>
          <w:p w14:paraId="32A487FD">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总承包单位依法将建设工程分包给其他单位的，分包合同中应当明确各自的安全生产方面的权利、义务。</w:t>
            </w:r>
          </w:p>
          <w:p w14:paraId="6B13849B">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总承包单位和分包单位对分包工程的安全生产。</w:t>
            </w:r>
          </w:p>
        </w:tc>
        <w:tc>
          <w:tcPr>
            <w:tcW w:w="995" w:type="pct"/>
            <w:vAlign w:val="center"/>
          </w:tcPr>
          <w:p w14:paraId="4364F067">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《建设工程安全生产管理条例》第二十四条</w:t>
            </w:r>
          </w:p>
        </w:tc>
        <w:tc>
          <w:tcPr>
            <w:tcW w:w="1564" w:type="pct"/>
            <w:vAlign w:val="center"/>
          </w:tcPr>
          <w:p w14:paraId="0640BACD">
            <w:pPr>
              <w:overflowPunct w:val="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未提供相关协议</w:t>
            </w:r>
          </w:p>
        </w:tc>
      </w:tr>
      <w:tr w14:paraId="2ADB79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1A03D62">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00FC814E">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垂直运输机械作业人员、安装拆卸工、爆破作业人员、起重信号工、登高架设作业人员等特种作业人员，必须按照国家有关规定经过专门的安全作业培训，并取得特种作业操作资格证书后，方可上岗作业。</w:t>
            </w:r>
          </w:p>
        </w:tc>
        <w:tc>
          <w:tcPr>
            <w:tcW w:w="995" w:type="pct"/>
            <w:vAlign w:val="center"/>
          </w:tcPr>
          <w:p w14:paraId="7D986FB8">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《建设工程安全生产管理条例》第二十五条</w:t>
            </w:r>
          </w:p>
        </w:tc>
        <w:tc>
          <w:tcPr>
            <w:tcW w:w="1564" w:type="pct"/>
            <w:vAlign w:val="center"/>
          </w:tcPr>
          <w:p w14:paraId="5FC81A99">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提供了</w:t>
            </w:r>
            <w:r>
              <w:rPr>
                <w:rFonts w:hint="eastAsia" w:ascii="Times New Roman" w:hAnsi="Times New Roman" w:eastAsia="宋体" w:cs="Times New Roman"/>
                <w:sz w:val="28"/>
                <w:szCs w:val="28"/>
                <w:lang w:eastAsia="zh-CN"/>
              </w:rPr>
              <w:t>人员资质管理制度</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未见证书及人员清单</w:t>
            </w:r>
            <w:r>
              <w:rPr>
                <w:rFonts w:hint="eastAsia" w:ascii="Times New Roman" w:hAnsi="Times New Roman" w:eastAsia="宋体" w:cs="Times New Roman"/>
                <w:sz w:val="28"/>
                <w:szCs w:val="28"/>
              </w:rPr>
              <w:t>。</w:t>
            </w:r>
          </w:p>
        </w:tc>
      </w:tr>
      <w:tr w14:paraId="380B17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C5230EE">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43167D33">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14:paraId="56843E53">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(一)基坑支护与降水工程；</w:t>
            </w:r>
          </w:p>
          <w:p w14:paraId="45E99C69">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(二)土方开挖工程；</w:t>
            </w:r>
          </w:p>
          <w:p w14:paraId="3E944054">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(三)模板工程；</w:t>
            </w:r>
          </w:p>
          <w:p w14:paraId="02BCB30B">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(四)起重吊装工程；</w:t>
            </w:r>
          </w:p>
          <w:p w14:paraId="6A56C209">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(五)脚手架工程；</w:t>
            </w:r>
          </w:p>
          <w:p w14:paraId="21CE40E8">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(六)拆除、爆破工程；</w:t>
            </w:r>
          </w:p>
          <w:p w14:paraId="433952AC">
            <w:pPr>
              <w:overflowPunct w:val="0"/>
              <w:rPr>
                <w:rFonts w:ascii="Times New Roman" w:hAnsi="Times New Roman" w:eastAsia="宋体" w:cs="Times New Roman"/>
                <w:sz w:val="28"/>
                <w:szCs w:val="28"/>
              </w:rPr>
            </w:pPr>
            <w:r>
              <w:rPr>
                <w:rFonts w:ascii="Times New Roman" w:hAnsi="Times New Roman" w:eastAsia="宋体" w:cs="Times New Roman"/>
                <w:sz w:val="28"/>
                <w:szCs w:val="28"/>
              </w:rPr>
              <w:t>(七)国务院建设行政主管部门或者其他有关部门规定的其他危险性较大的工程。</w:t>
            </w:r>
          </w:p>
          <w:p w14:paraId="767A87AE">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对前款所列工程中涉及深基坑、地下暗挖工程、高大模板工程的专项施工方案，施工单位还应当组织专家进行论证、审查。本条第一款规定的达到一定规模的危险性较大工程的标准，由国务院建设行政主管部门会同国务院其他有关部门制定。</w:t>
            </w:r>
          </w:p>
        </w:tc>
        <w:tc>
          <w:tcPr>
            <w:tcW w:w="995" w:type="pct"/>
            <w:vAlign w:val="center"/>
          </w:tcPr>
          <w:p w14:paraId="765A7D43">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《建设工程安全生产管理条例》第二十六条</w:t>
            </w:r>
          </w:p>
        </w:tc>
        <w:tc>
          <w:tcPr>
            <w:tcW w:w="1564" w:type="pct"/>
            <w:vAlign w:val="center"/>
          </w:tcPr>
          <w:p w14:paraId="5F411054">
            <w:pPr>
              <w:overflowPunct w:val="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rPr>
              <w:t>道路工程制定了</w:t>
            </w:r>
            <w:r>
              <w:rPr>
                <w:rFonts w:hint="eastAsia" w:ascii="宋体" w:hAnsi="宋体" w:eastAsia="宋体"/>
                <w:sz w:val="28"/>
                <w:szCs w:val="32"/>
                <w:lang w:val="en-US" w:eastAsia="zh-CN"/>
              </w:rPr>
              <w:t>施工组织设计审查制度等相关文件</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未见具体</w:t>
            </w:r>
            <w:r>
              <w:rPr>
                <w:rFonts w:ascii="Times New Roman" w:hAnsi="Times New Roman" w:eastAsia="宋体" w:cs="Times New Roman"/>
                <w:sz w:val="28"/>
                <w:szCs w:val="28"/>
              </w:rPr>
              <w:t>危险性较大的分部分项工程</w:t>
            </w:r>
            <w:r>
              <w:rPr>
                <w:rFonts w:hint="eastAsia" w:ascii="Times New Roman" w:hAnsi="Times New Roman" w:eastAsia="宋体" w:cs="Times New Roman"/>
                <w:sz w:val="28"/>
                <w:szCs w:val="28"/>
                <w:lang w:val="en-US" w:eastAsia="zh-CN"/>
              </w:rPr>
              <w:t>方案及记录。</w:t>
            </w:r>
          </w:p>
        </w:tc>
      </w:tr>
      <w:tr w14:paraId="09BA26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9DF5F8A">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17C874DD">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建设工程施工前，施工单位负责项目管理的技术人员应当对有关安全施工的技术要求向施工作业班组、作业人员作出详细说明，并由双方签字确认。</w:t>
            </w:r>
          </w:p>
        </w:tc>
        <w:tc>
          <w:tcPr>
            <w:tcW w:w="995" w:type="pct"/>
            <w:vAlign w:val="center"/>
          </w:tcPr>
          <w:p w14:paraId="6696F45A">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《建设工程安全生产管理条例》第二十七条</w:t>
            </w:r>
          </w:p>
        </w:tc>
        <w:tc>
          <w:tcPr>
            <w:tcW w:w="1564" w:type="pct"/>
            <w:vAlign w:val="center"/>
          </w:tcPr>
          <w:p w14:paraId="38DB70F1">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Times New Roman" w:hAnsi="Times New Roman" w:eastAsia="宋体" w:cs="Times New Roman"/>
                <w:sz w:val="28"/>
                <w:szCs w:val="28"/>
                <w:lang w:val="en-US" w:eastAsia="zh-CN"/>
              </w:rPr>
              <w:t>各项安全制度及安全操作规程，未见具体记录</w:t>
            </w:r>
            <w:r>
              <w:rPr>
                <w:rFonts w:ascii="Times New Roman" w:hAnsi="Times New Roman" w:eastAsia="宋体" w:cs="Times New Roman"/>
                <w:sz w:val="28"/>
                <w:szCs w:val="28"/>
              </w:rPr>
              <w:t>。</w:t>
            </w:r>
          </w:p>
        </w:tc>
      </w:tr>
      <w:tr w14:paraId="7C6B5A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72750B4">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47255EC5">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29F8ABF3">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施工单位应当根据不同施工阶段和周围环境及季节、气候的变化，在施工现场采取相应的安全施工措施。施工现场暂时停止施工的，施工单位应当做好现场防护，所需费用由责任方承担，或者按照合同约定执行。</w:t>
            </w:r>
          </w:p>
        </w:tc>
        <w:tc>
          <w:tcPr>
            <w:tcW w:w="995" w:type="pct"/>
            <w:vAlign w:val="center"/>
          </w:tcPr>
          <w:p w14:paraId="23ACA584">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《建设工程安全生产管理条例》第二十八条</w:t>
            </w:r>
          </w:p>
        </w:tc>
        <w:tc>
          <w:tcPr>
            <w:tcW w:w="1564" w:type="pct"/>
            <w:vAlign w:val="center"/>
          </w:tcPr>
          <w:p w14:paraId="3F7BC28A">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未提供相关制度及记录</w:t>
            </w:r>
            <w:r>
              <w:rPr>
                <w:rFonts w:hint="eastAsia" w:ascii="Times New Roman" w:hAnsi="Times New Roman" w:eastAsia="宋体" w:cs="Times New Roman"/>
                <w:sz w:val="28"/>
                <w:szCs w:val="28"/>
              </w:rPr>
              <w:t>。</w:t>
            </w:r>
          </w:p>
        </w:tc>
      </w:tr>
      <w:tr w14:paraId="5CEFE2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72C7DAB1">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0B58049A">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施工单位对因建设工程施工可能造成损害的毗邻建筑物、构筑物和地下管线等，应当采取专项防护措施。</w:t>
            </w:r>
          </w:p>
          <w:p w14:paraId="615D97DB">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施工单位应当遵守有关环境保护法律、法规的规定，在施工现场采取措施，防止或者减少粉尘、废气、废水、固体废物、噪声、振动和施工照明对人和环境的危害和污染。</w:t>
            </w:r>
          </w:p>
          <w:p w14:paraId="2DE6CB8E">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在城市市区内的建设工程，施工单位应当对施工现场实行封闭围挡。</w:t>
            </w:r>
          </w:p>
        </w:tc>
        <w:tc>
          <w:tcPr>
            <w:tcW w:w="995" w:type="pct"/>
            <w:vAlign w:val="center"/>
          </w:tcPr>
          <w:p w14:paraId="1012DE45">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《建设工程安全生产管理条例》第三十条</w:t>
            </w:r>
          </w:p>
        </w:tc>
        <w:tc>
          <w:tcPr>
            <w:tcW w:w="1564" w:type="pct"/>
            <w:vAlign w:val="center"/>
          </w:tcPr>
          <w:p w14:paraId="11017C89">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rPr>
              <w:t>道路工程</w:t>
            </w:r>
            <w:r>
              <w:rPr>
                <w:rFonts w:hint="eastAsia" w:ascii="Times New Roman" w:hAnsi="Times New Roman" w:eastAsia="宋体" w:cs="Times New Roman"/>
                <w:sz w:val="28"/>
                <w:szCs w:val="28"/>
                <w:lang w:val="en-US" w:eastAsia="zh-CN"/>
              </w:rPr>
              <w:t>未提供相关文件</w:t>
            </w:r>
            <w:r>
              <w:rPr>
                <w:rFonts w:hint="eastAsia" w:ascii="Times New Roman" w:hAnsi="Times New Roman" w:eastAsia="宋体" w:cs="Times New Roman"/>
                <w:sz w:val="28"/>
                <w:szCs w:val="28"/>
              </w:rPr>
              <w:t>。</w:t>
            </w:r>
          </w:p>
        </w:tc>
      </w:tr>
      <w:tr w14:paraId="452DD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3CF70D83">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7A51913C">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tc>
        <w:tc>
          <w:tcPr>
            <w:tcW w:w="995" w:type="pct"/>
            <w:vAlign w:val="center"/>
          </w:tcPr>
          <w:p w14:paraId="7C76730E">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《建设工程安全生产管理条例》第三十一条</w:t>
            </w:r>
          </w:p>
        </w:tc>
        <w:tc>
          <w:tcPr>
            <w:tcW w:w="1564" w:type="pct"/>
            <w:vAlign w:val="center"/>
          </w:tcPr>
          <w:p w14:paraId="7549AD5D">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提供了消防安全检查制度，未见现场记录</w:t>
            </w:r>
            <w:r>
              <w:rPr>
                <w:rFonts w:hint="eastAsia" w:ascii="Times New Roman" w:hAnsi="Times New Roman" w:eastAsia="宋体" w:cs="Times New Roman"/>
                <w:sz w:val="28"/>
                <w:szCs w:val="28"/>
              </w:rPr>
              <w:t>。</w:t>
            </w:r>
          </w:p>
        </w:tc>
      </w:tr>
      <w:tr w14:paraId="0EAE82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23CED97E">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7E85340D">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施工单位应当向作业人员提供安全防护用具和安全防护服装，并书面告知危险岗位的操作规程和违章操作的危害。</w:t>
            </w:r>
          </w:p>
        </w:tc>
        <w:tc>
          <w:tcPr>
            <w:tcW w:w="995" w:type="pct"/>
            <w:vAlign w:val="center"/>
          </w:tcPr>
          <w:p w14:paraId="13A32F9F">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《建设工程安全生产管理条例》第三十二条</w:t>
            </w:r>
          </w:p>
        </w:tc>
        <w:tc>
          <w:tcPr>
            <w:tcW w:w="1564" w:type="pct"/>
            <w:vAlign w:val="center"/>
          </w:tcPr>
          <w:p w14:paraId="23FEF496">
            <w:pPr>
              <w:overflowPunct w:val="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rPr>
              <w:t>提供了</w:t>
            </w:r>
            <w:r>
              <w:rPr>
                <w:rFonts w:hint="eastAsia" w:ascii="Times New Roman" w:hAnsi="Times New Roman" w:eastAsia="宋体" w:cs="Times New Roman"/>
                <w:sz w:val="28"/>
                <w:szCs w:val="28"/>
                <w:lang w:val="en-US" w:eastAsia="zh-CN"/>
              </w:rPr>
              <w:t>岗位操作规程、安全教育培训制度、劳动用品发放记录等。</w:t>
            </w:r>
          </w:p>
        </w:tc>
      </w:tr>
      <w:tr w14:paraId="69E7FA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5B9CE4D">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56C86A76">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施工单位采购、租赁的安全防护用具、机械设备、施工机具及配件，应当具有生产(制造)许可证、产品合格证，并在进入施工现场前进行查验。</w:t>
            </w:r>
          </w:p>
          <w:p w14:paraId="5DFE7FEA">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施工现场的安全防护用具、机械设备、施工机具及配件必须由专人管理，定期进行检查、维修和保养，建立相应的资料档案，并按照国家有关规定及时报废。</w:t>
            </w:r>
          </w:p>
        </w:tc>
        <w:tc>
          <w:tcPr>
            <w:tcW w:w="995" w:type="pct"/>
            <w:vAlign w:val="center"/>
          </w:tcPr>
          <w:p w14:paraId="059B6A69">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《建设工程安全生产管理条例》第三十四条</w:t>
            </w:r>
          </w:p>
        </w:tc>
        <w:tc>
          <w:tcPr>
            <w:tcW w:w="1564" w:type="pct"/>
            <w:vAlign w:val="center"/>
          </w:tcPr>
          <w:p w14:paraId="5327AB27">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提供了</w:t>
            </w:r>
            <w:r>
              <w:rPr>
                <w:rFonts w:hint="eastAsia" w:ascii="宋体" w:hAnsi="宋体" w:eastAsia="宋体"/>
                <w:sz w:val="28"/>
                <w:szCs w:val="32"/>
                <w:lang w:val="en-US" w:eastAsia="zh-CN"/>
              </w:rPr>
              <w:t>机械设备安全管理制度、各项安全操作规程</w:t>
            </w:r>
            <w:r>
              <w:rPr>
                <w:rFonts w:hint="eastAsia" w:ascii="Times New Roman" w:hAnsi="Times New Roman" w:eastAsia="宋体" w:cs="Times New Roman"/>
                <w:sz w:val="28"/>
                <w:szCs w:val="28"/>
              </w:rPr>
              <w:t>。</w:t>
            </w:r>
          </w:p>
        </w:tc>
      </w:tr>
      <w:tr w14:paraId="3910DF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1F983E28">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437B281B">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在使用施工起重机械和整体提升脚手架、模板等自升式架设设施前，应当组织有关单位进行验收，也可以委托具有相应资质的检验检测机构进行验收；使用承租的机械设备和施工机具及配件的，由施工总承包单位、分包单位、出租单位和安装单位共同进行验收。验收合格的方可使用。</w:t>
            </w:r>
          </w:p>
          <w:p w14:paraId="6AA867C6">
            <w:pPr>
              <w:overflowPunct w:val="0"/>
              <w:rPr>
                <w:rFonts w:ascii="Times New Roman" w:hAnsi="Times New Roman" w:eastAsia="宋体" w:cs="Times New Roman"/>
                <w:sz w:val="28"/>
                <w:szCs w:val="28"/>
              </w:rPr>
            </w:pPr>
            <w:r>
              <w:rPr>
                <w:rFonts w:ascii="Times New Roman" w:hAnsi="Times New Roman" w:eastAsia="宋体" w:cs="Times New Roman"/>
                <w:sz w:val="28"/>
                <w:szCs w:val="28"/>
              </w:rPr>
              <w:t>《特种设备安全监察条例》规定的施工起重机械，在验收前应当经有相应资质的检验检测机构监督检验合格。</w:t>
            </w:r>
          </w:p>
          <w:p w14:paraId="12FC322B">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施工单位应当自施工起重机械和整体提升脚手架、模板等自升式架设设施验收合格之日起30日内，向建设行政主管部门或者其他有关部门登记。登记标志应当置于或者附着于该设备的显著位置。</w:t>
            </w:r>
          </w:p>
        </w:tc>
        <w:tc>
          <w:tcPr>
            <w:tcW w:w="995" w:type="pct"/>
            <w:vAlign w:val="center"/>
          </w:tcPr>
          <w:p w14:paraId="30BF2709">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w:t>
            </w:r>
            <w:r>
              <w:rPr>
                <w:rFonts w:hint="eastAsia" w:ascii="Times New Roman" w:hAnsi="Times New Roman" w:eastAsia="宋体" w:cs="Times New Roman"/>
                <w:sz w:val="28"/>
                <w:szCs w:val="28"/>
              </w:rPr>
              <w:t>三十五</w:t>
            </w:r>
            <w:r>
              <w:rPr>
                <w:rFonts w:ascii="Times New Roman" w:hAnsi="Times New Roman" w:eastAsia="宋体" w:cs="Times New Roman"/>
                <w:sz w:val="28"/>
                <w:szCs w:val="28"/>
              </w:rPr>
              <w:t>条</w:t>
            </w:r>
          </w:p>
        </w:tc>
        <w:tc>
          <w:tcPr>
            <w:tcW w:w="1564" w:type="pct"/>
            <w:vAlign w:val="center"/>
          </w:tcPr>
          <w:p w14:paraId="48FAE077">
            <w:pPr>
              <w:overflowPunct w:val="0"/>
              <w:rPr>
                <w:rFonts w:hint="default" w:ascii="Times New Roman" w:hAnsi="Times New Roman" w:eastAsia="宋体" w:cs="Times New Roman"/>
                <w:sz w:val="28"/>
                <w:szCs w:val="28"/>
                <w:lang w:val="en-US"/>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提供了</w:t>
            </w:r>
            <w:r>
              <w:rPr>
                <w:rFonts w:hint="eastAsia" w:ascii="宋体" w:hAnsi="宋体" w:eastAsia="宋体"/>
                <w:sz w:val="28"/>
                <w:szCs w:val="32"/>
                <w:lang w:val="en-US" w:eastAsia="zh-CN"/>
              </w:rPr>
              <w:t>机械设备安全管理制度，未见相关记录。</w:t>
            </w:r>
          </w:p>
        </w:tc>
      </w:tr>
      <w:tr w14:paraId="2E1A33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C70D29D">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00DD8051">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施工单位的主要负责人、项目负责人、专职安全生产管理人员应当经建设行政主管部门或者其他有关部门考核合格后方可任职。</w:t>
            </w:r>
          </w:p>
          <w:p w14:paraId="5D39B294">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施工单位应当对管理人员和作业人员每年至少进行一次安全生产教育培训，其教育培训情况记入个人工作档案。安全生产教育培训考核不合格的人员，不得上岗。</w:t>
            </w:r>
          </w:p>
        </w:tc>
        <w:tc>
          <w:tcPr>
            <w:tcW w:w="995" w:type="pct"/>
            <w:vAlign w:val="center"/>
          </w:tcPr>
          <w:p w14:paraId="1BF6D9BC">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《建设工程安全生产管理条例》第三十六条</w:t>
            </w:r>
          </w:p>
        </w:tc>
        <w:tc>
          <w:tcPr>
            <w:tcW w:w="1564" w:type="pct"/>
            <w:vAlign w:val="center"/>
          </w:tcPr>
          <w:p w14:paraId="038C1F09">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32"/>
                <w:lang w:val="en-US" w:eastAsia="zh-CN"/>
              </w:rPr>
              <w:t>安全教育培训制度</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rPr>
              <w:t>名专职安全管理人员证书</w:t>
            </w:r>
            <w:r>
              <w:rPr>
                <w:rFonts w:ascii="Times New Roman" w:hAnsi="Times New Roman" w:eastAsia="宋体" w:cs="Times New Roman"/>
                <w:sz w:val="28"/>
                <w:szCs w:val="28"/>
              </w:rPr>
              <w:t>。</w:t>
            </w:r>
          </w:p>
        </w:tc>
      </w:tr>
      <w:tr w14:paraId="2DE4C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4D1BDA79">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6447E899">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施工单位应当为施工现场从事危险作业的人员办理意外伤害保险。</w:t>
            </w:r>
          </w:p>
          <w:p w14:paraId="39A86AE0">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意外伤害保险费由施工单位支付。实行施工总承包的，由总承包单位支付意外伤害保险费。意外伤害保险期限自建设工程开工之日起至竣工验收合格止。</w:t>
            </w:r>
          </w:p>
        </w:tc>
        <w:tc>
          <w:tcPr>
            <w:tcW w:w="995" w:type="pct"/>
            <w:vAlign w:val="center"/>
          </w:tcPr>
          <w:p w14:paraId="0BC157B0">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《建设工程安全生产管理条例》第三十八条</w:t>
            </w:r>
          </w:p>
        </w:tc>
        <w:tc>
          <w:tcPr>
            <w:tcW w:w="1564" w:type="pct"/>
            <w:vAlign w:val="center"/>
          </w:tcPr>
          <w:p w14:paraId="194D8F06">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未提供相关制度要求资料</w:t>
            </w:r>
            <w:r>
              <w:rPr>
                <w:rFonts w:hint="eastAsia" w:ascii="Times New Roman" w:hAnsi="Times New Roman" w:eastAsia="宋体" w:cs="Times New Roman"/>
                <w:sz w:val="28"/>
                <w:szCs w:val="28"/>
              </w:rPr>
              <w:t>。</w:t>
            </w:r>
          </w:p>
        </w:tc>
      </w:tr>
      <w:tr w14:paraId="37B0DD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0CE1AFB">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5A4C3576">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施工单位应当制定本单位生产安全事故应急救援预案，建立应急救援组织或者配备应急救援人员，配备必要的应急救援器材、设备，并定期组织演练。</w:t>
            </w:r>
          </w:p>
        </w:tc>
        <w:tc>
          <w:tcPr>
            <w:tcW w:w="995" w:type="pct"/>
            <w:vAlign w:val="center"/>
          </w:tcPr>
          <w:p w14:paraId="53257234">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《建设工程安全生产管理条例》第四十八条</w:t>
            </w:r>
          </w:p>
        </w:tc>
        <w:tc>
          <w:tcPr>
            <w:tcW w:w="1564" w:type="pct"/>
            <w:vAlign w:val="center"/>
          </w:tcPr>
          <w:p w14:paraId="08094BFB">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了生产安全事故报告调查处理制度、安全事故的预防监控措施和应急预案</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分包工程事故处理应急预案及响应组织措施、项目现场各类事故处置措施，未见</w:t>
            </w:r>
            <w:r>
              <w:rPr>
                <w:rFonts w:hint="eastAsia" w:ascii="Times New Roman" w:hAnsi="Times New Roman" w:eastAsia="宋体" w:cs="Times New Roman"/>
                <w:sz w:val="28"/>
                <w:szCs w:val="28"/>
                <w:lang w:val="en-US" w:eastAsia="zh-CN"/>
              </w:rPr>
              <w:t>应急救援</w:t>
            </w:r>
            <w:r>
              <w:rPr>
                <w:rFonts w:hint="eastAsia" w:ascii="Times New Roman" w:hAnsi="Times New Roman" w:eastAsia="宋体" w:cs="Times New Roman"/>
                <w:sz w:val="28"/>
                <w:szCs w:val="28"/>
              </w:rPr>
              <w:t>演练和人员队伍相关记录。</w:t>
            </w:r>
          </w:p>
        </w:tc>
      </w:tr>
      <w:tr w14:paraId="63E366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699D6031">
            <w:pPr>
              <w:numPr>
                <w:ilvl w:val="0"/>
                <w:numId w:val="3"/>
              </w:numPr>
              <w:tabs>
                <w:tab w:val="left" w:pos="1260"/>
              </w:tabs>
              <w:overflowPunct w:val="0"/>
              <w:ind w:firstLine="17"/>
              <w:jc w:val="center"/>
              <w:rPr>
                <w:rFonts w:ascii="Times New Roman" w:hAnsi="Times New Roman" w:eastAsia="宋体" w:cs="Times New Roman"/>
                <w:sz w:val="28"/>
                <w:szCs w:val="28"/>
              </w:rPr>
            </w:pPr>
          </w:p>
        </w:tc>
        <w:tc>
          <w:tcPr>
            <w:tcW w:w="2148" w:type="pct"/>
            <w:vAlign w:val="center"/>
          </w:tcPr>
          <w:p w14:paraId="2384EDD3">
            <w:pPr>
              <w:overflowPunct w:val="0"/>
              <w:rPr>
                <w:rFonts w:ascii="Times New Roman" w:hAnsi="Times New Roman" w:eastAsia="宋体" w:cs="Times New Roman"/>
                <w:sz w:val="28"/>
                <w:szCs w:val="28"/>
              </w:rPr>
            </w:pPr>
            <w:r>
              <w:rPr>
                <w:rFonts w:ascii="Times New Roman" w:hAnsi="Times New Roman" w:eastAsia="宋体" w:cs="Times New Roman"/>
                <w:sz w:val="28"/>
                <w:szCs w:val="28"/>
              </w:rPr>
              <w:t>施工单位应当根据建设工程施工的特点、范围，对施工现场易发生重大事故的部位、环节进行监控，制定施工现场生产安全事故应急救工总承包的，由总承包单位统一组织编制建设工程生产安全事故应急救援预案，工程总承包单位和分包单位按照应急救援预案，各自建立应急救援组织救援人员，配备救援器材、设备，并定期组织演练。</w:t>
            </w:r>
          </w:p>
        </w:tc>
        <w:tc>
          <w:tcPr>
            <w:tcW w:w="995" w:type="pct"/>
            <w:vAlign w:val="center"/>
          </w:tcPr>
          <w:p w14:paraId="181876ED">
            <w:pPr>
              <w:overflowPunct w:val="0"/>
              <w:jc w:val="center"/>
              <w:rPr>
                <w:rFonts w:ascii="Times New Roman" w:hAnsi="Times New Roman" w:eastAsia="宋体" w:cs="Times New Roman"/>
                <w:sz w:val="28"/>
                <w:szCs w:val="28"/>
              </w:rPr>
            </w:pPr>
            <w:r>
              <w:rPr>
                <w:rFonts w:ascii="Times New Roman" w:hAnsi="Times New Roman" w:eastAsia="宋体" w:cs="Times New Roman"/>
                <w:sz w:val="28"/>
                <w:szCs w:val="28"/>
              </w:rPr>
              <w:t>《建设工程安全生产管理条例》第四十九条</w:t>
            </w:r>
          </w:p>
        </w:tc>
        <w:tc>
          <w:tcPr>
            <w:tcW w:w="1564" w:type="pct"/>
            <w:vAlign w:val="center"/>
          </w:tcPr>
          <w:p w14:paraId="776D18BC">
            <w:pPr>
              <w:overflowPunct w:val="0"/>
              <w:rPr>
                <w:rFonts w:ascii="Times New Roman" w:hAnsi="Times New Roman" w:eastAsia="宋体" w:cs="Times New Roman"/>
                <w:sz w:val="28"/>
                <w:szCs w:val="28"/>
              </w:rPr>
            </w:pPr>
            <w:r>
              <w:rPr>
                <w:rFonts w:hint="eastAsia" w:ascii="Times New Roman" w:hAnsi="Times New Roman" w:eastAsia="宋体" w:cs="Times New Roman"/>
                <w:sz w:val="28"/>
                <w:szCs w:val="28"/>
                <w:lang w:eastAsia="zh-CN"/>
              </w:rPr>
              <w:t>恒商电力市政工程公司</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了生产安全事故报告调查处理制度、安全事故的预防监控措施和应急预案</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rPr>
              <w:t>分包工程事故处理应急预案及响应组织措施、项目现场各类事故处置措施，未见</w:t>
            </w:r>
            <w:r>
              <w:rPr>
                <w:rFonts w:hint="eastAsia" w:ascii="Times New Roman" w:hAnsi="Times New Roman" w:eastAsia="宋体" w:cs="Times New Roman"/>
                <w:sz w:val="28"/>
                <w:szCs w:val="28"/>
                <w:lang w:val="en-US" w:eastAsia="zh-CN"/>
              </w:rPr>
              <w:t>应急救援</w:t>
            </w:r>
            <w:r>
              <w:rPr>
                <w:rFonts w:hint="eastAsia" w:ascii="Times New Roman" w:hAnsi="Times New Roman" w:eastAsia="宋体" w:cs="Times New Roman"/>
                <w:sz w:val="28"/>
                <w:szCs w:val="28"/>
              </w:rPr>
              <w:t>人员队伍</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资源和演练</w:t>
            </w:r>
            <w:r>
              <w:rPr>
                <w:rFonts w:hint="eastAsia" w:ascii="Times New Roman" w:hAnsi="Times New Roman" w:eastAsia="宋体" w:cs="Times New Roman"/>
                <w:sz w:val="28"/>
                <w:szCs w:val="28"/>
              </w:rPr>
              <w:t>相关记录。</w:t>
            </w:r>
          </w:p>
        </w:tc>
      </w:tr>
      <w:tr w14:paraId="781E0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92" w:type="pct"/>
            <w:vAlign w:val="center"/>
          </w:tcPr>
          <w:p w14:paraId="5B33DEAF">
            <w:pPr>
              <w:numPr>
                <w:ilvl w:val="0"/>
                <w:numId w:val="3"/>
              </w:numPr>
              <w:tabs>
                <w:tab w:val="left" w:pos="1260"/>
              </w:tabs>
              <w:overflowPunct w:val="0"/>
              <w:jc w:val="center"/>
              <w:rPr>
                <w:rFonts w:ascii="Times New Roman" w:hAnsi="Times New Roman" w:eastAsia="宋体" w:cs="Times New Roman"/>
                <w:sz w:val="28"/>
                <w:szCs w:val="28"/>
              </w:rPr>
            </w:pPr>
          </w:p>
        </w:tc>
        <w:tc>
          <w:tcPr>
            <w:tcW w:w="2148" w:type="pct"/>
            <w:vAlign w:val="center"/>
          </w:tcPr>
          <w:p w14:paraId="02AB5A80">
            <w:pPr>
              <w:overflowPunct w:val="0"/>
              <w:rPr>
                <w:rFonts w:ascii="Times New Roman" w:hAnsi="Times New Roman" w:eastAsia="宋体" w:cs="Times New Roman"/>
                <w:sz w:val="28"/>
                <w:szCs w:val="28"/>
              </w:rPr>
            </w:pPr>
            <w:r>
              <w:rPr>
                <w:rFonts w:ascii="Times New Roman" w:hAnsi="Times New Roman" w:eastAsia="宋体" w:cs="Times New Roman"/>
                <w:sz w:val="28"/>
                <w:szCs w:val="28"/>
              </w:rPr>
              <w:t>其他事故的跟踪情况</w:t>
            </w:r>
          </w:p>
        </w:tc>
        <w:tc>
          <w:tcPr>
            <w:tcW w:w="2559" w:type="pct"/>
            <w:gridSpan w:val="2"/>
            <w:vAlign w:val="center"/>
          </w:tcPr>
          <w:p w14:paraId="5CCB8FF5">
            <w:pPr>
              <w:overflowPunct w:val="0"/>
              <w:rPr>
                <w:rFonts w:ascii="Times New Roman" w:hAnsi="Times New Roman" w:eastAsia="宋体" w:cs="Times New Roman"/>
                <w:sz w:val="28"/>
                <w:szCs w:val="28"/>
                <w:shd w:val="clear" w:color="auto" w:fill="FFFFFF"/>
              </w:rPr>
            </w:pPr>
            <w:r>
              <w:rPr>
                <w:rFonts w:hint="eastAsia" w:ascii="Times New Roman" w:hAnsi="Times New Roman" w:eastAsia="宋体" w:cs="Times New Roman"/>
                <w:sz w:val="28"/>
                <w:szCs w:val="28"/>
                <w:shd w:val="clear" w:color="auto" w:fill="FFFFFF"/>
                <w:lang w:val="en-US" w:eastAsia="zh-CN"/>
              </w:rPr>
              <w:t>绿地远洋未来科学城南区【小市政】工程自事故发生后，</w:t>
            </w:r>
            <w:r>
              <w:rPr>
                <w:rFonts w:ascii="Times New Roman" w:hAnsi="Times New Roman" w:eastAsia="宋体" w:cs="Times New Roman"/>
                <w:sz w:val="28"/>
                <w:szCs w:val="28"/>
                <w:shd w:val="clear" w:color="auto" w:fill="FFFFFF"/>
              </w:rPr>
              <w:t>未有其他一般生产安全事故发生。</w:t>
            </w:r>
          </w:p>
        </w:tc>
      </w:tr>
    </w:tbl>
    <w:p w14:paraId="043F27A3">
      <w:pPr>
        <w:pStyle w:val="26"/>
        <w:spacing w:line="360" w:lineRule="auto"/>
        <w:ind w:firstLine="560"/>
        <w:rPr>
          <w:rFonts w:ascii="宋体" w:hAnsi="宋体" w:eastAsia="宋体"/>
          <w:sz w:val="28"/>
          <w:szCs w:val="28"/>
        </w:rPr>
        <w:sectPr>
          <w:pgSz w:w="16838" w:h="11906" w:orient="landscape"/>
          <w:pgMar w:top="1803" w:right="1440" w:bottom="1803" w:left="1440" w:header="851" w:footer="992" w:gutter="0"/>
          <w:cols w:space="0" w:num="1"/>
          <w:docGrid w:type="lines" w:linePitch="395" w:charSpace="0"/>
        </w:sectPr>
      </w:pPr>
    </w:p>
    <w:p w14:paraId="62B8ADF4">
      <w:pPr>
        <w:pStyle w:val="26"/>
        <w:spacing w:line="360" w:lineRule="auto"/>
        <w:ind w:firstLine="560"/>
        <w:rPr>
          <w:rFonts w:ascii="宋体" w:hAnsi="宋体" w:eastAsia="宋体"/>
          <w:sz w:val="28"/>
          <w:szCs w:val="28"/>
        </w:rPr>
      </w:pPr>
      <w:r>
        <w:rPr>
          <w:rFonts w:hint="eastAsia" w:ascii="宋体" w:hAnsi="宋体" w:eastAsia="宋体"/>
          <w:sz w:val="28"/>
          <w:szCs w:val="28"/>
        </w:rPr>
        <w:t>按照</w:t>
      </w:r>
      <w:r>
        <w:rPr>
          <w:rFonts w:hint="eastAsia" w:ascii="宋体" w:hAnsi="宋体" w:eastAsia="宋体"/>
          <w:sz w:val="28"/>
          <w:szCs w:val="28"/>
          <w:lang w:val="en-US" w:eastAsia="zh-CN"/>
        </w:rPr>
        <w:t>法律</w:t>
      </w:r>
      <w:r>
        <w:rPr>
          <w:rFonts w:hint="eastAsia" w:ascii="宋体" w:hAnsi="宋体" w:eastAsia="宋体"/>
          <w:sz w:val="28"/>
          <w:szCs w:val="28"/>
        </w:rPr>
        <w:t>法规要求</w:t>
      </w:r>
      <w:r>
        <w:rPr>
          <w:rFonts w:hint="eastAsia" w:ascii="宋体" w:hAnsi="宋体" w:eastAsia="宋体"/>
          <w:sz w:val="28"/>
          <w:szCs w:val="28"/>
          <w:lang w:val="en-US" w:eastAsia="zh-CN"/>
        </w:rPr>
        <w:t>对企业提供材料</w:t>
      </w:r>
      <w:r>
        <w:rPr>
          <w:rFonts w:hint="eastAsia" w:ascii="宋体" w:hAnsi="宋体" w:eastAsia="宋体"/>
          <w:sz w:val="28"/>
          <w:szCs w:val="28"/>
        </w:rPr>
        <w:t>进行评估，发现问题如下：</w:t>
      </w:r>
    </w:p>
    <w:p w14:paraId="4890E04A">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4A981F91">
      <w:pPr>
        <w:pStyle w:val="26"/>
        <w:spacing w:line="360" w:lineRule="auto"/>
        <w:ind w:firstLine="560"/>
        <w:rPr>
          <w:rFonts w:ascii="宋体" w:hAnsi="宋体" w:eastAsia="宋体"/>
          <w:sz w:val="28"/>
          <w:szCs w:val="28"/>
        </w:rPr>
      </w:pPr>
      <w:r>
        <w:rPr>
          <w:rFonts w:hint="eastAsia" w:ascii="宋体" w:hAnsi="宋体" w:eastAsia="宋体"/>
          <w:sz w:val="28"/>
          <w:szCs w:val="28"/>
        </w:rPr>
        <w:t>《中华人民共和国安全生产法》第五十一条、《建设工程安全生产管理条例》第三十八条均要求员工、作业人员参保工伤或意外保险。目前</w:t>
      </w:r>
      <w:r>
        <w:rPr>
          <w:rFonts w:hint="eastAsia" w:ascii="宋体" w:hAnsi="宋体" w:eastAsia="宋体"/>
          <w:sz w:val="28"/>
          <w:szCs w:val="28"/>
          <w:lang w:val="en-US" w:eastAsia="zh-CN"/>
        </w:rPr>
        <w:t>未见</w:t>
      </w:r>
      <w:r>
        <w:rPr>
          <w:rFonts w:hint="eastAsia" w:ascii="宋体" w:hAnsi="宋体" w:eastAsia="宋体"/>
          <w:sz w:val="28"/>
          <w:szCs w:val="28"/>
        </w:rPr>
        <w:t>相关</w:t>
      </w:r>
      <w:r>
        <w:rPr>
          <w:rFonts w:hint="eastAsia" w:ascii="宋体" w:hAnsi="宋体" w:eastAsia="宋体"/>
          <w:sz w:val="28"/>
          <w:szCs w:val="28"/>
          <w:lang w:val="en-US" w:eastAsia="zh-CN"/>
        </w:rPr>
        <w:t>制度文件要求</w:t>
      </w:r>
      <w:r>
        <w:rPr>
          <w:rFonts w:hint="eastAsia" w:ascii="宋体" w:hAnsi="宋体" w:eastAsia="宋体"/>
          <w:sz w:val="28"/>
          <w:szCs w:val="28"/>
        </w:rPr>
        <w:t>。</w:t>
      </w:r>
    </w:p>
    <w:p w14:paraId="4399C7C9">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建议措施1</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1078D4DF">
      <w:pPr>
        <w:pStyle w:val="26"/>
        <w:spacing w:line="360" w:lineRule="auto"/>
        <w:ind w:firstLine="560"/>
        <w:rPr>
          <w:rFonts w:hint="eastAsia" w:ascii="宋体" w:hAnsi="宋体" w:eastAsia="宋体"/>
          <w:sz w:val="28"/>
          <w:szCs w:val="28"/>
        </w:rPr>
      </w:pPr>
      <w:r>
        <w:rPr>
          <w:rFonts w:hint="eastAsia" w:ascii="宋体" w:hAnsi="宋体" w:eastAsia="宋体"/>
          <w:sz w:val="28"/>
          <w:szCs w:val="28"/>
        </w:rPr>
        <w:t>建筑行业安全风险较高，事故发生频次较高、施工后果也较为严重。建议按照法规要求，施工总包单位要求所有现场施工作业人员参保意外险，其中危险作业人员必须参保；且“</w:t>
      </w:r>
      <w:r>
        <w:rPr>
          <w:rFonts w:ascii="Times New Roman" w:hAnsi="Times New Roman" w:eastAsia="宋体" w:cs="Times New Roman"/>
          <w:sz w:val="28"/>
          <w:szCs w:val="28"/>
        </w:rPr>
        <w:t>意外伤害保险期限自建设工程开工之日起至竣工验收合格止</w:t>
      </w:r>
      <w:r>
        <w:rPr>
          <w:rFonts w:hint="eastAsia" w:ascii="宋体" w:hAnsi="宋体" w:eastAsia="宋体"/>
          <w:sz w:val="28"/>
          <w:szCs w:val="28"/>
        </w:rPr>
        <w:t>”；将参保资料妥善保存至工程安全施工档案中，若发生突发事件，需要启动保障时，可随时查找。</w:t>
      </w:r>
    </w:p>
    <w:p w14:paraId="0C2C09E9">
      <w:pPr>
        <w:pStyle w:val="26"/>
        <w:spacing w:line="360" w:lineRule="auto"/>
        <w:ind w:firstLine="560"/>
        <w:rPr>
          <w:rFonts w:hint="default" w:ascii="宋体" w:hAnsi="宋体" w:eastAsia="宋体"/>
          <w:sz w:val="28"/>
          <w:szCs w:val="28"/>
          <w:lang w:val="en-US" w:eastAsia="zh-CN"/>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应从公司层面完善相关规定。</w:t>
      </w:r>
    </w:p>
    <w:p w14:paraId="3C36F188">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6B459793">
      <w:pPr>
        <w:pStyle w:val="26"/>
        <w:spacing w:line="360" w:lineRule="auto"/>
        <w:ind w:firstLine="560"/>
        <w:rPr>
          <w:rFonts w:ascii="宋体" w:hAnsi="宋体" w:eastAsia="宋体"/>
          <w:sz w:val="28"/>
          <w:szCs w:val="28"/>
        </w:rPr>
      </w:pPr>
      <w:r>
        <w:rPr>
          <w:rFonts w:hint="eastAsia" w:ascii="宋体" w:hAnsi="宋体" w:eastAsia="宋体"/>
          <w:sz w:val="28"/>
          <w:szCs w:val="28"/>
        </w:rPr>
        <w:t>《中华人民共和国安全生产法》第二十三条、《建设工程安全生产管理条例》第二十二条要求，安全措施费用</w:t>
      </w:r>
      <w:r>
        <w:rPr>
          <w:rFonts w:hint="eastAsia" w:ascii="宋体" w:hAnsi="宋体" w:eastAsia="宋体"/>
          <w:sz w:val="28"/>
          <w:szCs w:val="28"/>
          <w:lang w:eastAsia="zh-CN"/>
        </w:rPr>
        <w:t>专项</w:t>
      </w:r>
      <w:r>
        <w:rPr>
          <w:rFonts w:hint="eastAsia" w:ascii="宋体" w:hAnsi="宋体" w:eastAsia="宋体"/>
          <w:sz w:val="28"/>
          <w:szCs w:val="28"/>
        </w:rPr>
        <w:t>支出。目前</w:t>
      </w:r>
      <w:r>
        <w:rPr>
          <w:rFonts w:hint="eastAsia" w:ascii="宋体" w:hAnsi="宋体" w:eastAsia="宋体"/>
          <w:sz w:val="28"/>
          <w:szCs w:val="28"/>
          <w:lang w:eastAsia="zh-CN"/>
        </w:rPr>
        <w:t>恒商电力市政工程公司</w:t>
      </w:r>
      <w:r>
        <w:rPr>
          <w:rFonts w:hint="eastAsia" w:ascii="宋体" w:hAnsi="宋体" w:eastAsia="宋体"/>
          <w:sz w:val="28"/>
          <w:szCs w:val="28"/>
          <w:lang w:val="en-US" w:eastAsia="zh-CN"/>
        </w:rPr>
        <w:t>仅</w:t>
      </w:r>
      <w:r>
        <w:rPr>
          <w:rFonts w:hint="eastAsia" w:ascii="宋体" w:hAnsi="宋体" w:eastAsia="宋体"/>
          <w:sz w:val="28"/>
          <w:szCs w:val="28"/>
        </w:rPr>
        <w:t>提供了劳保用品</w:t>
      </w:r>
      <w:r>
        <w:rPr>
          <w:rFonts w:hint="eastAsia" w:ascii="宋体" w:hAnsi="宋体" w:eastAsia="宋体"/>
          <w:sz w:val="28"/>
          <w:szCs w:val="28"/>
          <w:lang w:val="en-US" w:eastAsia="zh-CN"/>
        </w:rPr>
        <w:t>发</w:t>
      </w:r>
      <w:r>
        <w:rPr>
          <w:rFonts w:hint="eastAsia" w:ascii="宋体" w:hAnsi="宋体" w:eastAsia="宋体"/>
          <w:sz w:val="28"/>
          <w:szCs w:val="28"/>
        </w:rPr>
        <w:t>放记录，其他支出未统一列明。</w:t>
      </w:r>
    </w:p>
    <w:p w14:paraId="36CC74B1">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建议措施2</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7CEAF2F8">
      <w:pPr>
        <w:pStyle w:val="26"/>
        <w:spacing w:line="360" w:lineRule="auto"/>
        <w:ind w:firstLine="560"/>
        <w:rPr>
          <w:rFonts w:hint="eastAsia" w:ascii="宋体" w:hAnsi="宋体" w:eastAsia="宋体"/>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应从公司层面完善相关规定。</w:t>
      </w:r>
      <w:r>
        <w:rPr>
          <w:rFonts w:hint="eastAsia" w:ascii="宋体" w:hAnsi="宋体" w:eastAsia="宋体"/>
          <w:sz w:val="28"/>
          <w:szCs w:val="28"/>
        </w:rPr>
        <w:t>建立安全生产费用管理台账，列明各项费用支出明细，纳入安全</w:t>
      </w:r>
      <w:r>
        <w:rPr>
          <w:rFonts w:hint="eastAsia" w:ascii="宋体" w:hAnsi="宋体" w:eastAsia="宋体"/>
          <w:sz w:val="28"/>
          <w:szCs w:val="28"/>
          <w:lang w:val="en-US" w:eastAsia="zh-CN"/>
        </w:rPr>
        <w:t>管理</w:t>
      </w:r>
      <w:r>
        <w:rPr>
          <w:rFonts w:hint="eastAsia" w:ascii="宋体" w:hAnsi="宋体" w:eastAsia="宋体"/>
          <w:sz w:val="28"/>
          <w:szCs w:val="28"/>
        </w:rPr>
        <w:t>档案中，务必确保专款专用。</w:t>
      </w:r>
    </w:p>
    <w:p w14:paraId="7559B42F">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3EFB0A54">
      <w:pPr>
        <w:pStyle w:val="26"/>
        <w:spacing w:line="360" w:lineRule="auto"/>
        <w:ind w:firstLine="560"/>
        <w:rPr>
          <w:rFonts w:ascii="宋体" w:hAnsi="宋体" w:eastAsia="宋体"/>
          <w:sz w:val="28"/>
          <w:szCs w:val="28"/>
        </w:rPr>
      </w:pPr>
      <w:r>
        <w:rPr>
          <w:rFonts w:ascii="Times New Roman" w:hAnsi="Times New Roman" w:eastAsia="宋体" w:cs="Times New Roman"/>
          <w:sz w:val="28"/>
          <w:szCs w:val="28"/>
        </w:rPr>
        <w:t>《中华人民共和国安全生产法》第八十一条</w:t>
      </w:r>
      <w:r>
        <w:rPr>
          <w:rFonts w:hint="eastAsia" w:ascii="Times New Roman" w:hAnsi="Times New Roman" w:eastAsia="宋体" w:cs="Times New Roman"/>
          <w:sz w:val="28"/>
          <w:szCs w:val="28"/>
          <w:lang w:eastAsia="zh-CN"/>
        </w:rPr>
        <w:t>，</w:t>
      </w:r>
      <w:r>
        <w:rPr>
          <w:rFonts w:hint="eastAsia" w:ascii="宋体" w:hAnsi="宋体" w:eastAsia="宋体"/>
          <w:sz w:val="28"/>
          <w:szCs w:val="28"/>
        </w:rPr>
        <w:t>《建设工程安全生产管理条例》第四十八条、第四十九条要求，施工单位应根据建设工程施工的特点、范围，制定施工现场生产安全事故应急救援预案，建立应急救援组织救援人员，配备救援器材、设备，并定期组织演练。</w:t>
      </w:r>
      <w:r>
        <w:rPr>
          <w:rFonts w:hint="eastAsia" w:ascii="宋体" w:hAnsi="宋体" w:eastAsia="宋体"/>
          <w:sz w:val="28"/>
          <w:szCs w:val="28"/>
          <w:lang w:eastAsia="zh-CN"/>
        </w:rPr>
        <w:t>恒商电力市政工程公司</w:t>
      </w:r>
      <w:r>
        <w:rPr>
          <w:rFonts w:hint="eastAsia" w:ascii="宋体" w:hAnsi="宋体" w:eastAsia="宋体"/>
          <w:sz w:val="28"/>
          <w:szCs w:val="28"/>
        </w:rPr>
        <w:t>提供了</w:t>
      </w:r>
      <w:r>
        <w:rPr>
          <w:rFonts w:hint="eastAsia" w:ascii="宋体" w:hAnsi="宋体" w:eastAsia="宋体"/>
          <w:sz w:val="28"/>
          <w:szCs w:val="28"/>
          <w:lang w:val="en-US" w:eastAsia="zh-CN"/>
        </w:rPr>
        <w:t>各项应急预案，但未见应急演练、应急队伍、应急物资相关制度文件</w:t>
      </w:r>
      <w:r>
        <w:rPr>
          <w:rFonts w:hint="eastAsia" w:ascii="宋体" w:hAnsi="宋体" w:eastAsia="宋体"/>
          <w:sz w:val="28"/>
          <w:szCs w:val="28"/>
        </w:rPr>
        <w:t>。</w:t>
      </w:r>
    </w:p>
    <w:p w14:paraId="3826466F">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3</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445FF06B">
      <w:pPr>
        <w:pStyle w:val="26"/>
        <w:spacing w:line="360" w:lineRule="auto"/>
        <w:ind w:firstLine="560"/>
        <w:rPr>
          <w:rFonts w:hint="eastAsia" w:ascii="宋体" w:hAnsi="宋体" w:eastAsia="宋体"/>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应从公司层面完善相关规定。</w:t>
      </w:r>
      <w:r>
        <w:rPr>
          <w:rFonts w:hint="eastAsia" w:ascii="宋体" w:hAnsi="宋体" w:eastAsia="宋体"/>
          <w:sz w:val="28"/>
          <w:szCs w:val="28"/>
        </w:rPr>
        <w:t>修订完善应急预案，</w:t>
      </w:r>
      <w:r>
        <w:rPr>
          <w:rFonts w:hint="eastAsia" w:ascii="宋体" w:hAnsi="宋体" w:eastAsia="宋体"/>
          <w:sz w:val="28"/>
          <w:szCs w:val="28"/>
          <w:lang w:val="en-US" w:eastAsia="zh-CN"/>
        </w:rPr>
        <w:t>明确</w:t>
      </w:r>
      <w:r>
        <w:rPr>
          <w:rFonts w:hint="eastAsia" w:ascii="宋体" w:hAnsi="宋体" w:eastAsia="宋体"/>
          <w:sz w:val="28"/>
          <w:szCs w:val="28"/>
        </w:rPr>
        <w:t>救援队伍</w:t>
      </w:r>
      <w:r>
        <w:rPr>
          <w:rFonts w:hint="eastAsia" w:ascii="宋体" w:hAnsi="宋体" w:eastAsia="宋体"/>
          <w:sz w:val="28"/>
          <w:szCs w:val="28"/>
          <w:lang w:eastAsia="zh-CN"/>
        </w:rPr>
        <w:t>、</w:t>
      </w:r>
      <w:r>
        <w:rPr>
          <w:rFonts w:hint="eastAsia" w:ascii="宋体" w:hAnsi="宋体" w:eastAsia="宋体"/>
          <w:sz w:val="28"/>
          <w:szCs w:val="28"/>
        </w:rPr>
        <w:t>应急物资台账</w:t>
      </w:r>
      <w:r>
        <w:rPr>
          <w:rFonts w:hint="eastAsia" w:ascii="宋体" w:hAnsi="宋体" w:eastAsia="宋体"/>
          <w:sz w:val="28"/>
          <w:szCs w:val="28"/>
          <w:lang w:val="en-US" w:eastAsia="zh-CN"/>
        </w:rPr>
        <w:t>基本要求，规定应急演练频次和开展方式等</w:t>
      </w:r>
      <w:r>
        <w:rPr>
          <w:rFonts w:hint="eastAsia" w:ascii="宋体" w:hAnsi="宋体" w:eastAsia="宋体"/>
          <w:sz w:val="28"/>
          <w:szCs w:val="28"/>
        </w:rPr>
        <w:t>。</w:t>
      </w:r>
    </w:p>
    <w:p w14:paraId="0B5AA291">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4</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5251E6B7">
      <w:pPr>
        <w:pStyle w:val="26"/>
        <w:spacing w:line="360" w:lineRule="auto"/>
        <w:ind w:firstLine="560"/>
        <w:rPr>
          <w:rFonts w:hint="eastAsia" w:ascii="宋体" w:hAnsi="宋体" w:eastAsia="宋体"/>
          <w:sz w:val="28"/>
          <w:szCs w:val="28"/>
          <w:lang w:val="en-US" w:eastAsia="zh-CN"/>
        </w:rPr>
      </w:pPr>
      <w:r>
        <w:rPr>
          <w:rFonts w:ascii="Times New Roman" w:hAnsi="Times New Roman" w:eastAsia="宋体" w:cs="Times New Roman"/>
          <w:sz w:val="28"/>
          <w:szCs w:val="28"/>
        </w:rPr>
        <w:t>《中华人民共和国安全生产法》第四十一条</w:t>
      </w: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生产经营单位应当建立安全风险分级管控制度，按照安全风险分级采取相应的管控措施。</w:t>
      </w:r>
      <w:r>
        <w:rPr>
          <w:rFonts w:hint="eastAsia" w:ascii="Times New Roman" w:hAnsi="Times New Roman" w:eastAsia="宋体" w:cs="Times New Roman"/>
          <w:sz w:val="28"/>
          <w:szCs w:val="28"/>
          <w:lang w:val="en-US" w:eastAsia="zh-CN"/>
        </w:rPr>
        <w:t>目前，仅</w:t>
      </w:r>
      <w:r>
        <w:rPr>
          <w:rFonts w:ascii="Times New Roman" w:hAnsi="Times New Roman" w:eastAsia="宋体" w:cs="Times New Roman"/>
          <w:sz w:val="28"/>
          <w:szCs w:val="28"/>
        </w:rPr>
        <w:t>提供</w:t>
      </w:r>
      <w:r>
        <w:rPr>
          <w:rFonts w:hint="eastAsia" w:ascii="Times New Roman" w:hAnsi="Times New Roman" w:eastAsia="宋体" w:cs="Times New Roman"/>
          <w:sz w:val="28"/>
          <w:szCs w:val="28"/>
        </w:rPr>
        <w:t>了</w:t>
      </w:r>
      <w:r>
        <w:rPr>
          <w:rFonts w:hint="eastAsia" w:ascii="宋体" w:hAnsi="宋体" w:eastAsia="宋体"/>
          <w:sz w:val="28"/>
          <w:szCs w:val="32"/>
          <w:lang w:val="en-US" w:eastAsia="zh-CN"/>
        </w:rPr>
        <w:t>安全生产定期检查制度。</w:t>
      </w:r>
    </w:p>
    <w:p w14:paraId="6E789DC1">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4</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527BFBDA">
      <w:pPr>
        <w:pStyle w:val="26"/>
        <w:spacing w:line="360" w:lineRule="auto"/>
        <w:ind w:firstLine="560"/>
        <w:rPr>
          <w:rFonts w:ascii="宋体" w:hAnsi="宋体" w:eastAsia="宋体"/>
          <w:sz w:val="28"/>
          <w:szCs w:val="28"/>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应从公司层面完善相关规定。按照北京市住建、应急部门要求，按照有关制度和规范，针对本企业类型和特点，全面开展安全风险辨识，辨识设备设施、作业环境、人员行为和管理体系等方面存在的安全风险；根据风险评估的结果，针对安全风险特点，从组织、制度、技术、应急等方面对安全风险进行有效管控，要通过隔离危险源、采取技术手段、实施个体防护、设置监控设施等措施，达到回避、降低和监测风险的目的；建立完善安全风险公告制度，并加强风险教育和技能培训，确保管理层和每名员工都掌握安全风险的基本情况及防范、应急措施。要在醒目位置和重点区域分别设置安全风险公告栏，制作岗位安全风险告知卡，标明主要安全风险、可能引发事故隐患类别、事故后果、管控措施，应急措施及报告方式等内容。</w:t>
      </w:r>
    </w:p>
    <w:p w14:paraId="52D9C08A">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5</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0D4DEB7C">
      <w:pPr>
        <w:pStyle w:val="26"/>
        <w:spacing w:line="360" w:lineRule="auto"/>
        <w:ind w:firstLine="560"/>
        <w:rPr>
          <w:rFonts w:hint="default" w:ascii="宋体" w:hAnsi="宋体" w:eastAsia="宋体"/>
          <w:sz w:val="28"/>
          <w:szCs w:val="28"/>
          <w:lang w:val="en-US" w:eastAsia="zh-CN"/>
        </w:rPr>
      </w:pPr>
      <w:r>
        <w:rPr>
          <w:rFonts w:ascii="Times New Roman" w:hAnsi="Times New Roman" w:eastAsia="宋体" w:cs="Times New Roman"/>
          <w:sz w:val="28"/>
          <w:szCs w:val="28"/>
        </w:rPr>
        <w:t>《建设工程安全生产管理条例》第二十四条</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规定了分包单位安全职责；</w:t>
      </w:r>
      <w:r>
        <w:rPr>
          <w:rFonts w:ascii="Times New Roman" w:hAnsi="Times New Roman" w:eastAsia="宋体" w:cs="Times New Roman"/>
          <w:sz w:val="28"/>
          <w:szCs w:val="28"/>
        </w:rPr>
        <w:t>《建设工程安全生产管理条例》第二十八条</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规定了要设置警示标识；</w:t>
      </w:r>
      <w:r>
        <w:rPr>
          <w:rFonts w:ascii="Times New Roman" w:hAnsi="Times New Roman" w:eastAsia="宋体" w:cs="Times New Roman"/>
          <w:sz w:val="28"/>
          <w:szCs w:val="28"/>
        </w:rPr>
        <w:t>《建设工程安全生产管理条例》第三十条</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规定了</w:t>
      </w:r>
      <w:r>
        <w:rPr>
          <w:rFonts w:ascii="Times New Roman" w:hAnsi="Times New Roman" w:eastAsia="宋体" w:cs="Times New Roman"/>
          <w:sz w:val="28"/>
          <w:szCs w:val="28"/>
        </w:rPr>
        <w:t>因建设工程施工可能造成损害的毗邻建筑物、构筑物和地下管线等</w:t>
      </w:r>
      <w:r>
        <w:rPr>
          <w:rFonts w:hint="eastAsia" w:ascii="Times New Roman" w:hAnsi="Times New Roman" w:eastAsia="宋体" w:cs="Times New Roman"/>
          <w:sz w:val="28"/>
          <w:szCs w:val="28"/>
          <w:lang w:eastAsia="zh-CN"/>
        </w:rPr>
        <w:t>，</w:t>
      </w:r>
      <w:r>
        <w:rPr>
          <w:rFonts w:hint="eastAsia" w:ascii="Times New Roman" w:hAnsi="Times New Roman" w:eastAsia="宋体" w:cs="Times New Roman"/>
          <w:sz w:val="28"/>
          <w:szCs w:val="28"/>
          <w:lang w:val="en-US" w:eastAsia="zh-CN"/>
        </w:rPr>
        <w:t>线应当采取专项防护措施以及环境保护措施。</w:t>
      </w:r>
    </w:p>
    <w:p w14:paraId="0DEC1A15">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5</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0999E53C">
      <w:pPr>
        <w:pStyle w:val="26"/>
        <w:spacing w:line="360" w:lineRule="auto"/>
        <w:ind w:firstLine="560"/>
        <w:rPr>
          <w:rFonts w:hint="default" w:ascii="宋体" w:hAnsi="宋体" w:eastAsia="宋体"/>
          <w:sz w:val="28"/>
          <w:szCs w:val="28"/>
          <w:lang w:val="en-US"/>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应从公司层面完善上述相关规定，制定工作制度，明确工作要求。</w:t>
      </w:r>
    </w:p>
    <w:p w14:paraId="4113B90E">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资料问题</w:t>
      </w:r>
      <w:r>
        <w:rPr>
          <w:rFonts w:hint="eastAsia" w:ascii="仿宋_GB2312" w:hAnsi="宋体" w:eastAsia="仿宋_GB2312" w:cs="仿宋_GB2312"/>
          <w:b/>
          <w:bCs/>
          <w:color w:val="000000"/>
          <w:kern w:val="0"/>
          <w:sz w:val="28"/>
          <w:szCs w:val="28"/>
          <w:lang w:val="en-US" w:eastAsia="zh-CN" w:bidi="ar"/>
        </w:rPr>
        <w:t>6</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1BA20B84">
      <w:pPr>
        <w:pageBreakBefore w:val="0"/>
        <w:kinsoku/>
        <w:wordWrap/>
        <w:overflowPunct w:val="0"/>
        <w:topLinePunct w:val="0"/>
        <w:autoSpaceDE/>
        <w:autoSpaceDN/>
        <w:bidi w:val="0"/>
        <w:adjustRightInd/>
        <w:snapToGrid/>
        <w:spacing w:line="560" w:lineRule="exact"/>
        <w:ind w:firstLine="560"/>
        <w:textAlignment w:val="auto"/>
        <w:rPr>
          <w:rFonts w:hint="eastAsia" w:ascii="宋体" w:hAnsi="宋体" w:eastAsia="宋体" w:cs="宋体"/>
          <w:sz w:val="28"/>
          <w:szCs w:val="28"/>
          <w:lang w:val="en-US" w:eastAsia="zh-CN"/>
        </w:rPr>
      </w:pPr>
      <w:r>
        <w:rPr>
          <w:rFonts w:hint="default" w:ascii="Times New Roman" w:hAnsi="Times New Roman" w:eastAsia="宋体" w:cs="Times New Roman"/>
          <w:sz w:val="28"/>
          <w:lang w:val="zh-CN" w:eastAsia="zh-CN"/>
        </w:rPr>
        <w:t>目前</w:t>
      </w:r>
      <w:r>
        <w:rPr>
          <w:rFonts w:hint="eastAsia" w:ascii="Times New Roman" w:hAnsi="Times New Roman" w:eastAsia="宋体" w:cs="Times New Roman"/>
          <w:sz w:val="28"/>
          <w:lang w:val="en-US" w:eastAsia="zh-CN"/>
        </w:rPr>
        <w:t>企业</w:t>
      </w:r>
      <w:r>
        <w:rPr>
          <w:rFonts w:hint="default" w:ascii="Times New Roman" w:hAnsi="Times New Roman" w:eastAsia="宋体" w:cs="Times New Roman"/>
          <w:sz w:val="28"/>
          <w:lang w:val="zh-CN" w:eastAsia="zh-CN"/>
        </w:rPr>
        <w:t>制定</w:t>
      </w:r>
      <w:r>
        <w:rPr>
          <w:rFonts w:hint="eastAsia" w:ascii="Times New Roman" w:hAnsi="Times New Roman" w:eastAsia="宋体" w:cs="Times New Roman"/>
          <w:sz w:val="28"/>
          <w:lang w:val="en-US" w:eastAsia="zh-CN"/>
        </w:rPr>
        <w:t>的</w:t>
      </w:r>
      <w:r>
        <w:rPr>
          <w:rFonts w:hint="default" w:ascii="Times New Roman" w:hAnsi="Times New Roman" w:eastAsia="宋体" w:cs="Times New Roman"/>
          <w:sz w:val="28"/>
          <w:lang w:val="zh-CN" w:eastAsia="zh-CN"/>
        </w:rPr>
        <w:t>安全管理制度，总体上相对完善，</w:t>
      </w:r>
      <w:r>
        <w:rPr>
          <w:rFonts w:hint="eastAsia" w:ascii="Times New Roman" w:hAnsi="Times New Roman" w:eastAsia="宋体" w:cs="Times New Roman"/>
          <w:sz w:val="28"/>
          <w:lang w:val="en-US" w:eastAsia="zh-CN"/>
        </w:rPr>
        <w:t>从内容上看也相对全面，基本满足了法律法规的基本要求，但制度执行情况没有形成相应的记录文件。</w:t>
      </w:r>
    </w:p>
    <w:p w14:paraId="5C643050">
      <w:pPr>
        <w:widowControl/>
        <w:jc w:val="left"/>
      </w:pP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建议措施</w:t>
      </w:r>
      <w:r>
        <w:rPr>
          <w:rFonts w:hint="eastAsia" w:ascii="仿宋_GB2312" w:hAnsi="宋体" w:eastAsia="仿宋_GB2312" w:cs="仿宋_GB2312"/>
          <w:b/>
          <w:bCs/>
          <w:color w:val="000000"/>
          <w:kern w:val="0"/>
          <w:sz w:val="28"/>
          <w:szCs w:val="28"/>
          <w:lang w:val="en-US" w:eastAsia="zh-CN" w:bidi="ar"/>
        </w:rPr>
        <w:t>6</w:t>
      </w:r>
      <w:r>
        <w:rPr>
          <w:rFonts w:ascii="仿宋_GB2312" w:hAnsi="宋体" w:eastAsia="仿宋_GB2312" w:cs="仿宋_GB2312"/>
          <w:b/>
          <w:bCs/>
          <w:color w:val="000000"/>
          <w:kern w:val="0"/>
          <w:sz w:val="28"/>
          <w:szCs w:val="28"/>
          <w:lang w:bidi="ar"/>
        </w:rPr>
        <w:t>】</w:t>
      </w:r>
      <w:r>
        <w:rPr>
          <w:rFonts w:hint="eastAsia" w:ascii="仿宋_GB2312" w:hAnsi="宋体" w:eastAsia="仿宋_GB2312" w:cs="仿宋_GB2312"/>
          <w:b/>
          <w:bCs/>
          <w:color w:val="000000"/>
          <w:kern w:val="0"/>
          <w:sz w:val="28"/>
          <w:szCs w:val="28"/>
          <w:lang w:bidi="ar"/>
        </w:rPr>
        <w:t>：</w:t>
      </w:r>
    </w:p>
    <w:p w14:paraId="615E0C8E">
      <w:pPr>
        <w:pageBreakBefore w:val="0"/>
        <w:kinsoku/>
        <w:wordWrap/>
        <w:overflowPunct w:val="0"/>
        <w:topLinePunct w:val="0"/>
        <w:autoSpaceDE/>
        <w:autoSpaceDN/>
        <w:bidi w:val="0"/>
        <w:adjustRightInd/>
        <w:snapToGrid/>
        <w:spacing w:line="560" w:lineRule="exact"/>
        <w:ind w:firstLine="560"/>
        <w:textAlignment w:val="auto"/>
        <w:rPr>
          <w:rFonts w:hint="default" w:ascii="宋体" w:hAnsi="宋体" w:eastAsia="宋体" w:cs="宋体"/>
          <w:sz w:val="28"/>
          <w:szCs w:val="28"/>
          <w:lang w:val="en-US" w:eastAsia="zh-CN"/>
        </w:rPr>
      </w:pPr>
      <w:r>
        <w:rPr>
          <w:rFonts w:hint="eastAsia" w:ascii="Times New Roman" w:hAnsi="Times New Roman" w:eastAsia="宋体" w:cs="Times New Roman"/>
          <w:sz w:val="28"/>
          <w:szCs w:val="28"/>
          <w:lang w:eastAsia="zh-CN"/>
        </w:rPr>
        <w:t>恒商电力市政工程公司</w:t>
      </w:r>
      <w:r>
        <w:rPr>
          <w:rFonts w:hint="eastAsia" w:ascii="Times New Roman" w:hAnsi="Times New Roman" w:eastAsia="宋体" w:cs="Times New Roman"/>
          <w:sz w:val="28"/>
          <w:szCs w:val="28"/>
          <w:lang w:val="en-US" w:eastAsia="zh-CN"/>
        </w:rPr>
        <w:t>若后续开展相关施工活动，应将</w:t>
      </w:r>
      <w:r>
        <w:rPr>
          <w:rFonts w:hint="eastAsia" w:ascii="宋体" w:hAnsi="宋体" w:eastAsia="宋体" w:cs="宋体"/>
          <w:sz w:val="28"/>
          <w:szCs w:val="28"/>
          <w:lang w:val="en-US" w:eastAsia="zh-CN"/>
        </w:rPr>
        <w:t>各类检查记录应妥善留存；隐患整改报告登记表应下发到各部门，落实到岗到人，及工作计划；对于作业及审批记录应在作业完成后及时归档保存；对于各项培训记录，还应保存好会议纪要及培训考核资料；对于应急演练工作记录，应完整制定演练方案（安全保障措施）、演练脚本和演练评估等，总之，需要对照《建设工程安全生产管理条例》，针对各施工项目建立完整的施工档案。</w:t>
      </w:r>
    </w:p>
    <w:p w14:paraId="77D3E703">
      <w:pPr>
        <w:pStyle w:val="26"/>
        <w:numPr>
          <w:ilvl w:val="0"/>
          <w:numId w:val="2"/>
        </w:numPr>
        <w:spacing w:line="360" w:lineRule="auto"/>
        <w:ind w:firstLine="560"/>
        <w:rPr>
          <w:rFonts w:ascii="宋体" w:hAnsi="宋体" w:eastAsia="宋体"/>
          <w:b/>
          <w:bCs/>
          <w:sz w:val="28"/>
          <w:szCs w:val="28"/>
        </w:rPr>
      </w:pPr>
      <w:r>
        <w:rPr>
          <w:rFonts w:hint="eastAsia" w:ascii="宋体" w:hAnsi="宋体" w:eastAsia="宋体"/>
          <w:b/>
          <w:bCs/>
          <w:sz w:val="28"/>
          <w:szCs w:val="28"/>
        </w:rPr>
        <w:t>邯郸兴辰建筑安装公司</w:t>
      </w:r>
    </w:p>
    <w:p w14:paraId="665B057E">
      <w:pPr>
        <w:pStyle w:val="26"/>
        <w:spacing w:line="360" w:lineRule="auto"/>
        <w:ind w:firstLine="560"/>
        <w:rPr>
          <w:rFonts w:hint="default" w:ascii="宋体" w:hAnsi="宋体" w:eastAsia="宋体"/>
          <w:sz w:val="28"/>
          <w:szCs w:val="28"/>
          <w:lang w:val="en-US"/>
        </w:rPr>
      </w:pPr>
      <w:r>
        <w:rPr>
          <w:rFonts w:hint="eastAsia" w:ascii="宋体" w:hAnsi="宋体" w:eastAsia="宋体"/>
          <w:sz w:val="28"/>
          <w:szCs w:val="28"/>
          <w:lang w:eastAsia="zh-CN"/>
        </w:rPr>
        <w:t>评估组</w:t>
      </w:r>
      <w:r>
        <w:rPr>
          <w:rFonts w:hint="eastAsia" w:ascii="宋体" w:hAnsi="宋体" w:eastAsia="宋体"/>
          <w:sz w:val="28"/>
          <w:szCs w:val="28"/>
        </w:rPr>
        <w:t>对邯郸兴辰建筑安装公司提供的制度文件等资料进行了评估，该单位现行安全管理制度</w:t>
      </w:r>
      <w:r>
        <w:rPr>
          <w:rFonts w:hint="eastAsia" w:ascii="宋体" w:hAnsi="宋体" w:eastAsia="宋体"/>
          <w:sz w:val="28"/>
          <w:szCs w:val="28"/>
          <w:lang w:val="en-US" w:eastAsia="zh-CN"/>
        </w:rPr>
        <w:t>较简单，即使作为总公司层面，无具体施工项目，也应按照</w:t>
      </w:r>
      <w:r>
        <w:rPr>
          <w:rFonts w:hint="eastAsia" w:ascii="宋体" w:hAnsi="宋体" w:eastAsia="宋体"/>
          <w:sz w:val="28"/>
          <w:szCs w:val="28"/>
        </w:rPr>
        <w:t>《中华人民共和国安全生产法》《建设工程安全生产</w:t>
      </w:r>
      <w:r>
        <w:rPr>
          <w:rFonts w:hint="eastAsia" w:ascii="宋体" w:hAnsi="宋体" w:eastAsia="宋体"/>
          <w:sz w:val="28"/>
          <w:szCs w:val="28"/>
          <w:lang w:val="en-US" w:eastAsia="zh-CN"/>
        </w:rPr>
        <w:t>管理</w:t>
      </w:r>
      <w:r>
        <w:rPr>
          <w:rFonts w:hint="eastAsia" w:ascii="宋体" w:hAnsi="宋体" w:eastAsia="宋体"/>
          <w:sz w:val="28"/>
          <w:szCs w:val="28"/>
        </w:rPr>
        <w:t>条例》等法律法规要求</w:t>
      </w:r>
      <w:r>
        <w:rPr>
          <w:rFonts w:hint="eastAsia" w:ascii="宋体" w:hAnsi="宋体" w:eastAsia="宋体"/>
          <w:sz w:val="28"/>
          <w:szCs w:val="28"/>
          <w:lang w:val="en-US" w:eastAsia="zh-CN"/>
        </w:rPr>
        <w:t>进一步完善落实，可从以下几个方面开展深化。</w:t>
      </w:r>
    </w:p>
    <w:p w14:paraId="65617E5A">
      <w:pPr>
        <w:widowControl/>
        <w:jc w:val="left"/>
        <w:rPr>
          <w:rFonts w:hint="default"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lang w:val="en-US" w:eastAsia="zh-CN" w:bidi="ar"/>
        </w:rPr>
        <w:t>（1）安全投入</w:t>
      </w:r>
    </w:p>
    <w:p w14:paraId="4BDFFB44">
      <w:pPr>
        <w:pStyle w:val="26"/>
        <w:spacing w:line="360" w:lineRule="auto"/>
        <w:ind w:firstLine="560"/>
        <w:rPr>
          <w:rFonts w:ascii="宋体" w:hAnsi="宋体" w:eastAsia="宋体"/>
          <w:sz w:val="28"/>
          <w:szCs w:val="28"/>
        </w:rPr>
      </w:pPr>
      <w:r>
        <w:rPr>
          <w:rFonts w:hint="eastAsia" w:ascii="宋体" w:hAnsi="宋体" w:eastAsia="宋体"/>
          <w:sz w:val="28"/>
          <w:szCs w:val="28"/>
        </w:rPr>
        <w:t>建议建立安全生产费用管理台账，列明各项费用支出明细，纳入工程安全施工档案中，务必确保专款专用。</w:t>
      </w:r>
    </w:p>
    <w:p w14:paraId="0E2A4592">
      <w:pPr>
        <w:widowControl/>
        <w:jc w:val="left"/>
        <w:rPr>
          <w:rFonts w:hint="default"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lang w:val="en-US" w:eastAsia="zh-CN" w:bidi="ar"/>
        </w:rPr>
        <w:t>（2）安全防护用品</w:t>
      </w:r>
      <w:bookmarkStart w:id="26" w:name="_GoBack"/>
      <w:bookmarkEnd w:id="26"/>
    </w:p>
    <w:p w14:paraId="3420B1B1">
      <w:pPr>
        <w:pStyle w:val="26"/>
        <w:spacing w:line="360" w:lineRule="auto"/>
        <w:ind w:firstLine="560"/>
        <w:rPr>
          <w:rFonts w:hint="eastAsia" w:ascii="宋体" w:hAnsi="宋体" w:eastAsia="宋体"/>
          <w:sz w:val="28"/>
          <w:szCs w:val="28"/>
        </w:rPr>
      </w:pPr>
      <w:r>
        <w:rPr>
          <w:rFonts w:hint="eastAsia" w:ascii="宋体" w:hAnsi="宋体" w:eastAsia="宋体"/>
          <w:sz w:val="28"/>
          <w:szCs w:val="28"/>
        </w:rPr>
        <w:t>按法规要求采购合格产品，入场前检查，留存好相应资质、合格证书等，专人管理，纳入安全施工档案中，随时备查。</w:t>
      </w:r>
    </w:p>
    <w:p w14:paraId="0162130A">
      <w:pPr>
        <w:widowControl/>
        <w:jc w:val="left"/>
        <w:rPr>
          <w:rFonts w:hint="eastAsia"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lang w:val="en-US" w:eastAsia="zh-CN" w:bidi="ar"/>
        </w:rPr>
        <w:t>（3）消防安全</w:t>
      </w:r>
    </w:p>
    <w:p w14:paraId="5AF6FAD1">
      <w:pPr>
        <w:pStyle w:val="26"/>
        <w:spacing w:line="360" w:lineRule="auto"/>
        <w:ind w:firstLine="560"/>
        <w:rPr>
          <w:rFonts w:ascii="宋体" w:hAnsi="宋体" w:eastAsia="宋体"/>
          <w:sz w:val="28"/>
          <w:szCs w:val="28"/>
        </w:rPr>
      </w:pPr>
      <w:r>
        <w:rPr>
          <w:rFonts w:hint="eastAsia" w:ascii="宋体" w:hAnsi="宋体" w:eastAsia="宋体"/>
          <w:sz w:val="28"/>
          <w:szCs w:val="28"/>
        </w:rPr>
        <w:t>工程项目现场应尽快结合施工特点，需要按照标准建立消防安全管理制度、制定消防措施、布置灭火器材等</w:t>
      </w:r>
      <w:r>
        <w:rPr>
          <w:rFonts w:hint="eastAsia" w:ascii="宋体" w:hAnsi="宋体" w:eastAsia="宋体"/>
          <w:sz w:val="28"/>
          <w:szCs w:val="28"/>
          <w:lang w:eastAsia="zh-CN"/>
        </w:rPr>
        <w:t>，</w:t>
      </w:r>
      <w:r>
        <w:rPr>
          <w:rFonts w:hint="eastAsia" w:ascii="宋体" w:hAnsi="宋体" w:eastAsia="宋体"/>
          <w:sz w:val="28"/>
          <w:szCs w:val="28"/>
        </w:rPr>
        <w:t>消防安全管理的相关资料，应统一纳入安全施工档案中，专人管理、及时更新。</w:t>
      </w:r>
    </w:p>
    <w:p w14:paraId="7B9DE7DE">
      <w:pPr>
        <w:pStyle w:val="26"/>
        <w:spacing w:line="360" w:lineRule="auto"/>
        <w:ind w:firstLine="560"/>
        <w:rPr>
          <w:rFonts w:hint="eastAsia" w:ascii="宋体" w:hAnsi="宋体" w:eastAsia="宋体"/>
          <w:sz w:val="28"/>
          <w:szCs w:val="28"/>
        </w:rPr>
      </w:pPr>
      <w:r>
        <w:rPr>
          <w:rFonts w:hint="eastAsia" w:ascii="宋体" w:hAnsi="宋体" w:eastAsia="宋体"/>
          <w:sz w:val="28"/>
          <w:szCs w:val="28"/>
        </w:rPr>
        <w:t>需要按照标准建立消防安全管理制度、制定消防措施、布置灭火器材等。项目现场应尽快结合施工特点，进行修订完善应急预案，成立救援队伍，建立应急物资台账，明确数量和存放场所，定期维保。施工现场组织应急演练前，需提前制定演练方案，特别是安全保障方案，防止因演练导致的突发安全事件。</w:t>
      </w:r>
    </w:p>
    <w:p w14:paraId="56C9F360">
      <w:pPr>
        <w:widowControl/>
        <w:jc w:val="left"/>
        <w:rPr>
          <w:rFonts w:hint="default"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lang w:val="en-US" w:eastAsia="zh-CN" w:bidi="ar"/>
        </w:rPr>
        <w:t>（4）危大工程专项管理</w:t>
      </w:r>
    </w:p>
    <w:p w14:paraId="504B5F03">
      <w:pPr>
        <w:pStyle w:val="26"/>
        <w:spacing w:line="360" w:lineRule="auto"/>
        <w:ind w:firstLine="560"/>
        <w:rPr>
          <w:rFonts w:hint="eastAsia" w:ascii="宋体" w:hAnsi="宋体" w:eastAsia="宋体"/>
          <w:sz w:val="28"/>
          <w:szCs w:val="28"/>
        </w:rPr>
      </w:pPr>
      <w:r>
        <w:rPr>
          <w:rFonts w:hint="eastAsia" w:ascii="宋体" w:hAnsi="宋体" w:eastAsia="宋体"/>
          <w:sz w:val="28"/>
          <w:szCs w:val="28"/>
        </w:rPr>
        <w:t>对于风险较高的作业活动，施工单位要严格按照《危险性较大的分部分项工程安全管理规定》《北京市房屋建筑和市政基础设施工程有限空间作业安全管理规定》中要求进行施工。</w:t>
      </w:r>
    </w:p>
    <w:p w14:paraId="2EA42551">
      <w:pPr>
        <w:pStyle w:val="26"/>
        <w:spacing w:line="360" w:lineRule="auto"/>
        <w:ind w:firstLine="560"/>
        <w:rPr>
          <w:rFonts w:hint="eastAsia" w:ascii="宋体" w:hAnsi="宋体" w:eastAsia="宋体"/>
          <w:sz w:val="28"/>
          <w:szCs w:val="28"/>
        </w:rPr>
      </w:pPr>
      <w:r>
        <w:rPr>
          <w:rFonts w:hint="eastAsia" w:ascii="宋体" w:hAnsi="宋体" w:eastAsia="宋体"/>
          <w:sz w:val="28"/>
          <w:szCs w:val="28"/>
        </w:rPr>
        <w:t>对于危大工程，</w:t>
      </w:r>
      <w:r>
        <w:rPr>
          <w:rFonts w:ascii="宋体" w:hAnsi="宋体" w:eastAsia="宋体"/>
          <w:sz w:val="28"/>
          <w:szCs w:val="28"/>
        </w:rPr>
        <w:t>施工单位应当在施工组织设计中编制安全技术措施和施工现场临时用电方案，编制专项施工方案，并附具安全验算结果，经施工单位技术负责人、总监理工程师签字后实施</w:t>
      </w:r>
      <w:r>
        <w:rPr>
          <w:rFonts w:hint="eastAsia" w:ascii="宋体" w:hAnsi="宋体" w:eastAsia="宋体"/>
          <w:sz w:val="28"/>
          <w:szCs w:val="28"/>
        </w:rPr>
        <w:t>，施工作业前做好安全技术交底，施工人员需签字确认，</w:t>
      </w:r>
      <w:r>
        <w:rPr>
          <w:rFonts w:ascii="宋体" w:hAnsi="宋体" w:eastAsia="宋体"/>
          <w:sz w:val="28"/>
          <w:szCs w:val="28"/>
        </w:rPr>
        <w:t>由专职安全生产管理人员进行现场监督</w:t>
      </w:r>
      <w:r>
        <w:rPr>
          <w:rFonts w:hint="eastAsia" w:ascii="宋体" w:hAnsi="宋体" w:eastAsia="宋体"/>
          <w:sz w:val="28"/>
          <w:szCs w:val="28"/>
        </w:rPr>
        <w:t>。</w:t>
      </w:r>
    </w:p>
    <w:p w14:paraId="429B565C">
      <w:pPr>
        <w:widowControl/>
        <w:jc w:val="left"/>
        <w:rPr>
          <w:rFonts w:hint="default"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lang w:val="en-US" w:eastAsia="zh-CN" w:bidi="ar"/>
        </w:rPr>
        <w:t>（5）有限空间作业管理</w:t>
      </w:r>
    </w:p>
    <w:p w14:paraId="5EED9A89">
      <w:pPr>
        <w:pStyle w:val="26"/>
        <w:spacing w:line="360" w:lineRule="auto"/>
        <w:ind w:firstLine="560"/>
        <w:rPr>
          <w:rFonts w:ascii="宋体" w:hAnsi="宋体" w:eastAsia="宋体"/>
          <w:sz w:val="28"/>
          <w:szCs w:val="28"/>
        </w:rPr>
      </w:pPr>
      <w:r>
        <w:rPr>
          <w:rFonts w:hint="eastAsia" w:ascii="宋体" w:hAnsi="宋体" w:eastAsia="宋体"/>
          <w:sz w:val="28"/>
          <w:szCs w:val="28"/>
        </w:rPr>
        <w:t>对于现场有限空间，施工单位应充分应用《北京市房屋建筑和市政基础设施工程施工安全风险分级管控技术指南》，对有限空间作业进行事前风险识别，提前研判和风险分析，风险评价定级后，采取相应的有限空间安全风险控制措施。作业前，必须严格执行“先检测、再通风、后作业”的原则，根据施工现场有限空间作业实际情况，对有限空间内部可能存在的危害因素进行检测，未经检测或检测不合格的，严禁作业人员进入有限空间进行施工作业。</w:t>
      </w:r>
    </w:p>
    <w:p w14:paraId="5CDE3A36">
      <w:pPr>
        <w:widowControl/>
        <w:jc w:val="left"/>
        <w:rPr>
          <w:rFonts w:hint="eastAsia"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lang w:val="en-US" w:eastAsia="zh-CN" w:bidi="ar"/>
        </w:rPr>
        <w:t>（6）施工安全管理档案</w:t>
      </w:r>
    </w:p>
    <w:p w14:paraId="36B88520">
      <w:pPr>
        <w:pStyle w:val="26"/>
        <w:spacing w:line="360" w:lineRule="auto"/>
        <w:ind w:firstLine="560"/>
        <w:rPr>
          <w:rFonts w:ascii="宋体" w:hAnsi="宋体" w:eastAsia="宋体"/>
          <w:sz w:val="28"/>
          <w:szCs w:val="28"/>
        </w:rPr>
      </w:pPr>
      <w:r>
        <w:rPr>
          <w:rFonts w:hint="eastAsia" w:ascii="宋体" w:hAnsi="宋体" w:eastAsia="宋体"/>
          <w:sz w:val="28"/>
          <w:szCs w:val="28"/>
        </w:rPr>
        <w:t>施工项目一般划分为多个阶段，各阶段工序皆对应不同的安全管理需求，为规范施工过程的安全生产管理，安全档案必须建立完善、专人主管、妥善储存。安全档案的主要内容对应《建设工程安全生产管理条例》，包括且不限于安全生产责任制及考核、安全管理人员证书、安全生产协议、安全措施费用支出台账、安全教育培训、意外保险、安全操作规程、特种作业人员/特种设备管理（证书、资质、验收单等）、专项施工方案（包括防护措施）、危大工程管理（方案、论证、安全技术交底、现场监护检查）、文明施工管理、消防管理、应急救援管理等；各项内容的具体工作参考《建筑施工安全检查标准》（JGJ 59-2011）准备。安全档案管理工作贯穿项目建设全过程,可以真实记录项目建设过程中所有信息资料,还原项目建设全过程,同时也是有效的工作落实凭证。</w:t>
      </w:r>
    </w:p>
    <w:p w14:paraId="4A9EB163">
      <w:pPr>
        <w:widowControl/>
        <w:jc w:val="left"/>
        <w:rPr>
          <w:rFonts w:hint="default"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lang w:val="en-US" w:eastAsia="zh-CN" w:bidi="ar"/>
        </w:rPr>
        <w:t>（7）双重预防机制建设</w:t>
      </w:r>
    </w:p>
    <w:p w14:paraId="13E698D8">
      <w:pPr>
        <w:pStyle w:val="26"/>
        <w:spacing w:line="360" w:lineRule="auto"/>
        <w:ind w:firstLine="560"/>
        <w:rPr>
          <w:rFonts w:ascii="宋体" w:hAnsi="宋体" w:eastAsia="宋体"/>
          <w:sz w:val="28"/>
          <w:szCs w:val="28"/>
        </w:rPr>
      </w:pPr>
      <w:r>
        <w:rPr>
          <w:rFonts w:ascii="宋体" w:hAnsi="宋体" w:eastAsia="宋体"/>
          <w:sz w:val="28"/>
          <w:szCs w:val="28"/>
        </w:rPr>
        <w:t>人的不安全行为始终是</w:t>
      </w:r>
      <w:r>
        <w:rPr>
          <w:rFonts w:hint="eastAsia" w:ascii="宋体" w:hAnsi="宋体" w:eastAsia="宋体"/>
          <w:sz w:val="28"/>
          <w:szCs w:val="28"/>
        </w:rPr>
        <w:t>导致突发事件</w:t>
      </w:r>
      <w:r>
        <w:rPr>
          <w:rFonts w:ascii="宋体" w:hAnsi="宋体" w:eastAsia="宋体"/>
          <w:sz w:val="28"/>
          <w:szCs w:val="28"/>
        </w:rPr>
        <w:t>的关键</w:t>
      </w:r>
      <w:r>
        <w:rPr>
          <w:rFonts w:hint="eastAsia" w:ascii="宋体" w:hAnsi="宋体" w:eastAsia="宋体"/>
          <w:sz w:val="28"/>
          <w:szCs w:val="28"/>
        </w:rPr>
        <w:t>因素</w:t>
      </w:r>
      <w:r>
        <w:rPr>
          <w:rFonts w:ascii="宋体" w:hAnsi="宋体" w:eastAsia="宋体"/>
          <w:sz w:val="28"/>
          <w:szCs w:val="28"/>
        </w:rPr>
        <w:t>，总包、承包单位需要严格加强对分包、劳务单位的管理，对于阶段工程任务要求具体施工单位严格按照安全管理制度、安全技术交底、安全操作规程进行落实，并要求各单位提供落实记录，包括人员安排、培训教育、现场检查等</w:t>
      </w:r>
      <w:r>
        <w:rPr>
          <w:rFonts w:hint="eastAsia" w:ascii="宋体" w:hAnsi="宋体" w:eastAsia="宋体"/>
          <w:sz w:val="28"/>
          <w:szCs w:val="28"/>
        </w:rPr>
        <w:t>。</w:t>
      </w:r>
    </w:p>
    <w:p w14:paraId="39702220">
      <w:pPr>
        <w:pStyle w:val="26"/>
        <w:spacing w:line="360" w:lineRule="auto"/>
        <w:ind w:firstLine="560"/>
        <w:rPr>
          <w:rFonts w:hint="eastAsia" w:ascii="宋体" w:hAnsi="宋体" w:eastAsia="宋体"/>
          <w:sz w:val="28"/>
          <w:szCs w:val="28"/>
        </w:rPr>
      </w:pPr>
      <w:r>
        <w:rPr>
          <w:rFonts w:ascii="宋体" w:hAnsi="宋体" w:eastAsia="宋体"/>
          <w:sz w:val="28"/>
          <w:szCs w:val="28"/>
        </w:rPr>
        <w:t>总包、承包单位要</w:t>
      </w:r>
      <w:r>
        <w:rPr>
          <w:rFonts w:hint="eastAsia" w:ascii="宋体" w:hAnsi="宋体" w:eastAsia="宋体"/>
          <w:sz w:val="28"/>
          <w:szCs w:val="28"/>
        </w:rPr>
        <w:t>负起安全生产责任主体意识，要将施工安全风险分级管控和隐患排查治理工作纳入企业安全生产责任制，建立双重预防各项工作制度、明确工作职责、制定监督检查计划，重点管控重大和较大风险，重点落实重大事故隐患整改情况；安全管理人员要加强作业现场安全检查，及时发现并消除施工人员违反安全技术交底违规冒险的隐患。</w:t>
      </w:r>
    </w:p>
    <w:p w14:paraId="1A33C21C">
      <w:pPr>
        <w:widowControl/>
        <w:jc w:val="left"/>
        <w:rPr>
          <w:rFonts w:hint="eastAsia" w:ascii="仿宋_GB2312" w:hAnsi="宋体" w:eastAsia="仿宋_GB2312" w:cs="仿宋_GB2312"/>
          <w:b w:val="0"/>
          <w:bCs w:val="0"/>
          <w:color w:val="000000"/>
          <w:kern w:val="0"/>
          <w:sz w:val="28"/>
          <w:szCs w:val="28"/>
          <w:lang w:val="en-US" w:eastAsia="zh-CN" w:bidi="ar"/>
        </w:rPr>
      </w:pPr>
      <w:r>
        <w:rPr>
          <w:rFonts w:hint="eastAsia" w:ascii="仿宋_GB2312" w:hAnsi="宋体" w:eastAsia="仿宋_GB2312" w:cs="仿宋_GB2312"/>
          <w:b w:val="0"/>
          <w:bCs w:val="0"/>
          <w:color w:val="000000"/>
          <w:kern w:val="0"/>
          <w:sz w:val="28"/>
          <w:szCs w:val="28"/>
          <w:lang w:val="en-US" w:eastAsia="zh-CN" w:bidi="ar"/>
        </w:rPr>
        <w:t>（8）应急管理</w:t>
      </w:r>
    </w:p>
    <w:p w14:paraId="5FB16E0C">
      <w:pPr>
        <w:pStyle w:val="26"/>
        <w:spacing w:line="360" w:lineRule="auto"/>
        <w:ind w:firstLine="560"/>
        <w:rPr>
          <w:rFonts w:ascii="宋体" w:hAnsi="宋体" w:eastAsia="宋体"/>
          <w:sz w:val="28"/>
          <w:szCs w:val="28"/>
        </w:rPr>
      </w:pPr>
      <w:r>
        <w:rPr>
          <w:rFonts w:ascii="Times New Roman" w:hAnsi="Times New Roman" w:eastAsia="宋体" w:cs="Times New Roman"/>
          <w:sz w:val="28"/>
          <w:szCs w:val="28"/>
        </w:rPr>
        <w:t>《中华人民共和国安全生产法》第八十一条</w:t>
      </w:r>
      <w:r>
        <w:rPr>
          <w:rFonts w:hint="eastAsia" w:ascii="Times New Roman" w:hAnsi="Times New Roman" w:eastAsia="宋体" w:cs="Times New Roman"/>
          <w:sz w:val="28"/>
          <w:szCs w:val="28"/>
          <w:lang w:eastAsia="zh-CN"/>
        </w:rPr>
        <w:t>，</w:t>
      </w:r>
      <w:r>
        <w:rPr>
          <w:rFonts w:hint="eastAsia" w:ascii="宋体" w:hAnsi="宋体" w:eastAsia="宋体"/>
          <w:sz w:val="28"/>
          <w:szCs w:val="28"/>
        </w:rPr>
        <w:t>《建设工程安全生产管理条例》第四十八条、第四十九条要求，施工单位应根据制定生产安全事故应急救援预案，</w:t>
      </w:r>
      <w:r>
        <w:rPr>
          <w:rFonts w:hint="eastAsia" w:ascii="宋体" w:hAnsi="宋体" w:eastAsia="宋体"/>
          <w:sz w:val="28"/>
          <w:szCs w:val="28"/>
          <w:lang w:val="en-US" w:eastAsia="zh-CN"/>
        </w:rPr>
        <w:t>明确信息报告机制，</w:t>
      </w:r>
      <w:r>
        <w:rPr>
          <w:rFonts w:hint="eastAsia" w:ascii="宋体" w:hAnsi="宋体" w:eastAsia="宋体"/>
          <w:sz w:val="28"/>
          <w:szCs w:val="28"/>
        </w:rPr>
        <w:t>建立应急救援组织救援人员，配备救援器材、设备，并定期组织演练。</w:t>
      </w:r>
    </w:p>
    <w:bookmarkEnd w:id="17"/>
    <w:bookmarkEnd w:id="18"/>
    <w:p w14:paraId="01390F9B">
      <w:pPr>
        <w:pStyle w:val="3"/>
        <w:spacing w:before="120" w:after="120" w:line="360" w:lineRule="auto"/>
        <w:rPr>
          <w:sz w:val="28"/>
          <w:szCs w:val="21"/>
        </w:rPr>
      </w:pPr>
      <w:bookmarkStart w:id="19" w:name="_Toc17065"/>
      <w:r>
        <w:rPr>
          <w:rFonts w:hint="eastAsia"/>
          <w:sz w:val="28"/>
          <w:szCs w:val="21"/>
        </w:rPr>
        <w:t>（二）现场施工环境安全评估</w:t>
      </w:r>
      <w:bookmarkEnd w:id="19"/>
    </w:p>
    <w:p w14:paraId="4135BDDE">
      <w:pPr>
        <w:pStyle w:val="26"/>
        <w:spacing w:line="360" w:lineRule="auto"/>
        <w:ind w:firstLine="560"/>
        <w:rPr>
          <w:rFonts w:hint="eastAsia" w:ascii="宋体" w:hAnsi="宋体" w:eastAsia="宋体"/>
          <w:sz w:val="28"/>
          <w:szCs w:val="28"/>
        </w:rPr>
      </w:pPr>
      <w:r>
        <w:rPr>
          <w:rFonts w:hint="eastAsia" w:ascii="宋体" w:hAnsi="宋体" w:eastAsia="宋体"/>
          <w:sz w:val="28"/>
          <w:szCs w:val="28"/>
        </w:rPr>
        <w:t>因绿地远洋未来科学城南区【小市政】工程已建设完毕，道路已开通运行。恒商电力市政工程公司表示自事故发生后，无相关工程建设活动。</w:t>
      </w:r>
    </w:p>
    <w:p w14:paraId="50750530">
      <w:pPr>
        <w:pStyle w:val="26"/>
        <w:spacing w:line="360" w:lineRule="auto"/>
        <w:ind w:firstLine="560"/>
        <w:rPr>
          <w:rFonts w:hint="eastAsia" w:ascii="宋体" w:hAnsi="宋体" w:eastAsia="宋体"/>
          <w:sz w:val="28"/>
          <w:szCs w:val="28"/>
        </w:rPr>
      </w:pPr>
      <w:r>
        <w:rPr>
          <w:rFonts w:hint="eastAsia" w:ascii="宋体" w:hAnsi="宋体" w:eastAsia="宋体"/>
          <w:sz w:val="28"/>
          <w:szCs w:val="28"/>
        </w:rPr>
        <w:t>评估组在对事故单位整改措施落实情况评估的基础上，按照安全生产法律法规，对企业单位提供的现行制度等资料进行内业评估。</w:t>
      </w:r>
    </w:p>
    <w:p w14:paraId="1643A196">
      <w:pPr>
        <w:pStyle w:val="2"/>
        <w:spacing w:before="240" w:after="240" w:line="360" w:lineRule="auto"/>
        <w:rPr>
          <w:rFonts w:ascii="黑体" w:hAnsi="黑体" w:eastAsia="黑体" w:cs="黑体"/>
          <w:sz w:val="28"/>
          <w:szCs w:val="28"/>
        </w:rPr>
      </w:pPr>
      <w:bookmarkStart w:id="20" w:name="_Toc18343"/>
      <w:bookmarkStart w:id="21" w:name="_Toc7490"/>
      <w:r>
        <w:rPr>
          <w:rFonts w:hint="eastAsia" w:ascii="黑体" w:hAnsi="黑体" w:eastAsia="黑体" w:cs="黑体"/>
          <w:sz w:val="28"/>
          <w:szCs w:val="28"/>
          <w:lang w:val="en-US" w:eastAsia="zh-CN"/>
        </w:rPr>
        <w:t>四</w:t>
      </w:r>
      <w:r>
        <w:rPr>
          <w:rFonts w:hint="eastAsia" w:ascii="黑体" w:hAnsi="黑体" w:eastAsia="黑体" w:cs="黑体"/>
          <w:sz w:val="28"/>
          <w:szCs w:val="28"/>
        </w:rPr>
        <w:t>、</w:t>
      </w:r>
      <w:r>
        <w:rPr>
          <w:rFonts w:hint="eastAsia" w:ascii="黑体" w:hAnsi="黑体" w:eastAsia="黑体" w:cs="黑体"/>
          <w:sz w:val="28"/>
          <w:szCs w:val="28"/>
          <w:lang w:val="en-US" w:eastAsia="zh-CN"/>
        </w:rPr>
        <w:t>安全现状</w:t>
      </w:r>
      <w:r>
        <w:rPr>
          <w:rFonts w:hint="eastAsia" w:ascii="黑体" w:hAnsi="黑体" w:eastAsia="黑体" w:cs="黑体"/>
          <w:sz w:val="28"/>
          <w:szCs w:val="28"/>
        </w:rPr>
        <w:t>评估结论与建议</w:t>
      </w:r>
      <w:bookmarkEnd w:id="20"/>
      <w:bookmarkEnd w:id="21"/>
    </w:p>
    <w:p w14:paraId="6CEF6BC8">
      <w:pPr>
        <w:pStyle w:val="3"/>
        <w:spacing w:before="120" w:after="120" w:line="360" w:lineRule="auto"/>
        <w:rPr>
          <w:sz w:val="28"/>
          <w:szCs w:val="21"/>
        </w:rPr>
      </w:pPr>
      <w:bookmarkStart w:id="22" w:name="_Toc4980"/>
      <w:bookmarkStart w:id="23" w:name="_Toc22443"/>
      <w:r>
        <w:rPr>
          <w:rFonts w:hint="eastAsia"/>
          <w:sz w:val="28"/>
          <w:szCs w:val="21"/>
        </w:rPr>
        <w:t>（一）评估结论</w:t>
      </w:r>
      <w:bookmarkEnd w:id="22"/>
      <w:bookmarkEnd w:id="23"/>
    </w:p>
    <w:p w14:paraId="4F4C4249">
      <w:pPr>
        <w:pStyle w:val="26"/>
        <w:numPr>
          <w:ilvl w:val="0"/>
          <w:numId w:val="4"/>
        </w:numPr>
        <w:spacing w:line="360" w:lineRule="auto"/>
        <w:ind w:firstLine="560"/>
        <w:rPr>
          <w:rFonts w:ascii="宋体" w:hAnsi="宋体" w:eastAsia="宋体"/>
          <w:b/>
          <w:bCs/>
          <w:sz w:val="28"/>
          <w:szCs w:val="28"/>
        </w:rPr>
      </w:pPr>
      <w:r>
        <w:rPr>
          <w:rFonts w:hint="eastAsia" w:ascii="宋体" w:hAnsi="宋体" w:eastAsia="宋体"/>
          <w:b/>
          <w:bCs/>
          <w:sz w:val="28"/>
          <w:szCs w:val="28"/>
        </w:rPr>
        <w:t>恒商电力市政工程公司</w:t>
      </w:r>
    </w:p>
    <w:p w14:paraId="402CE44D">
      <w:pPr>
        <w:pStyle w:val="26"/>
        <w:spacing w:line="360" w:lineRule="auto"/>
        <w:ind w:firstLine="560"/>
        <w:rPr>
          <w:rFonts w:hint="default" w:ascii="宋体" w:hAnsi="宋体" w:eastAsia="宋体"/>
          <w:sz w:val="24"/>
          <w:szCs w:val="24"/>
          <w:lang w:val="en-US" w:eastAsia="zh-CN"/>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按照安全生产法律法规和《事故调查报告》中的事故间接原因、整改防范措施，对上述材料进行评估，最终认为恒商电力市政工程公司现行制度</w:t>
      </w:r>
      <w:r>
        <w:rPr>
          <w:rFonts w:hint="eastAsia" w:ascii="宋体" w:hAnsi="宋体" w:eastAsia="宋体"/>
          <w:sz w:val="28"/>
          <w:szCs w:val="28"/>
          <w:lang w:val="en-US" w:eastAsia="zh-CN"/>
        </w:rPr>
        <w:t>和</w:t>
      </w:r>
      <w:r>
        <w:rPr>
          <w:rFonts w:hint="eastAsia" w:ascii="宋体" w:hAnsi="宋体" w:eastAsia="宋体"/>
          <w:sz w:val="28"/>
          <w:szCs w:val="28"/>
        </w:rPr>
        <w:t>管理措施基本符合《中华人民共和国安全生产法》《建设工程安全生产管理条例》相关规定</w:t>
      </w:r>
      <w:r>
        <w:rPr>
          <w:rFonts w:hint="eastAsia" w:ascii="宋体" w:hAnsi="宋体" w:eastAsia="宋体"/>
          <w:sz w:val="28"/>
          <w:szCs w:val="28"/>
          <w:lang w:val="en-US" w:eastAsia="zh-CN"/>
        </w:rPr>
        <w:t>。</w:t>
      </w:r>
    </w:p>
    <w:p w14:paraId="24FA101F">
      <w:pPr>
        <w:pStyle w:val="26"/>
        <w:numPr>
          <w:ilvl w:val="0"/>
          <w:numId w:val="4"/>
        </w:numPr>
        <w:spacing w:line="360" w:lineRule="auto"/>
        <w:ind w:firstLine="560"/>
        <w:rPr>
          <w:rFonts w:ascii="宋体" w:hAnsi="宋体" w:eastAsia="宋体"/>
          <w:b/>
          <w:bCs/>
          <w:sz w:val="28"/>
          <w:szCs w:val="28"/>
        </w:rPr>
      </w:pPr>
      <w:r>
        <w:rPr>
          <w:rFonts w:hint="eastAsia" w:ascii="宋体" w:hAnsi="宋体" w:eastAsia="宋体"/>
          <w:b/>
          <w:bCs/>
          <w:sz w:val="28"/>
          <w:szCs w:val="28"/>
        </w:rPr>
        <w:t>邯郸兴辰建筑安装公司</w:t>
      </w:r>
    </w:p>
    <w:p w14:paraId="2D726DCB">
      <w:pPr>
        <w:pStyle w:val="26"/>
        <w:spacing w:line="360" w:lineRule="auto"/>
        <w:ind w:firstLine="560"/>
        <w:rPr>
          <w:rFonts w:ascii="宋体" w:hAnsi="宋体" w:eastAsia="宋体"/>
          <w:sz w:val="24"/>
          <w:szCs w:val="24"/>
        </w:rPr>
      </w:pPr>
      <w:r>
        <w:rPr>
          <w:rFonts w:hint="eastAsia" w:ascii="宋体" w:hAnsi="宋体" w:eastAsia="宋体"/>
          <w:sz w:val="28"/>
          <w:szCs w:val="28"/>
          <w:lang w:eastAsia="zh-CN"/>
        </w:rPr>
        <w:t>评估组</w:t>
      </w:r>
      <w:r>
        <w:rPr>
          <w:rFonts w:hint="eastAsia" w:ascii="宋体" w:hAnsi="宋体" w:eastAsia="宋体"/>
          <w:sz w:val="28"/>
          <w:szCs w:val="28"/>
        </w:rPr>
        <w:t>按照安全生产法律法规和《事故调查报告》中的事故间接原因、整改防范措施，对上述材料进行评估，最终认为邯郸兴辰建筑安装公司</w:t>
      </w:r>
      <w:r>
        <w:rPr>
          <w:rFonts w:hint="eastAsia" w:ascii="宋体" w:hAnsi="宋体" w:eastAsia="宋体"/>
          <w:sz w:val="28"/>
          <w:szCs w:val="28"/>
          <w:lang w:val="en-US" w:eastAsia="zh-CN"/>
        </w:rPr>
        <w:t>需严格按照</w:t>
      </w:r>
      <w:r>
        <w:rPr>
          <w:rFonts w:hint="eastAsia" w:ascii="宋体" w:hAnsi="宋体" w:eastAsia="宋体"/>
          <w:sz w:val="28"/>
          <w:szCs w:val="28"/>
        </w:rPr>
        <w:t>《中华人民共和国安全生产法》《建设工程安全生产管理条例》</w:t>
      </w:r>
      <w:r>
        <w:rPr>
          <w:rFonts w:hint="eastAsia" w:ascii="宋体" w:hAnsi="宋体" w:eastAsia="宋体"/>
          <w:sz w:val="28"/>
          <w:szCs w:val="28"/>
          <w:lang w:val="en-US" w:eastAsia="zh-CN"/>
        </w:rPr>
        <w:t>等相关法律法规要求，</w:t>
      </w:r>
      <w:r>
        <w:rPr>
          <w:rFonts w:hint="eastAsia" w:ascii="Times New Roman" w:hAnsi="Times New Roman" w:eastAsia="宋体" w:cs="宋体"/>
          <w:b w:val="0"/>
          <w:bCs w:val="0"/>
          <w:kern w:val="2"/>
          <w:sz w:val="28"/>
          <w:szCs w:val="22"/>
          <w:lang w:val="en-US" w:eastAsia="zh-CN" w:bidi="ar"/>
        </w:rPr>
        <w:t>履行安全生产责任，组织实施各项安全规章制度，牢固树立安全</w:t>
      </w:r>
      <w:r>
        <w:rPr>
          <w:rFonts w:hint="eastAsia" w:ascii="Times New Roman" w:hAnsi="Times New Roman" w:eastAsia="宋体" w:cs="宋体"/>
          <w:b w:val="0"/>
          <w:bCs w:val="0"/>
          <w:kern w:val="2"/>
          <w:sz w:val="28"/>
          <w:szCs w:val="22"/>
          <w:highlight w:val="none"/>
          <w:lang w:val="en-US" w:eastAsia="zh-CN" w:bidi="ar"/>
        </w:rPr>
        <w:t>“红线”意识，始终把从业人员生命安全放在首位。</w:t>
      </w:r>
    </w:p>
    <w:p w14:paraId="67E81540">
      <w:pPr>
        <w:pStyle w:val="3"/>
        <w:spacing w:before="120" w:after="120" w:line="360" w:lineRule="auto"/>
        <w:rPr>
          <w:sz w:val="28"/>
          <w:szCs w:val="21"/>
        </w:rPr>
      </w:pPr>
      <w:bookmarkStart w:id="24" w:name="_Toc20081"/>
      <w:bookmarkStart w:id="25" w:name="_Toc15061"/>
      <w:r>
        <w:rPr>
          <w:rFonts w:hint="eastAsia"/>
          <w:sz w:val="28"/>
          <w:szCs w:val="21"/>
        </w:rPr>
        <w:t>（二）工作提升建议</w:t>
      </w:r>
      <w:bookmarkEnd w:id="24"/>
      <w:bookmarkEnd w:id="25"/>
    </w:p>
    <w:p w14:paraId="3B68DD1A">
      <w:pPr>
        <w:pStyle w:val="26"/>
        <w:spacing w:line="360" w:lineRule="auto"/>
        <w:ind w:firstLine="560"/>
        <w:rPr>
          <w:rFonts w:hint="default" w:ascii="宋体" w:hAnsi="宋体" w:eastAsia="宋体"/>
          <w:sz w:val="28"/>
          <w:szCs w:val="28"/>
          <w:lang w:val="en-US" w:eastAsia="zh-CN"/>
        </w:rPr>
      </w:pPr>
      <w:r>
        <w:rPr>
          <w:rFonts w:ascii="宋体" w:hAnsi="宋体" w:eastAsia="宋体"/>
          <w:sz w:val="28"/>
          <w:szCs w:val="28"/>
          <w:lang w:val="zh-CN"/>
        </w:rPr>
        <w:t>根据本次评估过程及结论，</w:t>
      </w:r>
      <w:r>
        <w:rPr>
          <w:rFonts w:hint="eastAsia" w:ascii="宋体" w:hAnsi="宋体" w:eastAsia="宋体"/>
          <w:sz w:val="28"/>
          <w:szCs w:val="28"/>
          <w:lang w:val="en-US" w:eastAsia="zh-CN"/>
        </w:rPr>
        <w:t>两家事故单位应针对安全现状评估中发现的问题积极改进落实，无论后续是否继续开展施工作业活动，均应按照相关法律法规要求，履行安全生产主体责任，加强安全生产管理，提高安全生产水平，并对未履行安全生产主体责任导致的后果负责。</w:t>
      </w:r>
    </w:p>
    <w:p w14:paraId="5EDBCC72">
      <w:pPr>
        <w:pStyle w:val="26"/>
        <w:spacing w:line="360" w:lineRule="auto"/>
        <w:ind w:firstLine="560"/>
        <w:rPr>
          <w:rFonts w:ascii="宋体" w:hAnsi="宋体" w:eastAsia="宋体"/>
          <w:sz w:val="28"/>
          <w:szCs w:val="28"/>
          <w:lang w:val="zh-CN"/>
        </w:rPr>
      </w:pPr>
      <w:r>
        <w:rPr>
          <w:rFonts w:hint="eastAsia" w:ascii="宋体" w:hAnsi="宋体" w:eastAsia="宋体"/>
          <w:sz w:val="28"/>
          <w:szCs w:val="28"/>
          <w:lang w:val="en-US" w:eastAsia="zh-CN"/>
        </w:rPr>
        <w:t>此外，评估组还对两家共同存在的问题，</w:t>
      </w:r>
      <w:r>
        <w:rPr>
          <w:rFonts w:ascii="宋体" w:hAnsi="宋体" w:eastAsia="宋体"/>
          <w:sz w:val="28"/>
          <w:szCs w:val="28"/>
          <w:lang w:val="zh-CN"/>
        </w:rPr>
        <w:t>提出以下</w:t>
      </w:r>
      <w:r>
        <w:rPr>
          <w:rFonts w:hint="eastAsia" w:ascii="宋体" w:hAnsi="宋体" w:eastAsia="宋体"/>
          <w:sz w:val="28"/>
          <w:szCs w:val="28"/>
        </w:rPr>
        <w:t>安全工作</w:t>
      </w:r>
      <w:r>
        <w:rPr>
          <w:rFonts w:ascii="宋体" w:hAnsi="宋体" w:eastAsia="宋体"/>
          <w:sz w:val="28"/>
          <w:szCs w:val="28"/>
          <w:lang w:val="zh-CN"/>
        </w:rPr>
        <w:t>建议措施</w:t>
      </w:r>
      <w:r>
        <w:rPr>
          <w:rFonts w:hint="eastAsia" w:ascii="宋体" w:hAnsi="宋体" w:eastAsia="宋体"/>
          <w:sz w:val="28"/>
          <w:szCs w:val="28"/>
          <w:lang w:val="zh-CN"/>
        </w:rPr>
        <w:t>（</w:t>
      </w:r>
      <w:r>
        <w:rPr>
          <w:rFonts w:hint="eastAsia" w:ascii="宋体" w:hAnsi="宋体" w:eastAsia="宋体"/>
          <w:sz w:val="28"/>
          <w:szCs w:val="28"/>
        </w:rPr>
        <w:t>不局限于本次事故</w:t>
      </w:r>
      <w:r>
        <w:rPr>
          <w:rFonts w:hint="eastAsia" w:ascii="宋体" w:hAnsi="宋体" w:eastAsia="宋体"/>
          <w:sz w:val="28"/>
          <w:szCs w:val="28"/>
          <w:lang w:val="zh-CN"/>
        </w:rPr>
        <w:t>）</w:t>
      </w:r>
      <w:r>
        <w:rPr>
          <w:rFonts w:ascii="宋体" w:hAnsi="宋体" w:eastAsia="宋体"/>
          <w:sz w:val="28"/>
          <w:szCs w:val="28"/>
          <w:lang w:val="zh-CN"/>
        </w:rPr>
        <w:t>：</w:t>
      </w:r>
    </w:p>
    <w:p w14:paraId="3D4A1DD4">
      <w:pPr>
        <w:pStyle w:val="26"/>
        <w:spacing w:line="360" w:lineRule="auto"/>
        <w:ind w:firstLine="560"/>
        <w:rPr>
          <w:rFonts w:hint="eastAsia" w:ascii="宋体" w:hAnsi="宋体" w:eastAsia="宋体"/>
          <w:sz w:val="28"/>
          <w:szCs w:val="28"/>
          <w:lang w:eastAsia="zh-CN"/>
        </w:rPr>
      </w:pPr>
      <w:r>
        <w:rPr>
          <w:rFonts w:ascii="宋体" w:hAnsi="宋体" w:eastAsia="宋体"/>
          <w:sz w:val="28"/>
          <w:szCs w:val="28"/>
        </w:rPr>
        <w:t>人的不安全行为始终是</w:t>
      </w:r>
      <w:r>
        <w:rPr>
          <w:rFonts w:hint="eastAsia" w:ascii="宋体" w:hAnsi="宋体" w:eastAsia="宋体"/>
          <w:sz w:val="28"/>
          <w:szCs w:val="28"/>
        </w:rPr>
        <w:t>导致突发事件</w:t>
      </w:r>
      <w:r>
        <w:rPr>
          <w:rFonts w:ascii="宋体" w:hAnsi="宋体" w:eastAsia="宋体"/>
          <w:sz w:val="28"/>
          <w:szCs w:val="28"/>
        </w:rPr>
        <w:t>的关键</w:t>
      </w:r>
      <w:r>
        <w:rPr>
          <w:rFonts w:hint="eastAsia" w:ascii="宋体" w:hAnsi="宋体" w:eastAsia="宋体"/>
          <w:sz w:val="28"/>
          <w:szCs w:val="28"/>
        </w:rPr>
        <w:t>因素</w:t>
      </w:r>
      <w:r>
        <w:rPr>
          <w:rFonts w:hint="eastAsia" w:ascii="宋体" w:hAnsi="宋体" w:eastAsia="宋体"/>
          <w:sz w:val="28"/>
          <w:szCs w:val="28"/>
          <w:lang w:eastAsia="zh-CN"/>
        </w:rPr>
        <w:t>，未及时发现并消</w:t>
      </w:r>
      <w:r>
        <w:rPr>
          <w:rFonts w:hint="eastAsia" w:ascii="宋体" w:hAnsi="宋体" w:eastAsia="宋体"/>
          <w:sz w:val="28"/>
          <w:szCs w:val="28"/>
          <w:lang w:val="en-US" w:eastAsia="zh-CN"/>
        </w:rPr>
        <w:t>除</w:t>
      </w:r>
      <w:r>
        <w:rPr>
          <w:rFonts w:hint="eastAsia" w:ascii="宋体" w:hAnsi="宋体" w:eastAsia="宋体"/>
          <w:sz w:val="28"/>
          <w:szCs w:val="28"/>
          <w:lang w:eastAsia="zh-CN"/>
        </w:rPr>
        <w:t>违章作业的事故隐患，</w:t>
      </w:r>
      <w:r>
        <w:rPr>
          <w:rFonts w:hint="eastAsia" w:ascii="宋体" w:hAnsi="宋体" w:eastAsia="宋体"/>
          <w:sz w:val="28"/>
          <w:szCs w:val="28"/>
          <w:lang w:val="en-US" w:eastAsia="zh-CN"/>
        </w:rPr>
        <w:t>最终</w:t>
      </w:r>
      <w:r>
        <w:rPr>
          <w:rFonts w:hint="eastAsia" w:ascii="宋体" w:hAnsi="宋体" w:eastAsia="宋体"/>
          <w:sz w:val="28"/>
          <w:szCs w:val="28"/>
          <w:lang w:eastAsia="zh-CN"/>
        </w:rPr>
        <w:t>导致人员伤亡事故。因此，建议企业应结合生产安全事故，警钟长鸣，充分考虑作业现场存在的安全风险，在制定专项施工组织方案的同时，加强作业现场安全检查和监护，及时发现并消除各类安全隐患，防止事故再次发生。</w:t>
      </w:r>
    </w:p>
    <w:p w14:paraId="0CF53A7C">
      <w:pPr>
        <w:pStyle w:val="26"/>
        <w:spacing w:line="360" w:lineRule="auto"/>
        <w:ind w:firstLine="560"/>
        <w:rPr>
          <w:rFonts w:ascii="宋体" w:hAnsi="宋体" w:eastAsia="宋体"/>
          <w:sz w:val="28"/>
          <w:szCs w:val="28"/>
        </w:rPr>
      </w:pPr>
      <w:r>
        <w:rPr>
          <w:rFonts w:hint="eastAsia" w:ascii="宋体" w:hAnsi="宋体" w:eastAsia="宋体"/>
          <w:sz w:val="28"/>
          <w:szCs w:val="28"/>
          <w:lang w:eastAsia="zh-CN"/>
        </w:rPr>
        <w:t>企业在做好现场安全风险评估后，还需要向作业人员做好安全风险告知和提示。</w:t>
      </w:r>
      <w:r>
        <w:rPr>
          <w:rFonts w:ascii="宋体" w:hAnsi="宋体" w:eastAsia="宋体"/>
          <w:sz w:val="28"/>
          <w:szCs w:val="28"/>
        </w:rPr>
        <w:t>总包、承包单位需要严格加强对分包、劳务单位的管理，对于阶段工程任务要求具体施工单位严格按照安全管理制度、安全技术交底、安全操作规程进行落实，并要求各单位提供落实记录，包括人员安排、培训教育、现场检查等</w:t>
      </w:r>
      <w:r>
        <w:rPr>
          <w:rFonts w:hint="eastAsia" w:ascii="宋体" w:hAnsi="宋体" w:eastAsia="宋体"/>
          <w:sz w:val="28"/>
          <w:szCs w:val="28"/>
        </w:rPr>
        <w:t>。</w:t>
      </w:r>
    </w:p>
    <w:p w14:paraId="4BE1908D">
      <w:pPr>
        <w:pStyle w:val="26"/>
        <w:spacing w:line="360" w:lineRule="auto"/>
        <w:ind w:firstLine="560"/>
        <w:rPr>
          <w:rFonts w:hint="default" w:ascii="宋体" w:hAnsi="宋体" w:eastAsia="宋体"/>
          <w:sz w:val="28"/>
          <w:szCs w:val="28"/>
          <w:lang w:val="en-US" w:eastAsia="zh-CN"/>
        </w:rPr>
      </w:pPr>
    </w:p>
    <w:sectPr>
      <w:footerReference r:id="rId8" w:type="default"/>
      <w:pgSz w:w="11906" w:h="16838"/>
      <w:pgMar w:top="1418" w:right="1588" w:bottom="141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38C94">
    <w:pPr>
      <w:pStyle w:val="10"/>
      <w:jc w:val="center"/>
    </w:pPr>
  </w:p>
  <w:p w14:paraId="1BC3913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C27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686837"/>
    </w:sdtPr>
    <w:sdtEndPr>
      <w:rPr>
        <w:rFonts w:ascii="Times New Roman" w:hAnsi="Times New Roman" w:cs="Times New Roman"/>
      </w:rPr>
    </w:sdtEndPr>
    <w:sdtContent>
      <w:p w14:paraId="31921252">
        <w:pPr>
          <w:pStyle w:val="1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47453731"/>
    </w:sdtPr>
    <w:sdtEndPr>
      <w:rPr>
        <w:rFonts w:ascii="Times New Roman" w:hAnsi="Times New Roman" w:cs="Times New Roman"/>
      </w:rPr>
    </w:sdtEndPr>
    <w:sdtContent>
      <w:p w14:paraId="6BBC346A">
        <w:pPr>
          <w:pStyle w:val="1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DEC3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C3F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E5FB2D"/>
    <w:multiLevelType w:val="singleLevel"/>
    <w:tmpl w:val="D3E5FB2D"/>
    <w:lvl w:ilvl="0" w:tentative="0">
      <w:start w:val="1"/>
      <w:numFmt w:val="decimal"/>
      <w:suff w:val="nothing"/>
      <w:lvlText w:val="%1、"/>
      <w:lvlJc w:val="left"/>
    </w:lvl>
  </w:abstractNum>
  <w:abstractNum w:abstractNumId="1">
    <w:nsid w:val="0E0B0173"/>
    <w:multiLevelType w:val="multilevel"/>
    <w:tmpl w:val="0E0B0173"/>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2A26EE7"/>
    <w:multiLevelType w:val="singleLevel"/>
    <w:tmpl w:val="12A26EE7"/>
    <w:lvl w:ilvl="0" w:tentative="0">
      <w:start w:val="1"/>
      <w:numFmt w:val="decimal"/>
      <w:suff w:val="nothing"/>
      <w:lvlText w:val="%1、"/>
      <w:lvlJc w:val="left"/>
    </w:lvl>
  </w:abstractNum>
  <w:abstractNum w:abstractNumId="3">
    <w:nsid w:val="65397192"/>
    <w:multiLevelType w:val="singleLevel"/>
    <w:tmpl w:val="65397192"/>
    <w:lvl w:ilvl="0" w:tentative="0">
      <w:start w:val="1"/>
      <w:numFmt w:val="decimal"/>
      <w:suff w:val="nothing"/>
      <w:lvlText w:val="%1、"/>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172A27"/>
    <w:rsid w:val="00033FC3"/>
    <w:rsid w:val="00035633"/>
    <w:rsid w:val="0004493C"/>
    <w:rsid w:val="000661DA"/>
    <w:rsid w:val="0007127B"/>
    <w:rsid w:val="000D68EE"/>
    <w:rsid w:val="000F5A8B"/>
    <w:rsid w:val="00100F64"/>
    <w:rsid w:val="0010441E"/>
    <w:rsid w:val="00124065"/>
    <w:rsid w:val="00172A27"/>
    <w:rsid w:val="001918DD"/>
    <w:rsid w:val="001A4E27"/>
    <w:rsid w:val="001D73DD"/>
    <w:rsid w:val="001F11A0"/>
    <w:rsid w:val="001F5F52"/>
    <w:rsid w:val="0020432B"/>
    <w:rsid w:val="00206050"/>
    <w:rsid w:val="00216BDE"/>
    <w:rsid w:val="0024609C"/>
    <w:rsid w:val="002525EF"/>
    <w:rsid w:val="00265D8A"/>
    <w:rsid w:val="00276841"/>
    <w:rsid w:val="00285FDF"/>
    <w:rsid w:val="00293808"/>
    <w:rsid w:val="002E54FA"/>
    <w:rsid w:val="002F42B3"/>
    <w:rsid w:val="00312755"/>
    <w:rsid w:val="003652DC"/>
    <w:rsid w:val="00392D5E"/>
    <w:rsid w:val="00394E2E"/>
    <w:rsid w:val="003A5EF0"/>
    <w:rsid w:val="00421CD2"/>
    <w:rsid w:val="00427EC7"/>
    <w:rsid w:val="004335F3"/>
    <w:rsid w:val="0046075B"/>
    <w:rsid w:val="004B45DB"/>
    <w:rsid w:val="004C14AE"/>
    <w:rsid w:val="004F3DD5"/>
    <w:rsid w:val="00500508"/>
    <w:rsid w:val="00516A53"/>
    <w:rsid w:val="00525288"/>
    <w:rsid w:val="00526DFE"/>
    <w:rsid w:val="00560B1C"/>
    <w:rsid w:val="005735B4"/>
    <w:rsid w:val="0059462D"/>
    <w:rsid w:val="005A7985"/>
    <w:rsid w:val="005C7C6E"/>
    <w:rsid w:val="00602FA4"/>
    <w:rsid w:val="00612973"/>
    <w:rsid w:val="00621377"/>
    <w:rsid w:val="00621BC5"/>
    <w:rsid w:val="00622D25"/>
    <w:rsid w:val="00623CA5"/>
    <w:rsid w:val="0064528A"/>
    <w:rsid w:val="00657D5D"/>
    <w:rsid w:val="00664357"/>
    <w:rsid w:val="0067215B"/>
    <w:rsid w:val="00685AE8"/>
    <w:rsid w:val="0068657E"/>
    <w:rsid w:val="006A48DC"/>
    <w:rsid w:val="006A7018"/>
    <w:rsid w:val="006F5C9D"/>
    <w:rsid w:val="006F623D"/>
    <w:rsid w:val="00704DA4"/>
    <w:rsid w:val="00722B11"/>
    <w:rsid w:val="007231B2"/>
    <w:rsid w:val="00740EDE"/>
    <w:rsid w:val="007457D2"/>
    <w:rsid w:val="007504CD"/>
    <w:rsid w:val="00751E0C"/>
    <w:rsid w:val="00756B9D"/>
    <w:rsid w:val="0079226E"/>
    <w:rsid w:val="007B185F"/>
    <w:rsid w:val="007D0737"/>
    <w:rsid w:val="007D7F25"/>
    <w:rsid w:val="007E7BED"/>
    <w:rsid w:val="007F21CF"/>
    <w:rsid w:val="007F5965"/>
    <w:rsid w:val="007F62C7"/>
    <w:rsid w:val="00804A15"/>
    <w:rsid w:val="00827BA8"/>
    <w:rsid w:val="00835E4B"/>
    <w:rsid w:val="00860D5D"/>
    <w:rsid w:val="00860D77"/>
    <w:rsid w:val="00860F0F"/>
    <w:rsid w:val="008A7E92"/>
    <w:rsid w:val="008B6603"/>
    <w:rsid w:val="008D096F"/>
    <w:rsid w:val="008D39F0"/>
    <w:rsid w:val="008F2364"/>
    <w:rsid w:val="008F79A1"/>
    <w:rsid w:val="009010E1"/>
    <w:rsid w:val="00905FCF"/>
    <w:rsid w:val="00921852"/>
    <w:rsid w:val="00977D59"/>
    <w:rsid w:val="00982048"/>
    <w:rsid w:val="00986675"/>
    <w:rsid w:val="00996894"/>
    <w:rsid w:val="009A0772"/>
    <w:rsid w:val="009A492D"/>
    <w:rsid w:val="009B19DD"/>
    <w:rsid w:val="009E52CD"/>
    <w:rsid w:val="009E588A"/>
    <w:rsid w:val="009F3D38"/>
    <w:rsid w:val="00A43CA0"/>
    <w:rsid w:val="00A43CE8"/>
    <w:rsid w:val="00A52C59"/>
    <w:rsid w:val="00A64E51"/>
    <w:rsid w:val="00A826B8"/>
    <w:rsid w:val="00AA16EA"/>
    <w:rsid w:val="00AA34A4"/>
    <w:rsid w:val="00AA454F"/>
    <w:rsid w:val="00AB0554"/>
    <w:rsid w:val="00AB39CE"/>
    <w:rsid w:val="00AD1929"/>
    <w:rsid w:val="00AE0F20"/>
    <w:rsid w:val="00AE2E97"/>
    <w:rsid w:val="00AF6861"/>
    <w:rsid w:val="00B0045A"/>
    <w:rsid w:val="00B145E9"/>
    <w:rsid w:val="00B33A8F"/>
    <w:rsid w:val="00B54F6F"/>
    <w:rsid w:val="00B754B8"/>
    <w:rsid w:val="00BA6F2E"/>
    <w:rsid w:val="00BA719E"/>
    <w:rsid w:val="00BC07F9"/>
    <w:rsid w:val="00BF3D4E"/>
    <w:rsid w:val="00BF3E7A"/>
    <w:rsid w:val="00BF4191"/>
    <w:rsid w:val="00C13A45"/>
    <w:rsid w:val="00C2450C"/>
    <w:rsid w:val="00C47644"/>
    <w:rsid w:val="00C6109B"/>
    <w:rsid w:val="00C6750F"/>
    <w:rsid w:val="00C90AE7"/>
    <w:rsid w:val="00CA64A8"/>
    <w:rsid w:val="00CA6FC6"/>
    <w:rsid w:val="00CA7CD9"/>
    <w:rsid w:val="00CE2B07"/>
    <w:rsid w:val="00CE5D44"/>
    <w:rsid w:val="00D05A8E"/>
    <w:rsid w:val="00D05F1E"/>
    <w:rsid w:val="00D1095E"/>
    <w:rsid w:val="00D24999"/>
    <w:rsid w:val="00D40F88"/>
    <w:rsid w:val="00D63D4F"/>
    <w:rsid w:val="00D83316"/>
    <w:rsid w:val="00D93ECE"/>
    <w:rsid w:val="00D962D4"/>
    <w:rsid w:val="00DB74D4"/>
    <w:rsid w:val="00DC2FAA"/>
    <w:rsid w:val="00DF1CA1"/>
    <w:rsid w:val="00E46AA2"/>
    <w:rsid w:val="00E52B35"/>
    <w:rsid w:val="00E8104B"/>
    <w:rsid w:val="00E81FE2"/>
    <w:rsid w:val="00EA6877"/>
    <w:rsid w:val="00ED2273"/>
    <w:rsid w:val="00ED79DA"/>
    <w:rsid w:val="00EF37D2"/>
    <w:rsid w:val="00F0015F"/>
    <w:rsid w:val="00F0390F"/>
    <w:rsid w:val="00F26953"/>
    <w:rsid w:val="00F34F30"/>
    <w:rsid w:val="00F36DE9"/>
    <w:rsid w:val="00F42427"/>
    <w:rsid w:val="00F53279"/>
    <w:rsid w:val="00FA7A84"/>
    <w:rsid w:val="00FC5229"/>
    <w:rsid w:val="00FD1A37"/>
    <w:rsid w:val="00FE172C"/>
    <w:rsid w:val="00FF0A5A"/>
    <w:rsid w:val="021311B0"/>
    <w:rsid w:val="048958E9"/>
    <w:rsid w:val="071F6E1C"/>
    <w:rsid w:val="08A01F6E"/>
    <w:rsid w:val="097C7C49"/>
    <w:rsid w:val="0B8E5EBB"/>
    <w:rsid w:val="0E71037E"/>
    <w:rsid w:val="100C51FC"/>
    <w:rsid w:val="180D715A"/>
    <w:rsid w:val="194859F8"/>
    <w:rsid w:val="19CA4A8E"/>
    <w:rsid w:val="1ACD69ED"/>
    <w:rsid w:val="1B467B77"/>
    <w:rsid w:val="1D13560D"/>
    <w:rsid w:val="1EAD3489"/>
    <w:rsid w:val="1F6B75BE"/>
    <w:rsid w:val="218A4E78"/>
    <w:rsid w:val="23077592"/>
    <w:rsid w:val="243F2B28"/>
    <w:rsid w:val="25CA6505"/>
    <w:rsid w:val="267F7489"/>
    <w:rsid w:val="2758784D"/>
    <w:rsid w:val="27697D30"/>
    <w:rsid w:val="2878627F"/>
    <w:rsid w:val="29BD5C6D"/>
    <w:rsid w:val="2AAF7569"/>
    <w:rsid w:val="32F86C10"/>
    <w:rsid w:val="341A1D21"/>
    <w:rsid w:val="35BE3446"/>
    <w:rsid w:val="36B158FD"/>
    <w:rsid w:val="3729169F"/>
    <w:rsid w:val="3A330AC8"/>
    <w:rsid w:val="3A4A19EF"/>
    <w:rsid w:val="3C146687"/>
    <w:rsid w:val="3C205D0C"/>
    <w:rsid w:val="3D1B79C1"/>
    <w:rsid w:val="3DB94D57"/>
    <w:rsid w:val="3DE003F4"/>
    <w:rsid w:val="3DFA0B12"/>
    <w:rsid w:val="404760F9"/>
    <w:rsid w:val="40DE4307"/>
    <w:rsid w:val="42100471"/>
    <w:rsid w:val="4465587E"/>
    <w:rsid w:val="46B45C34"/>
    <w:rsid w:val="49820821"/>
    <w:rsid w:val="49FE7B06"/>
    <w:rsid w:val="4ECA1194"/>
    <w:rsid w:val="512C58FB"/>
    <w:rsid w:val="5174422D"/>
    <w:rsid w:val="52903990"/>
    <w:rsid w:val="53F31DDA"/>
    <w:rsid w:val="555B55F4"/>
    <w:rsid w:val="556E38DA"/>
    <w:rsid w:val="557850E0"/>
    <w:rsid w:val="55882F61"/>
    <w:rsid w:val="55AC1F4E"/>
    <w:rsid w:val="56420F92"/>
    <w:rsid w:val="57890AF4"/>
    <w:rsid w:val="59324BF8"/>
    <w:rsid w:val="5976568E"/>
    <w:rsid w:val="5B4052B6"/>
    <w:rsid w:val="5E4946D1"/>
    <w:rsid w:val="5F5F2947"/>
    <w:rsid w:val="6A732C5E"/>
    <w:rsid w:val="6B8C1AB4"/>
    <w:rsid w:val="6C0E2107"/>
    <w:rsid w:val="6C3D126A"/>
    <w:rsid w:val="6DB1063B"/>
    <w:rsid w:val="6F68734C"/>
    <w:rsid w:val="729B63C0"/>
    <w:rsid w:val="751F3C9D"/>
    <w:rsid w:val="753260FA"/>
    <w:rsid w:val="78272E45"/>
    <w:rsid w:val="79031184"/>
    <w:rsid w:val="796C2566"/>
    <w:rsid w:val="79E729F7"/>
    <w:rsid w:val="7C072619"/>
    <w:rsid w:val="7C6A0859"/>
    <w:rsid w:val="7ED4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82"/>
    <w:unhideWhenUsed/>
    <w:qFormat/>
    <w:uiPriority w:val="99"/>
    <w:pPr>
      <w:jc w:val="left"/>
    </w:pPr>
  </w:style>
  <w:style w:type="paragraph" w:styleId="6">
    <w:name w:val="Body Text"/>
    <w:basedOn w:val="1"/>
    <w:next w:val="1"/>
    <w:unhideWhenUsed/>
    <w:qFormat/>
    <w:uiPriority w:val="99"/>
    <w:pPr>
      <w:spacing w:after="120"/>
    </w:pPr>
  </w:style>
  <w:style w:type="paragraph" w:styleId="7">
    <w:name w:val="Body Text Indent"/>
    <w:basedOn w:val="1"/>
    <w:qFormat/>
    <w:uiPriority w:val="0"/>
    <w:pPr>
      <w:spacing w:after="120"/>
      <w:ind w:left="420" w:leftChars="200"/>
    </w:pPr>
  </w:style>
  <w:style w:type="paragraph" w:styleId="8">
    <w:name w:val="toc 3"/>
    <w:basedOn w:val="1"/>
    <w:next w:val="1"/>
    <w:unhideWhenUsed/>
    <w:qFormat/>
    <w:uiPriority w:val="39"/>
    <w:pPr>
      <w:widowControl/>
      <w:spacing w:after="100" w:line="259" w:lineRule="auto"/>
      <w:ind w:left="440"/>
      <w:jc w:val="left"/>
    </w:pPr>
    <w:rPr>
      <w:rFonts w:cs="Times New Roman"/>
      <w:kern w:val="0"/>
      <w:sz w:val="22"/>
    </w:rPr>
  </w:style>
  <w:style w:type="paragraph" w:styleId="9">
    <w:name w:val="Balloon Text"/>
    <w:basedOn w:val="1"/>
    <w:link w:val="31"/>
    <w:unhideWhenUsed/>
    <w:qFormat/>
    <w:uiPriority w:val="0"/>
    <w:rPr>
      <w:sz w:val="18"/>
      <w:szCs w:val="18"/>
    </w:rPr>
  </w:style>
  <w:style w:type="paragraph" w:styleId="10">
    <w:name w:val="footer"/>
    <w:basedOn w:val="1"/>
    <w:link w:val="28"/>
    <w:unhideWhenUsed/>
    <w:qFormat/>
    <w:uiPriority w:val="0"/>
    <w:pPr>
      <w:tabs>
        <w:tab w:val="center" w:pos="4153"/>
        <w:tab w:val="right" w:pos="8306"/>
      </w:tabs>
      <w:snapToGrid w:val="0"/>
      <w:jc w:val="left"/>
    </w:pPr>
    <w:rPr>
      <w:sz w:val="18"/>
      <w:szCs w:val="18"/>
    </w:rPr>
  </w:style>
  <w:style w:type="paragraph" w:styleId="11">
    <w:name w:val="header"/>
    <w:basedOn w:val="1"/>
    <w:link w:val="27"/>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59" w:lineRule="auto"/>
      <w:jc w:val="left"/>
    </w:pPr>
    <w:rPr>
      <w:rFonts w:cs="Times New Roman"/>
      <w:kern w:val="0"/>
      <w:sz w:val="22"/>
    </w:rPr>
  </w:style>
  <w:style w:type="paragraph" w:styleId="13">
    <w:name w:val="toc 2"/>
    <w:basedOn w:val="1"/>
    <w:next w:val="1"/>
    <w:unhideWhenUsed/>
    <w:qFormat/>
    <w:uiPriority w:val="39"/>
    <w:pPr>
      <w:widowControl/>
      <w:spacing w:after="100" w:line="259" w:lineRule="auto"/>
      <w:ind w:left="220"/>
      <w:jc w:val="left"/>
    </w:pPr>
    <w:rPr>
      <w:rFonts w:cs="Times New Roman"/>
      <w:kern w:val="0"/>
      <w:sz w:val="22"/>
    </w:rPr>
  </w:style>
  <w:style w:type="paragraph" w:styleId="14">
    <w:name w:val="HTML Preformatted"/>
    <w:basedOn w:val="1"/>
    <w:link w:val="2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5"/>
    <w:next w:val="5"/>
    <w:link w:val="83"/>
    <w:qFormat/>
    <w:uiPriority w:val="0"/>
    <w:rPr>
      <w:b/>
      <w:bCs/>
    </w:rPr>
  </w:style>
  <w:style w:type="paragraph" w:styleId="17">
    <w:name w:val="Body Text First Indent 2"/>
    <w:basedOn w:val="7"/>
    <w:qFormat/>
    <w:uiPriority w:val="0"/>
    <w:pPr>
      <w:ind w:firstLine="210"/>
    </w:pPr>
    <w:rPr>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800080"/>
      <w:u w:val="single"/>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annotation reference"/>
    <w:basedOn w:val="20"/>
    <w:qFormat/>
    <w:uiPriority w:val="0"/>
    <w:rPr>
      <w:sz w:val="21"/>
      <w:szCs w:val="21"/>
    </w:rPr>
  </w:style>
  <w:style w:type="character" w:customStyle="1" w:styleId="25">
    <w:name w:val="标题 1 字符"/>
    <w:basedOn w:val="20"/>
    <w:link w:val="2"/>
    <w:qFormat/>
    <w:uiPriority w:val="9"/>
    <w:rPr>
      <w:b/>
      <w:bCs/>
      <w:kern w:val="44"/>
      <w:sz w:val="44"/>
      <w:szCs w:val="44"/>
    </w:rPr>
  </w:style>
  <w:style w:type="paragraph" w:styleId="26">
    <w:name w:val="List Paragraph"/>
    <w:basedOn w:val="1"/>
    <w:qFormat/>
    <w:uiPriority w:val="34"/>
    <w:pPr>
      <w:ind w:firstLine="420" w:firstLineChars="200"/>
    </w:pPr>
  </w:style>
  <w:style w:type="character" w:customStyle="1" w:styleId="27">
    <w:name w:val="页眉 字符"/>
    <w:basedOn w:val="20"/>
    <w:link w:val="11"/>
    <w:qFormat/>
    <w:uiPriority w:val="0"/>
    <w:rPr>
      <w:sz w:val="18"/>
      <w:szCs w:val="18"/>
    </w:rPr>
  </w:style>
  <w:style w:type="character" w:customStyle="1" w:styleId="28">
    <w:name w:val="页脚 字符"/>
    <w:basedOn w:val="20"/>
    <w:link w:val="10"/>
    <w:qFormat/>
    <w:uiPriority w:val="0"/>
    <w:rPr>
      <w:sz w:val="18"/>
      <w:szCs w:val="18"/>
    </w:rPr>
  </w:style>
  <w:style w:type="character" w:customStyle="1" w:styleId="29">
    <w:name w:val="HTML 预设格式 字符"/>
    <w:basedOn w:val="20"/>
    <w:link w:val="14"/>
    <w:semiHidden/>
    <w:qFormat/>
    <w:uiPriority w:val="99"/>
    <w:rPr>
      <w:rFonts w:ascii="宋体" w:hAnsi="宋体" w:eastAsia="宋体" w:cs="宋体"/>
      <w:kern w:val="0"/>
      <w:sz w:val="24"/>
      <w:szCs w:val="24"/>
    </w:rPr>
  </w:style>
  <w:style w:type="paragraph" w:customStyle="1" w:styleId="3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1">
    <w:name w:val="批注框文本 字符"/>
    <w:basedOn w:val="20"/>
    <w:link w:val="9"/>
    <w:qFormat/>
    <w:uiPriority w:val="0"/>
    <w:rPr>
      <w:sz w:val="18"/>
      <w:szCs w:val="18"/>
    </w:rPr>
  </w:style>
  <w:style w:type="paragraph" w:customStyle="1" w:styleId="32">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33">
    <w:name w:val="xl65"/>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6"/>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xl67"/>
    <w:basedOn w:val="1"/>
    <w:qFormat/>
    <w:uiPriority w:val="0"/>
    <w:pPr>
      <w:widowControl/>
      <w:spacing w:before="100" w:beforeAutospacing="1" w:after="100" w:afterAutospacing="1"/>
      <w:jc w:val="center"/>
      <w:textAlignment w:val="center"/>
    </w:pPr>
    <w:rPr>
      <w:rFonts w:ascii="宋体" w:hAnsi="宋体" w:eastAsia="宋体" w:cs="宋体"/>
      <w:kern w:val="0"/>
      <w:sz w:val="32"/>
      <w:szCs w:val="32"/>
    </w:rPr>
  </w:style>
  <w:style w:type="paragraph" w:customStyle="1" w:styleId="36">
    <w:name w:val="xl68"/>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7">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3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4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41">
    <w:name w:val="xl73"/>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3">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4">
    <w:name w:val="xl76"/>
    <w:basedOn w:val="1"/>
    <w:qFormat/>
    <w:uiPriority w:val="0"/>
    <w:pPr>
      <w:widowControl/>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5">
    <w:name w:val="xl7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7">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18"/>
      <w:szCs w:val="18"/>
    </w:rPr>
  </w:style>
  <w:style w:type="paragraph" w:customStyle="1" w:styleId="48">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49">
    <w:name w:val="xl81"/>
    <w:basedOn w:val="1"/>
    <w:qFormat/>
    <w:uiPriority w:val="0"/>
    <w:pPr>
      <w:widowControl/>
      <w:spacing w:before="100" w:beforeAutospacing="1" w:after="100" w:afterAutospacing="1"/>
      <w:jc w:val="left"/>
      <w:textAlignment w:val="center"/>
    </w:pPr>
    <w:rPr>
      <w:rFonts w:ascii="宋体" w:hAnsi="宋体" w:eastAsia="宋体" w:cs="宋体"/>
      <w:kern w:val="0"/>
      <w:sz w:val="18"/>
      <w:szCs w:val="18"/>
    </w:rPr>
  </w:style>
  <w:style w:type="paragraph" w:customStyle="1" w:styleId="5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5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53">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5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8">
    <w:name w:val="xl89"/>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59">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0">
    <w:name w:val="xl9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1">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Calibri" w:hAnsi="Calibri" w:eastAsia="宋体" w:cs="Calibri"/>
      <w:kern w:val="0"/>
      <w:szCs w:val="21"/>
    </w:rPr>
  </w:style>
  <w:style w:type="paragraph" w:customStyle="1" w:styleId="63">
    <w:name w:val="xl9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4">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5">
    <w:name w:val="xl9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66">
    <w:name w:val="xl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67">
    <w:name w:val="xl98"/>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6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0">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1">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72">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3">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74">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75">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76">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b/>
      <w:bCs/>
      <w:kern w:val="0"/>
      <w:sz w:val="20"/>
      <w:szCs w:val="20"/>
    </w:rPr>
  </w:style>
  <w:style w:type="paragraph" w:customStyle="1" w:styleId="77">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b/>
      <w:bCs/>
      <w:kern w:val="0"/>
      <w:sz w:val="20"/>
      <w:szCs w:val="20"/>
    </w:rPr>
  </w:style>
  <w:style w:type="paragraph" w:customStyle="1" w:styleId="7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79">
    <w:name w:val="cf01"/>
    <w:basedOn w:val="20"/>
    <w:qFormat/>
    <w:uiPriority w:val="0"/>
    <w:rPr>
      <w:rFonts w:hint="eastAsia" w:ascii="Microsoft YaHei UI" w:hAnsi="Microsoft YaHei UI" w:eastAsia="Microsoft YaHei UI"/>
      <w:sz w:val="18"/>
      <w:szCs w:val="18"/>
    </w:rPr>
  </w:style>
  <w:style w:type="paragraph" w:customStyle="1" w:styleId="80">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81">
    <w:name w:val="批注文字 字符"/>
    <w:basedOn w:val="20"/>
    <w:qFormat/>
    <w:uiPriority w:val="99"/>
    <w:rPr>
      <w:rFonts w:asciiTheme="minorHAnsi" w:hAnsiTheme="minorHAnsi" w:eastAsiaTheme="minorEastAsia" w:cstheme="minorBidi"/>
      <w:kern w:val="2"/>
      <w:sz w:val="21"/>
      <w:szCs w:val="22"/>
    </w:rPr>
  </w:style>
  <w:style w:type="character" w:customStyle="1" w:styleId="82">
    <w:name w:val="批注文字 字符1"/>
    <w:basedOn w:val="20"/>
    <w:link w:val="5"/>
    <w:qFormat/>
    <w:uiPriority w:val="99"/>
    <w:rPr>
      <w:rFonts w:asciiTheme="minorHAnsi" w:hAnsiTheme="minorHAnsi" w:eastAsiaTheme="minorEastAsia" w:cstheme="minorBidi"/>
      <w:kern w:val="2"/>
      <w:sz w:val="21"/>
      <w:szCs w:val="22"/>
    </w:rPr>
  </w:style>
  <w:style w:type="character" w:customStyle="1" w:styleId="83">
    <w:name w:val="批注主题 字符"/>
    <w:basedOn w:val="82"/>
    <w:link w:val="16"/>
    <w:qFormat/>
    <w:uiPriority w:val="0"/>
    <w:rPr>
      <w:rFonts w:asciiTheme="minorHAnsi" w:hAnsiTheme="minorHAnsi" w:eastAsiaTheme="minorEastAsia" w:cstheme="minorBidi"/>
      <w:b/>
      <w:bCs/>
      <w:kern w:val="2"/>
      <w:sz w:val="21"/>
      <w:szCs w:val="22"/>
    </w:rPr>
  </w:style>
  <w:style w:type="paragraph" w:customStyle="1" w:styleId="84">
    <w:name w:val="修订1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5">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6">
    <w:name w:val="cf11"/>
    <w:basedOn w:val="20"/>
    <w:qFormat/>
    <w:uiPriority w:val="0"/>
    <w:rPr>
      <w:rFonts w:hint="eastAsia" w:ascii="Microsoft YaHei UI" w:hAnsi="Microsoft YaHei UI" w:eastAsia="Microsoft YaHei UI"/>
      <w:sz w:val="18"/>
      <w:szCs w:val="18"/>
    </w:rPr>
  </w:style>
  <w:style w:type="paragraph" w:customStyle="1" w:styleId="87">
    <w:name w:val="WPSOffice手动目录 1"/>
    <w:qFormat/>
    <w:uiPriority w:val="0"/>
    <w:rPr>
      <w:rFonts w:ascii="Times New Roman" w:hAnsi="Times New Roman" w:eastAsia="宋体" w:cs="Times New Roman"/>
      <w:lang w:val="en-US" w:eastAsia="zh-CN" w:bidi="ar-SA"/>
    </w:rPr>
  </w:style>
  <w:style w:type="paragraph" w:customStyle="1" w:styleId="8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9">
    <w:name w:val="WPSOffice手动目录 3"/>
    <w:qFormat/>
    <w:uiPriority w:val="0"/>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LG</Company>
  <Pages>30</Pages>
  <Words>3433</Words>
  <Characters>3441</Characters>
  <Lines>93</Lines>
  <Paragraphs>26</Paragraphs>
  <TotalTime>2</TotalTime>
  <ScaleCrop>false</ScaleCrop>
  <LinksUpToDate>false</LinksUpToDate>
  <CharactersWithSpaces>3457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2022-12-15T08:13:00Z</dcterms:created>
  <dc:creator>FENG</dc:creator>
  <cp:lastModifiedBy>Dr.美ˇ</cp:lastModifiedBy>
  <cp:lastPrinted>2017-12-14T13:52:00Z</cp:lastPrinted>
  <dcterms:modified xsi:type="dcterms:W3CDTF">2024-12-11T03:02:38Z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094131EB9E24440F9D7DF554C91707CA_13</vt:lpwstr>
  </property>
</Properties>
</file>