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67F28">
      <w:pPr>
        <w:spacing w:line="360" w:lineRule="auto"/>
        <w:jc w:val="center"/>
        <w:rPr>
          <w:rFonts w:eastAsia="黑体"/>
          <w:b/>
          <w:sz w:val="54"/>
          <w:szCs w:val="54"/>
        </w:rPr>
      </w:pPr>
    </w:p>
    <w:p w14:paraId="2C46EAE4">
      <w:pPr>
        <w:spacing w:line="360" w:lineRule="auto"/>
        <w:jc w:val="center"/>
        <w:rPr>
          <w:rFonts w:eastAsia="黑体"/>
          <w:b/>
          <w:sz w:val="54"/>
          <w:szCs w:val="54"/>
        </w:rPr>
      </w:pPr>
    </w:p>
    <w:p w14:paraId="3C673346">
      <w:pPr>
        <w:spacing w:line="360" w:lineRule="auto"/>
        <w:jc w:val="center"/>
        <w:rPr>
          <w:rFonts w:hint="eastAsia" w:ascii="黑体" w:hAnsi="黑体" w:eastAsia="黑体"/>
          <w:sz w:val="48"/>
          <w:szCs w:val="48"/>
          <w:lang w:val="en-US" w:eastAsia="zh-CN"/>
        </w:rPr>
      </w:pPr>
      <w:bookmarkStart w:id="0" w:name="_Toc264643771"/>
      <w:bookmarkStart w:id="1" w:name="_Toc264729017"/>
      <w:r>
        <w:rPr>
          <w:rFonts w:hint="eastAsia" w:ascii="黑体" w:hAnsi="黑体" w:eastAsia="黑体"/>
          <w:sz w:val="48"/>
          <w:szCs w:val="48"/>
          <w:lang w:val="en-US" w:eastAsia="zh-CN"/>
        </w:rPr>
        <w:t>石油科技交流中心游泳馆“3·17”</w:t>
      </w:r>
    </w:p>
    <w:p w14:paraId="618DC3FC">
      <w:pPr>
        <w:spacing w:line="360" w:lineRule="auto"/>
        <w:jc w:val="center"/>
        <w:rPr>
          <w:rFonts w:eastAsia="黑体"/>
          <w:b/>
          <w:sz w:val="48"/>
          <w:szCs w:val="48"/>
        </w:rPr>
      </w:pPr>
      <w:r>
        <w:rPr>
          <w:rFonts w:hint="eastAsia" w:ascii="黑体" w:hAnsi="黑体" w:eastAsia="黑体"/>
          <w:sz w:val="48"/>
          <w:szCs w:val="48"/>
          <w:lang w:val="en-US" w:eastAsia="zh-CN"/>
        </w:rPr>
        <w:t>一般生产安全事故现场安全现状评估</w:t>
      </w:r>
      <w:r>
        <w:rPr>
          <w:rFonts w:hint="eastAsia" w:ascii="黑体" w:hAnsi="黑体" w:eastAsia="黑体"/>
          <w:sz w:val="48"/>
          <w:szCs w:val="48"/>
        </w:rPr>
        <w:t>报告</w:t>
      </w:r>
    </w:p>
    <w:bookmarkEnd w:id="0"/>
    <w:bookmarkEnd w:id="1"/>
    <w:p w14:paraId="2F062C80">
      <w:pPr>
        <w:spacing w:line="360" w:lineRule="auto"/>
        <w:jc w:val="center"/>
        <w:rPr>
          <w:rFonts w:eastAsia="黑体"/>
          <w:b/>
          <w:sz w:val="48"/>
          <w:szCs w:val="48"/>
        </w:rPr>
      </w:pPr>
    </w:p>
    <w:p w14:paraId="1A14C3CE">
      <w:pPr>
        <w:spacing w:line="360" w:lineRule="auto"/>
        <w:jc w:val="center"/>
        <w:rPr>
          <w:rFonts w:eastAsia="黑体"/>
          <w:b/>
          <w:sz w:val="48"/>
          <w:szCs w:val="48"/>
        </w:rPr>
      </w:pPr>
    </w:p>
    <w:p w14:paraId="7BB332C1">
      <w:pPr>
        <w:spacing w:line="360" w:lineRule="auto"/>
        <w:jc w:val="center"/>
        <w:rPr>
          <w:rFonts w:eastAsia="黑体"/>
          <w:b/>
          <w:sz w:val="48"/>
          <w:szCs w:val="48"/>
        </w:rPr>
      </w:pPr>
    </w:p>
    <w:p w14:paraId="57AFB44B">
      <w:pPr>
        <w:spacing w:line="360" w:lineRule="auto"/>
        <w:jc w:val="center"/>
        <w:rPr>
          <w:rFonts w:eastAsia="黑体"/>
          <w:b/>
          <w:sz w:val="48"/>
          <w:szCs w:val="48"/>
        </w:rPr>
      </w:pPr>
    </w:p>
    <w:p w14:paraId="3006EFC0">
      <w:pPr>
        <w:spacing w:line="360" w:lineRule="auto"/>
        <w:jc w:val="center"/>
        <w:rPr>
          <w:rFonts w:eastAsia="黑体"/>
          <w:b/>
          <w:sz w:val="48"/>
          <w:szCs w:val="48"/>
        </w:rPr>
      </w:pPr>
    </w:p>
    <w:p w14:paraId="12226059">
      <w:pPr>
        <w:spacing w:line="360" w:lineRule="auto"/>
        <w:jc w:val="center"/>
        <w:rPr>
          <w:rFonts w:eastAsia="黑体"/>
          <w:b/>
          <w:sz w:val="48"/>
          <w:szCs w:val="48"/>
        </w:rPr>
      </w:pPr>
    </w:p>
    <w:p w14:paraId="7A5E0D7A">
      <w:pPr>
        <w:spacing w:line="360" w:lineRule="auto"/>
        <w:jc w:val="center"/>
        <w:rPr>
          <w:rFonts w:eastAsia="黑体"/>
          <w:b/>
          <w:sz w:val="48"/>
          <w:szCs w:val="48"/>
        </w:rPr>
      </w:pPr>
    </w:p>
    <w:p w14:paraId="0047C95E">
      <w:pPr>
        <w:spacing w:line="360" w:lineRule="auto"/>
        <w:jc w:val="center"/>
        <w:rPr>
          <w:rFonts w:hint="eastAsia" w:ascii="黑体" w:hAnsi="黑体" w:eastAsia="黑体"/>
          <w:sz w:val="48"/>
          <w:szCs w:val="48"/>
          <w:lang w:val="en-US" w:eastAsia="zh-CN"/>
        </w:rPr>
      </w:pPr>
    </w:p>
    <w:p w14:paraId="6D15FAA5">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北京市科学技术研究院</w:t>
      </w:r>
    </w:p>
    <w:p w14:paraId="4EC0DA47">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 xml:space="preserve">城市安全与环境科学研究所 </w:t>
      </w:r>
    </w:p>
    <w:p w14:paraId="23207D87">
      <w:pPr>
        <w:spacing w:line="360" w:lineRule="auto"/>
        <w:jc w:val="center"/>
        <w:rPr>
          <w:rFonts w:ascii="黑体" w:hAnsi="黑体" w:eastAsia="黑体"/>
          <w:sz w:val="48"/>
          <w:szCs w:val="48"/>
        </w:rPr>
      </w:pPr>
      <w:r>
        <w:rPr>
          <w:rFonts w:hint="eastAsia" w:ascii="黑体" w:hAnsi="黑体" w:eastAsia="黑体"/>
          <w:sz w:val="48"/>
          <w:szCs w:val="48"/>
        </w:rPr>
        <w:t>202</w:t>
      </w:r>
      <w:r>
        <w:rPr>
          <w:rFonts w:hint="eastAsia" w:ascii="黑体" w:hAnsi="黑体" w:eastAsia="黑体"/>
          <w:sz w:val="48"/>
          <w:szCs w:val="48"/>
          <w:lang w:val="en-US" w:eastAsia="zh-CN"/>
        </w:rPr>
        <w:t>4</w:t>
      </w:r>
      <w:r>
        <w:rPr>
          <w:rFonts w:ascii="黑体" w:hAnsi="黑体" w:eastAsia="黑体"/>
          <w:sz w:val="48"/>
          <w:szCs w:val="48"/>
        </w:rPr>
        <w:t>年</w:t>
      </w:r>
      <w:r>
        <w:rPr>
          <w:rFonts w:hint="eastAsia" w:ascii="黑体" w:hAnsi="黑体" w:eastAsia="黑体"/>
          <w:sz w:val="48"/>
          <w:szCs w:val="48"/>
          <w:lang w:val="en-US" w:eastAsia="zh-CN"/>
        </w:rPr>
        <w:t>4</w:t>
      </w:r>
      <w:r>
        <w:rPr>
          <w:rFonts w:ascii="黑体" w:hAnsi="黑体" w:eastAsia="黑体"/>
          <w:sz w:val="48"/>
          <w:szCs w:val="48"/>
        </w:rPr>
        <w:t>月</w:t>
      </w:r>
    </w:p>
    <w:p w14:paraId="771FB358">
      <w:pPr>
        <w:spacing w:line="360" w:lineRule="auto"/>
        <w:jc w:val="center"/>
        <w:rPr>
          <w:rFonts w:ascii="黑体" w:hAnsi="黑体" w:eastAsia="黑体"/>
          <w:sz w:val="48"/>
          <w:szCs w:val="48"/>
        </w:rPr>
      </w:pPr>
    </w:p>
    <w:p w14:paraId="784F2F85">
      <w:pPr>
        <w:spacing w:line="360" w:lineRule="auto"/>
        <w:jc w:val="center"/>
        <w:rPr>
          <w:rFonts w:ascii="黑体" w:hAnsi="黑体" w:eastAsia="黑体"/>
          <w:sz w:val="48"/>
          <w:szCs w:val="48"/>
        </w:rPr>
      </w:pPr>
    </w:p>
    <w:sdt>
      <w:sdtPr>
        <w:rPr>
          <w:rFonts w:ascii="宋体" w:hAnsi="宋体" w:eastAsia="宋体" w:cstheme="minorBidi"/>
          <w:kern w:val="2"/>
          <w:sz w:val="21"/>
          <w:szCs w:val="22"/>
          <w:lang w:val="en-US" w:eastAsia="zh-CN" w:bidi="ar-SA"/>
        </w:rPr>
        <w:id w:val="147464548"/>
        <w15:color w:val="DBDBDB"/>
        <w:docPartObj>
          <w:docPartGallery w:val="Table of Contents"/>
          <w:docPartUnique/>
        </w:docPartObj>
      </w:sdtPr>
      <w:sdtEndPr>
        <w:rPr>
          <w:rFonts w:hint="eastAsia" w:ascii="黑体" w:hAnsi="黑体" w:eastAsia="黑体" w:cs="黑体"/>
          <w:b/>
          <w:bCs/>
          <w:kern w:val="44"/>
          <w:sz w:val="44"/>
          <w:szCs w:val="28"/>
          <w:lang w:val="en-US" w:eastAsia="zh-CN" w:bidi="ar-SA"/>
        </w:rPr>
      </w:sdtEndPr>
      <w:sdtContent>
        <w:p w14:paraId="0B4921D4">
          <w:pPr>
            <w:keepNext w:val="0"/>
            <w:keepLines w:val="0"/>
            <w:pageBreakBefore w:val="0"/>
            <w:widowControl w:val="0"/>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ascii="宋体" w:hAnsi="宋体" w:eastAsia="宋体" w:cstheme="minorBidi"/>
              <w:kern w:val="2"/>
              <w:sz w:val="21"/>
              <w:szCs w:val="22"/>
              <w:lang w:val="en-US" w:eastAsia="zh-CN" w:bidi="ar-SA"/>
            </w:rPr>
          </w:pPr>
          <w:bookmarkStart w:id="2" w:name="_Toc4192"/>
        </w:p>
        <w:p w14:paraId="566B8B5B">
          <w:pPr>
            <w:keepNext w:val="0"/>
            <w:keepLines w:val="0"/>
            <w:pageBreakBefore w:val="0"/>
            <w:widowControl w:val="0"/>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黑体" w:hAnsi="黑体" w:eastAsia="黑体" w:cs="黑体"/>
              <w:sz w:val="28"/>
              <w:szCs w:val="32"/>
            </w:rPr>
          </w:pPr>
        </w:p>
        <w:p w14:paraId="3864D70F">
          <w:pPr>
            <w:keepNext w:val="0"/>
            <w:keepLines w:val="0"/>
            <w:pageBreakBefore w:val="0"/>
            <w:widowControl w:val="0"/>
            <w:kinsoku/>
            <w:wordWrap/>
            <w:overflowPunct/>
            <w:topLinePunct w:val="0"/>
            <w:autoSpaceDE/>
            <w:autoSpaceDN/>
            <w:bidi w:val="0"/>
            <w:adjustRightInd/>
            <w:snapToGrid/>
            <w:spacing w:before="0" w:line="360" w:lineRule="auto"/>
            <w:ind w:left="0" w:leftChars="0" w:right="0" w:rightChars="0" w:firstLine="0" w:firstLineChars="0"/>
            <w:jc w:val="center"/>
            <w:textAlignment w:val="auto"/>
            <w:rPr>
              <w:rFonts w:hint="eastAsia" w:ascii="黑体" w:hAnsi="黑体" w:eastAsia="黑体" w:cs="黑体"/>
              <w:sz w:val="28"/>
              <w:szCs w:val="28"/>
            </w:rPr>
          </w:pPr>
          <w:r>
            <w:rPr>
              <w:rFonts w:hint="eastAsia" w:ascii="黑体" w:hAnsi="黑体" w:eastAsia="黑体" w:cs="黑体"/>
              <w:sz w:val="28"/>
              <w:szCs w:val="28"/>
            </w:rPr>
            <w:t>目</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录</w:t>
          </w:r>
        </w:p>
        <w:p w14:paraId="134635DE">
          <w:pPr>
            <w:pStyle w:val="9"/>
            <w:keepNext w:val="0"/>
            <w:keepLines w:val="0"/>
            <w:pageBreakBefore w:val="0"/>
            <w:widowControl w:val="0"/>
            <w:kinsoku/>
            <w:wordWrap/>
            <w:overflowPunct/>
            <w:topLinePunct w:val="0"/>
            <w:autoSpaceDE/>
            <w:autoSpaceDN/>
            <w:bidi w:val="0"/>
            <w:adjustRightInd/>
            <w:snapToGrid/>
            <w:spacing w:after="0" w:line="360" w:lineRule="auto"/>
            <w:textAlignment w:val="auto"/>
            <w:rPr>
              <w:sz w:val="28"/>
              <w:szCs w:val="28"/>
            </w:rPr>
          </w:pPr>
        </w:p>
        <w:p w14:paraId="2B897543">
          <w:pPr>
            <w:pStyle w:val="14"/>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TOC \o "1-3" \h \u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_Toc21876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一、目的依据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_Toc21876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3261EF0F">
          <w:pPr>
            <w:pStyle w:val="14"/>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_Toc25813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二、</w:t>
          </w:r>
          <w:r>
            <w:rPr>
              <w:rFonts w:hint="default" w:ascii="Times New Roman" w:hAnsi="Times New Roman" w:eastAsia="黑体" w:cs="Times New Roman"/>
              <w:sz w:val="28"/>
              <w:szCs w:val="28"/>
            </w:rPr>
            <w:t>工作</w:t>
          </w:r>
          <w:r>
            <w:rPr>
              <w:rFonts w:hint="default" w:ascii="Times New Roman" w:hAnsi="Times New Roman" w:eastAsia="黑体" w:cs="Times New Roman"/>
              <w:sz w:val="28"/>
              <w:szCs w:val="28"/>
              <w:lang w:val="en-US" w:eastAsia="zh-CN"/>
            </w:rPr>
            <w:t>范围和方式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_Toc25813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50123D18">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_Toc823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（一）资料查阅</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_Toc823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4A612A30">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_Toc9133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（二）座谈问询</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_Toc9133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7D533BBF">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_Toc27622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（三）走访核查</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_Toc27622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04193853">
          <w:pPr>
            <w:pStyle w:val="14"/>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_Toc282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三、安全现状评估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5BE96734">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_Toc30673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（一）现行安全管理制度制定及落实情况评估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_Toc30673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6FE172EF">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_Toc12519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（二）现场运营环境安全评估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_Toc12519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16</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3FD26ADD">
          <w:pPr>
            <w:pStyle w:val="14"/>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_Toc11625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四、安全现状评估结论与建议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_Toc11625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6B73B322">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_Toc579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（一）评估结论</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_Toc579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1ED83A3E">
          <w:pPr>
            <w:pStyle w:val="15"/>
            <w:pageBreakBefore w:val="0"/>
            <w:tabs>
              <w:tab w:val="right" w:leader="dot" w:pos="8787"/>
            </w:tabs>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_Toc8065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宋体" w:cs="Times New Roman"/>
              <w:sz w:val="28"/>
              <w:szCs w:val="28"/>
              <w:lang w:val="en-US" w:eastAsia="zh-CN"/>
            </w:rPr>
            <w:t>（二）工作提升建议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_Toc8065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14:paraId="600D8E44">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outlineLvl w:val="9"/>
            <w:rPr>
              <w:rFonts w:hint="eastAsia" w:ascii="黑体" w:hAnsi="黑体" w:eastAsia="黑体" w:cs="黑体"/>
              <w:b/>
              <w:bCs/>
              <w:kern w:val="44"/>
              <w:sz w:val="44"/>
              <w:szCs w:val="28"/>
              <w:lang w:val="en-US" w:eastAsia="zh-CN" w:bidi="ar-SA"/>
            </w:rPr>
            <w:sectPr>
              <w:pgSz w:w="11906" w:h="16838"/>
              <w:pgMar w:top="1418" w:right="1588" w:bottom="1418" w:left="1531" w:header="851" w:footer="992" w:gutter="0"/>
              <w:cols w:space="425" w:num="1"/>
              <w:docGrid w:type="lines" w:linePitch="312" w:charSpace="0"/>
            </w:sectPr>
          </w:pPr>
          <w:r>
            <w:rPr>
              <w:rFonts w:hint="default" w:ascii="Times New Roman" w:hAnsi="Times New Roman" w:eastAsia="黑体" w:cs="Times New Roman"/>
              <w:sz w:val="28"/>
              <w:szCs w:val="28"/>
              <w:lang w:val="en-US" w:eastAsia="zh-CN"/>
            </w:rPr>
            <w:fldChar w:fldCharType="end"/>
          </w:r>
        </w:p>
      </w:sdtContent>
    </w:sdt>
    <w:p w14:paraId="189463A9">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3" w:name="_Toc21876"/>
      <w:r>
        <w:rPr>
          <w:rFonts w:hint="eastAsia" w:ascii="黑体" w:hAnsi="黑体" w:eastAsia="黑体" w:cs="黑体"/>
          <w:sz w:val="28"/>
          <w:szCs w:val="28"/>
          <w:lang w:val="en-US" w:eastAsia="zh-CN"/>
        </w:rPr>
        <w:t>一、目的依据</w:t>
      </w:r>
      <w:bookmarkEnd w:id="2"/>
      <w:bookmarkEnd w:id="3"/>
    </w:p>
    <w:p w14:paraId="657EC023">
      <w:pPr>
        <w:pStyle w:val="27"/>
        <w:spacing w:line="360" w:lineRule="auto"/>
        <w:ind w:firstLine="480"/>
        <w:rPr>
          <w:rFonts w:ascii="宋体" w:hAnsi="宋体" w:eastAsia="宋体"/>
          <w:sz w:val="28"/>
          <w:szCs w:val="28"/>
        </w:rPr>
      </w:pPr>
      <w:r>
        <w:rPr>
          <w:rFonts w:hint="eastAsia" w:ascii="宋体" w:hAnsi="宋体" w:eastAsia="宋体"/>
          <w:sz w:val="28"/>
          <w:szCs w:val="28"/>
          <w:lang w:val="en-US" w:eastAsia="zh-CN"/>
        </w:rPr>
        <w:t>为充分发挥事故调查处理对加强和改进安全生产工作的促进作用，督促</w:t>
      </w:r>
      <w:r>
        <w:rPr>
          <w:rFonts w:hint="eastAsia" w:ascii="宋体" w:hAnsi="宋体" w:eastAsia="宋体"/>
          <w:sz w:val="28"/>
          <w:szCs w:val="28"/>
        </w:rPr>
        <w:t>落实生产经营单位的安全生产主体责任，防范和减少事故发生，保障人民群众生命财产安全，依据</w:t>
      </w:r>
      <w:r>
        <w:rPr>
          <w:rFonts w:hint="eastAsia" w:ascii="宋体" w:hAnsi="宋体" w:eastAsia="宋体"/>
          <w:sz w:val="28"/>
          <w:szCs w:val="28"/>
          <w:lang w:val="en-US" w:eastAsia="zh-CN"/>
        </w:rPr>
        <w:t>《北京市生产安全事故整改和防范措施落实情况评估办法》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w:t>
      </w:r>
      <w:r>
        <w:rPr>
          <w:rFonts w:hint="eastAsia" w:ascii="宋体" w:hAnsi="宋体" w:eastAsia="宋体"/>
          <w:sz w:val="28"/>
          <w:szCs w:val="28"/>
          <w:lang w:val="en-US" w:eastAsia="zh-CN"/>
        </w:rPr>
        <w:t>开展本次一般生产安全事故现场安全现状评估工作</w:t>
      </w:r>
      <w:r>
        <w:rPr>
          <w:rFonts w:hint="eastAsia" w:ascii="宋体" w:hAnsi="宋体" w:eastAsia="宋体"/>
          <w:sz w:val="28"/>
          <w:szCs w:val="28"/>
        </w:rPr>
        <w:t>。</w:t>
      </w:r>
    </w:p>
    <w:p w14:paraId="335CED48">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4" w:name="_Toc26337"/>
      <w:bookmarkStart w:id="5" w:name="_Toc25813"/>
      <w:r>
        <w:rPr>
          <w:rFonts w:hint="eastAsia" w:ascii="黑体" w:hAnsi="黑体" w:eastAsia="黑体" w:cs="黑体"/>
          <w:sz w:val="28"/>
          <w:szCs w:val="28"/>
          <w:lang w:val="en-US" w:eastAsia="zh-CN"/>
        </w:rPr>
        <w:t>二、</w:t>
      </w:r>
      <w:r>
        <w:rPr>
          <w:rFonts w:hint="eastAsia" w:ascii="黑体" w:hAnsi="黑体" w:eastAsia="黑体" w:cs="黑体"/>
          <w:sz w:val="28"/>
          <w:szCs w:val="28"/>
        </w:rPr>
        <w:t>工作</w:t>
      </w:r>
      <w:bookmarkEnd w:id="4"/>
      <w:r>
        <w:rPr>
          <w:rFonts w:hint="eastAsia" w:ascii="黑体" w:hAnsi="黑体" w:eastAsia="黑体" w:cs="黑体"/>
          <w:sz w:val="28"/>
          <w:szCs w:val="28"/>
          <w:lang w:val="en-US" w:eastAsia="zh-CN"/>
        </w:rPr>
        <w:t>范围和方式</w:t>
      </w:r>
      <w:bookmarkEnd w:id="5"/>
    </w:p>
    <w:p w14:paraId="0B534E6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1.本次现场评估的对象为北京华服物业管理有限责任公司石油科技交流中心（以下简称：石油科技交流中心）。</w:t>
      </w:r>
    </w:p>
    <w:p w14:paraId="792CB422">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2.本次现场评估的时间为2024年4月15日。</w:t>
      </w:r>
    </w:p>
    <w:p w14:paraId="30C5C93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 xml:space="preserve">3.本次现场评估区域为石油科技交流中心游泳馆的游泳区、更衣室、水处理间及配电室。 </w:t>
      </w:r>
    </w:p>
    <w:p w14:paraId="1B36653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4.本次现场评估工作采取了资料核查、查阅文件、座谈问询、走访核查、专业评估等方式。</w:t>
      </w:r>
    </w:p>
    <w:p w14:paraId="029CF2B8">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6" w:name="_Toc823"/>
      <w:r>
        <w:rPr>
          <w:rFonts w:hint="eastAsia"/>
          <w:b/>
          <w:sz w:val="28"/>
          <w:szCs w:val="21"/>
          <w:lang w:val="en-US" w:eastAsia="zh-CN"/>
        </w:rPr>
        <w:t>（一）资料查阅</w:t>
      </w:r>
      <w:bookmarkEnd w:id="6"/>
    </w:p>
    <w:p w14:paraId="4A024254">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石油科技交流中心提供了游泳馆整改落实情况、游泳馆排查治理情况、游泳馆规章制度目录、救生员安全岗位责任制、康体安全例会制度、安全教育培训制度、安全生产隐患排查制度、安全生产事故报告及处理制度、游泳馆巡查制度、游泳馆安全卫生管理制度、康体服务人员岗位责任制度、游泳馆安全生产责任制、救生员安全岗位责任制、康体救生主管岗位职责及任职要求、康体救生员岗位职责及任职要求、康体服务员岗位职责及任职要求、游泳馆会议记录、救生员培训测试题、游泳馆培训记录、救生员重点关注事项、前台重点关注事项、健康安全危害因素辨识和风险评价清单、石油科技交流中心应急管理制度、游泳馆安全生产事故应急预案、游泳馆突发事件应急处理预案、高危人群运动处置方案及其他可以证明开展事故整改和防范措施的相关资料。评估组按照安全生产法律法规和《事故调查报告》中的事故间接原因、整改防范措施，对上述资料进行查阅。</w:t>
      </w:r>
    </w:p>
    <w:p w14:paraId="7BDFC74D">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7" w:name="_Toc9133"/>
      <w:r>
        <w:rPr>
          <w:rFonts w:hint="eastAsia"/>
          <w:b/>
          <w:sz w:val="28"/>
          <w:szCs w:val="21"/>
          <w:lang w:val="en-US" w:eastAsia="zh-CN"/>
        </w:rPr>
        <w:t>（二）座谈问询</w:t>
      </w:r>
      <w:bookmarkEnd w:id="7"/>
    </w:p>
    <w:p w14:paraId="478444B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4月15日，评估组对石油科技交流中心相关负责人进行访谈。依据《事故调查报告》中的事故间接原因和整改防范措施，结合相关法律法规和提供的资料，石油科技交流中心的整改措施具体落实情况如下：</w:t>
      </w:r>
    </w:p>
    <w:p w14:paraId="620F939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一是与专业结构进行合作，配齐救生员数量，提高应急反应质量和速度。按照国家标准，配齐救生员，确保在岗救生员数量符合标准。游泳馆现有救生员8名，保证同时在岗救生员4名。</w:t>
      </w:r>
    </w:p>
    <w:p w14:paraId="3FAA165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二是健全游泳馆应急处置程序。建立健全高危人群（老人，小孩，孕妇，重度肥胖等）的应急处置程序，做到重点盯防，提前进行预防，保证泳客的安全。</w:t>
      </w:r>
    </w:p>
    <w:p w14:paraId="09DFC3FD">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三是完善泳池巡查制度，与质安部进行联动，对游泳馆进行巡查并填写《检查记录表》，做到互相监督，确保泳池救生员工作状态和工作质量。</w:t>
      </w:r>
    </w:p>
    <w:p w14:paraId="0EF04E42">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四是增加对游泳者的安全提示和温馨提示并张贴于吧台和泳池显著位置，对有可能发生的人员意外进行告知和劝阻，并对工作人员进行培训，提前预防，避免事故的发生。</w:t>
      </w:r>
    </w:p>
    <w:p w14:paraId="1B8A920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五是加大救生员和服务人员的培训力度和教育力度。树立安全意识，使每名员工熟练掌握应急预案内容及工作流程，合规操作，避免意外发生；严格执行上岗前的考核制度，考核不合格严禁上岗；每季度开展一次泳池溺水应急演练，使事故发生时能在第一时间进行处置；宣贯事故报送制度，在事故发生后向直接监管部门进行报告，并服从指挥，使游泳馆在第一时间作出正确举措。</w:t>
      </w:r>
    </w:p>
    <w:p w14:paraId="04B62265">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六是结合昌平区体育局的建议，对游泳馆进行升级改造，包括对泳池增加地膜，减少里面眩光；游泳馆增加灯光，使泳池水底更清晰；对泳池内泳梯进行更换，增加接触面和防滑效果，调整泳池巡察路线；增加游泳馆监控设备，杜绝监控死角，在吧台设置血压仪检测仪，对泳客健康进行提前观测，避免有可能发生的意外；增加急救设备，购置AED和制氧仪，提高在面对意外时的人员应急处置效果。</w:t>
      </w:r>
    </w:p>
    <w:p w14:paraId="5066BF91">
      <w:pPr>
        <w:pStyle w:val="27"/>
        <w:spacing w:line="360" w:lineRule="auto"/>
        <w:ind w:firstLine="480"/>
        <w:jc w:val="center"/>
        <w:rPr>
          <w:rFonts w:hint="default" w:ascii="宋体" w:hAnsi="宋体" w:eastAsia="宋体"/>
          <w:sz w:val="24"/>
          <w:szCs w:val="24"/>
          <w:lang w:val="en-US" w:eastAsia="zh-CN"/>
        </w:rPr>
      </w:pPr>
      <w:r>
        <w:rPr>
          <w:rFonts w:hint="default" w:ascii="宋体" w:hAnsi="宋体" w:eastAsia="宋体"/>
          <w:sz w:val="24"/>
          <w:szCs w:val="24"/>
          <w:lang w:val="en-US" w:eastAsia="zh-CN"/>
        </w:rPr>
        <w:drawing>
          <wp:inline distT="0" distB="0" distL="114300" distR="114300">
            <wp:extent cx="4296410" cy="2840990"/>
            <wp:effectExtent l="0" t="0" r="8890" b="3810"/>
            <wp:docPr id="13" name="图片 13" descr="d0058568717c540b7fbdfd0e77528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0058568717c540b7fbdfd0e77528bb"/>
                    <pic:cNvPicPr>
                      <a:picLocks noChangeAspect="1"/>
                    </pic:cNvPicPr>
                  </pic:nvPicPr>
                  <pic:blipFill>
                    <a:blip r:embed="rId6"/>
                    <a:stretch>
                      <a:fillRect/>
                    </a:stretch>
                  </pic:blipFill>
                  <pic:spPr>
                    <a:xfrm>
                      <a:off x="0" y="0"/>
                      <a:ext cx="4296410" cy="2840990"/>
                    </a:xfrm>
                    <a:prstGeom prst="rect">
                      <a:avLst/>
                    </a:prstGeom>
                  </pic:spPr>
                </pic:pic>
              </a:graphicData>
            </a:graphic>
          </wp:inline>
        </w:drawing>
      </w:r>
    </w:p>
    <w:p w14:paraId="11E40350">
      <w:pPr>
        <w:pStyle w:val="27"/>
        <w:spacing w:line="360" w:lineRule="auto"/>
        <w:ind w:firstLine="480"/>
        <w:jc w:val="center"/>
        <w:rPr>
          <w:rFonts w:hint="default" w:ascii="宋体" w:hAnsi="宋体" w:eastAsia="宋体"/>
          <w:sz w:val="24"/>
          <w:szCs w:val="24"/>
          <w:lang w:val="en-US" w:eastAsia="zh-CN"/>
        </w:rPr>
      </w:pPr>
      <w:bookmarkStart w:id="8" w:name="_Toc12274"/>
      <w:r>
        <w:rPr>
          <w:rFonts w:hint="eastAsia" w:ascii="宋体" w:hAnsi="宋体" w:eastAsia="宋体"/>
          <w:sz w:val="24"/>
          <w:szCs w:val="24"/>
          <w:lang w:val="en-US" w:eastAsia="zh-CN"/>
        </w:rPr>
        <w:t>图1  石油科技交流中心座谈问询</w:t>
      </w:r>
      <w:bookmarkEnd w:id="8"/>
    </w:p>
    <w:p w14:paraId="6EF8CAE4">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9" w:name="_Toc27622"/>
      <w:r>
        <w:rPr>
          <w:rFonts w:hint="eastAsia"/>
          <w:b/>
          <w:sz w:val="28"/>
          <w:szCs w:val="21"/>
          <w:lang w:val="en-US" w:eastAsia="zh-CN"/>
        </w:rPr>
        <w:t>（三）走访核查</w:t>
      </w:r>
      <w:bookmarkEnd w:id="9"/>
    </w:p>
    <w:p w14:paraId="30B0B52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会后，组织人员赴事故现场调研，检查事故现场相关措施的落实情况。经现场核实，事发现场处于正常运营状态，评估组针对事发游泳馆的整改报告、现行安全管理资料，游泳馆的游泳区、更衣室、水处理间及配电室等区域进行了询问和查看。</w:t>
      </w:r>
    </w:p>
    <w:p w14:paraId="7DB0F45A">
      <w:pPr>
        <w:pStyle w:val="27"/>
        <w:spacing w:line="360" w:lineRule="auto"/>
        <w:ind w:left="0" w:leftChars="0" w:firstLine="0" w:firstLineChars="0"/>
        <w:jc w:val="center"/>
        <w:rPr>
          <w:rFonts w:hint="default" w:ascii="宋体" w:hAnsi="宋体" w:eastAsia="宋体"/>
          <w:sz w:val="24"/>
          <w:szCs w:val="24"/>
          <w:lang w:val="en-US" w:eastAsia="zh-CN"/>
        </w:rPr>
      </w:pPr>
      <w:r>
        <w:rPr>
          <w:rFonts w:hint="default" w:ascii="宋体" w:hAnsi="宋体" w:eastAsia="宋体"/>
          <w:sz w:val="24"/>
          <w:szCs w:val="24"/>
          <w:lang w:val="en-US" w:eastAsia="zh-CN"/>
        </w:rPr>
        <w:drawing>
          <wp:inline distT="0" distB="0" distL="114300" distR="114300">
            <wp:extent cx="4889500" cy="3667125"/>
            <wp:effectExtent l="0" t="0" r="0" b="3175"/>
            <wp:docPr id="15" name="图片 15" descr="984b1dcc533ac494959d37aa09ee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84b1dcc533ac494959d37aa09eee02"/>
                    <pic:cNvPicPr>
                      <a:picLocks noChangeAspect="1"/>
                    </pic:cNvPicPr>
                  </pic:nvPicPr>
                  <pic:blipFill>
                    <a:blip r:embed="rId7"/>
                    <a:stretch>
                      <a:fillRect/>
                    </a:stretch>
                  </pic:blipFill>
                  <pic:spPr>
                    <a:xfrm>
                      <a:off x="0" y="0"/>
                      <a:ext cx="4889500" cy="3667125"/>
                    </a:xfrm>
                    <a:prstGeom prst="rect">
                      <a:avLst/>
                    </a:prstGeom>
                  </pic:spPr>
                </pic:pic>
              </a:graphicData>
            </a:graphic>
          </wp:inline>
        </w:drawing>
      </w:r>
    </w:p>
    <w:p w14:paraId="6DB2B39D">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图2  游泳馆重点设备设施现场评估</w:t>
      </w:r>
    </w:p>
    <w:p w14:paraId="64A7A45B">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10" w:name="_Toc282"/>
      <w:r>
        <w:rPr>
          <w:rFonts w:hint="eastAsia" w:ascii="黑体" w:hAnsi="黑体" w:eastAsia="黑体" w:cs="黑体"/>
          <w:sz w:val="28"/>
          <w:szCs w:val="28"/>
          <w:lang w:val="en-US" w:eastAsia="zh-CN"/>
        </w:rPr>
        <w:t>三、安全现状评估</w:t>
      </w:r>
      <w:bookmarkEnd w:id="10"/>
    </w:p>
    <w:p w14:paraId="0EA2C4FF">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1" w:name="_Toc30673"/>
      <w:r>
        <w:rPr>
          <w:rFonts w:hint="eastAsia"/>
          <w:b/>
          <w:sz w:val="28"/>
          <w:szCs w:val="21"/>
          <w:lang w:val="en-US" w:eastAsia="zh-CN"/>
        </w:rPr>
        <w:t>（一）现行安全管理制度制定及落实情况评估</w:t>
      </w:r>
      <w:bookmarkEnd w:id="11"/>
    </w:p>
    <w:p w14:paraId="70E4358A">
      <w:pPr>
        <w:pStyle w:val="27"/>
        <w:spacing w:line="360" w:lineRule="auto"/>
        <w:ind w:firstLine="480"/>
        <w:rPr>
          <w:rFonts w:hint="eastAsia" w:ascii="宋体" w:hAnsi="宋体" w:eastAsia="宋体"/>
          <w:sz w:val="28"/>
          <w:szCs w:val="28"/>
          <w:lang w:val="en-US" w:eastAsia="zh-CN"/>
        </w:rPr>
        <w:sectPr>
          <w:footerReference r:id="rId3"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val="en-US" w:eastAsia="zh-CN"/>
        </w:rPr>
        <w:t>评估组对石油科技交流中心游泳馆提供的制度文件、台账、记录、档案等资料进行了评估，该单位现行安全管理制度及落实情况基本符合《中华人民共和国安全生产法》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lang w:val="en-US" w:eastAsia="zh-CN"/>
        </w:rPr>
        <w:t>相关规定，详见下表。</w:t>
      </w:r>
    </w:p>
    <w:p w14:paraId="38352891">
      <w:pPr>
        <w:pStyle w:val="27"/>
        <w:spacing w:line="360" w:lineRule="auto"/>
        <w:ind w:left="0" w:leftChars="0" w:firstLine="0" w:firstLineChars="0"/>
        <w:jc w:val="center"/>
        <w:rPr>
          <w:rFonts w:hint="default" w:ascii="宋体" w:hAnsi="宋体" w:eastAsia="宋体"/>
          <w:b w:val="0"/>
          <w:bCs/>
          <w:sz w:val="24"/>
          <w:szCs w:val="24"/>
          <w:lang w:val="en-US" w:eastAsia="zh-CN"/>
        </w:rPr>
      </w:pPr>
      <w:bookmarkStart w:id="12" w:name="_Toc29524"/>
      <w:bookmarkStart w:id="13" w:name="_Toc107394620"/>
      <w:bookmarkStart w:id="14" w:name="_Toc107394549"/>
      <w:bookmarkStart w:id="15" w:name="_Toc3770"/>
      <w:bookmarkStart w:id="16" w:name="_Toc17894"/>
      <w:r>
        <w:rPr>
          <w:rFonts w:hint="default" w:ascii="宋体" w:hAnsi="宋体" w:eastAsia="宋体"/>
          <w:b w:val="0"/>
          <w:bCs/>
          <w:sz w:val="24"/>
          <w:szCs w:val="24"/>
          <w:lang w:val="en-US" w:eastAsia="zh-CN"/>
        </w:rPr>
        <w:t>表</w:t>
      </w:r>
      <w:r>
        <w:rPr>
          <w:rFonts w:hint="eastAsia" w:ascii="宋体" w:hAnsi="宋体" w:eastAsia="宋体"/>
          <w:b w:val="0"/>
          <w:bCs/>
          <w:sz w:val="24"/>
          <w:szCs w:val="24"/>
          <w:lang w:val="en-US" w:eastAsia="zh-CN"/>
        </w:rPr>
        <w:t>1 石油科技交流中心</w:t>
      </w:r>
      <w:r>
        <w:rPr>
          <w:rFonts w:hint="default" w:ascii="宋体" w:hAnsi="宋体" w:eastAsia="宋体"/>
          <w:b w:val="0"/>
          <w:bCs/>
          <w:sz w:val="24"/>
          <w:szCs w:val="24"/>
          <w:lang w:val="en-US" w:eastAsia="zh-CN"/>
        </w:rPr>
        <w:t>安全管理制度制定及落实情况评估</w:t>
      </w:r>
      <w:bookmarkEnd w:id="12"/>
      <w:bookmarkEnd w:id="13"/>
      <w:bookmarkEnd w:id="14"/>
      <w:bookmarkEnd w:id="15"/>
      <w:bookmarkEnd w:id="16"/>
      <w:bookmarkStart w:id="17" w:name="_Toc17157"/>
      <w:bookmarkStart w:id="18" w:name="_Toc32696"/>
    </w:p>
    <w:tbl>
      <w:tblPr>
        <w:tblStyle w:val="92"/>
        <w:tblW w:w="14177"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
        <w:gridCol w:w="6079"/>
        <w:gridCol w:w="2677"/>
        <w:gridCol w:w="4580"/>
      </w:tblGrid>
      <w:tr w14:paraId="4D60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841" w:type="dxa"/>
            <w:vAlign w:val="center"/>
          </w:tcPr>
          <w:p w14:paraId="626C825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b/>
                <w:bCs/>
                <w:spacing w:val="4"/>
                <w:sz w:val="24"/>
                <w:szCs w:val="24"/>
              </w:rPr>
              <w:t>序号</w:t>
            </w:r>
          </w:p>
        </w:tc>
        <w:tc>
          <w:tcPr>
            <w:tcW w:w="6079" w:type="dxa"/>
            <w:vAlign w:val="center"/>
          </w:tcPr>
          <w:p w14:paraId="27328B3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b/>
                <w:bCs/>
                <w:spacing w:val="6"/>
                <w:sz w:val="24"/>
                <w:szCs w:val="24"/>
              </w:rPr>
              <w:t>评估项目</w:t>
            </w:r>
          </w:p>
        </w:tc>
        <w:tc>
          <w:tcPr>
            <w:tcW w:w="2677" w:type="dxa"/>
            <w:vAlign w:val="center"/>
          </w:tcPr>
          <w:p w14:paraId="0AAB0FF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b/>
                <w:bCs/>
                <w:spacing w:val="6"/>
                <w:sz w:val="24"/>
                <w:szCs w:val="24"/>
              </w:rPr>
              <w:t>评估依据</w:t>
            </w:r>
          </w:p>
        </w:tc>
        <w:tc>
          <w:tcPr>
            <w:tcW w:w="4580" w:type="dxa"/>
            <w:vAlign w:val="center"/>
          </w:tcPr>
          <w:p w14:paraId="2511AA4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b/>
                <w:bCs/>
                <w:spacing w:val="6"/>
                <w:sz w:val="24"/>
                <w:szCs w:val="24"/>
              </w:rPr>
              <w:t>评估情况</w:t>
            </w:r>
          </w:p>
        </w:tc>
      </w:tr>
      <w:tr w14:paraId="1A7F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41" w:type="dxa"/>
            <w:vAlign w:val="center"/>
          </w:tcPr>
          <w:p w14:paraId="39C6774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079" w:type="dxa"/>
            <w:vAlign w:val="center"/>
          </w:tcPr>
          <w:p w14:paraId="628480B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2677" w:type="dxa"/>
            <w:vAlign w:val="center"/>
          </w:tcPr>
          <w:p w14:paraId="11164B3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《中华人民共和国安全生产法》第四条</w:t>
            </w:r>
          </w:p>
        </w:tc>
        <w:tc>
          <w:tcPr>
            <w:tcW w:w="4580" w:type="dxa"/>
            <w:vAlign w:val="center"/>
          </w:tcPr>
          <w:p w14:paraId="0B9FF68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提供了安全生产岗位责任制</w:t>
            </w:r>
            <w:r>
              <w:rPr>
                <w:rFonts w:hint="eastAsia" w:cs="宋体"/>
                <w:spacing w:val="7"/>
                <w:sz w:val="24"/>
                <w:szCs w:val="24"/>
                <w:lang w:eastAsia="zh-CN"/>
              </w:rPr>
              <w:t>、</w:t>
            </w:r>
            <w:r>
              <w:rPr>
                <w:rFonts w:hint="eastAsia" w:ascii="宋体" w:hAnsi="宋体" w:eastAsia="宋体" w:cs="宋体"/>
                <w:spacing w:val="7"/>
                <w:sz w:val="24"/>
                <w:szCs w:val="24"/>
              </w:rPr>
              <w:t>安全生产例会制度</w:t>
            </w:r>
            <w:r>
              <w:rPr>
                <w:rFonts w:hint="eastAsia" w:cs="宋体"/>
                <w:spacing w:val="7"/>
                <w:sz w:val="24"/>
                <w:szCs w:val="24"/>
                <w:lang w:eastAsia="zh-CN"/>
              </w:rPr>
              <w:t>、</w:t>
            </w:r>
            <w:r>
              <w:rPr>
                <w:rFonts w:hint="eastAsia" w:ascii="宋体" w:hAnsi="宋体" w:eastAsia="宋体" w:cs="宋体"/>
                <w:spacing w:val="7"/>
                <w:sz w:val="24"/>
                <w:szCs w:val="24"/>
              </w:rPr>
              <w:t>安全教育培训制度</w:t>
            </w:r>
            <w:r>
              <w:rPr>
                <w:rFonts w:hint="eastAsia" w:cs="宋体"/>
                <w:spacing w:val="7"/>
                <w:sz w:val="24"/>
                <w:szCs w:val="24"/>
                <w:lang w:eastAsia="zh-CN"/>
              </w:rPr>
              <w:t>、</w:t>
            </w:r>
            <w:r>
              <w:rPr>
                <w:rFonts w:hint="eastAsia" w:ascii="宋体" w:hAnsi="宋体" w:eastAsia="宋体" w:cs="宋体"/>
                <w:spacing w:val="7"/>
                <w:sz w:val="24"/>
                <w:szCs w:val="24"/>
              </w:rPr>
              <w:t>安全生产隐患排查制度</w:t>
            </w:r>
            <w:r>
              <w:rPr>
                <w:rFonts w:hint="eastAsia" w:cs="宋体"/>
                <w:spacing w:val="7"/>
                <w:sz w:val="24"/>
                <w:szCs w:val="24"/>
                <w:lang w:eastAsia="zh-CN"/>
              </w:rPr>
              <w:t>、</w:t>
            </w:r>
            <w:r>
              <w:rPr>
                <w:rFonts w:hint="eastAsia" w:ascii="宋体" w:hAnsi="宋体" w:eastAsia="宋体" w:cs="宋体"/>
                <w:spacing w:val="7"/>
                <w:sz w:val="24"/>
                <w:szCs w:val="24"/>
              </w:rPr>
              <w:t>安全生产事故报告和处理制度</w:t>
            </w:r>
            <w:r>
              <w:rPr>
                <w:rFonts w:hint="eastAsia" w:cs="宋体"/>
                <w:spacing w:val="7"/>
                <w:sz w:val="24"/>
                <w:szCs w:val="24"/>
                <w:lang w:eastAsia="zh-CN"/>
              </w:rPr>
              <w:t>、</w:t>
            </w:r>
            <w:r>
              <w:rPr>
                <w:rFonts w:hint="eastAsia" w:ascii="宋体" w:hAnsi="宋体" w:eastAsia="宋体" w:cs="宋体"/>
                <w:spacing w:val="7"/>
                <w:sz w:val="24"/>
                <w:szCs w:val="24"/>
              </w:rPr>
              <w:t>巡查制度</w:t>
            </w:r>
            <w:r>
              <w:rPr>
                <w:rFonts w:hint="eastAsia" w:cs="宋体"/>
                <w:spacing w:val="7"/>
                <w:sz w:val="24"/>
                <w:szCs w:val="24"/>
                <w:lang w:eastAsia="zh-CN"/>
              </w:rPr>
              <w:t>、</w:t>
            </w:r>
            <w:r>
              <w:rPr>
                <w:rFonts w:hint="eastAsia" w:ascii="宋体" w:hAnsi="宋体" w:eastAsia="宋体" w:cs="宋体"/>
                <w:spacing w:val="7"/>
                <w:sz w:val="24"/>
                <w:szCs w:val="24"/>
              </w:rPr>
              <w:t>游泳馆卫生管理制度</w:t>
            </w:r>
            <w:r>
              <w:rPr>
                <w:rFonts w:hint="eastAsia" w:cs="宋体"/>
                <w:spacing w:val="7"/>
                <w:sz w:val="24"/>
                <w:szCs w:val="24"/>
                <w:lang w:eastAsia="zh-CN"/>
              </w:rPr>
              <w:t>、</w:t>
            </w:r>
            <w:r>
              <w:rPr>
                <w:rFonts w:hint="eastAsia" w:ascii="宋体" w:hAnsi="宋体" w:eastAsia="宋体" w:cs="宋体"/>
                <w:spacing w:val="7"/>
                <w:sz w:val="24"/>
                <w:szCs w:val="24"/>
              </w:rPr>
              <w:t>服务人员岗位责任制度</w:t>
            </w:r>
            <w:r>
              <w:rPr>
                <w:rFonts w:hint="eastAsia" w:cs="宋体"/>
                <w:spacing w:val="7"/>
                <w:sz w:val="24"/>
                <w:szCs w:val="24"/>
                <w:lang w:eastAsia="zh-CN"/>
              </w:rPr>
              <w:t>、</w:t>
            </w:r>
            <w:r>
              <w:rPr>
                <w:rFonts w:hint="eastAsia" w:ascii="宋体" w:hAnsi="宋体" w:eastAsia="宋体" w:cs="宋体"/>
                <w:spacing w:val="7"/>
                <w:sz w:val="24"/>
                <w:szCs w:val="24"/>
              </w:rPr>
              <w:t>安全生产事故应急预案</w:t>
            </w:r>
            <w:r>
              <w:rPr>
                <w:rFonts w:hint="eastAsia" w:cs="宋体"/>
                <w:spacing w:val="7"/>
                <w:sz w:val="24"/>
                <w:szCs w:val="24"/>
                <w:lang w:eastAsia="zh-CN"/>
              </w:rPr>
              <w:t>、</w:t>
            </w:r>
            <w:r>
              <w:rPr>
                <w:rFonts w:hint="eastAsia" w:ascii="宋体" w:hAnsi="宋体" w:eastAsia="宋体" w:cs="宋体"/>
                <w:spacing w:val="7"/>
                <w:sz w:val="24"/>
                <w:szCs w:val="24"/>
              </w:rPr>
              <w:t>应急预案制度</w:t>
            </w:r>
            <w:r>
              <w:rPr>
                <w:rFonts w:hint="eastAsia" w:cs="宋体"/>
                <w:spacing w:val="7"/>
                <w:sz w:val="24"/>
                <w:szCs w:val="24"/>
                <w:lang w:val="en-US" w:eastAsia="zh-CN"/>
              </w:rPr>
              <w:t>及岗位职责任职要求等相关文件</w:t>
            </w:r>
            <w:r>
              <w:rPr>
                <w:rFonts w:hint="eastAsia" w:ascii="宋体" w:hAnsi="宋体" w:eastAsia="宋体" w:cs="宋体"/>
                <w:spacing w:val="7"/>
                <w:sz w:val="24"/>
                <w:szCs w:val="24"/>
              </w:rPr>
              <w:t>，表明该企业基本落实了相关要求。</w:t>
            </w:r>
          </w:p>
        </w:tc>
      </w:tr>
      <w:tr w14:paraId="088B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trPr>
        <w:tc>
          <w:tcPr>
            <w:tcW w:w="841" w:type="dxa"/>
            <w:vAlign w:val="center"/>
          </w:tcPr>
          <w:p w14:paraId="16C6826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6079" w:type="dxa"/>
            <w:vAlign w:val="center"/>
          </w:tcPr>
          <w:p w14:paraId="040EB6D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生产经营单位的全员安全生产责任制应当明确各岗位的责任人</w:t>
            </w:r>
            <w:r>
              <w:rPr>
                <w:rFonts w:hint="eastAsia" w:ascii="宋体" w:hAnsi="宋体" w:eastAsia="宋体" w:cs="宋体"/>
                <w:spacing w:val="8"/>
                <w:sz w:val="24"/>
                <w:szCs w:val="24"/>
              </w:rPr>
              <w:t>员、责任范围和考核标准等内容。</w:t>
            </w:r>
          </w:p>
        </w:tc>
        <w:tc>
          <w:tcPr>
            <w:tcW w:w="2677" w:type="dxa"/>
            <w:vAlign w:val="center"/>
          </w:tcPr>
          <w:p w14:paraId="521E257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《中华人民共和国安全生产法》第二十二条</w:t>
            </w:r>
          </w:p>
        </w:tc>
        <w:tc>
          <w:tcPr>
            <w:tcW w:w="4580" w:type="dxa"/>
            <w:vAlign w:val="center"/>
          </w:tcPr>
          <w:p w14:paraId="19D79BC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w:t>
            </w:r>
            <w:r>
              <w:rPr>
                <w:rFonts w:hint="eastAsia" w:cs="宋体"/>
                <w:spacing w:val="7"/>
                <w:sz w:val="24"/>
                <w:szCs w:val="24"/>
                <w:lang w:val="en-US" w:eastAsia="zh-CN"/>
              </w:rPr>
              <w:t>了游泳馆的岗位职责及任职要求</w:t>
            </w:r>
            <w:r>
              <w:rPr>
                <w:rFonts w:hint="eastAsia" w:ascii="宋体" w:hAnsi="宋体" w:eastAsia="宋体" w:cs="宋体"/>
                <w:spacing w:val="7"/>
                <w:sz w:val="24"/>
                <w:szCs w:val="24"/>
              </w:rPr>
              <w:t>等相</w:t>
            </w:r>
            <w:r>
              <w:rPr>
                <w:rFonts w:hint="eastAsia" w:ascii="宋体" w:hAnsi="宋体" w:eastAsia="宋体" w:cs="宋体"/>
                <w:spacing w:val="8"/>
                <w:sz w:val="24"/>
                <w:szCs w:val="24"/>
              </w:rPr>
              <w:t>关文件，表明该企业基本落实了相关要求。</w:t>
            </w:r>
          </w:p>
        </w:tc>
      </w:tr>
      <w:tr w14:paraId="4B0F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841" w:type="dxa"/>
            <w:vAlign w:val="center"/>
          </w:tcPr>
          <w:p w14:paraId="3B3E35A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6079" w:type="dxa"/>
            <w:vAlign w:val="center"/>
          </w:tcPr>
          <w:p w14:paraId="12C7A59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color w:val="333333"/>
                <w:spacing w:val="9"/>
                <w:sz w:val="24"/>
                <w:szCs w:val="24"/>
              </w:rPr>
              <w:t>生产经营单位应当具备的安全生产条件所必需的资金投入，由生产经营单位的决策机构、主要负责人或者个人经营的投资人予以保证，并对由于安全生产所必需的资金投入不足导致的后果承担</w:t>
            </w:r>
            <w:r>
              <w:rPr>
                <w:rFonts w:hint="eastAsia" w:ascii="宋体" w:hAnsi="宋体" w:eastAsia="宋体" w:cs="宋体"/>
                <w:color w:val="333333"/>
                <w:spacing w:val="3"/>
                <w:sz w:val="24"/>
                <w:szCs w:val="24"/>
              </w:rPr>
              <w:t>责任。</w:t>
            </w:r>
          </w:p>
        </w:tc>
        <w:tc>
          <w:tcPr>
            <w:tcW w:w="2677" w:type="dxa"/>
            <w:vAlign w:val="center"/>
          </w:tcPr>
          <w:p w14:paraId="6026764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w:t>
            </w:r>
            <w:r>
              <w:rPr>
                <w:rFonts w:hint="eastAsia" w:ascii="宋体" w:hAnsi="宋体" w:eastAsia="宋体" w:cs="宋体"/>
                <w:spacing w:val="9"/>
                <w:sz w:val="24"/>
                <w:szCs w:val="24"/>
              </w:rPr>
              <w:t>产法》第二十三条</w:t>
            </w:r>
          </w:p>
        </w:tc>
        <w:tc>
          <w:tcPr>
            <w:tcW w:w="4580" w:type="dxa"/>
            <w:vAlign w:val="center"/>
          </w:tcPr>
          <w:p w14:paraId="013D071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宋体" w:hAnsi="宋体" w:eastAsia="宋体" w:cs="宋体"/>
                <w:sz w:val="24"/>
                <w:szCs w:val="24"/>
                <w:lang w:val="en-US" w:eastAsia="zh-CN"/>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游泳馆现场应急救援装备齐全、监控完善</w:t>
            </w:r>
            <w:r>
              <w:rPr>
                <w:rFonts w:hint="eastAsia" w:ascii="宋体" w:hAnsi="宋体" w:eastAsia="宋体" w:cs="宋体"/>
                <w:spacing w:val="8"/>
                <w:sz w:val="24"/>
                <w:szCs w:val="24"/>
              </w:rPr>
              <w:t>，</w:t>
            </w:r>
            <w:r>
              <w:rPr>
                <w:rFonts w:hint="eastAsia" w:cs="宋体"/>
                <w:spacing w:val="8"/>
                <w:sz w:val="24"/>
                <w:szCs w:val="24"/>
                <w:lang w:val="en-US" w:eastAsia="zh-CN"/>
              </w:rPr>
              <w:t>但未见相关记录文件。</w:t>
            </w:r>
          </w:p>
        </w:tc>
      </w:tr>
      <w:tr w14:paraId="3B1E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7" w:hRule="atLeast"/>
        </w:trPr>
        <w:tc>
          <w:tcPr>
            <w:tcW w:w="841" w:type="dxa"/>
            <w:vAlign w:val="center"/>
          </w:tcPr>
          <w:p w14:paraId="2977815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1"/>
                <w:sz w:val="24"/>
                <w:szCs w:val="24"/>
              </w:rPr>
              <w:t>4</w:t>
            </w:r>
          </w:p>
        </w:tc>
        <w:tc>
          <w:tcPr>
            <w:tcW w:w="6079" w:type="dxa"/>
            <w:vAlign w:val="center"/>
          </w:tcPr>
          <w:p w14:paraId="4E745D4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生产经营单位的安全生产管理机构以及安全生产管理人员履行</w:t>
            </w:r>
            <w:r>
              <w:rPr>
                <w:rFonts w:hint="eastAsia" w:ascii="宋体" w:hAnsi="宋体" w:eastAsia="宋体" w:cs="宋体"/>
                <w:spacing w:val="4"/>
                <w:sz w:val="24"/>
                <w:szCs w:val="24"/>
              </w:rPr>
              <w:t>下列职责：</w:t>
            </w:r>
          </w:p>
          <w:p w14:paraId="032A6673">
            <w:pPr>
              <w:pStyle w:val="91"/>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8"/>
                <w:sz w:val="24"/>
                <w:szCs w:val="24"/>
              </w:rPr>
            </w:pPr>
            <w:r>
              <w:rPr>
                <w:rFonts w:hint="eastAsia" w:ascii="宋体" w:hAnsi="宋体" w:eastAsia="宋体" w:cs="宋体"/>
                <w:spacing w:val="9"/>
                <w:sz w:val="24"/>
                <w:szCs w:val="24"/>
              </w:rPr>
              <w:t>组织或者参与拟订本单位安全生产规章制度、操作规程和</w:t>
            </w:r>
            <w:r>
              <w:rPr>
                <w:rFonts w:hint="eastAsia" w:ascii="宋体" w:hAnsi="宋体" w:eastAsia="宋体" w:cs="宋体"/>
                <w:spacing w:val="8"/>
                <w:sz w:val="24"/>
                <w:szCs w:val="24"/>
              </w:rPr>
              <w:t>生产安全事故应急救援预案；</w:t>
            </w:r>
          </w:p>
          <w:p w14:paraId="6EEA0FE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组织或者参与本单位安全生产教育和培训，如实记录安全</w:t>
            </w:r>
            <w:r>
              <w:rPr>
                <w:rFonts w:hint="eastAsia" w:ascii="宋体" w:hAnsi="宋体" w:eastAsia="宋体" w:cs="宋体"/>
                <w:spacing w:val="7"/>
                <w:sz w:val="24"/>
                <w:szCs w:val="24"/>
              </w:rPr>
              <w:t>生产教育和培训情况；</w:t>
            </w:r>
          </w:p>
          <w:p w14:paraId="4041035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（三）组织开展危险源辨识和评估，督促落实本单位重大危险源</w:t>
            </w:r>
            <w:r>
              <w:rPr>
                <w:rFonts w:hint="eastAsia" w:ascii="宋体" w:hAnsi="宋体" w:eastAsia="宋体" w:cs="宋体"/>
                <w:spacing w:val="5"/>
                <w:sz w:val="24"/>
                <w:szCs w:val="24"/>
              </w:rPr>
              <w:t>的安全管理措施；</w:t>
            </w:r>
          </w:p>
          <w:p w14:paraId="44A31DF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（四）组织或者参与本单位应急救援演练；</w:t>
            </w:r>
          </w:p>
          <w:p w14:paraId="584895B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（五）检查本单位的安全生产状况，及时排查生</w:t>
            </w:r>
            <w:r>
              <w:rPr>
                <w:rFonts w:hint="eastAsia" w:ascii="宋体" w:hAnsi="宋体" w:eastAsia="宋体" w:cs="宋体"/>
                <w:spacing w:val="3"/>
                <w:sz w:val="24"/>
                <w:szCs w:val="24"/>
              </w:rPr>
              <w:t>产安全事故隐患，</w:t>
            </w:r>
            <w:r>
              <w:rPr>
                <w:rFonts w:hint="eastAsia" w:ascii="宋体" w:hAnsi="宋体" w:eastAsia="宋体" w:cs="宋体"/>
                <w:spacing w:val="8"/>
                <w:sz w:val="24"/>
                <w:szCs w:val="24"/>
              </w:rPr>
              <w:t>提出改进安全生产管理的建议；</w:t>
            </w:r>
          </w:p>
          <w:p w14:paraId="1D48E7F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1"/>
                <w:sz w:val="24"/>
                <w:szCs w:val="24"/>
              </w:rPr>
            </w:pPr>
            <w:r>
              <w:rPr>
                <w:rFonts w:hint="eastAsia" w:ascii="宋体" w:hAnsi="宋体" w:eastAsia="宋体" w:cs="宋体"/>
                <w:spacing w:val="9"/>
                <w:sz w:val="24"/>
                <w:szCs w:val="24"/>
              </w:rPr>
              <w:t>（六）制止和纠正违章指挥、强令冒险作业、违反操作规程的行</w:t>
            </w:r>
            <w:r>
              <w:rPr>
                <w:rFonts w:hint="eastAsia" w:ascii="宋体" w:hAnsi="宋体" w:eastAsia="宋体" w:cs="宋体"/>
                <w:spacing w:val="-1"/>
                <w:sz w:val="24"/>
                <w:szCs w:val="24"/>
              </w:rPr>
              <w:t>为；</w:t>
            </w:r>
          </w:p>
          <w:p w14:paraId="2AE0AF6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8"/>
                <w:sz w:val="24"/>
                <w:szCs w:val="24"/>
              </w:rPr>
            </w:pPr>
            <w:r>
              <w:rPr>
                <w:rFonts w:hint="eastAsia" w:ascii="宋体" w:hAnsi="宋体" w:eastAsia="宋体" w:cs="宋体"/>
                <w:spacing w:val="8"/>
                <w:sz w:val="24"/>
                <w:szCs w:val="24"/>
              </w:rPr>
              <w:t>（七）督促落实本单位安全生产整改措施。</w:t>
            </w:r>
          </w:p>
        </w:tc>
        <w:tc>
          <w:tcPr>
            <w:tcW w:w="2677" w:type="dxa"/>
            <w:vAlign w:val="center"/>
          </w:tcPr>
          <w:p w14:paraId="37E7572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《中华人民共和国安全生产法》第二十五条</w:t>
            </w:r>
          </w:p>
        </w:tc>
        <w:tc>
          <w:tcPr>
            <w:tcW w:w="4580" w:type="dxa"/>
            <w:vAlign w:val="center"/>
          </w:tcPr>
          <w:p w14:paraId="369EAE4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w:t>
            </w:r>
            <w:r>
              <w:rPr>
                <w:rFonts w:hint="eastAsia" w:ascii="宋体" w:hAnsi="宋体" w:eastAsia="宋体" w:cs="宋体"/>
                <w:spacing w:val="7"/>
                <w:sz w:val="24"/>
                <w:szCs w:val="24"/>
              </w:rPr>
              <w:t>提供了安全生产岗位责任制</w:t>
            </w:r>
            <w:r>
              <w:rPr>
                <w:rFonts w:hint="eastAsia" w:cs="宋体"/>
                <w:spacing w:val="7"/>
                <w:sz w:val="24"/>
                <w:szCs w:val="24"/>
                <w:lang w:eastAsia="zh-CN"/>
              </w:rPr>
              <w:t>、</w:t>
            </w:r>
            <w:r>
              <w:rPr>
                <w:rFonts w:hint="eastAsia" w:ascii="宋体" w:hAnsi="宋体" w:eastAsia="宋体" w:cs="宋体"/>
                <w:spacing w:val="7"/>
                <w:sz w:val="24"/>
                <w:szCs w:val="24"/>
              </w:rPr>
              <w:t>安全生产例会制度</w:t>
            </w:r>
            <w:r>
              <w:rPr>
                <w:rFonts w:hint="eastAsia" w:cs="宋体"/>
                <w:spacing w:val="7"/>
                <w:sz w:val="24"/>
                <w:szCs w:val="24"/>
                <w:lang w:eastAsia="zh-CN"/>
              </w:rPr>
              <w:t>、</w:t>
            </w:r>
            <w:r>
              <w:rPr>
                <w:rFonts w:hint="eastAsia" w:ascii="宋体" w:hAnsi="宋体" w:eastAsia="宋体" w:cs="宋体"/>
                <w:spacing w:val="7"/>
                <w:sz w:val="24"/>
                <w:szCs w:val="24"/>
              </w:rPr>
              <w:t>安全教育培训制度</w:t>
            </w:r>
            <w:r>
              <w:rPr>
                <w:rFonts w:hint="eastAsia" w:cs="宋体"/>
                <w:spacing w:val="7"/>
                <w:sz w:val="24"/>
                <w:szCs w:val="24"/>
                <w:lang w:eastAsia="zh-CN"/>
              </w:rPr>
              <w:t>、</w:t>
            </w:r>
            <w:r>
              <w:rPr>
                <w:rFonts w:hint="eastAsia" w:ascii="宋体" w:hAnsi="宋体" w:eastAsia="宋体" w:cs="宋体"/>
                <w:spacing w:val="7"/>
                <w:sz w:val="24"/>
                <w:szCs w:val="24"/>
              </w:rPr>
              <w:t>安全生产隐患排查制度</w:t>
            </w:r>
            <w:r>
              <w:rPr>
                <w:rFonts w:hint="eastAsia" w:cs="宋体"/>
                <w:spacing w:val="7"/>
                <w:sz w:val="24"/>
                <w:szCs w:val="24"/>
                <w:lang w:eastAsia="zh-CN"/>
              </w:rPr>
              <w:t>、</w:t>
            </w:r>
            <w:r>
              <w:rPr>
                <w:rFonts w:hint="eastAsia" w:ascii="宋体" w:hAnsi="宋体" w:eastAsia="宋体" w:cs="宋体"/>
                <w:spacing w:val="7"/>
                <w:sz w:val="24"/>
                <w:szCs w:val="24"/>
              </w:rPr>
              <w:t>安全生产事故报告和处理制度</w:t>
            </w:r>
            <w:r>
              <w:rPr>
                <w:rFonts w:hint="eastAsia" w:cs="宋体"/>
                <w:spacing w:val="7"/>
                <w:sz w:val="24"/>
                <w:szCs w:val="24"/>
                <w:lang w:eastAsia="zh-CN"/>
              </w:rPr>
              <w:t>、</w:t>
            </w:r>
            <w:r>
              <w:rPr>
                <w:rFonts w:hint="eastAsia" w:ascii="宋体" w:hAnsi="宋体" w:eastAsia="宋体" w:cs="宋体"/>
                <w:spacing w:val="7"/>
                <w:sz w:val="24"/>
                <w:szCs w:val="24"/>
              </w:rPr>
              <w:t>巡查制度</w:t>
            </w:r>
            <w:r>
              <w:rPr>
                <w:rFonts w:hint="eastAsia" w:cs="宋体"/>
                <w:spacing w:val="7"/>
                <w:sz w:val="24"/>
                <w:szCs w:val="24"/>
                <w:lang w:eastAsia="zh-CN"/>
              </w:rPr>
              <w:t>、</w:t>
            </w:r>
            <w:r>
              <w:rPr>
                <w:rFonts w:hint="eastAsia" w:ascii="宋体" w:hAnsi="宋体" w:eastAsia="宋体" w:cs="宋体"/>
                <w:spacing w:val="7"/>
                <w:sz w:val="24"/>
                <w:szCs w:val="24"/>
              </w:rPr>
              <w:t>游泳馆卫生管理制度</w:t>
            </w:r>
            <w:r>
              <w:rPr>
                <w:rFonts w:hint="eastAsia" w:cs="宋体"/>
                <w:spacing w:val="7"/>
                <w:sz w:val="24"/>
                <w:szCs w:val="24"/>
                <w:lang w:eastAsia="zh-CN"/>
              </w:rPr>
              <w:t>、</w:t>
            </w:r>
            <w:r>
              <w:rPr>
                <w:rFonts w:hint="eastAsia" w:ascii="宋体" w:hAnsi="宋体" w:eastAsia="宋体" w:cs="宋体"/>
                <w:spacing w:val="7"/>
                <w:sz w:val="24"/>
                <w:szCs w:val="24"/>
              </w:rPr>
              <w:t>服务人员岗位责任制度</w:t>
            </w:r>
            <w:r>
              <w:rPr>
                <w:rFonts w:hint="eastAsia" w:cs="宋体"/>
                <w:spacing w:val="7"/>
                <w:sz w:val="24"/>
                <w:szCs w:val="24"/>
                <w:lang w:eastAsia="zh-CN"/>
              </w:rPr>
              <w:t>、</w:t>
            </w:r>
            <w:r>
              <w:rPr>
                <w:rFonts w:hint="eastAsia" w:ascii="宋体" w:hAnsi="宋体" w:eastAsia="宋体" w:cs="宋体"/>
                <w:spacing w:val="7"/>
                <w:sz w:val="24"/>
                <w:szCs w:val="24"/>
              </w:rPr>
              <w:t>安全生产事故应急预案</w:t>
            </w:r>
            <w:r>
              <w:rPr>
                <w:rFonts w:hint="eastAsia" w:cs="宋体"/>
                <w:spacing w:val="7"/>
                <w:sz w:val="24"/>
                <w:szCs w:val="24"/>
                <w:lang w:eastAsia="zh-CN"/>
              </w:rPr>
              <w:t>、</w:t>
            </w:r>
            <w:r>
              <w:rPr>
                <w:rFonts w:hint="eastAsia" w:ascii="宋体" w:hAnsi="宋体" w:eastAsia="宋体" w:cs="宋体"/>
                <w:spacing w:val="7"/>
                <w:sz w:val="24"/>
                <w:szCs w:val="24"/>
              </w:rPr>
              <w:t>应急预案制度</w:t>
            </w:r>
            <w:r>
              <w:rPr>
                <w:rFonts w:hint="eastAsia" w:cs="宋体"/>
                <w:spacing w:val="7"/>
                <w:sz w:val="24"/>
                <w:szCs w:val="24"/>
                <w:lang w:val="en-US" w:eastAsia="zh-CN"/>
              </w:rPr>
              <w:t>及岗位职责任职要求、会议记录、安全培训记录、培训测试题、健康安全危害因素辨识和风险评价清单、石油科技交流中心应急管理制度、游泳馆安全生产事故应急预案、游泳馆突发事件应急处理预案、高危人群运动处置方案、救生员重点关注事项、前台重点关注事项等相关文件、记录</w:t>
            </w:r>
            <w:r>
              <w:rPr>
                <w:rFonts w:hint="eastAsia" w:ascii="宋体" w:hAnsi="宋体" w:eastAsia="宋体" w:cs="宋体"/>
                <w:spacing w:val="7"/>
                <w:sz w:val="24"/>
                <w:szCs w:val="24"/>
              </w:rPr>
              <w:t>，表明该企业基本落实了相关要求。</w:t>
            </w:r>
          </w:p>
        </w:tc>
      </w:tr>
      <w:tr w14:paraId="0920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trPr>
        <w:tc>
          <w:tcPr>
            <w:tcW w:w="841" w:type="dxa"/>
            <w:vAlign w:val="center"/>
          </w:tcPr>
          <w:p w14:paraId="70DB21D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6079" w:type="dxa"/>
            <w:vAlign w:val="center"/>
          </w:tcPr>
          <w:p w14:paraId="0EA5F22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2677" w:type="dxa"/>
            <w:vAlign w:val="center"/>
          </w:tcPr>
          <w:p w14:paraId="15932EE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《中华人民共和国安全生产法》第二十八条</w:t>
            </w:r>
          </w:p>
        </w:tc>
        <w:tc>
          <w:tcPr>
            <w:tcW w:w="4580" w:type="dxa"/>
            <w:vAlign w:val="center"/>
          </w:tcPr>
          <w:p w14:paraId="55CEA3B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w:t>
            </w:r>
            <w:r>
              <w:rPr>
                <w:rFonts w:hint="eastAsia" w:cs="宋体"/>
                <w:spacing w:val="7"/>
                <w:sz w:val="24"/>
                <w:szCs w:val="24"/>
                <w:lang w:val="en-US" w:eastAsia="zh-CN"/>
              </w:rPr>
              <w:t>会议记录、安全培训记录、培训测试题</w:t>
            </w:r>
            <w:r>
              <w:rPr>
                <w:rFonts w:hint="eastAsia" w:ascii="宋体" w:hAnsi="宋体" w:eastAsia="宋体" w:cs="宋体"/>
                <w:spacing w:val="7"/>
                <w:sz w:val="24"/>
                <w:szCs w:val="24"/>
              </w:rPr>
              <w:t>及相关照片</w:t>
            </w:r>
            <w:r>
              <w:rPr>
                <w:rFonts w:hint="eastAsia" w:ascii="宋体" w:hAnsi="宋体" w:eastAsia="宋体" w:cs="宋体"/>
                <w:spacing w:val="8"/>
                <w:sz w:val="24"/>
                <w:szCs w:val="24"/>
              </w:rPr>
              <w:t>，表明该企业基本落实了相关要求。</w:t>
            </w:r>
          </w:p>
        </w:tc>
      </w:tr>
      <w:tr w14:paraId="401B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trPr>
        <w:tc>
          <w:tcPr>
            <w:tcW w:w="841" w:type="dxa"/>
            <w:vAlign w:val="center"/>
          </w:tcPr>
          <w:p w14:paraId="4EB8F10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6079" w:type="dxa"/>
            <w:vAlign w:val="center"/>
          </w:tcPr>
          <w:p w14:paraId="1B2673C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生产经营单位应当在有较大危险因素的生产经营场所和有关设</w:t>
            </w:r>
            <w:r>
              <w:rPr>
                <w:rFonts w:hint="eastAsia" w:ascii="宋体" w:hAnsi="宋体" w:eastAsia="宋体" w:cs="宋体"/>
                <w:spacing w:val="8"/>
                <w:sz w:val="24"/>
                <w:szCs w:val="24"/>
              </w:rPr>
              <w:t>施、设备上，设置明显的安全警示标志。</w:t>
            </w:r>
          </w:p>
        </w:tc>
        <w:tc>
          <w:tcPr>
            <w:tcW w:w="2677" w:type="dxa"/>
            <w:vAlign w:val="center"/>
          </w:tcPr>
          <w:p w14:paraId="22BF705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w:t>
            </w:r>
            <w:r>
              <w:rPr>
                <w:rFonts w:hint="eastAsia" w:ascii="宋体" w:hAnsi="宋体" w:eastAsia="宋体" w:cs="宋体"/>
                <w:spacing w:val="9"/>
                <w:sz w:val="24"/>
                <w:szCs w:val="24"/>
              </w:rPr>
              <w:t>产法》第三十五条</w:t>
            </w:r>
          </w:p>
        </w:tc>
        <w:tc>
          <w:tcPr>
            <w:tcW w:w="4580" w:type="dxa"/>
            <w:vAlign w:val="center"/>
          </w:tcPr>
          <w:p w14:paraId="30876B7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游泳馆现场应急救援装备齐全、监控完善</w:t>
            </w:r>
            <w:r>
              <w:rPr>
                <w:rFonts w:hint="eastAsia" w:ascii="宋体" w:hAnsi="宋体" w:eastAsia="宋体" w:cs="宋体"/>
                <w:spacing w:val="8"/>
                <w:sz w:val="24"/>
                <w:szCs w:val="24"/>
              </w:rPr>
              <w:t>，</w:t>
            </w:r>
            <w:r>
              <w:rPr>
                <w:rFonts w:hint="eastAsia" w:cs="宋体"/>
                <w:spacing w:val="8"/>
                <w:sz w:val="24"/>
                <w:szCs w:val="24"/>
                <w:lang w:val="en-US" w:eastAsia="zh-CN"/>
              </w:rPr>
              <w:t>但未见相关记录文件。</w:t>
            </w:r>
          </w:p>
        </w:tc>
      </w:tr>
      <w:tr w14:paraId="3EAF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4" w:hRule="atLeast"/>
        </w:trPr>
        <w:tc>
          <w:tcPr>
            <w:tcW w:w="841" w:type="dxa"/>
            <w:vAlign w:val="center"/>
          </w:tcPr>
          <w:p w14:paraId="7BDA94C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6079" w:type="dxa"/>
            <w:vAlign w:val="center"/>
          </w:tcPr>
          <w:p w14:paraId="2167E3C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生产经营单位应当建立安全风险分级管控制度，按照安全风险分</w:t>
            </w:r>
            <w:r>
              <w:rPr>
                <w:rFonts w:hint="eastAsia" w:ascii="宋体" w:hAnsi="宋体" w:eastAsia="宋体" w:cs="宋体"/>
                <w:spacing w:val="7"/>
                <w:sz w:val="24"/>
                <w:szCs w:val="24"/>
              </w:rPr>
              <w:t>级采取相应的管控措施。</w:t>
            </w:r>
          </w:p>
          <w:p w14:paraId="5E3564D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生产经营单位应当建立健全并落实生产安全事故隐患排查治理</w:t>
            </w:r>
            <w:r>
              <w:rPr>
                <w:rFonts w:hint="eastAsia" w:ascii="宋体" w:hAnsi="宋体" w:eastAsia="宋体" w:cs="宋体"/>
                <w:spacing w:val="9"/>
                <w:sz w:val="24"/>
                <w:szCs w:val="24"/>
              </w:rPr>
              <w:t>制度，采取技术、管理措施，及时发现并消除事故隐患。</w:t>
            </w:r>
          </w:p>
        </w:tc>
        <w:tc>
          <w:tcPr>
            <w:tcW w:w="2677" w:type="dxa"/>
            <w:vAlign w:val="center"/>
          </w:tcPr>
          <w:p w14:paraId="62D56B9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《中华人民共和国安全生产法》第四十一条</w:t>
            </w:r>
          </w:p>
        </w:tc>
        <w:tc>
          <w:tcPr>
            <w:tcW w:w="4580" w:type="dxa"/>
            <w:vAlign w:val="center"/>
          </w:tcPr>
          <w:p w14:paraId="508B667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提供了安全生产隐患排查制度</w:t>
            </w:r>
            <w:r>
              <w:rPr>
                <w:rFonts w:hint="eastAsia" w:cs="宋体"/>
                <w:spacing w:val="17"/>
                <w:sz w:val="24"/>
                <w:szCs w:val="24"/>
                <w:lang w:eastAsia="zh-CN"/>
              </w:rPr>
              <w:t>、健康安全危害因素辨识和风险评价清单</w:t>
            </w:r>
            <w:r>
              <w:rPr>
                <w:rFonts w:hint="eastAsia" w:cs="宋体"/>
                <w:spacing w:val="17"/>
                <w:sz w:val="24"/>
                <w:szCs w:val="24"/>
                <w:lang w:val="en-US" w:eastAsia="zh-CN"/>
              </w:rPr>
              <w:t>等相关文件、记录</w:t>
            </w:r>
            <w:r>
              <w:rPr>
                <w:rFonts w:hint="eastAsia" w:ascii="宋体" w:hAnsi="宋体" w:eastAsia="宋体" w:cs="宋体"/>
                <w:spacing w:val="7"/>
                <w:sz w:val="24"/>
                <w:szCs w:val="24"/>
              </w:rPr>
              <w:t>，表明该企</w:t>
            </w:r>
            <w:r>
              <w:rPr>
                <w:rFonts w:hint="eastAsia" w:ascii="宋体" w:hAnsi="宋体" w:eastAsia="宋体" w:cs="宋体"/>
                <w:spacing w:val="8"/>
                <w:sz w:val="24"/>
                <w:szCs w:val="24"/>
              </w:rPr>
              <w:t>业基本落实了相关要求。</w:t>
            </w:r>
          </w:p>
        </w:tc>
      </w:tr>
      <w:tr w14:paraId="410E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8" w:hRule="atLeast"/>
        </w:trPr>
        <w:tc>
          <w:tcPr>
            <w:tcW w:w="841" w:type="dxa"/>
            <w:vAlign w:val="center"/>
          </w:tcPr>
          <w:p w14:paraId="134AA93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6079" w:type="dxa"/>
            <w:vAlign w:val="center"/>
          </w:tcPr>
          <w:p w14:paraId="6385BDE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生产经营单位应当教育和督促从业人员严格执行本单位的安全</w:t>
            </w:r>
            <w:r>
              <w:rPr>
                <w:rFonts w:hint="eastAsia" w:ascii="宋体" w:hAnsi="宋体" w:eastAsia="宋体" w:cs="宋体"/>
                <w:spacing w:val="9"/>
                <w:sz w:val="24"/>
                <w:szCs w:val="24"/>
              </w:rPr>
              <w:t>生产规章制度和安全操作规程；并向从业人员如实告知作业场所和工作岗位存在的危险因素、防范措施以及事故应急措施。</w:t>
            </w:r>
          </w:p>
        </w:tc>
        <w:tc>
          <w:tcPr>
            <w:tcW w:w="2677" w:type="dxa"/>
            <w:vAlign w:val="center"/>
          </w:tcPr>
          <w:p w14:paraId="3D35D20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《中华人民共和国安全生产法》第四十四条</w:t>
            </w:r>
          </w:p>
        </w:tc>
        <w:tc>
          <w:tcPr>
            <w:tcW w:w="4580" w:type="dxa"/>
            <w:vAlign w:val="center"/>
          </w:tcPr>
          <w:p w14:paraId="0F36AD8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w:t>
            </w:r>
            <w:r>
              <w:rPr>
                <w:rFonts w:hint="eastAsia" w:cs="宋体"/>
                <w:spacing w:val="7"/>
                <w:sz w:val="24"/>
                <w:szCs w:val="24"/>
                <w:lang w:val="en-US" w:eastAsia="zh-CN"/>
              </w:rPr>
              <w:t>安全生产相关制度、安全培训记录、培训测试题</w:t>
            </w:r>
            <w:r>
              <w:rPr>
                <w:rFonts w:hint="eastAsia" w:ascii="宋体" w:hAnsi="宋体" w:eastAsia="宋体" w:cs="宋体"/>
                <w:spacing w:val="7"/>
                <w:sz w:val="24"/>
                <w:szCs w:val="24"/>
              </w:rPr>
              <w:t>及相关照片</w:t>
            </w:r>
            <w:r>
              <w:rPr>
                <w:rFonts w:hint="eastAsia" w:ascii="宋体" w:hAnsi="宋体" w:eastAsia="宋体" w:cs="宋体"/>
                <w:spacing w:val="7"/>
                <w:sz w:val="24"/>
                <w:szCs w:val="24"/>
                <w:lang w:eastAsia="zh-CN"/>
              </w:rPr>
              <w:t>、</w:t>
            </w:r>
            <w:r>
              <w:rPr>
                <w:rFonts w:hint="eastAsia" w:cs="宋体"/>
                <w:spacing w:val="7"/>
                <w:sz w:val="24"/>
                <w:szCs w:val="24"/>
                <w:lang w:val="en-US" w:eastAsia="zh-CN"/>
              </w:rPr>
              <w:t>前台重点关注事项等</w:t>
            </w:r>
            <w:r>
              <w:rPr>
                <w:rFonts w:hint="eastAsia" w:cs="宋体"/>
                <w:spacing w:val="17"/>
                <w:sz w:val="24"/>
                <w:szCs w:val="24"/>
                <w:lang w:val="en-US" w:eastAsia="zh-CN"/>
              </w:rPr>
              <w:t>相关文件、记录</w:t>
            </w:r>
            <w:r>
              <w:rPr>
                <w:rFonts w:hint="eastAsia" w:ascii="宋体" w:hAnsi="宋体" w:eastAsia="宋体" w:cs="宋体"/>
                <w:spacing w:val="7"/>
                <w:sz w:val="24"/>
                <w:szCs w:val="24"/>
              </w:rPr>
              <w:t>，</w:t>
            </w:r>
            <w:r>
              <w:rPr>
                <w:rFonts w:hint="eastAsia" w:ascii="宋体" w:hAnsi="宋体" w:eastAsia="宋体" w:cs="宋体"/>
                <w:spacing w:val="17"/>
                <w:sz w:val="24"/>
                <w:szCs w:val="24"/>
              </w:rPr>
              <w:t>表明该企业基本落实了相关要</w:t>
            </w:r>
            <w:r>
              <w:rPr>
                <w:rFonts w:hint="eastAsia" w:ascii="宋体" w:hAnsi="宋体" w:eastAsia="宋体" w:cs="宋体"/>
                <w:sz w:val="24"/>
                <w:szCs w:val="24"/>
              </w:rPr>
              <w:t>求。</w:t>
            </w:r>
          </w:p>
        </w:tc>
      </w:tr>
      <w:tr w14:paraId="08D9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8" w:hRule="atLeast"/>
        </w:trPr>
        <w:tc>
          <w:tcPr>
            <w:tcW w:w="841" w:type="dxa"/>
            <w:vAlign w:val="center"/>
          </w:tcPr>
          <w:p w14:paraId="0CE24B8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10</w:t>
            </w:r>
          </w:p>
        </w:tc>
        <w:tc>
          <w:tcPr>
            <w:tcW w:w="6079" w:type="dxa"/>
            <w:vAlign w:val="center"/>
          </w:tcPr>
          <w:p w14:paraId="71EC7E2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生产经营单位必须为从业人员提供符合国家标准或者行业标准</w:t>
            </w:r>
            <w:r>
              <w:rPr>
                <w:rFonts w:hint="eastAsia" w:ascii="宋体" w:hAnsi="宋体" w:eastAsia="宋体" w:cs="宋体"/>
                <w:spacing w:val="9"/>
                <w:sz w:val="24"/>
                <w:szCs w:val="24"/>
              </w:rPr>
              <w:t>的劳动防护用品，并监督、教育从业人员按照使用规则佩戴、使</w:t>
            </w:r>
            <w:r>
              <w:rPr>
                <w:rFonts w:hint="eastAsia" w:ascii="宋体" w:hAnsi="宋体" w:eastAsia="宋体" w:cs="宋体"/>
                <w:spacing w:val="-1"/>
                <w:sz w:val="24"/>
                <w:szCs w:val="24"/>
              </w:rPr>
              <w:t>用。</w:t>
            </w:r>
          </w:p>
        </w:tc>
        <w:tc>
          <w:tcPr>
            <w:tcW w:w="2677" w:type="dxa"/>
            <w:vAlign w:val="center"/>
          </w:tcPr>
          <w:p w14:paraId="29B18CD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《中华人民共和国安全生产法》第四十五条</w:t>
            </w:r>
          </w:p>
        </w:tc>
        <w:tc>
          <w:tcPr>
            <w:tcW w:w="4580" w:type="dxa"/>
            <w:vAlign w:val="center"/>
          </w:tcPr>
          <w:p w14:paraId="558E331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游泳馆现场应急救援装备齐全、监控完善</w:t>
            </w:r>
            <w:r>
              <w:rPr>
                <w:rFonts w:hint="eastAsia" w:ascii="宋体" w:hAnsi="宋体" w:eastAsia="宋体" w:cs="宋体"/>
                <w:spacing w:val="8"/>
                <w:sz w:val="24"/>
                <w:szCs w:val="24"/>
              </w:rPr>
              <w:t>，</w:t>
            </w:r>
            <w:r>
              <w:rPr>
                <w:rFonts w:hint="eastAsia" w:ascii="宋体" w:hAnsi="宋体" w:eastAsia="宋体" w:cs="宋体"/>
                <w:spacing w:val="17"/>
                <w:sz w:val="24"/>
                <w:szCs w:val="24"/>
              </w:rPr>
              <w:t>表明该企业基本落实了相关要</w:t>
            </w:r>
            <w:r>
              <w:rPr>
                <w:rFonts w:hint="eastAsia" w:ascii="宋体" w:hAnsi="宋体" w:eastAsia="宋体" w:cs="宋体"/>
                <w:sz w:val="24"/>
                <w:szCs w:val="24"/>
              </w:rPr>
              <w:t>求</w:t>
            </w:r>
            <w:r>
              <w:rPr>
                <w:rFonts w:hint="eastAsia" w:cs="宋体"/>
                <w:spacing w:val="8"/>
                <w:sz w:val="24"/>
                <w:szCs w:val="24"/>
                <w:lang w:val="en-US" w:eastAsia="zh-CN"/>
              </w:rPr>
              <w:t>。</w:t>
            </w:r>
          </w:p>
        </w:tc>
      </w:tr>
      <w:tr w14:paraId="4831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3" w:hRule="atLeast"/>
        </w:trPr>
        <w:tc>
          <w:tcPr>
            <w:tcW w:w="841" w:type="dxa"/>
            <w:vAlign w:val="center"/>
          </w:tcPr>
          <w:p w14:paraId="09E6D4B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10"/>
                <w:sz w:val="24"/>
                <w:szCs w:val="24"/>
              </w:rPr>
              <w:t>11</w:t>
            </w:r>
          </w:p>
        </w:tc>
        <w:tc>
          <w:tcPr>
            <w:tcW w:w="6079" w:type="dxa"/>
            <w:vAlign w:val="center"/>
          </w:tcPr>
          <w:p w14:paraId="2937C3D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生产经营单位的安全生产管理人员应当根据本单位的生产经营</w:t>
            </w:r>
            <w:r>
              <w:rPr>
                <w:rFonts w:hint="eastAsia" w:ascii="宋体" w:hAnsi="宋体" w:eastAsia="宋体" w:cs="宋体"/>
                <w:spacing w:val="9"/>
                <w:sz w:val="24"/>
                <w:szCs w:val="24"/>
              </w:rPr>
              <w:t>特点，对安全生产状况进行经常性检查；对检查中发现的安全问题，应当立即处理；不能处理的，应当及时报告本单位有关负责人，有关负责人应当及时处理。检查及处理情况应当如实记录在</w:t>
            </w:r>
            <w:r>
              <w:rPr>
                <w:rFonts w:hint="eastAsia" w:ascii="宋体" w:hAnsi="宋体" w:eastAsia="宋体" w:cs="宋体"/>
                <w:sz w:val="24"/>
                <w:szCs w:val="24"/>
              </w:rPr>
              <w:t>案。</w:t>
            </w:r>
          </w:p>
        </w:tc>
        <w:tc>
          <w:tcPr>
            <w:tcW w:w="2677" w:type="dxa"/>
            <w:vAlign w:val="center"/>
          </w:tcPr>
          <w:p w14:paraId="27ADD39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《中华人民共和国安全生产法》第四十六条</w:t>
            </w:r>
          </w:p>
        </w:tc>
        <w:tc>
          <w:tcPr>
            <w:tcW w:w="4580" w:type="dxa"/>
            <w:vAlign w:val="center"/>
          </w:tcPr>
          <w:p w14:paraId="74BADBD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提供了安全生产隐患排查制度</w:t>
            </w:r>
            <w:r>
              <w:rPr>
                <w:rFonts w:hint="eastAsia" w:cs="宋体"/>
                <w:spacing w:val="7"/>
                <w:sz w:val="24"/>
                <w:szCs w:val="24"/>
                <w:lang w:eastAsia="zh-CN"/>
              </w:rPr>
              <w:t>、</w:t>
            </w:r>
            <w:r>
              <w:rPr>
                <w:rFonts w:hint="eastAsia" w:cs="宋体"/>
                <w:spacing w:val="7"/>
                <w:sz w:val="24"/>
                <w:szCs w:val="24"/>
                <w:lang w:val="en-US" w:eastAsia="zh-CN"/>
              </w:rPr>
              <w:t>游泳馆排查治理情况，现场可看到</w:t>
            </w:r>
            <w:r>
              <w:rPr>
                <w:rFonts w:hint="eastAsia" w:ascii="宋体" w:hAnsi="宋体" w:eastAsia="宋体" w:cs="宋体"/>
                <w:spacing w:val="7"/>
                <w:sz w:val="24"/>
                <w:szCs w:val="24"/>
              </w:rPr>
              <w:t>水质检测报告、消毒剂使用</w:t>
            </w:r>
            <w:r>
              <w:rPr>
                <w:rFonts w:hint="eastAsia" w:ascii="宋体" w:hAnsi="宋体" w:eastAsia="宋体" w:cs="宋体"/>
                <w:spacing w:val="7"/>
                <w:sz w:val="24"/>
                <w:szCs w:val="24"/>
                <w:lang w:val="en-US" w:eastAsia="zh-CN"/>
              </w:rPr>
              <w:t>记录等文件、记录</w:t>
            </w:r>
            <w:r>
              <w:rPr>
                <w:rFonts w:hint="eastAsia" w:ascii="宋体" w:hAnsi="宋体" w:eastAsia="宋体" w:cs="宋体"/>
                <w:spacing w:val="17"/>
                <w:sz w:val="24"/>
                <w:szCs w:val="24"/>
              </w:rPr>
              <w:t>，</w:t>
            </w:r>
            <w:r>
              <w:rPr>
                <w:rFonts w:hint="eastAsia" w:ascii="宋体" w:hAnsi="宋体" w:eastAsia="宋体" w:cs="宋体"/>
                <w:spacing w:val="8"/>
                <w:sz w:val="24"/>
                <w:szCs w:val="24"/>
              </w:rPr>
              <w:t>表明该企业基本落实了相关要求。</w:t>
            </w:r>
          </w:p>
        </w:tc>
      </w:tr>
      <w:tr w14:paraId="14B7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8" w:hRule="atLeast"/>
        </w:trPr>
        <w:tc>
          <w:tcPr>
            <w:tcW w:w="841" w:type="dxa"/>
            <w:vAlign w:val="center"/>
          </w:tcPr>
          <w:p w14:paraId="428D5A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12</w:t>
            </w:r>
          </w:p>
        </w:tc>
        <w:tc>
          <w:tcPr>
            <w:tcW w:w="6079" w:type="dxa"/>
            <w:vAlign w:val="center"/>
          </w:tcPr>
          <w:p w14:paraId="4F6CCFE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生产经营单位应当安排用于配备劳动防护用品、进行安全生产培训的经费。</w:t>
            </w:r>
          </w:p>
        </w:tc>
        <w:tc>
          <w:tcPr>
            <w:tcW w:w="2677" w:type="dxa"/>
            <w:vAlign w:val="center"/>
          </w:tcPr>
          <w:p w14:paraId="39C98C3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w:t>
            </w:r>
            <w:r>
              <w:rPr>
                <w:rFonts w:hint="eastAsia" w:ascii="宋体" w:hAnsi="宋体" w:eastAsia="宋体" w:cs="宋体"/>
                <w:spacing w:val="9"/>
                <w:sz w:val="24"/>
                <w:szCs w:val="24"/>
              </w:rPr>
              <w:t>产法》第四十七条</w:t>
            </w:r>
          </w:p>
        </w:tc>
        <w:tc>
          <w:tcPr>
            <w:tcW w:w="4580" w:type="dxa"/>
            <w:vAlign w:val="center"/>
          </w:tcPr>
          <w:p w14:paraId="47C292F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游泳馆现场应急救援装备齐全、监控完善</w:t>
            </w:r>
            <w:r>
              <w:rPr>
                <w:rFonts w:hint="eastAsia" w:ascii="宋体" w:hAnsi="宋体" w:eastAsia="宋体" w:cs="宋体"/>
                <w:spacing w:val="8"/>
                <w:sz w:val="24"/>
                <w:szCs w:val="24"/>
              </w:rPr>
              <w:t>，</w:t>
            </w:r>
            <w:r>
              <w:rPr>
                <w:rFonts w:hint="eastAsia" w:cs="宋体"/>
                <w:spacing w:val="8"/>
                <w:sz w:val="24"/>
                <w:szCs w:val="24"/>
                <w:lang w:val="en-US" w:eastAsia="zh-CN"/>
              </w:rPr>
              <w:t>但未见相关记录文件。</w:t>
            </w:r>
          </w:p>
        </w:tc>
      </w:tr>
      <w:tr w14:paraId="6BAE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trPr>
        <w:tc>
          <w:tcPr>
            <w:tcW w:w="841" w:type="dxa"/>
            <w:vAlign w:val="center"/>
          </w:tcPr>
          <w:p w14:paraId="6D9BCA8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13</w:t>
            </w:r>
          </w:p>
        </w:tc>
        <w:tc>
          <w:tcPr>
            <w:tcW w:w="6079" w:type="dxa"/>
            <w:vAlign w:val="center"/>
          </w:tcPr>
          <w:p w14:paraId="728D35A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生产经营单位发生生产安全事故时，单位的主要负责人应当立即组织抢救，并不得在事故调查处理期间擅离职守。</w:t>
            </w:r>
          </w:p>
        </w:tc>
        <w:tc>
          <w:tcPr>
            <w:tcW w:w="2677" w:type="dxa"/>
            <w:vAlign w:val="center"/>
          </w:tcPr>
          <w:p w14:paraId="74211AC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《中华人民共和国安全生产法》第五十条</w:t>
            </w:r>
          </w:p>
        </w:tc>
        <w:tc>
          <w:tcPr>
            <w:tcW w:w="4580" w:type="dxa"/>
            <w:vAlign w:val="center"/>
          </w:tcPr>
          <w:p w14:paraId="55B598C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w:t>
            </w:r>
            <w:r>
              <w:rPr>
                <w:rFonts w:hint="eastAsia" w:cs="宋体"/>
                <w:spacing w:val="7"/>
                <w:sz w:val="24"/>
                <w:szCs w:val="24"/>
                <w:lang w:val="en-US" w:eastAsia="zh-CN"/>
              </w:rPr>
              <w:t>石油科技交流中心应急管理制度、游泳馆安全生产事故应急预案、游泳馆突发事件应急处理预案、高危人群运动处置方案、救生员重点关注事项、前台重点关注事项等文件</w:t>
            </w:r>
            <w:r>
              <w:rPr>
                <w:rFonts w:hint="eastAsia" w:ascii="宋体" w:hAnsi="宋体" w:eastAsia="宋体" w:cs="宋体"/>
                <w:spacing w:val="17"/>
                <w:sz w:val="24"/>
                <w:szCs w:val="24"/>
              </w:rPr>
              <w:t>，表明该企业基本落实了相关要</w:t>
            </w:r>
            <w:r>
              <w:rPr>
                <w:rFonts w:hint="eastAsia" w:ascii="宋体" w:hAnsi="宋体" w:eastAsia="宋体" w:cs="宋体"/>
                <w:spacing w:val="-1"/>
                <w:sz w:val="24"/>
                <w:szCs w:val="24"/>
              </w:rPr>
              <w:t>求。</w:t>
            </w:r>
          </w:p>
        </w:tc>
      </w:tr>
      <w:tr w14:paraId="7D3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41" w:type="dxa"/>
            <w:vAlign w:val="center"/>
          </w:tcPr>
          <w:p w14:paraId="666C94A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14</w:t>
            </w:r>
          </w:p>
        </w:tc>
        <w:tc>
          <w:tcPr>
            <w:tcW w:w="6079" w:type="dxa"/>
            <w:vAlign w:val="center"/>
          </w:tcPr>
          <w:p w14:paraId="5833A6B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生产经营单位应当制定本单位生产安全事故应急救援预案，与所</w:t>
            </w:r>
            <w:r>
              <w:rPr>
                <w:rFonts w:hint="eastAsia" w:ascii="宋体" w:hAnsi="宋体" w:eastAsia="宋体" w:cs="宋体"/>
                <w:spacing w:val="17"/>
                <w:sz w:val="24"/>
                <w:szCs w:val="24"/>
              </w:rPr>
              <w:t>在地县级以上地方人民政府组织制定的生产安全事故应急救援</w:t>
            </w:r>
            <w:r>
              <w:rPr>
                <w:rFonts w:hint="eastAsia" w:ascii="宋体" w:hAnsi="宋体" w:eastAsia="宋体" w:cs="宋体"/>
                <w:spacing w:val="8"/>
                <w:sz w:val="24"/>
                <w:szCs w:val="24"/>
              </w:rPr>
              <w:t>预案相衔接，并定期组织演练。</w:t>
            </w:r>
          </w:p>
        </w:tc>
        <w:tc>
          <w:tcPr>
            <w:tcW w:w="2677" w:type="dxa"/>
            <w:vAlign w:val="center"/>
          </w:tcPr>
          <w:p w14:paraId="3C3C1A8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w:t>
            </w:r>
            <w:r>
              <w:rPr>
                <w:rFonts w:hint="eastAsia" w:ascii="宋体" w:hAnsi="宋体" w:eastAsia="宋体" w:cs="宋体"/>
                <w:spacing w:val="9"/>
                <w:sz w:val="24"/>
                <w:szCs w:val="24"/>
              </w:rPr>
              <w:t>产法》第八十一条</w:t>
            </w:r>
          </w:p>
        </w:tc>
        <w:tc>
          <w:tcPr>
            <w:tcW w:w="4580" w:type="dxa"/>
            <w:vAlign w:val="center"/>
          </w:tcPr>
          <w:p w14:paraId="18A239D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w:t>
            </w:r>
            <w:r>
              <w:rPr>
                <w:rFonts w:hint="eastAsia" w:cs="宋体"/>
                <w:spacing w:val="7"/>
                <w:sz w:val="24"/>
                <w:szCs w:val="24"/>
                <w:lang w:val="en-US" w:eastAsia="zh-CN"/>
              </w:rPr>
              <w:t>石油科技交流中心应急管理制度，现场有演练照片</w:t>
            </w:r>
            <w:r>
              <w:rPr>
                <w:rFonts w:hint="eastAsia" w:ascii="宋体" w:hAnsi="宋体" w:eastAsia="宋体" w:cs="宋体"/>
                <w:spacing w:val="3"/>
                <w:sz w:val="24"/>
                <w:szCs w:val="24"/>
              </w:rPr>
              <w:t>。</w:t>
            </w:r>
          </w:p>
        </w:tc>
      </w:tr>
      <w:tr w14:paraId="599F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2" w:hRule="atLeast"/>
        </w:trPr>
        <w:tc>
          <w:tcPr>
            <w:tcW w:w="841" w:type="dxa"/>
            <w:vAlign w:val="center"/>
          </w:tcPr>
          <w:p w14:paraId="2B8E8A4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15</w:t>
            </w:r>
          </w:p>
        </w:tc>
        <w:tc>
          <w:tcPr>
            <w:tcW w:w="6079" w:type="dxa"/>
            <w:vAlign w:val="center"/>
          </w:tcPr>
          <w:p w14:paraId="47CF4B3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生产经营单位发生生产安全事故后，事故现场有关人员应当立即报告本单位负责人。单位负责人接到事故报告后，应当迅速采取</w:t>
            </w:r>
            <w:r>
              <w:rPr>
                <w:rFonts w:hint="eastAsia" w:ascii="宋体" w:hAnsi="宋体" w:eastAsia="宋体" w:cs="宋体"/>
                <w:spacing w:val="4"/>
                <w:sz w:val="24"/>
                <w:szCs w:val="24"/>
              </w:rPr>
              <w:t>有效措施，组织抢救，防止事故扩大，减少人员伤亡和财产损失，</w:t>
            </w:r>
            <w:r>
              <w:rPr>
                <w:rFonts w:hint="eastAsia" w:ascii="宋体" w:hAnsi="宋体" w:eastAsia="宋体" w:cs="宋体"/>
                <w:spacing w:val="17"/>
                <w:sz w:val="24"/>
                <w:szCs w:val="24"/>
              </w:rPr>
              <w:t>并按照国家有关规定立即如实报告当地负有安全生产监督管理</w:t>
            </w:r>
            <w:r>
              <w:rPr>
                <w:rFonts w:hint="eastAsia" w:ascii="宋体" w:hAnsi="宋体" w:eastAsia="宋体" w:cs="宋体"/>
                <w:spacing w:val="9"/>
                <w:sz w:val="24"/>
                <w:szCs w:val="24"/>
              </w:rPr>
              <w:t>职责的部门，不得隐瞒不报、谎报或者迟报，不得故意破坏事故</w:t>
            </w:r>
            <w:r>
              <w:rPr>
                <w:rFonts w:hint="eastAsia" w:ascii="宋体" w:hAnsi="宋体" w:eastAsia="宋体" w:cs="宋体"/>
                <w:spacing w:val="8"/>
                <w:sz w:val="24"/>
                <w:szCs w:val="24"/>
              </w:rPr>
              <w:t>现场、毁灭有关证据。</w:t>
            </w:r>
          </w:p>
        </w:tc>
        <w:tc>
          <w:tcPr>
            <w:tcW w:w="2677" w:type="dxa"/>
            <w:vAlign w:val="center"/>
          </w:tcPr>
          <w:p w14:paraId="0F71EE9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《中华人民共和国安全生</w:t>
            </w:r>
            <w:r>
              <w:rPr>
                <w:rFonts w:hint="eastAsia" w:ascii="宋体" w:hAnsi="宋体" w:eastAsia="宋体" w:cs="宋体"/>
                <w:spacing w:val="9"/>
                <w:sz w:val="24"/>
                <w:szCs w:val="24"/>
              </w:rPr>
              <w:t>产法》第八十三条</w:t>
            </w:r>
          </w:p>
        </w:tc>
        <w:tc>
          <w:tcPr>
            <w:tcW w:w="4580" w:type="dxa"/>
            <w:vAlign w:val="center"/>
          </w:tcPr>
          <w:p w14:paraId="5434EB5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w:t>
            </w:r>
            <w:r>
              <w:rPr>
                <w:rFonts w:hint="eastAsia" w:cs="宋体"/>
                <w:spacing w:val="7"/>
                <w:sz w:val="24"/>
                <w:szCs w:val="24"/>
                <w:lang w:val="en-US" w:eastAsia="zh-CN"/>
              </w:rPr>
              <w:t>石油科技交流中心应急管理制度、游泳馆安全生产事故应急预案、游泳馆突发事件应急处理预案、高危人群运动处置方案、救生员重点关注事项、前台重点关注事项等文件</w:t>
            </w:r>
            <w:r>
              <w:rPr>
                <w:rFonts w:hint="eastAsia" w:ascii="宋体" w:hAnsi="宋体" w:eastAsia="宋体" w:cs="宋体"/>
                <w:spacing w:val="17"/>
                <w:sz w:val="24"/>
                <w:szCs w:val="24"/>
              </w:rPr>
              <w:t>，表明该企业基本落实了相关要</w:t>
            </w:r>
            <w:r>
              <w:rPr>
                <w:rFonts w:hint="eastAsia" w:ascii="宋体" w:hAnsi="宋体" w:eastAsia="宋体" w:cs="宋体"/>
                <w:spacing w:val="-1"/>
                <w:sz w:val="24"/>
                <w:szCs w:val="24"/>
              </w:rPr>
              <w:t>求。</w:t>
            </w:r>
          </w:p>
        </w:tc>
      </w:tr>
      <w:tr w14:paraId="20D3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1" w:hRule="atLeast"/>
        </w:trPr>
        <w:tc>
          <w:tcPr>
            <w:tcW w:w="841" w:type="dxa"/>
            <w:vAlign w:val="center"/>
          </w:tcPr>
          <w:p w14:paraId="16EDAB3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16</w:t>
            </w:r>
          </w:p>
        </w:tc>
        <w:tc>
          <w:tcPr>
            <w:tcW w:w="6079" w:type="dxa"/>
            <w:vAlign w:val="center"/>
          </w:tcPr>
          <w:p w14:paraId="6542C6F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生产经营单位应当遵守安全生产法律、法规、规章的规定，建立健全安全生产规章制度和覆盖全体人员、全部生产经营活动的全</w:t>
            </w:r>
            <w:r>
              <w:rPr>
                <w:rFonts w:hint="eastAsia" w:ascii="宋体" w:hAnsi="宋体" w:eastAsia="宋体" w:cs="宋体"/>
                <w:spacing w:val="8"/>
                <w:sz w:val="24"/>
                <w:szCs w:val="24"/>
              </w:rPr>
              <w:t>员安全生产责任制，确保安全生产。</w:t>
            </w:r>
          </w:p>
          <w:p w14:paraId="6ED2D7E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生产经营单位的主要负责人是本单位安全生产第一责任人，对本单位的安全生产工作全面负责。其他负责人对职责范围内的安全</w:t>
            </w:r>
            <w:r>
              <w:rPr>
                <w:rFonts w:hint="eastAsia" w:ascii="宋体" w:hAnsi="宋体" w:eastAsia="宋体" w:cs="宋体"/>
                <w:spacing w:val="6"/>
                <w:sz w:val="24"/>
                <w:szCs w:val="24"/>
              </w:rPr>
              <w:t>生产工作负责。</w:t>
            </w:r>
          </w:p>
        </w:tc>
        <w:tc>
          <w:tcPr>
            <w:tcW w:w="2677" w:type="dxa"/>
            <w:vAlign w:val="center"/>
          </w:tcPr>
          <w:p w14:paraId="7F09ADD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5"/>
                <w:sz w:val="24"/>
                <w:szCs w:val="24"/>
              </w:rPr>
              <w:t>四条</w:t>
            </w:r>
          </w:p>
        </w:tc>
        <w:tc>
          <w:tcPr>
            <w:tcW w:w="4580" w:type="dxa"/>
            <w:vAlign w:val="center"/>
          </w:tcPr>
          <w:p w14:paraId="4F5389E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提供了《游泳馆各岗位安全生产责任制》《溺水事故处理制度》《溺水抢救操作规程》、游泳救生心肺复苏流程图；《游泳馆各岗</w:t>
            </w:r>
            <w:r>
              <w:rPr>
                <w:rFonts w:hint="eastAsia" w:ascii="宋体" w:hAnsi="宋体" w:eastAsia="宋体" w:cs="宋体"/>
                <w:spacing w:val="9"/>
                <w:sz w:val="24"/>
                <w:szCs w:val="24"/>
              </w:rPr>
              <w:t>位职责》，表明该企业基本落实了相关要求</w:t>
            </w:r>
          </w:p>
        </w:tc>
      </w:tr>
      <w:tr w14:paraId="27E1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trPr>
        <w:tc>
          <w:tcPr>
            <w:tcW w:w="841" w:type="dxa"/>
            <w:vAlign w:val="center"/>
          </w:tcPr>
          <w:p w14:paraId="0966887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17</w:t>
            </w:r>
          </w:p>
        </w:tc>
        <w:tc>
          <w:tcPr>
            <w:tcW w:w="6079" w:type="dxa"/>
            <w:vAlign w:val="center"/>
          </w:tcPr>
          <w:p w14:paraId="18AFDDE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生产经营单位的主要负责人应当依法履行本单位安全生产管理</w:t>
            </w:r>
            <w:r>
              <w:rPr>
                <w:rFonts w:hint="eastAsia" w:ascii="宋体" w:hAnsi="宋体" w:eastAsia="宋体" w:cs="宋体"/>
                <w:spacing w:val="9"/>
                <w:sz w:val="24"/>
                <w:szCs w:val="24"/>
              </w:rPr>
              <w:t>职责，定期组织研究安全生产工作，每年向职工代表大会或者职工大会报告安全生产工作情况；依法不需要建立职工代表大会或者职工大会的小型、微型企业等规模较小的生产经营单位，应当</w:t>
            </w:r>
            <w:r>
              <w:rPr>
                <w:rFonts w:hint="eastAsia" w:ascii="宋体" w:hAnsi="宋体" w:eastAsia="宋体" w:cs="宋体"/>
                <w:spacing w:val="8"/>
                <w:sz w:val="24"/>
                <w:szCs w:val="24"/>
              </w:rPr>
              <w:t>每年向从业人员通报安全生产工作情况。</w:t>
            </w:r>
          </w:p>
        </w:tc>
        <w:tc>
          <w:tcPr>
            <w:tcW w:w="2677" w:type="dxa"/>
            <w:vAlign w:val="center"/>
          </w:tcPr>
          <w:p w14:paraId="68E0E41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6"/>
                <w:sz w:val="24"/>
                <w:szCs w:val="24"/>
              </w:rPr>
              <w:t>十三条</w:t>
            </w:r>
          </w:p>
        </w:tc>
        <w:tc>
          <w:tcPr>
            <w:tcW w:w="4580" w:type="dxa"/>
            <w:vAlign w:val="center"/>
          </w:tcPr>
          <w:p w14:paraId="305DF8B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提供了安全例会记录表及相关照</w:t>
            </w:r>
            <w:r>
              <w:rPr>
                <w:rFonts w:hint="eastAsia" w:ascii="宋体" w:hAnsi="宋体" w:eastAsia="宋体" w:cs="宋体"/>
                <w:spacing w:val="8"/>
                <w:sz w:val="24"/>
                <w:szCs w:val="24"/>
              </w:rPr>
              <w:t>片，表明该企业基本落实了相关要求。</w:t>
            </w:r>
          </w:p>
        </w:tc>
      </w:tr>
      <w:tr w14:paraId="55E0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8" w:hRule="atLeast"/>
        </w:trPr>
        <w:tc>
          <w:tcPr>
            <w:tcW w:w="841" w:type="dxa"/>
            <w:vAlign w:val="center"/>
          </w:tcPr>
          <w:p w14:paraId="33AD78E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18</w:t>
            </w:r>
          </w:p>
        </w:tc>
        <w:tc>
          <w:tcPr>
            <w:tcW w:w="6079" w:type="dxa"/>
            <w:vAlign w:val="center"/>
          </w:tcPr>
          <w:p w14:paraId="4C92957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生产经营单位的主要负责人应当依照安全生产法的规定，组织落实全员安全生产责任制，明确各岗位的责任人员、责任范围和考</w:t>
            </w:r>
            <w:r>
              <w:rPr>
                <w:rFonts w:hint="eastAsia" w:ascii="宋体" w:hAnsi="宋体" w:eastAsia="宋体" w:cs="宋体"/>
                <w:spacing w:val="8"/>
                <w:sz w:val="24"/>
                <w:szCs w:val="24"/>
              </w:rPr>
              <w:t>核标准等内容，并加强对落实情况的监督考核。</w:t>
            </w:r>
          </w:p>
        </w:tc>
        <w:tc>
          <w:tcPr>
            <w:tcW w:w="2677" w:type="dxa"/>
            <w:vAlign w:val="center"/>
          </w:tcPr>
          <w:p w14:paraId="4851555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5"/>
                <w:sz w:val="24"/>
                <w:szCs w:val="24"/>
              </w:rPr>
              <w:t>《北京市安全生产条例》第十</w:t>
            </w:r>
            <w:r>
              <w:rPr>
                <w:rFonts w:hint="eastAsia" w:ascii="宋体" w:hAnsi="宋体" w:eastAsia="宋体" w:cs="宋体"/>
                <w:spacing w:val="-9"/>
                <w:sz w:val="24"/>
                <w:szCs w:val="24"/>
              </w:rPr>
              <w:t>四条</w:t>
            </w:r>
          </w:p>
        </w:tc>
        <w:tc>
          <w:tcPr>
            <w:tcW w:w="4580" w:type="dxa"/>
            <w:vAlign w:val="center"/>
          </w:tcPr>
          <w:p w14:paraId="50CB95B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提供了各《游泳馆各岗位安全生产</w:t>
            </w:r>
            <w:r>
              <w:rPr>
                <w:rFonts w:hint="eastAsia" w:ascii="宋体" w:hAnsi="宋体" w:eastAsia="宋体" w:cs="宋体"/>
                <w:spacing w:val="6"/>
                <w:sz w:val="24"/>
                <w:szCs w:val="24"/>
              </w:rPr>
              <w:t>责任制》《游泳馆各岗位职责》等相关文件，表</w:t>
            </w:r>
            <w:r>
              <w:rPr>
                <w:rFonts w:hint="eastAsia" w:ascii="宋体" w:hAnsi="宋体" w:eastAsia="宋体" w:cs="宋体"/>
                <w:spacing w:val="8"/>
                <w:sz w:val="24"/>
                <w:szCs w:val="24"/>
              </w:rPr>
              <w:t>明该企业基本落实了相关要求</w:t>
            </w:r>
          </w:p>
        </w:tc>
      </w:tr>
      <w:tr w14:paraId="4FC9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841" w:type="dxa"/>
            <w:vAlign w:val="center"/>
          </w:tcPr>
          <w:p w14:paraId="725A4F9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8"/>
                <w:sz w:val="24"/>
                <w:szCs w:val="24"/>
              </w:rPr>
              <w:t>19</w:t>
            </w:r>
          </w:p>
        </w:tc>
        <w:tc>
          <w:tcPr>
            <w:tcW w:w="6079" w:type="dxa"/>
            <w:vAlign w:val="center"/>
          </w:tcPr>
          <w:p w14:paraId="4D63B2B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8"/>
                <w:sz w:val="24"/>
                <w:szCs w:val="24"/>
              </w:rPr>
            </w:pPr>
            <w:r>
              <w:rPr>
                <w:rFonts w:hint="eastAsia" w:ascii="宋体" w:hAnsi="宋体" w:eastAsia="宋体" w:cs="宋体"/>
                <w:spacing w:val="9"/>
                <w:sz w:val="24"/>
                <w:szCs w:val="24"/>
              </w:rPr>
              <w:t>生产经营单位的主要负责人应当依照安全生产法的规定，组织制</w:t>
            </w:r>
            <w:r>
              <w:rPr>
                <w:rFonts w:hint="eastAsia" w:ascii="宋体" w:hAnsi="宋体" w:eastAsia="宋体" w:cs="宋体"/>
                <w:spacing w:val="8"/>
                <w:sz w:val="24"/>
                <w:szCs w:val="24"/>
              </w:rPr>
              <w:t>定下列安全生产规章制度并督促落实：</w:t>
            </w:r>
          </w:p>
          <w:p w14:paraId="620811F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position w:val="7"/>
                <w:sz w:val="24"/>
                <w:szCs w:val="24"/>
              </w:rPr>
              <w:t>（1）安全生产教育和培训制度；</w:t>
            </w:r>
          </w:p>
          <w:p w14:paraId="20E3135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（2）安全生产检查制度；</w:t>
            </w:r>
          </w:p>
          <w:p w14:paraId="32BDCD2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（3）安全风险分级管控制度；</w:t>
            </w:r>
          </w:p>
          <w:p w14:paraId="156C771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position w:val="7"/>
                <w:sz w:val="24"/>
                <w:szCs w:val="24"/>
              </w:rPr>
              <w:t>（4）生产安全事故隐患排查治理制度；</w:t>
            </w:r>
          </w:p>
          <w:p w14:paraId="5F0486D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（5）劳动防护用品配备和管理制度；</w:t>
            </w:r>
          </w:p>
          <w:p w14:paraId="6B8A619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position w:val="7"/>
                <w:sz w:val="24"/>
                <w:szCs w:val="24"/>
              </w:rPr>
              <w:t>（6）生产安全事故报告和处理制度；</w:t>
            </w:r>
          </w:p>
          <w:p w14:paraId="3D9C46F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8"/>
                <w:sz w:val="24"/>
                <w:szCs w:val="24"/>
              </w:rPr>
            </w:pPr>
            <w:r>
              <w:rPr>
                <w:rFonts w:hint="eastAsia" w:ascii="宋体" w:hAnsi="宋体" w:eastAsia="宋体" w:cs="宋体"/>
                <w:spacing w:val="7"/>
                <w:sz w:val="24"/>
                <w:szCs w:val="24"/>
              </w:rPr>
              <w:t>（7）其他保障安全生产的规章制度。</w:t>
            </w:r>
          </w:p>
        </w:tc>
        <w:tc>
          <w:tcPr>
            <w:tcW w:w="2677" w:type="dxa"/>
            <w:vAlign w:val="center"/>
          </w:tcPr>
          <w:p w14:paraId="39A8990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5"/>
                <w:sz w:val="24"/>
                <w:szCs w:val="24"/>
              </w:rPr>
              <w:t>《北京市安全生产条例》第十</w:t>
            </w:r>
            <w:r>
              <w:rPr>
                <w:rFonts w:hint="eastAsia" w:ascii="宋体" w:hAnsi="宋体" w:eastAsia="宋体" w:cs="宋体"/>
                <w:spacing w:val="-1"/>
                <w:sz w:val="24"/>
                <w:szCs w:val="24"/>
              </w:rPr>
              <w:t>五条</w:t>
            </w:r>
          </w:p>
        </w:tc>
        <w:tc>
          <w:tcPr>
            <w:tcW w:w="4580" w:type="dxa"/>
            <w:vAlign w:val="center"/>
          </w:tcPr>
          <w:p w14:paraId="0FEF6B5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提供了《游泳馆各岗位安全生产责任制》《游泳馆各岗位职责》《溺水事故处理制度》《溺水抢救操作规程》等相关文件，表明该</w:t>
            </w:r>
            <w:r>
              <w:rPr>
                <w:rFonts w:hint="eastAsia" w:ascii="宋体" w:hAnsi="宋体" w:eastAsia="宋体" w:cs="宋体"/>
                <w:spacing w:val="8"/>
                <w:sz w:val="24"/>
                <w:szCs w:val="24"/>
              </w:rPr>
              <w:t>企业基本落实了相关要求</w:t>
            </w:r>
          </w:p>
        </w:tc>
      </w:tr>
      <w:tr w14:paraId="73CD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7" w:hRule="atLeast"/>
        </w:trPr>
        <w:tc>
          <w:tcPr>
            <w:tcW w:w="841" w:type="dxa"/>
            <w:vAlign w:val="center"/>
          </w:tcPr>
          <w:p w14:paraId="689AE64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20</w:t>
            </w:r>
          </w:p>
        </w:tc>
        <w:tc>
          <w:tcPr>
            <w:tcW w:w="6079" w:type="dxa"/>
            <w:vAlign w:val="center"/>
          </w:tcPr>
          <w:p w14:paraId="6592B19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生产经营单位的决策机构、主要负责人或者个人经营的投资人应当保证安全生产所必需的资金投入，并专项用于下列安</w:t>
            </w:r>
            <w:r>
              <w:rPr>
                <w:rFonts w:hint="eastAsia" w:ascii="宋体" w:hAnsi="宋体" w:eastAsia="宋体" w:cs="宋体"/>
                <w:spacing w:val="8"/>
                <w:sz w:val="24"/>
                <w:szCs w:val="24"/>
              </w:rPr>
              <w:t>全生产事</w:t>
            </w:r>
          </w:p>
          <w:p w14:paraId="58FD0B8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2"/>
                <w:sz w:val="24"/>
                <w:szCs w:val="24"/>
              </w:rPr>
              <w:t>项：</w:t>
            </w:r>
          </w:p>
          <w:p w14:paraId="675FF7D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（1）安全技术措施工程建设；</w:t>
            </w:r>
          </w:p>
          <w:p w14:paraId="326EA51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position w:val="7"/>
                <w:sz w:val="24"/>
                <w:szCs w:val="24"/>
              </w:rPr>
              <w:t>（2）安全设备、设施的更新和维护；</w:t>
            </w:r>
          </w:p>
          <w:p w14:paraId="5A74BA9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（3）安全生产宣传、教育和培训；</w:t>
            </w:r>
          </w:p>
          <w:p w14:paraId="4051334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（4）劳动防护用品配备；</w:t>
            </w:r>
          </w:p>
          <w:p w14:paraId="6747A32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6"/>
                <w:sz w:val="24"/>
                <w:szCs w:val="24"/>
              </w:rPr>
              <w:t>（5）重大危险源监控；</w:t>
            </w:r>
          </w:p>
          <w:p w14:paraId="6D32BAF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（6）安全风险评估和隐患排查治理；</w:t>
            </w:r>
          </w:p>
          <w:p w14:paraId="6CD2319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（7）生产安全事故应急救援演练；</w:t>
            </w:r>
          </w:p>
          <w:p w14:paraId="41D6299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position w:val="7"/>
                <w:sz w:val="24"/>
                <w:szCs w:val="24"/>
              </w:rPr>
              <w:t>（8）应急救援队伍建设或者救援服务；</w:t>
            </w:r>
          </w:p>
          <w:p w14:paraId="63CA50B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（9）其他保障安全生产的事项。</w:t>
            </w:r>
          </w:p>
        </w:tc>
        <w:tc>
          <w:tcPr>
            <w:tcW w:w="2677" w:type="dxa"/>
            <w:vAlign w:val="center"/>
          </w:tcPr>
          <w:p w14:paraId="2FB55F5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6"/>
                <w:sz w:val="24"/>
                <w:szCs w:val="24"/>
              </w:rPr>
              <w:t>十八条</w:t>
            </w:r>
          </w:p>
        </w:tc>
        <w:tc>
          <w:tcPr>
            <w:tcW w:w="4580" w:type="dxa"/>
            <w:vAlign w:val="center"/>
          </w:tcPr>
          <w:p w14:paraId="496643E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提供了安全投入情况、救生器材清单、劳保用品发放明细表，表明该企业基本</w:t>
            </w:r>
            <w:r>
              <w:rPr>
                <w:rFonts w:hint="eastAsia" w:ascii="宋体" w:hAnsi="宋体" w:eastAsia="宋体" w:cs="宋体"/>
                <w:spacing w:val="6"/>
                <w:sz w:val="24"/>
                <w:szCs w:val="24"/>
              </w:rPr>
              <w:t>落实了相关要求。</w:t>
            </w:r>
          </w:p>
        </w:tc>
      </w:tr>
      <w:tr w14:paraId="1357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41" w:type="dxa"/>
            <w:vAlign w:val="center"/>
          </w:tcPr>
          <w:p w14:paraId="39B528B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21</w:t>
            </w:r>
          </w:p>
        </w:tc>
        <w:tc>
          <w:tcPr>
            <w:tcW w:w="6079" w:type="dxa"/>
            <w:vAlign w:val="center"/>
          </w:tcPr>
          <w:p w14:paraId="240F13B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生产经营单位的安全生产管理机构以及安全生产管理人员应当履行安全生产法规定的职责，并依法参与生产安全事故调查处</w:t>
            </w:r>
            <w:r>
              <w:rPr>
                <w:rFonts w:hint="eastAsia" w:ascii="宋体" w:hAnsi="宋体" w:eastAsia="宋体" w:cs="宋体"/>
                <w:spacing w:val="-1"/>
                <w:sz w:val="24"/>
                <w:szCs w:val="24"/>
              </w:rPr>
              <w:t>理。</w:t>
            </w:r>
          </w:p>
        </w:tc>
        <w:tc>
          <w:tcPr>
            <w:tcW w:w="2677" w:type="dxa"/>
            <w:vAlign w:val="center"/>
          </w:tcPr>
          <w:p w14:paraId="231435C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6"/>
                <w:sz w:val="24"/>
                <w:szCs w:val="24"/>
              </w:rPr>
              <w:t>二十一条</w:t>
            </w:r>
          </w:p>
        </w:tc>
        <w:tc>
          <w:tcPr>
            <w:tcW w:w="4580" w:type="dxa"/>
            <w:vAlign w:val="center"/>
          </w:tcPr>
          <w:p w14:paraId="51C89F6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提供了《院区游泳馆综合应急预</w:t>
            </w:r>
            <w:r>
              <w:rPr>
                <w:rFonts w:hint="eastAsia" w:ascii="宋体" w:hAnsi="宋体" w:eastAsia="宋体" w:cs="宋体"/>
                <w:spacing w:val="-1"/>
                <w:sz w:val="24"/>
                <w:szCs w:val="24"/>
              </w:rPr>
              <w:t>案》</w:t>
            </w:r>
          </w:p>
        </w:tc>
      </w:tr>
      <w:tr w14:paraId="3490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841" w:type="dxa"/>
            <w:vAlign w:val="center"/>
          </w:tcPr>
          <w:p w14:paraId="3E8DF4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22</w:t>
            </w:r>
          </w:p>
        </w:tc>
        <w:tc>
          <w:tcPr>
            <w:tcW w:w="6079" w:type="dxa"/>
            <w:vAlign w:val="center"/>
          </w:tcPr>
          <w:p w14:paraId="25B79C7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生产经营单位应当依照安全生产法的规定，开展或者委托第三方对从业人员开展安全生产教育和培训。安全生产教育和培训主要</w:t>
            </w:r>
            <w:r>
              <w:rPr>
                <w:rFonts w:hint="eastAsia" w:ascii="宋体" w:hAnsi="宋体" w:eastAsia="宋体" w:cs="宋体"/>
                <w:spacing w:val="7"/>
                <w:sz w:val="24"/>
                <w:szCs w:val="24"/>
              </w:rPr>
              <w:t>包括下列内容：</w:t>
            </w:r>
          </w:p>
          <w:p w14:paraId="659D08A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（1）安全生产法律、法规、规章和相关标准；</w:t>
            </w:r>
          </w:p>
          <w:p w14:paraId="742E695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（2）安全生产规章制度和操作规程；</w:t>
            </w:r>
          </w:p>
          <w:p w14:paraId="61DD83D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3"/>
                <w:sz w:val="24"/>
                <w:szCs w:val="24"/>
              </w:rPr>
              <w:t>（3）岗位安全操作技能；</w:t>
            </w:r>
          </w:p>
          <w:p w14:paraId="4973FC1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2"/>
                <w:sz w:val="24"/>
                <w:szCs w:val="24"/>
              </w:rPr>
              <w:t>（4）安全设备、设施、工具、劳动防护用品的使用、维护和保</w:t>
            </w:r>
            <w:r>
              <w:rPr>
                <w:rFonts w:hint="eastAsia" w:ascii="宋体" w:hAnsi="宋体" w:eastAsia="宋体" w:cs="宋体"/>
                <w:spacing w:val="3"/>
                <w:sz w:val="24"/>
                <w:szCs w:val="24"/>
              </w:rPr>
              <w:t>管知识；</w:t>
            </w:r>
          </w:p>
          <w:p w14:paraId="0381E9A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1"/>
                <w:sz w:val="24"/>
                <w:szCs w:val="24"/>
              </w:rPr>
              <w:t>（5）生产安全事故防范和应急措施、自救互</w:t>
            </w:r>
            <w:r>
              <w:rPr>
                <w:rFonts w:hint="eastAsia" w:ascii="宋体" w:hAnsi="宋体" w:eastAsia="宋体" w:cs="宋体"/>
                <w:spacing w:val="10"/>
                <w:sz w:val="24"/>
                <w:szCs w:val="24"/>
              </w:rPr>
              <w:t>救知识，生产安全</w:t>
            </w:r>
            <w:r>
              <w:rPr>
                <w:rFonts w:hint="eastAsia" w:ascii="宋体" w:hAnsi="宋体" w:eastAsia="宋体" w:cs="宋体"/>
                <w:spacing w:val="5"/>
                <w:sz w:val="24"/>
                <w:szCs w:val="24"/>
              </w:rPr>
              <w:t>事故案例；</w:t>
            </w:r>
          </w:p>
          <w:p w14:paraId="0F9529B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（6）其他需要培训的内容。</w:t>
            </w:r>
          </w:p>
        </w:tc>
        <w:tc>
          <w:tcPr>
            <w:tcW w:w="2677" w:type="dxa"/>
            <w:vAlign w:val="center"/>
          </w:tcPr>
          <w:p w14:paraId="234ED09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6"/>
                <w:sz w:val="24"/>
                <w:szCs w:val="24"/>
              </w:rPr>
              <w:t>二十二条</w:t>
            </w:r>
          </w:p>
        </w:tc>
        <w:tc>
          <w:tcPr>
            <w:tcW w:w="4580" w:type="dxa"/>
            <w:vAlign w:val="center"/>
          </w:tcPr>
          <w:p w14:paraId="2CFE6BB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w:t>
            </w:r>
            <w:r>
              <w:rPr>
                <w:rFonts w:hint="eastAsia" w:ascii="宋体" w:hAnsi="宋体" w:eastAsia="宋体" w:cs="宋体"/>
                <w:spacing w:val="7"/>
                <w:sz w:val="24"/>
                <w:szCs w:val="24"/>
              </w:rPr>
              <w:t>提供了安全生产岗位责任制</w:t>
            </w:r>
            <w:r>
              <w:rPr>
                <w:rFonts w:hint="eastAsia" w:cs="宋体"/>
                <w:spacing w:val="7"/>
                <w:sz w:val="24"/>
                <w:szCs w:val="24"/>
                <w:lang w:eastAsia="zh-CN"/>
              </w:rPr>
              <w:t>、</w:t>
            </w:r>
            <w:r>
              <w:rPr>
                <w:rFonts w:hint="eastAsia" w:ascii="宋体" w:hAnsi="宋体" w:eastAsia="宋体" w:cs="宋体"/>
                <w:spacing w:val="7"/>
                <w:sz w:val="24"/>
                <w:szCs w:val="24"/>
              </w:rPr>
              <w:t>安全生产例会制度</w:t>
            </w:r>
            <w:r>
              <w:rPr>
                <w:rFonts w:hint="eastAsia" w:cs="宋体"/>
                <w:spacing w:val="7"/>
                <w:sz w:val="24"/>
                <w:szCs w:val="24"/>
                <w:lang w:eastAsia="zh-CN"/>
              </w:rPr>
              <w:t>、</w:t>
            </w:r>
            <w:r>
              <w:rPr>
                <w:rFonts w:hint="eastAsia" w:ascii="宋体" w:hAnsi="宋体" w:eastAsia="宋体" w:cs="宋体"/>
                <w:spacing w:val="7"/>
                <w:sz w:val="24"/>
                <w:szCs w:val="24"/>
              </w:rPr>
              <w:t>安全教育培训制度</w:t>
            </w:r>
            <w:r>
              <w:rPr>
                <w:rFonts w:hint="eastAsia" w:cs="宋体"/>
                <w:spacing w:val="7"/>
                <w:sz w:val="24"/>
                <w:szCs w:val="24"/>
                <w:lang w:eastAsia="zh-CN"/>
              </w:rPr>
              <w:t>、</w:t>
            </w:r>
            <w:r>
              <w:rPr>
                <w:rFonts w:hint="eastAsia" w:ascii="宋体" w:hAnsi="宋体" w:eastAsia="宋体" w:cs="宋体"/>
                <w:spacing w:val="7"/>
                <w:sz w:val="24"/>
                <w:szCs w:val="24"/>
              </w:rPr>
              <w:t>安全生产隐患排查制度</w:t>
            </w:r>
            <w:r>
              <w:rPr>
                <w:rFonts w:hint="eastAsia" w:cs="宋体"/>
                <w:spacing w:val="7"/>
                <w:sz w:val="24"/>
                <w:szCs w:val="24"/>
                <w:lang w:eastAsia="zh-CN"/>
              </w:rPr>
              <w:t>、</w:t>
            </w:r>
            <w:r>
              <w:rPr>
                <w:rFonts w:hint="eastAsia" w:ascii="宋体" w:hAnsi="宋体" w:eastAsia="宋体" w:cs="宋体"/>
                <w:spacing w:val="7"/>
                <w:sz w:val="24"/>
                <w:szCs w:val="24"/>
              </w:rPr>
              <w:t>安全生产事故报告和处理制度</w:t>
            </w:r>
            <w:r>
              <w:rPr>
                <w:rFonts w:hint="eastAsia" w:cs="宋体"/>
                <w:spacing w:val="7"/>
                <w:sz w:val="24"/>
                <w:szCs w:val="24"/>
                <w:lang w:eastAsia="zh-CN"/>
              </w:rPr>
              <w:t>、</w:t>
            </w:r>
            <w:r>
              <w:rPr>
                <w:rFonts w:hint="eastAsia" w:ascii="宋体" w:hAnsi="宋体" w:eastAsia="宋体" w:cs="宋体"/>
                <w:spacing w:val="7"/>
                <w:sz w:val="24"/>
                <w:szCs w:val="24"/>
              </w:rPr>
              <w:t>巡查制度</w:t>
            </w:r>
            <w:r>
              <w:rPr>
                <w:rFonts w:hint="eastAsia" w:cs="宋体"/>
                <w:spacing w:val="7"/>
                <w:sz w:val="24"/>
                <w:szCs w:val="24"/>
                <w:lang w:eastAsia="zh-CN"/>
              </w:rPr>
              <w:t>、</w:t>
            </w:r>
            <w:r>
              <w:rPr>
                <w:rFonts w:hint="eastAsia" w:ascii="宋体" w:hAnsi="宋体" w:eastAsia="宋体" w:cs="宋体"/>
                <w:spacing w:val="7"/>
                <w:sz w:val="24"/>
                <w:szCs w:val="24"/>
              </w:rPr>
              <w:t>游泳馆卫生管理制度</w:t>
            </w:r>
            <w:r>
              <w:rPr>
                <w:rFonts w:hint="eastAsia" w:cs="宋体"/>
                <w:spacing w:val="7"/>
                <w:sz w:val="24"/>
                <w:szCs w:val="24"/>
                <w:lang w:eastAsia="zh-CN"/>
              </w:rPr>
              <w:t>、</w:t>
            </w:r>
            <w:r>
              <w:rPr>
                <w:rFonts w:hint="eastAsia" w:ascii="宋体" w:hAnsi="宋体" w:eastAsia="宋体" w:cs="宋体"/>
                <w:spacing w:val="7"/>
                <w:sz w:val="24"/>
                <w:szCs w:val="24"/>
              </w:rPr>
              <w:t>服务人员岗位责任制度</w:t>
            </w:r>
            <w:r>
              <w:rPr>
                <w:rFonts w:hint="eastAsia" w:cs="宋体"/>
                <w:spacing w:val="7"/>
                <w:sz w:val="24"/>
                <w:szCs w:val="24"/>
                <w:lang w:eastAsia="zh-CN"/>
              </w:rPr>
              <w:t>、</w:t>
            </w:r>
            <w:r>
              <w:rPr>
                <w:rFonts w:hint="eastAsia" w:ascii="宋体" w:hAnsi="宋体" w:eastAsia="宋体" w:cs="宋体"/>
                <w:spacing w:val="7"/>
                <w:sz w:val="24"/>
                <w:szCs w:val="24"/>
              </w:rPr>
              <w:t>安全生产事故应急预案</w:t>
            </w:r>
            <w:r>
              <w:rPr>
                <w:rFonts w:hint="eastAsia" w:cs="宋体"/>
                <w:spacing w:val="7"/>
                <w:sz w:val="24"/>
                <w:szCs w:val="24"/>
                <w:lang w:eastAsia="zh-CN"/>
              </w:rPr>
              <w:t>、</w:t>
            </w:r>
            <w:r>
              <w:rPr>
                <w:rFonts w:hint="eastAsia" w:ascii="宋体" w:hAnsi="宋体" w:eastAsia="宋体" w:cs="宋体"/>
                <w:spacing w:val="7"/>
                <w:sz w:val="24"/>
                <w:szCs w:val="24"/>
              </w:rPr>
              <w:t>应急预案制度</w:t>
            </w:r>
            <w:r>
              <w:rPr>
                <w:rFonts w:hint="eastAsia" w:cs="宋体"/>
                <w:spacing w:val="7"/>
                <w:sz w:val="24"/>
                <w:szCs w:val="24"/>
                <w:lang w:val="en-US" w:eastAsia="zh-CN"/>
              </w:rPr>
              <w:t>及岗位职责任职要求、会议记录、安全培训记录、培训测试题、健康安全危害因素辨识和风险评价清单、石油科技交流中心应急管理制度、游泳馆安全生产事故应急预案、游泳馆突发事件应急处理预案、高危人群运动处置方案、救生员重点关注事项、前台重点关注事项等相关文件、记录</w:t>
            </w:r>
            <w:r>
              <w:rPr>
                <w:rFonts w:hint="eastAsia" w:ascii="宋体" w:hAnsi="宋体" w:eastAsia="宋体" w:cs="宋体"/>
                <w:spacing w:val="7"/>
                <w:sz w:val="24"/>
                <w:szCs w:val="24"/>
              </w:rPr>
              <w:t>，表明该企业基本落实了相关要求。</w:t>
            </w:r>
          </w:p>
        </w:tc>
      </w:tr>
      <w:tr w14:paraId="0AC9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2" w:hRule="atLeast"/>
        </w:trPr>
        <w:tc>
          <w:tcPr>
            <w:tcW w:w="841" w:type="dxa"/>
            <w:vAlign w:val="center"/>
          </w:tcPr>
          <w:p w14:paraId="6A612B4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23</w:t>
            </w:r>
          </w:p>
        </w:tc>
        <w:tc>
          <w:tcPr>
            <w:tcW w:w="6079" w:type="dxa"/>
            <w:vAlign w:val="center"/>
          </w:tcPr>
          <w:p w14:paraId="2BF5E4D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生产经营单位应当按照下列规定开展安全风险分级管控：</w:t>
            </w:r>
          </w:p>
          <w:p w14:paraId="5D3692A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2"/>
                <w:sz w:val="24"/>
                <w:szCs w:val="24"/>
              </w:rPr>
              <w:t>（1）根据本单位生产经营活动的特点，制定安全风险辨识程序</w:t>
            </w:r>
            <w:r>
              <w:rPr>
                <w:rFonts w:hint="eastAsia" w:ascii="宋体" w:hAnsi="宋体" w:eastAsia="宋体" w:cs="宋体"/>
                <w:spacing w:val="8"/>
                <w:sz w:val="24"/>
                <w:szCs w:val="24"/>
              </w:rPr>
              <w:t>和方法，全面开展安全风险辨识和评估；</w:t>
            </w:r>
          </w:p>
          <w:p w14:paraId="5BC28B2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（2）对辨识出的安全风险进行分类梳理，</w:t>
            </w:r>
            <w:r>
              <w:rPr>
                <w:rFonts w:hint="eastAsia" w:ascii="宋体" w:hAnsi="宋体" w:eastAsia="宋体" w:cs="宋体"/>
                <w:spacing w:val="8"/>
                <w:sz w:val="24"/>
                <w:szCs w:val="24"/>
              </w:rPr>
              <w:t>确定安全风险等级；</w:t>
            </w:r>
          </w:p>
          <w:p w14:paraId="3D19B22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（3）从制度、技术、应急等方面，对安全</w:t>
            </w:r>
            <w:r>
              <w:rPr>
                <w:rFonts w:hint="eastAsia" w:ascii="宋体" w:hAnsi="宋体" w:eastAsia="宋体" w:cs="宋体"/>
                <w:spacing w:val="8"/>
                <w:sz w:val="24"/>
                <w:szCs w:val="24"/>
              </w:rPr>
              <w:t>风险进行有效管控；</w:t>
            </w:r>
          </w:p>
          <w:p w14:paraId="1CC4126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2"/>
                <w:sz w:val="24"/>
                <w:szCs w:val="24"/>
              </w:rPr>
              <w:t>（4）建立安全风险公告制度，告知从业人员安全风险基本情况</w:t>
            </w:r>
            <w:r>
              <w:rPr>
                <w:rFonts w:hint="eastAsia" w:ascii="宋体" w:hAnsi="宋体" w:eastAsia="宋体" w:cs="宋体"/>
                <w:spacing w:val="6"/>
                <w:sz w:val="24"/>
                <w:szCs w:val="24"/>
              </w:rPr>
              <w:t>和防范措施。</w:t>
            </w:r>
          </w:p>
        </w:tc>
        <w:tc>
          <w:tcPr>
            <w:tcW w:w="2677" w:type="dxa"/>
            <w:vAlign w:val="center"/>
          </w:tcPr>
          <w:p w14:paraId="75B8143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6"/>
                <w:sz w:val="24"/>
                <w:szCs w:val="24"/>
              </w:rPr>
              <w:t>二十七条</w:t>
            </w:r>
          </w:p>
        </w:tc>
        <w:tc>
          <w:tcPr>
            <w:tcW w:w="4580" w:type="dxa"/>
            <w:vAlign w:val="center"/>
          </w:tcPr>
          <w:p w14:paraId="16E819C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提供了安全生产隐患排查制度</w:t>
            </w:r>
            <w:r>
              <w:rPr>
                <w:rFonts w:hint="eastAsia" w:cs="宋体"/>
                <w:spacing w:val="17"/>
                <w:sz w:val="24"/>
                <w:szCs w:val="24"/>
                <w:lang w:eastAsia="zh-CN"/>
              </w:rPr>
              <w:t>、健康安全危害因素辨识和风险评价清单</w:t>
            </w:r>
            <w:r>
              <w:rPr>
                <w:rFonts w:hint="eastAsia" w:cs="宋体"/>
                <w:spacing w:val="17"/>
                <w:sz w:val="24"/>
                <w:szCs w:val="24"/>
                <w:lang w:val="en-US" w:eastAsia="zh-CN"/>
              </w:rPr>
              <w:t>等相关文件、记录</w:t>
            </w:r>
            <w:r>
              <w:rPr>
                <w:rFonts w:hint="eastAsia" w:ascii="宋体" w:hAnsi="宋体" w:eastAsia="宋体" w:cs="宋体"/>
                <w:spacing w:val="7"/>
                <w:sz w:val="24"/>
                <w:szCs w:val="24"/>
              </w:rPr>
              <w:t>，表明该企</w:t>
            </w:r>
            <w:r>
              <w:rPr>
                <w:rFonts w:hint="eastAsia" w:ascii="宋体" w:hAnsi="宋体" w:eastAsia="宋体" w:cs="宋体"/>
                <w:spacing w:val="8"/>
                <w:sz w:val="24"/>
                <w:szCs w:val="24"/>
              </w:rPr>
              <w:t>业基本落实了相关要求。</w:t>
            </w:r>
          </w:p>
        </w:tc>
      </w:tr>
      <w:tr w14:paraId="4B09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trPr>
        <w:tc>
          <w:tcPr>
            <w:tcW w:w="841" w:type="dxa"/>
            <w:vAlign w:val="center"/>
          </w:tcPr>
          <w:p w14:paraId="6E37AFE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24</w:t>
            </w:r>
          </w:p>
        </w:tc>
        <w:tc>
          <w:tcPr>
            <w:tcW w:w="6079" w:type="dxa"/>
            <w:vAlign w:val="center"/>
          </w:tcPr>
          <w:p w14:paraId="4829518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生产经营单位必须依法参加工伤保险，为从业人员缴纳保险费。</w:t>
            </w:r>
          </w:p>
        </w:tc>
        <w:tc>
          <w:tcPr>
            <w:tcW w:w="2677" w:type="dxa"/>
            <w:vAlign w:val="center"/>
          </w:tcPr>
          <w:p w14:paraId="6CBCEBC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8"/>
                <w:sz w:val="24"/>
                <w:szCs w:val="24"/>
              </w:rPr>
              <w:t>三十六条</w:t>
            </w:r>
          </w:p>
        </w:tc>
        <w:tc>
          <w:tcPr>
            <w:tcW w:w="4580" w:type="dxa"/>
            <w:vAlign w:val="center"/>
          </w:tcPr>
          <w:p w14:paraId="3F9A11F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宋体" w:hAnsi="宋体" w:eastAsia="宋体" w:cs="宋体"/>
                <w:sz w:val="24"/>
                <w:szCs w:val="24"/>
                <w:lang w:val="en-US" w:eastAsia="zh-CN"/>
              </w:rPr>
            </w:pPr>
            <w:r>
              <w:rPr>
                <w:rFonts w:hint="eastAsia" w:ascii="宋体" w:hAnsi="宋体" w:eastAsia="宋体" w:cs="宋体"/>
                <w:spacing w:val="9"/>
                <w:sz w:val="24"/>
                <w:szCs w:val="24"/>
                <w:lang w:eastAsia="zh-CN"/>
              </w:rPr>
              <w:t>石油科技交流中心</w:t>
            </w:r>
            <w:r>
              <w:rPr>
                <w:rFonts w:hint="eastAsia" w:cs="宋体"/>
                <w:spacing w:val="9"/>
                <w:sz w:val="24"/>
                <w:szCs w:val="24"/>
                <w:lang w:val="en-US" w:eastAsia="zh-CN"/>
              </w:rPr>
              <w:t>有相关信息，但未单独整理。</w:t>
            </w:r>
          </w:p>
        </w:tc>
      </w:tr>
      <w:tr w14:paraId="23E4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9" w:hRule="atLeast"/>
        </w:trPr>
        <w:tc>
          <w:tcPr>
            <w:tcW w:w="841" w:type="dxa"/>
            <w:vAlign w:val="center"/>
          </w:tcPr>
          <w:p w14:paraId="3568939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2"/>
                <w:sz w:val="24"/>
                <w:szCs w:val="24"/>
              </w:rPr>
            </w:pPr>
            <w:r>
              <w:rPr>
                <w:rFonts w:hint="eastAsia" w:ascii="宋体" w:hAnsi="宋体" w:eastAsia="宋体" w:cs="宋体"/>
                <w:spacing w:val="2"/>
                <w:sz w:val="24"/>
                <w:szCs w:val="24"/>
              </w:rPr>
              <w:t>25</w:t>
            </w:r>
          </w:p>
          <w:p w14:paraId="6DCE27C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kern w:val="2"/>
                <w:sz w:val="24"/>
                <w:szCs w:val="24"/>
                <w:lang w:val="en-US" w:eastAsia="zh-CN" w:bidi="ar-SA"/>
              </w:rPr>
            </w:pPr>
          </w:p>
          <w:p w14:paraId="5D54F7D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lang w:val="en-US" w:eastAsia="zh-CN"/>
              </w:rPr>
            </w:pPr>
          </w:p>
          <w:p w14:paraId="7AC47DA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lang w:val="en-US" w:eastAsia="zh-CN"/>
              </w:rPr>
            </w:pPr>
          </w:p>
        </w:tc>
        <w:tc>
          <w:tcPr>
            <w:tcW w:w="6079" w:type="dxa"/>
            <w:vAlign w:val="center"/>
          </w:tcPr>
          <w:p w14:paraId="451B530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生产经营单位应当通过作业场所公示、书面告知、答复、教育培训等方式将涉及安全生产的下列事项告知从业人</w:t>
            </w:r>
            <w:r>
              <w:rPr>
                <w:rFonts w:hint="eastAsia" w:ascii="宋体" w:hAnsi="宋体" w:eastAsia="宋体" w:cs="宋体"/>
                <w:spacing w:val="8"/>
                <w:sz w:val="24"/>
                <w:szCs w:val="24"/>
              </w:rPr>
              <w:t>员：</w:t>
            </w:r>
          </w:p>
          <w:p w14:paraId="09582E7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（1）作业场所和工作岗位存在的危险因素；</w:t>
            </w:r>
          </w:p>
          <w:p w14:paraId="4610A8B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（2）已采取的防范生产安全事故的技术措施和管理措施；</w:t>
            </w:r>
          </w:p>
          <w:p w14:paraId="77699F6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（3）发生直接危及人身安全的紧急情况时的应急措施。</w:t>
            </w:r>
          </w:p>
          <w:p w14:paraId="3638C9A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从业人员有权向生产经营单位了解前款规定的事</w:t>
            </w:r>
            <w:r>
              <w:rPr>
                <w:rFonts w:hint="eastAsia" w:ascii="宋体" w:hAnsi="宋体" w:eastAsia="宋体" w:cs="宋体"/>
                <w:spacing w:val="8"/>
                <w:sz w:val="24"/>
                <w:szCs w:val="24"/>
              </w:rPr>
              <w:t>项。</w:t>
            </w:r>
          </w:p>
        </w:tc>
        <w:tc>
          <w:tcPr>
            <w:tcW w:w="2677" w:type="dxa"/>
            <w:vAlign w:val="center"/>
          </w:tcPr>
          <w:p w14:paraId="54701B18">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7"/>
                <w:sz w:val="24"/>
                <w:szCs w:val="24"/>
              </w:rPr>
              <w:t>三十七条</w:t>
            </w:r>
          </w:p>
        </w:tc>
        <w:tc>
          <w:tcPr>
            <w:tcW w:w="4580" w:type="dxa"/>
            <w:vAlign w:val="center"/>
          </w:tcPr>
          <w:p w14:paraId="545DE1E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lang w:eastAsia="zh-CN"/>
              </w:rPr>
            </w:pPr>
            <w:r>
              <w:rPr>
                <w:rFonts w:hint="eastAsia" w:ascii="宋体" w:hAnsi="宋体" w:eastAsia="宋体" w:cs="宋体"/>
                <w:spacing w:val="7"/>
                <w:sz w:val="24"/>
                <w:szCs w:val="24"/>
                <w:lang w:eastAsia="zh-CN"/>
              </w:rPr>
              <w:t>石油科技交流中心</w:t>
            </w:r>
            <w:r>
              <w:rPr>
                <w:rFonts w:hint="eastAsia" w:ascii="宋体" w:hAnsi="宋体" w:eastAsia="宋体" w:cs="宋体"/>
                <w:spacing w:val="7"/>
                <w:sz w:val="24"/>
                <w:szCs w:val="24"/>
              </w:rPr>
              <w:t>提供了</w:t>
            </w:r>
            <w:r>
              <w:rPr>
                <w:rFonts w:hint="eastAsia" w:cs="宋体"/>
                <w:spacing w:val="7"/>
                <w:sz w:val="24"/>
                <w:szCs w:val="24"/>
                <w:lang w:val="en-US" w:eastAsia="zh-CN"/>
              </w:rPr>
              <w:t>安全生产相关制度、安全培训记录、培训测试题</w:t>
            </w:r>
            <w:r>
              <w:rPr>
                <w:rFonts w:hint="eastAsia" w:ascii="宋体" w:hAnsi="宋体" w:eastAsia="宋体" w:cs="宋体"/>
                <w:spacing w:val="7"/>
                <w:sz w:val="24"/>
                <w:szCs w:val="24"/>
              </w:rPr>
              <w:t>及相关照片</w:t>
            </w:r>
            <w:r>
              <w:rPr>
                <w:rFonts w:hint="eastAsia" w:ascii="宋体" w:hAnsi="宋体" w:eastAsia="宋体" w:cs="宋体"/>
                <w:spacing w:val="7"/>
                <w:sz w:val="24"/>
                <w:szCs w:val="24"/>
                <w:lang w:eastAsia="zh-CN"/>
              </w:rPr>
              <w:t>、</w:t>
            </w:r>
            <w:r>
              <w:rPr>
                <w:rFonts w:hint="eastAsia" w:cs="宋体"/>
                <w:spacing w:val="7"/>
                <w:sz w:val="24"/>
                <w:szCs w:val="24"/>
                <w:lang w:val="en-US" w:eastAsia="zh-CN"/>
              </w:rPr>
              <w:t>前台重点关注事项等</w:t>
            </w:r>
            <w:r>
              <w:rPr>
                <w:rFonts w:hint="eastAsia" w:cs="宋体"/>
                <w:spacing w:val="17"/>
                <w:sz w:val="24"/>
                <w:szCs w:val="24"/>
                <w:lang w:val="en-US" w:eastAsia="zh-CN"/>
              </w:rPr>
              <w:t>相关文件、记录</w:t>
            </w:r>
            <w:r>
              <w:rPr>
                <w:rFonts w:hint="eastAsia" w:ascii="宋体" w:hAnsi="宋体" w:eastAsia="宋体" w:cs="宋体"/>
                <w:spacing w:val="7"/>
                <w:sz w:val="24"/>
                <w:szCs w:val="24"/>
              </w:rPr>
              <w:t>，</w:t>
            </w:r>
            <w:r>
              <w:rPr>
                <w:rFonts w:hint="eastAsia" w:ascii="宋体" w:hAnsi="宋体" w:eastAsia="宋体" w:cs="宋体"/>
                <w:spacing w:val="17"/>
                <w:sz w:val="24"/>
                <w:szCs w:val="24"/>
              </w:rPr>
              <w:t>表明该企业基本落实了相关要</w:t>
            </w:r>
            <w:r>
              <w:rPr>
                <w:rFonts w:hint="eastAsia" w:ascii="宋体" w:hAnsi="宋体" w:eastAsia="宋体" w:cs="宋体"/>
                <w:sz w:val="24"/>
                <w:szCs w:val="24"/>
              </w:rPr>
              <w:t>求</w:t>
            </w:r>
            <w:r>
              <w:rPr>
                <w:rFonts w:hint="eastAsia" w:ascii="宋体" w:hAnsi="宋体" w:eastAsia="宋体" w:cs="宋体"/>
                <w:sz w:val="24"/>
                <w:szCs w:val="24"/>
                <w:lang w:eastAsia="zh-CN"/>
              </w:rPr>
              <w:t>。</w:t>
            </w:r>
          </w:p>
        </w:tc>
      </w:tr>
      <w:tr w14:paraId="397E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41" w:type="dxa"/>
            <w:vAlign w:val="center"/>
          </w:tcPr>
          <w:p w14:paraId="03A0B5F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26</w:t>
            </w:r>
          </w:p>
        </w:tc>
        <w:tc>
          <w:tcPr>
            <w:tcW w:w="6079" w:type="dxa"/>
            <w:vAlign w:val="center"/>
          </w:tcPr>
          <w:p w14:paraId="5E62FA8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生产经营单位应当制定本单位生产安全事故应急救援预案，与</w:t>
            </w:r>
            <w:r>
              <w:rPr>
                <w:rFonts w:hint="eastAsia" w:ascii="宋体" w:hAnsi="宋体" w:eastAsia="宋体" w:cs="宋体"/>
                <w:spacing w:val="9"/>
                <w:sz w:val="24"/>
                <w:szCs w:val="24"/>
              </w:rPr>
              <w:t>市、区人民政府组织制定的生产安全事故应急救援预案相衔接，</w:t>
            </w:r>
            <w:r>
              <w:rPr>
                <w:rFonts w:hint="eastAsia" w:ascii="宋体" w:hAnsi="宋体" w:eastAsia="宋体" w:cs="宋体"/>
                <w:spacing w:val="6"/>
                <w:sz w:val="24"/>
                <w:szCs w:val="24"/>
              </w:rPr>
              <w:t>并定期组织演练。</w:t>
            </w:r>
          </w:p>
          <w:p w14:paraId="4044CE2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rPr>
              <w:t>生产经营单位制定的生产安全事故应急救援预案主要包括下列</w:t>
            </w:r>
            <w:r>
              <w:rPr>
                <w:rFonts w:hint="eastAsia" w:ascii="宋体" w:hAnsi="宋体" w:eastAsia="宋体" w:cs="宋体"/>
                <w:spacing w:val="-6"/>
                <w:sz w:val="24"/>
                <w:szCs w:val="24"/>
              </w:rPr>
              <w:t>内容：</w:t>
            </w:r>
          </w:p>
          <w:p w14:paraId="70172E2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（1）应急救援组织及其职责；</w:t>
            </w:r>
          </w:p>
          <w:p w14:paraId="0032A07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（2）危险目标的确定和潜在危险性评估；</w:t>
            </w:r>
          </w:p>
          <w:p w14:paraId="3C08607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（3）应急救援预案启动程序；</w:t>
            </w:r>
          </w:p>
          <w:p w14:paraId="2D99357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（4）紧急处置措施方案；</w:t>
            </w:r>
          </w:p>
          <w:p w14:paraId="51EAD85B">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（5）应急救援组织的训练和演练；</w:t>
            </w:r>
          </w:p>
          <w:p w14:paraId="7786B9A1">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（6）应急救援设备器材的储备；</w:t>
            </w:r>
          </w:p>
          <w:p w14:paraId="1BC4A77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5"/>
                <w:sz w:val="24"/>
                <w:szCs w:val="24"/>
              </w:rPr>
            </w:pPr>
            <w:r>
              <w:rPr>
                <w:rFonts w:hint="eastAsia" w:ascii="宋体" w:hAnsi="宋体" w:eastAsia="宋体" w:cs="宋体"/>
                <w:spacing w:val="5"/>
                <w:sz w:val="24"/>
                <w:szCs w:val="24"/>
              </w:rPr>
              <w:t>（7）经费保障；</w:t>
            </w:r>
          </w:p>
          <w:p w14:paraId="237116C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5"/>
                <w:sz w:val="24"/>
                <w:szCs w:val="24"/>
              </w:rPr>
              <w:t>（8）其他事项。</w:t>
            </w:r>
          </w:p>
        </w:tc>
        <w:tc>
          <w:tcPr>
            <w:tcW w:w="2677" w:type="dxa"/>
            <w:vAlign w:val="center"/>
          </w:tcPr>
          <w:p w14:paraId="0AC30EB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7"/>
                <w:sz w:val="24"/>
                <w:szCs w:val="24"/>
              </w:rPr>
              <w:t>五十五条</w:t>
            </w:r>
          </w:p>
        </w:tc>
        <w:tc>
          <w:tcPr>
            <w:tcW w:w="4580" w:type="dxa"/>
            <w:vAlign w:val="center"/>
          </w:tcPr>
          <w:p w14:paraId="07A7307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w:t>
            </w:r>
            <w:r>
              <w:rPr>
                <w:rFonts w:hint="eastAsia" w:cs="宋体"/>
                <w:spacing w:val="7"/>
                <w:sz w:val="24"/>
                <w:szCs w:val="24"/>
                <w:lang w:val="en-US" w:eastAsia="zh-CN"/>
              </w:rPr>
              <w:t>石油科技交流中心应急管理制度、游泳馆安全生产事故应急预案、游泳馆突发事件应急处理预案、高危人群运动处置方案、救生员重点关注事项、前台重点关注事项等文件</w:t>
            </w:r>
            <w:r>
              <w:rPr>
                <w:rFonts w:hint="eastAsia" w:ascii="宋体" w:hAnsi="宋体" w:eastAsia="宋体" w:cs="宋体"/>
                <w:spacing w:val="17"/>
                <w:sz w:val="24"/>
                <w:szCs w:val="24"/>
              </w:rPr>
              <w:t>，</w:t>
            </w:r>
            <w:r>
              <w:rPr>
                <w:rFonts w:hint="eastAsia" w:ascii="宋体" w:hAnsi="宋体" w:eastAsia="宋体" w:cs="宋体"/>
                <w:spacing w:val="17"/>
                <w:sz w:val="24"/>
                <w:szCs w:val="24"/>
                <w:lang w:val="en-US" w:eastAsia="zh-CN"/>
              </w:rPr>
              <w:t>未见演练记录</w:t>
            </w:r>
            <w:r>
              <w:rPr>
                <w:rFonts w:hint="eastAsia" w:ascii="宋体" w:hAnsi="宋体" w:eastAsia="宋体" w:cs="宋体"/>
                <w:spacing w:val="-1"/>
                <w:sz w:val="24"/>
                <w:szCs w:val="24"/>
              </w:rPr>
              <w:t>。</w:t>
            </w:r>
          </w:p>
        </w:tc>
      </w:tr>
      <w:tr w14:paraId="44D3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9" w:hRule="atLeast"/>
        </w:trPr>
        <w:tc>
          <w:tcPr>
            <w:tcW w:w="841" w:type="dxa"/>
            <w:vAlign w:val="center"/>
          </w:tcPr>
          <w:p w14:paraId="64AB7F4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27</w:t>
            </w:r>
          </w:p>
        </w:tc>
        <w:tc>
          <w:tcPr>
            <w:tcW w:w="6079" w:type="dxa"/>
            <w:vAlign w:val="center"/>
          </w:tcPr>
          <w:p w14:paraId="6D301A4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9"/>
                <w:sz w:val="24"/>
                <w:szCs w:val="24"/>
              </w:rPr>
              <w:t>生产经营单位发生生产安全事故，事故现场有关人员、单位负责人等应当依法报告生产安全事故情况，并及时采取措施救治受伤人员；造成人员伤害需要抢救的，应当及时将受伤人员送至医疗</w:t>
            </w:r>
            <w:r>
              <w:rPr>
                <w:rFonts w:hint="eastAsia" w:ascii="宋体" w:hAnsi="宋体" w:eastAsia="宋体" w:cs="宋体"/>
                <w:spacing w:val="6"/>
                <w:sz w:val="24"/>
                <w:szCs w:val="24"/>
              </w:rPr>
              <w:t>机构救治。</w:t>
            </w:r>
          </w:p>
        </w:tc>
        <w:tc>
          <w:tcPr>
            <w:tcW w:w="2677" w:type="dxa"/>
            <w:vAlign w:val="center"/>
          </w:tcPr>
          <w:p w14:paraId="70DDF12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4"/>
                <w:sz w:val="24"/>
                <w:szCs w:val="24"/>
              </w:rPr>
              <w:t>《北京市安全生产条例》第</w:t>
            </w:r>
            <w:r>
              <w:rPr>
                <w:rFonts w:hint="eastAsia" w:ascii="宋体" w:hAnsi="宋体" w:eastAsia="宋体" w:cs="宋体"/>
                <w:spacing w:val="7"/>
                <w:sz w:val="24"/>
                <w:szCs w:val="24"/>
              </w:rPr>
              <w:t>五十六条</w:t>
            </w:r>
          </w:p>
        </w:tc>
        <w:tc>
          <w:tcPr>
            <w:tcW w:w="4580" w:type="dxa"/>
            <w:vAlign w:val="center"/>
          </w:tcPr>
          <w:p w14:paraId="3F5A09E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17"/>
                <w:sz w:val="24"/>
                <w:szCs w:val="24"/>
                <w:lang w:eastAsia="zh-CN"/>
              </w:rPr>
              <w:t>石油科技交流中心</w:t>
            </w:r>
            <w:r>
              <w:rPr>
                <w:rFonts w:hint="eastAsia" w:ascii="宋体" w:hAnsi="宋体" w:eastAsia="宋体" w:cs="宋体"/>
                <w:spacing w:val="17"/>
                <w:sz w:val="24"/>
                <w:szCs w:val="24"/>
              </w:rPr>
              <w:t>提供了</w:t>
            </w:r>
            <w:r>
              <w:rPr>
                <w:rFonts w:hint="eastAsia" w:cs="宋体"/>
                <w:spacing w:val="7"/>
                <w:sz w:val="24"/>
                <w:szCs w:val="24"/>
                <w:lang w:val="en-US" w:eastAsia="zh-CN"/>
              </w:rPr>
              <w:t>石油科技交流中心应急管理制度、游泳馆安全生产事故应急预案、游泳馆突发事件应急处理预案、高危人群运动处置方案、救生员重点关注事项、前台重点关注事项等文件</w:t>
            </w:r>
            <w:r>
              <w:rPr>
                <w:rFonts w:hint="eastAsia" w:ascii="宋体" w:hAnsi="宋体" w:eastAsia="宋体" w:cs="宋体"/>
                <w:spacing w:val="17"/>
                <w:sz w:val="24"/>
                <w:szCs w:val="24"/>
              </w:rPr>
              <w:t>，表明该企业基本落实了相关要</w:t>
            </w:r>
            <w:r>
              <w:rPr>
                <w:rFonts w:hint="eastAsia" w:ascii="宋体" w:hAnsi="宋体" w:eastAsia="宋体" w:cs="宋体"/>
                <w:spacing w:val="-1"/>
                <w:sz w:val="24"/>
                <w:szCs w:val="24"/>
              </w:rPr>
              <w:t>求。</w:t>
            </w:r>
          </w:p>
        </w:tc>
      </w:tr>
      <w:tr w14:paraId="1B59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0" w:hRule="atLeast"/>
        </w:trPr>
        <w:tc>
          <w:tcPr>
            <w:tcW w:w="841" w:type="dxa"/>
            <w:vAlign w:val="center"/>
          </w:tcPr>
          <w:p w14:paraId="4E8C1DD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28</w:t>
            </w:r>
          </w:p>
        </w:tc>
        <w:tc>
          <w:tcPr>
            <w:tcW w:w="6079" w:type="dxa"/>
            <w:vAlign w:val="center"/>
          </w:tcPr>
          <w:p w14:paraId="169D1F19">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ascii="宋体" w:hAnsi="宋体" w:eastAsia="宋体" w:cs="宋体"/>
                <w:sz w:val="24"/>
                <w:szCs w:val="24"/>
              </w:rPr>
              <w:t>应建立健全安全救护、安全管理、安全检查、卫生检查等各项管理制度。各类安全制度应悬挂在明显位置。</w:t>
            </w:r>
          </w:p>
        </w:tc>
        <w:tc>
          <w:tcPr>
            <w:tcW w:w="2677" w:type="dxa"/>
            <w:vAlign w:val="center"/>
          </w:tcPr>
          <w:p w14:paraId="1634A4D4">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宋体" w:hAnsi="宋体" w:eastAsia="宋体" w:cs="宋体"/>
                <w:sz w:val="24"/>
                <w:szCs w:val="24"/>
                <w:lang w:val="en-US" w:eastAsia="zh-CN"/>
              </w:rPr>
            </w:pPr>
            <w:r>
              <w:rPr>
                <w:rFonts w:hint="eastAsia" w:cs="宋体"/>
                <w:sz w:val="24"/>
                <w:szCs w:val="24"/>
                <w:lang w:eastAsia="zh-CN"/>
              </w:rPr>
              <w:t>《</w:t>
            </w:r>
            <w:r>
              <w:rPr>
                <w:rFonts w:ascii="宋体" w:hAnsi="宋体" w:eastAsia="宋体" w:cs="宋体"/>
                <w:sz w:val="24"/>
                <w:szCs w:val="24"/>
              </w:rPr>
              <w:t>体育场所开放条件与技术要求 第1部分:</w:t>
            </w:r>
            <w:bookmarkStart w:id="43" w:name="_GoBack"/>
            <w:bookmarkEnd w:id="43"/>
            <w:r>
              <w:rPr>
                <w:rFonts w:ascii="宋体" w:hAnsi="宋体" w:eastAsia="宋体" w:cs="宋体"/>
                <w:sz w:val="24"/>
                <w:szCs w:val="24"/>
              </w:rPr>
              <w:t>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7.3.1</w:t>
            </w:r>
          </w:p>
        </w:tc>
        <w:tc>
          <w:tcPr>
            <w:tcW w:w="4580" w:type="dxa"/>
            <w:vAlign w:val="center"/>
          </w:tcPr>
          <w:p w14:paraId="78AE208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lang w:val="en-US" w:eastAsia="zh-CN"/>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w:t>
            </w:r>
            <w:r>
              <w:rPr>
                <w:rFonts w:hint="eastAsia" w:ascii="宋体" w:hAnsi="宋体" w:eastAsia="宋体" w:cs="宋体"/>
                <w:spacing w:val="7"/>
                <w:sz w:val="24"/>
                <w:szCs w:val="24"/>
              </w:rPr>
              <w:t>提供了安全生产岗位责任制</w:t>
            </w:r>
            <w:r>
              <w:rPr>
                <w:rFonts w:hint="eastAsia" w:cs="宋体"/>
                <w:spacing w:val="7"/>
                <w:sz w:val="24"/>
                <w:szCs w:val="24"/>
                <w:lang w:eastAsia="zh-CN"/>
              </w:rPr>
              <w:t>、</w:t>
            </w:r>
            <w:r>
              <w:rPr>
                <w:rFonts w:hint="eastAsia" w:ascii="宋体" w:hAnsi="宋体" w:eastAsia="宋体" w:cs="宋体"/>
                <w:spacing w:val="7"/>
                <w:sz w:val="24"/>
                <w:szCs w:val="24"/>
              </w:rPr>
              <w:t>安全生产例会制度</w:t>
            </w:r>
            <w:r>
              <w:rPr>
                <w:rFonts w:hint="eastAsia" w:cs="宋体"/>
                <w:spacing w:val="7"/>
                <w:sz w:val="24"/>
                <w:szCs w:val="24"/>
                <w:lang w:eastAsia="zh-CN"/>
              </w:rPr>
              <w:t>、</w:t>
            </w:r>
            <w:r>
              <w:rPr>
                <w:rFonts w:hint="eastAsia" w:ascii="宋体" w:hAnsi="宋体" w:eastAsia="宋体" w:cs="宋体"/>
                <w:spacing w:val="7"/>
                <w:sz w:val="24"/>
                <w:szCs w:val="24"/>
              </w:rPr>
              <w:t>安全教育培训制度</w:t>
            </w:r>
            <w:r>
              <w:rPr>
                <w:rFonts w:hint="eastAsia" w:cs="宋体"/>
                <w:spacing w:val="7"/>
                <w:sz w:val="24"/>
                <w:szCs w:val="24"/>
                <w:lang w:eastAsia="zh-CN"/>
              </w:rPr>
              <w:t>、</w:t>
            </w:r>
            <w:r>
              <w:rPr>
                <w:rFonts w:hint="eastAsia" w:ascii="宋体" w:hAnsi="宋体" w:eastAsia="宋体" w:cs="宋体"/>
                <w:spacing w:val="7"/>
                <w:sz w:val="24"/>
                <w:szCs w:val="24"/>
              </w:rPr>
              <w:t>安全生产隐患排查制度</w:t>
            </w:r>
            <w:r>
              <w:rPr>
                <w:rFonts w:hint="eastAsia" w:cs="宋体"/>
                <w:spacing w:val="7"/>
                <w:sz w:val="24"/>
                <w:szCs w:val="24"/>
                <w:lang w:eastAsia="zh-CN"/>
              </w:rPr>
              <w:t>、</w:t>
            </w:r>
            <w:r>
              <w:rPr>
                <w:rFonts w:hint="eastAsia" w:ascii="宋体" w:hAnsi="宋体" w:eastAsia="宋体" w:cs="宋体"/>
                <w:spacing w:val="7"/>
                <w:sz w:val="24"/>
                <w:szCs w:val="24"/>
              </w:rPr>
              <w:t>安全生产事故报告和处理制度</w:t>
            </w:r>
            <w:r>
              <w:rPr>
                <w:rFonts w:hint="eastAsia" w:cs="宋体"/>
                <w:spacing w:val="7"/>
                <w:sz w:val="24"/>
                <w:szCs w:val="24"/>
                <w:lang w:eastAsia="zh-CN"/>
              </w:rPr>
              <w:t>、</w:t>
            </w:r>
            <w:r>
              <w:rPr>
                <w:rFonts w:hint="eastAsia" w:ascii="宋体" w:hAnsi="宋体" w:eastAsia="宋体" w:cs="宋体"/>
                <w:spacing w:val="7"/>
                <w:sz w:val="24"/>
                <w:szCs w:val="24"/>
              </w:rPr>
              <w:t>巡查制度</w:t>
            </w:r>
            <w:r>
              <w:rPr>
                <w:rFonts w:hint="eastAsia" w:cs="宋体"/>
                <w:spacing w:val="7"/>
                <w:sz w:val="24"/>
                <w:szCs w:val="24"/>
                <w:lang w:eastAsia="zh-CN"/>
              </w:rPr>
              <w:t>、</w:t>
            </w:r>
            <w:r>
              <w:rPr>
                <w:rFonts w:hint="eastAsia" w:ascii="宋体" w:hAnsi="宋体" w:eastAsia="宋体" w:cs="宋体"/>
                <w:spacing w:val="7"/>
                <w:sz w:val="24"/>
                <w:szCs w:val="24"/>
              </w:rPr>
              <w:t>游泳馆卫生管理制度</w:t>
            </w:r>
            <w:r>
              <w:rPr>
                <w:rFonts w:hint="eastAsia" w:cs="宋体"/>
                <w:spacing w:val="7"/>
                <w:sz w:val="24"/>
                <w:szCs w:val="24"/>
                <w:lang w:eastAsia="zh-CN"/>
              </w:rPr>
              <w:t>、</w:t>
            </w:r>
            <w:r>
              <w:rPr>
                <w:rFonts w:hint="eastAsia" w:ascii="宋体" w:hAnsi="宋体" w:eastAsia="宋体" w:cs="宋体"/>
                <w:spacing w:val="7"/>
                <w:sz w:val="24"/>
                <w:szCs w:val="24"/>
              </w:rPr>
              <w:t>服务人员岗位责任制度</w:t>
            </w:r>
            <w:r>
              <w:rPr>
                <w:rFonts w:hint="eastAsia" w:ascii="宋体" w:hAnsi="宋体" w:eastAsia="宋体" w:cs="宋体"/>
                <w:spacing w:val="7"/>
                <w:sz w:val="24"/>
                <w:szCs w:val="24"/>
                <w:lang w:val="en-US" w:eastAsia="zh-CN"/>
              </w:rPr>
              <w:t>等文件，</w:t>
            </w:r>
            <w:r>
              <w:rPr>
                <w:rFonts w:hint="eastAsia" w:ascii="宋体" w:hAnsi="宋体" w:eastAsia="宋体" w:cs="宋体"/>
                <w:spacing w:val="17"/>
                <w:sz w:val="24"/>
                <w:szCs w:val="24"/>
              </w:rPr>
              <w:t>表明该企业基本落实了相关要</w:t>
            </w:r>
            <w:r>
              <w:rPr>
                <w:rFonts w:hint="eastAsia" w:ascii="宋体" w:hAnsi="宋体" w:eastAsia="宋体" w:cs="宋体"/>
                <w:spacing w:val="-1"/>
                <w:sz w:val="24"/>
                <w:szCs w:val="24"/>
              </w:rPr>
              <w:t>求。</w:t>
            </w:r>
          </w:p>
        </w:tc>
      </w:tr>
      <w:tr w14:paraId="5331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841" w:type="dxa"/>
            <w:vAlign w:val="center"/>
          </w:tcPr>
          <w:p w14:paraId="5F1182F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pacing w:val="2"/>
                <w:sz w:val="24"/>
                <w:szCs w:val="24"/>
              </w:rPr>
              <w:t>29</w:t>
            </w:r>
          </w:p>
        </w:tc>
        <w:tc>
          <w:tcPr>
            <w:tcW w:w="6079" w:type="dxa"/>
            <w:vAlign w:val="center"/>
          </w:tcPr>
          <w:p w14:paraId="52D12D6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ascii="宋体" w:hAnsi="宋体" w:eastAsia="宋体" w:cs="宋体"/>
                <w:sz w:val="24"/>
                <w:szCs w:val="24"/>
              </w:rPr>
              <w:t>应设置醒目的“游泳人员须知”和“严禁跳水</w:t>
            </w:r>
            <w:r>
              <w:rPr>
                <w:rFonts w:hint="eastAsia" w:cs="宋体"/>
                <w:sz w:val="24"/>
                <w:szCs w:val="24"/>
                <w:lang w:eastAsia="zh-CN"/>
              </w:rPr>
              <w:t>”“</w:t>
            </w:r>
            <w:r>
              <w:rPr>
                <w:rFonts w:ascii="宋体" w:hAnsi="宋体" w:eastAsia="宋体" w:cs="宋体"/>
                <w:sz w:val="24"/>
                <w:szCs w:val="24"/>
              </w:rPr>
              <w:t>严禁追跑打闹</w:t>
            </w:r>
            <w:r>
              <w:rPr>
                <w:rFonts w:hint="eastAsia" w:cs="宋体"/>
                <w:sz w:val="24"/>
                <w:szCs w:val="24"/>
                <w:lang w:eastAsia="zh-CN"/>
              </w:rPr>
              <w:t>”“</w:t>
            </w:r>
            <w:r>
              <w:rPr>
                <w:rFonts w:ascii="宋体" w:hAnsi="宋体" w:eastAsia="宋体" w:cs="宋体"/>
                <w:sz w:val="24"/>
                <w:szCs w:val="24"/>
              </w:rPr>
              <w:t>防滑</w:t>
            </w:r>
            <w:r>
              <w:rPr>
                <w:rFonts w:hint="eastAsia" w:cs="宋体"/>
                <w:sz w:val="24"/>
                <w:szCs w:val="24"/>
                <w:lang w:eastAsia="zh-CN"/>
              </w:rPr>
              <w:t>”“</w:t>
            </w:r>
            <w:r>
              <w:rPr>
                <w:rFonts w:ascii="宋体" w:hAnsi="宋体" w:eastAsia="宋体" w:cs="宋体"/>
                <w:sz w:val="24"/>
                <w:szCs w:val="24"/>
              </w:rPr>
              <w:t>佩戴泳帽”等必要的安全要求及警示。</w:t>
            </w:r>
          </w:p>
        </w:tc>
        <w:tc>
          <w:tcPr>
            <w:tcW w:w="2677" w:type="dxa"/>
            <w:vAlign w:val="center"/>
          </w:tcPr>
          <w:p w14:paraId="72A6890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cs="宋体"/>
                <w:sz w:val="24"/>
                <w:szCs w:val="24"/>
                <w:lang w:eastAsia="zh-CN"/>
              </w:rPr>
              <w:t>《</w:t>
            </w:r>
            <w:r>
              <w:rPr>
                <w:rFonts w:ascii="宋体" w:hAnsi="宋体" w:eastAsia="宋体" w:cs="宋体"/>
                <w:sz w:val="24"/>
                <w:szCs w:val="24"/>
              </w:rPr>
              <w:t>体育场所开放条件与技术要求 第1部分:游泳场所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7.3.2</w:t>
            </w:r>
          </w:p>
        </w:tc>
        <w:tc>
          <w:tcPr>
            <w:tcW w:w="4580" w:type="dxa"/>
            <w:vAlign w:val="center"/>
          </w:tcPr>
          <w:p w14:paraId="7CF5DE5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宋体" w:hAnsi="宋体" w:eastAsia="宋体" w:cs="宋体"/>
                <w:sz w:val="24"/>
                <w:szCs w:val="24"/>
                <w:lang w:val="en-US"/>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游泳馆现场设置了相关标识，</w:t>
            </w:r>
            <w:r>
              <w:rPr>
                <w:rFonts w:hint="eastAsia" w:ascii="宋体" w:hAnsi="宋体" w:eastAsia="宋体" w:cs="宋体"/>
                <w:spacing w:val="17"/>
                <w:sz w:val="24"/>
                <w:szCs w:val="24"/>
              </w:rPr>
              <w:t>该企业基本落实了相关要</w:t>
            </w:r>
            <w:r>
              <w:rPr>
                <w:rFonts w:hint="eastAsia" w:ascii="宋体" w:hAnsi="宋体" w:eastAsia="宋体" w:cs="宋体"/>
                <w:spacing w:val="-1"/>
                <w:sz w:val="24"/>
                <w:szCs w:val="24"/>
              </w:rPr>
              <w:t>求。</w:t>
            </w:r>
          </w:p>
        </w:tc>
      </w:tr>
      <w:tr w14:paraId="0B8B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trPr>
        <w:tc>
          <w:tcPr>
            <w:tcW w:w="841" w:type="dxa"/>
            <w:vAlign w:val="center"/>
          </w:tcPr>
          <w:p w14:paraId="38A65F1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30</w:t>
            </w:r>
          </w:p>
        </w:tc>
        <w:tc>
          <w:tcPr>
            <w:tcW w:w="6079" w:type="dxa"/>
            <w:vAlign w:val="center"/>
          </w:tcPr>
          <w:p w14:paraId="6CED2B2D">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ascii="宋体" w:hAnsi="宋体" w:eastAsia="宋体" w:cs="宋体"/>
                <w:sz w:val="24"/>
                <w:szCs w:val="24"/>
              </w:rPr>
              <w:t>游泳池内人均游泳面积应不小于2.5m</w:t>
            </w:r>
            <w:r>
              <w:rPr>
                <w:rFonts w:ascii="宋体" w:hAnsi="宋体" w:eastAsia="宋体" w:cs="宋体"/>
                <w:sz w:val="24"/>
                <w:szCs w:val="24"/>
                <w:vertAlign w:val="superscript"/>
              </w:rPr>
              <w:t>2</w:t>
            </w:r>
            <w:r>
              <w:rPr>
                <w:rFonts w:ascii="宋体" w:hAnsi="宋体" w:eastAsia="宋体" w:cs="宋体"/>
                <w:sz w:val="24"/>
                <w:szCs w:val="24"/>
              </w:rPr>
              <w:t>。</w:t>
            </w:r>
          </w:p>
        </w:tc>
        <w:tc>
          <w:tcPr>
            <w:tcW w:w="2677" w:type="dxa"/>
            <w:vAlign w:val="center"/>
          </w:tcPr>
          <w:p w14:paraId="5EFA9EAA">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cs="宋体"/>
                <w:sz w:val="24"/>
                <w:szCs w:val="24"/>
                <w:lang w:eastAsia="zh-CN"/>
              </w:rPr>
              <w:t>《</w:t>
            </w:r>
            <w:r>
              <w:rPr>
                <w:rFonts w:ascii="宋体" w:hAnsi="宋体" w:eastAsia="宋体" w:cs="宋体"/>
                <w:sz w:val="24"/>
                <w:szCs w:val="24"/>
              </w:rPr>
              <w:t>体育场所开放条件与技术要求 第1部分:游泳场所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7.3.3</w:t>
            </w:r>
          </w:p>
        </w:tc>
        <w:tc>
          <w:tcPr>
            <w:tcW w:w="4580" w:type="dxa"/>
            <w:vAlign w:val="center"/>
          </w:tcPr>
          <w:p w14:paraId="0CA0759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游泳馆高峰客流50-70人，</w:t>
            </w:r>
            <w:r>
              <w:rPr>
                <w:rFonts w:hint="eastAsia" w:ascii="宋体" w:hAnsi="宋体" w:eastAsia="宋体" w:cs="宋体"/>
                <w:spacing w:val="17"/>
                <w:sz w:val="24"/>
                <w:szCs w:val="24"/>
              </w:rPr>
              <w:t>该企业基本落实了相关要</w:t>
            </w:r>
            <w:r>
              <w:rPr>
                <w:rFonts w:hint="eastAsia" w:ascii="宋体" w:hAnsi="宋体" w:eastAsia="宋体" w:cs="宋体"/>
                <w:spacing w:val="-1"/>
                <w:sz w:val="24"/>
                <w:szCs w:val="24"/>
              </w:rPr>
              <w:t>求。</w:t>
            </w:r>
          </w:p>
        </w:tc>
      </w:tr>
      <w:tr w14:paraId="6C60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trPr>
        <w:tc>
          <w:tcPr>
            <w:tcW w:w="841" w:type="dxa"/>
            <w:vAlign w:val="center"/>
          </w:tcPr>
          <w:p w14:paraId="7C5408D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31</w:t>
            </w:r>
          </w:p>
        </w:tc>
        <w:tc>
          <w:tcPr>
            <w:tcW w:w="6079" w:type="dxa"/>
            <w:vAlign w:val="center"/>
          </w:tcPr>
          <w:p w14:paraId="4A11231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lang w:eastAsia="zh-CN"/>
              </w:rPr>
            </w:pPr>
            <w:r>
              <w:rPr>
                <w:rFonts w:ascii="宋体" w:hAnsi="宋体" w:eastAsia="宋体" w:cs="宋体"/>
                <w:sz w:val="24"/>
                <w:szCs w:val="24"/>
              </w:rPr>
              <w:t>对有害、危险品的保存、管理应符合国家或属地有关安全条例的规定</w:t>
            </w:r>
            <w:r>
              <w:rPr>
                <w:rFonts w:hint="eastAsia" w:ascii="宋体" w:hAnsi="宋体" w:eastAsia="宋体" w:cs="宋体"/>
                <w:sz w:val="24"/>
                <w:szCs w:val="24"/>
                <w:lang w:eastAsia="zh-CN"/>
              </w:rPr>
              <w:t>。</w:t>
            </w:r>
          </w:p>
        </w:tc>
        <w:tc>
          <w:tcPr>
            <w:tcW w:w="2677" w:type="dxa"/>
            <w:vAlign w:val="center"/>
          </w:tcPr>
          <w:p w14:paraId="38EA6D6C">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cs="宋体"/>
                <w:sz w:val="24"/>
                <w:szCs w:val="24"/>
                <w:lang w:eastAsia="zh-CN"/>
              </w:rPr>
              <w:t>《</w:t>
            </w:r>
            <w:r>
              <w:rPr>
                <w:rFonts w:ascii="宋体" w:hAnsi="宋体" w:eastAsia="宋体" w:cs="宋体"/>
                <w:sz w:val="24"/>
                <w:szCs w:val="24"/>
              </w:rPr>
              <w:t>体育场所开放条件与技术要求 第1部分:游泳场所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7.3.4</w:t>
            </w:r>
          </w:p>
        </w:tc>
        <w:tc>
          <w:tcPr>
            <w:tcW w:w="4580" w:type="dxa"/>
            <w:vAlign w:val="center"/>
          </w:tcPr>
          <w:p w14:paraId="7CB9E0F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宋体" w:hAnsi="宋体" w:eastAsia="宋体" w:cs="宋体"/>
                <w:sz w:val="24"/>
                <w:szCs w:val="24"/>
                <w:lang w:val="en-US"/>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游泳馆水处理间设置了消毒药品存放库房，安装了自动吸取装置，张贴了相关规定和出入记录，</w:t>
            </w:r>
            <w:r>
              <w:rPr>
                <w:rFonts w:hint="eastAsia" w:ascii="宋体" w:hAnsi="宋体" w:eastAsia="宋体" w:cs="宋体"/>
                <w:spacing w:val="17"/>
                <w:sz w:val="24"/>
                <w:szCs w:val="24"/>
              </w:rPr>
              <w:t>该企业基本落实了相关要</w:t>
            </w:r>
            <w:r>
              <w:rPr>
                <w:rFonts w:hint="eastAsia" w:ascii="宋体" w:hAnsi="宋体" w:eastAsia="宋体" w:cs="宋体"/>
                <w:spacing w:val="-1"/>
                <w:sz w:val="24"/>
                <w:szCs w:val="24"/>
              </w:rPr>
              <w:t>求。</w:t>
            </w:r>
          </w:p>
        </w:tc>
      </w:tr>
      <w:tr w14:paraId="0862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8" w:hRule="atLeast"/>
        </w:trPr>
        <w:tc>
          <w:tcPr>
            <w:tcW w:w="841" w:type="dxa"/>
            <w:vAlign w:val="center"/>
          </w:tcPr>
          <w:p w14:paraId="59F3711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32</w:t>
            </w:r>
          </w:p>
        </w:tc>
        <w:tc>
          <w:tcPr>
            <w:tcW w:w="6079" w:type="dxa"/>
            <w:vAlign w:val="center"/>
          </w:tcPr>
          <w:p w14:paraId="2F0CF387">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lang w:eastAsia="zh-CN"/>
              </w:rPr>
            </w:pPr>
            <w:r>
              <w:rPr>
                <w:rFonts w:ascii="宋体" w:hAnsi="宋体" w:eastAsia="宋体" w:cs="宋体"/>
                <w:sz w:val="24"/>
                <w:szCs w:val="24"/>
              </w:rPr>
              <w:t>禁止向游泳人员出售含有酒精的饮料</w:t>
            </w:r>
            <w:r>
              <w:rPr>
                <w:rFonts w:hint="eastAsia" w:ascii="宋体" w:hAnsi="宋体" w:eastAsia="宋体" w:cs="宋体"/>
                <w:sz w:val="24"/>
                <w:szCs w:val="24"/>
                <w:lang w:eastAsia="zh-CN"/>
              </w:rPr>
              <w:t>。</w:t>
            </w:r>
          </w:p>
        </w:tc>
        <w:tc>
          <w:tcPr>
            <w:tcW w:w="2677" w:type="dxa"/>
            <w:vAlign w:val="center"/>
          </w:tcPr>
          <w:p w14:paraId="3B1422E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cs="宋体"/>
                <w:sz w:val="24"/>
                <w:szCs w:val="24"/>
                <w:lang w:eastAsia="zh-CN"/>
              </w:rPr>
              <w:t>《</w:t>
            </w:r>
            <w:r>
              <w:rPr>
                <w:rFonts w:ascii="宋体" w:hAnsi="宋体" w:eastAsia="宋体" w:cs="宋体"/>
                <w:sz w:val="24"/>
                <w:szCs w:val="24"/>
              </w:rPr>
              <w:t>体育场所开放条件与技术要求 第1部分:游泳场所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7.3.5</w:t>
            </w:r>
          </w:p>
        </w:tc>
        <w:tc>
          <w:tcPr>
            <w:tcW w:w="4580" w:type="dxa"/>
            <w:vAlign w:val="center"/>
          </w:tcPr>
          <w:p w14:paraId="2B4D5350">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游泳馆现场未见，</w:t>
            </w:r>
            <w:r>
              <w:rPr>
                <w:rFonts w:hint="eastAsia" w:ascii="宋体" w:hAnsi="宋体" w:eastAsia="宋体" w:cs="宋体"/>
                <w:spacing w:val="17"/>
                <w:sz w:val="24"/>
                <w:szCs w:val="24"/>
              </w:rPr>
              <w:t>该企业基本落实了相关要</w:t>
            </w:r>
            <w:r>
              <w:rPr>
                <w:rFonts w:hint="eastAsia" w:ascii="宋体" w:hAnsi="宋体" w:eastAsia="宋体" w:cs="宋体"/>
                <w:spacing w:val="-1"/>
                <w:sz w:val="24"/>
                <w:szCs w:val="24"/>
              </w:rPr>
              <w:t>求。</w:t>
            </w:r>
          </w:p>
        </w:tc>
      </w:tr>
      <w:tr w14:paraId="0081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trPr>
        <w:tc>
          <w:tcPr>
            <w:tcW w:w="841" w:type="dxa"/>
            <w:vAlign w:val="center"/>
          </w:tcPr>
          <w:p w14:paraId="4595193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33</w:t>
            </w:r>
          </w:p>
        </w:tc>
        <w:tc>
          <w:tcPr>
            <w:tcW w:w="6079" w:type="dxa"/>
            <w:vAlign w:val="center"/>
          </w:tcPr>
          <w:p w14:paraId="43CD7D1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lang w:eastAsia="zh-CN"/>
              </w:rPr>
            </w:pPr>
            <w:r>
              <w:rPr>
                <w:rFonts w:ascii="宋体" w:hAnsi="宋体" w:eastAsia="宋体" w:cs="宋体"/>
                <w:sz w:val="24"/>
                <w:szCs w:val="24"/>
              </w:rPr>
              <w:t>应确保安全疏散通道畅通</w:t>
            </w:r>
            <w:r>
              <w:rPr>
                <w:rFonts w:hint="eastAsia" w:ascii="宋体" w:hAnsi="宋体" w:eastAsia="宋体" w:cs="宋体"/>
                <w:sz w:val="24"/>
                <w:szCs w:val="24"/>
                <w:lang w:eastAsia="zh-CN"/>
              </w:rPr>
              <w:t>。</w:t>
            </w:r>
          </w:p>
        </w:tc>
        <w:tc>
          <w:tcPr>
            <w:tcW w:w="2677" w:type="dxa"/>
            <w:vAlign w:val="center"/>
          </w:tcPr>
          <w:p w14:paraId="5722E986">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cs="宋体"/>
                <w:sz w:val="24"/>
                <w:szCs w:val="24"/>
                <w:lang w:eastAsia="zh-CN"/>
              </w:rPr>
              <w:t>《</w:t>
            </w:r>
            <w:r>
              <w:rPr>
                <w:rFonts w:ascii="宋体" w:hAnsi="宋体" w:eastAsia="宋体" w:cs="宋体"/>
                <w:sz w:val="24"/>
                <w:szCs w:val="24"/>
              </w:rPr>
              <w:t>体育场所开放条件与技术要求 第1部分:游泳场所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7.3.6</w:t>
            </w:r>
          </w:p>
        </w:tc>
        <w:tc>
          <w:tcPr>
            <w:tcW w:w="4580" w:type="dxa"/>
            <w:vAlign w:val="center"/>
          </w:tcPr>
          <w:p w14:paraId="7C19B63E">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游泳馆现场通道畅通，</w:t>
            </w:r>
            <w:r>
              <w:rPr>
                <w:rFonts w:hint="eastAsia" w:ascii="宋体" w:hAnsi="宋体" w:eastAsia="宋体" w:cs="宋体"/>
                <w:spacing w:val="17"/>
                <w:sz w:val="24"/>
                <w:szCs w:val="24"/>
              </w:rPr>
              <w:t>该企业基本落实了相关要</w:t>
            </w:r>
            <w:r>
              <w:rPr>
                <w:rFonts w:hint="eastAsia" w:ascii="宋体" w:hAnsi="宋体" w:eastAsia="宋体" w:cs="宋体"/>
                <w:spacing w:val="-1"/>
                <w:sz w:val="24"/>
                <w:szCs w:val="24"/>
              </w:rPr>
              <w:t>求。</w:t>
            </w:r>
          </w:p>
        </w:tc>
      </w:tr>
      <w:tr w14:paraId="22F7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trPr>
        <w:tc>
          <w:tcPr>
            <w:tcW w:w="841" w:type="dxa"/>
            <w:vAlign w:val="center"/>
          </w:tcPr>
          <w:p w14:paraId="04CBA36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34</w:t>
            </w:r>
          </w:p>
        </w:tc>
        <w:tc>
          <w:tcPr>
            <w:tcW w:w="6079" w:type="dxa"/>
            <w:vAlign w:val="center"/>
          </w:tcPr>
          <w:p w14:paraId="142560EE">
            <w:pPr>
              <w:pStyle w:val="91"/>
              <w:keepNext w:val="0"/>
              <w:keepLines w:val="0"/>
              <w:pageBreakBefore w:val="0"/>
              <w:widowControl w:val="0"/>
              <w:tabs>
                <w:tab w:val="left" w:pos="1864"/>
              </w:tabs>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lang w:eastAsia="zh-CN"/>
              </w:rPr>
            </w:pPr>
            <w:r>
              <w:rPr>
                <w:rFonts w:ascii="宋体" w:hAnsi="宋体" w:eastAsia="宋体" w:cs="宋体"/>
                <w:sz w:val="24"/>
                <w:szCs w:val="24"/>
              </w:rPr>
              <w:t>开展游泳培训项目,教练应具有社会体育指导员(游泳)国家职业资格</w:t>
            </w:r>
            <w:r>
              <w:rPr>
                <w:rFonts w:hint="eastAsia" w:ascii="宋体" w:hAnsi="宋体" w:eastAsia="宋体" w:cs="宋体"/>
                <w:sz w:val="24"/>
                <w:szCs w:val="24"/>
                <w:lang w:eastAsia="zh-CN"/>
              </w:rPr>
              <w:t>。</w:t>
            </w:r>
          </w:p>
        </w:tc>
        <w:tc>
          <w:tcPr>
            <w:tcW w:w="2677" w:type="dxa"/>
            <w:vAlign w:val="center"/>
          </w:tcPr>
          <w:p w14:paraId="140EE335">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cs="宋体"/>
                <w:sz w:val="24"/>
                <w:szCs w:val="24"/>
                <w:lang w:eastAsia="zh-CN"/>
              </w:rPr>
              <w:t>《</w:t>
            </w:r>
            <w:r>
              <w:rPr>
                <w:rFonts w:ascii="宋体" w:hAnsi="宋体" w:eastAsia="宋体" w:cs="宋体"/>
                <w:sz w:val="24"/>
                <w:szCs w:val="24"/>
              </w:rPr>
              <w:t>体育场所开放条件与技术要求 第1部分:游泳场所</w:t>
            </w:r>
            <w:r>
              <w:rPr>
                <w:rFonts w:hint="eastAsia" w:cs="宋体"/>
                <w:sz w:val="24"/>
                <w:szCs w:val="24"/>
                <w:lang w:eastAsia="zh-CN"/>
              </w:rPr>
              <w:t>》（</w:t>
            </w:r>
            <w:r>
              <w:rPr>
                <w:rFonts w:ascii="宋体" w:hAnsi="宋体" w:eastAsia="宋体" w:cs="宋体"/>
                <w:sz w:val="24"/>
                <w:szCs w:val="24"/>
              </w:rPr>
              <w:t>GB19079.1—2013</w:t>
            </w:r>
            <w:r>
              <w:rPr>
                <w:rFonts w:hint="eastAsia" w:cs="宋体"/>
                <w:sz w:val="24"/>
                <w:szCs w:val="24"/>
                <w:lang w:eastAsia="zh-CN"/>
              </w:rPr>
              <w:t>）</w:t>
            </w:r>
            <w:r>
              <w:rPr>
                <w:rFonts w:hint="eastAsia" w:cs="宋体"/>
                <w:sz w:val="24"/>
                <w:szCs w:val="24"/>
                <w:lang w:val="en-US" w:eastAsia="zh-CN"/>
              </w:rPr>
              <w:t>7.3.7</w:t>
            </w:r>
          </w:p>
        </w:tc>
        <w:tc>
          <w:tcPr>
            <w:tcW w:w="4580" w:type="dxa"/>
            <w:vAlign w:val="center"/>
          </w:tcPr>
          <w:p w14:paraId="56F294DF">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宋体" w:hAnsi="宋体" w:eastAsia="宋体" w:cs="宋体"/>
                <w:sz w:val="24"/>
                <w:szCs w:val="24"/>
                <w:lang w:val="en-US"/>
              </w:rPr>
            </w:pPr>
            <w:r>
              <w:rPr>
                <w:rFonts w:hint="eastAsia" w:ascii="宋体" w:hAnsi="宋体" w:eastAsia="宋体" w:cs="宋体"/>
                <w:spacing w:val="7"/>
                <w:sz w:val="24"/>
                <w:szCs w:val="24"/>
                <w:lang w:eastAsia="zh-CN"/>
              </w:rPr>
              <w:t>石油科技交流中心</w:t>
            </w:r>
            <w:r>
              <w:rPr>
                <w:rFonts w:hint="eastAsia" w:cs="宋体"/>
                <w:spacing w:val="7"/>
                <w:sz w:val="24"/>
                <w:szCs w:val="24"/>
                <w:lang w:val="en-US" w:eastAsia="zh-CN"/>
              </w:rPr>
              <w:t>游泳馆现场张贴了指导员证书，该</w:t>
            </w:r>
            <w:r>
              <w:rPr>
                <w:rFonts w:hint="eastAsia" w:ascii="宋体" w:hAnsi="宋体" w:eastAsia="宋体" w:cs="宋体"/>
                <w:spacing w:val="17"/>
                <w:sz w:val="24"/>
                <w:szCs w:val="24"/>
              </w:rPr>
              <w:t>企业基本落实了相关要</w:t>
            </w:r>
            <w:r>
              <w:rPr>
                <w:rFonts w:hint="eastAsia" w:ascii="宋体" w:hAnsi="宋体" w:eastAsia="宋体" w:cs="宋体"/>
                <w:spacing w:val="-1"/>
                <w:sz w:val="24"/>
                <w:szCs w:val="24"/>
              </w:rPr>
              <w:t>求。</w:t>
            </w:r>
          </w:p>
        </w:tc>
      </w:tr>
      <w:tr w14:paraId="1BB2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841" w:type="dxa"/>
            <w:vAlign w:val="center"/>
          </w:tcPr>
          <w:p w14:paraId="4E8F4C0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35</w:t>
            </w:r>
          </w:p>
        </w:tc>
        <w:tc>
          <w:tcPr>
            <w:tcW w:w="6079" w:type="dxa"/>
            <w:vAlign w:val="center"/>
          </w:tcPr>
          <w:p w14:paraId="0D248542">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8"/>
                <w:sz w:val="24"/>
                <w:szCs w:val="24"/>
              </w:rPr>
              <w:t>其他事故的跟踪情况</w:t>
            </w:r>
          </w:p>
        </w:tc>
        <w:tc>
          <w:tcPr>
            <w:tcW w:w="7257" w:type="dxa"/>
            <w:gridSpan w:val="2"/>
            <w:vAlign w:val="center"/>
          </w:tcPr>
          <w:p w14:paraId="7B561F23">
            <w:pPr>
              <w:pStyle w:val="91"/>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石油科技交流中心游泳馆“3·17”一般生产安全事故发生后，截止本报告提交时</w:t>
            </w:r>
            <w:r>
              <w:rPr>
                <w:rFonts w:hint="eastAsia" w:ascii="宋体" w:hAnsi="宋体" w:eastAsia="宋体" w:cs="宋体"/>
                <w:spacing w:val="8"/>
                <w:sz w:val="24"/>
                <w:szCs w:val="24"/>
              </w:rPr>
              <w:t>间，该项目现场暂未有其他一般生产安全事故发生。</w:t>
            </w:r>
          </w:p>
        </w:tc>
      </w:tr>
    </w:tbl>
    <w:p w14:paraId="31A058E6">
      <w:pPr>
        <w:pStyle w:val="27"/>
        <w:spacing w:line="360" w:lineRule="auto"/>
        <w:ind w:left="0" w:leftChars="0" w:firstLine="0" w:firstLineChars="0"/>
        <w:jc w:val="both"/>
        <w:outlineLvl w:val="2"/>
        <w:rPr>
          <w:rFonts w:hint="default" w:ascii="宋体" w:hAnsi="宋体" w:eastAsia="宋体"/>
          <w:b w:val="0"/>
          <w:bCs/>
          <w:sz w:val="24"/>
          <w:szCs w:val="24"/>
          <w:lang w:val="en-US" w:eastAsia="zh-CN"/>
        </w:rPr>
        <w:sectPr>
          <w:footerReference r:id="rId4" w:type="default"/>
          <w:pgSz w:w="16838" w:h="11906" w:orient="landscape"/>
          <w:pgMar w:top="1803" w:right="1440" w:bottom="1803" w:left="1440" w:header="851" w:footer="992" w:gutter="0"/>
          <w:pgNumType w:fmt="decimal"/>
          <w:cols w:space="0" w:num="1"/>
          <w:rtlGutter w:val="0"/>
          <w:docGrid w:type="lines" w:linePitch="395" w:charSpace="0"/>
        </w:sectPr>
      </w:pPr>
    </w:p>
    <w:bookmarkEnd w:id="17"/>
    <w:bookmarkEnd w:id="18"/>
    <w:p w14:paraId="62B8ADF4">
      <w:pPr>
        <w:pStyle w:val="27"/>
        <w:spacing w:line="360" w:lineRule="auto"/>
        <w:ind w:firstLine="560"/>
        <w:rPr>
          <w:rFonts w:ascii="宋体" w:hAnsi="宋体" w:eastAsia="宋体"/>
          <w:sz w:val="28"/>
          <w:szCs w:val="28"/>
        </w:rPr>
      </w:pPr>
      <w:bookmarkStart w:id="19" w:name="_Toc12519"/>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进行评估，发现问题如下：</w:t>
      </w:r>
    </w:p>
    <w:p w14:paraId="4890E04A">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4A981F91">
      <w:pPr>
        <w:pStyle w:val="27"/>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w:t>
      </w:r>
      <w:r>
        <w:rPr>
          <w:rFonts w:hint="eastAsia" w:ascii="宋体" w:hAnsi="宋体" w:eastAsia="宋体"/>
          <w:sz w:val="28"/>
          <w:szCs w:val="28"/>
          <w:lang w:eastAsia="zh-CN"/>
        </w:rPr>
        <w:t>《</w:t>
      </w:r>
      <w:r>
        <w:rPr>
          <w:rFonts w:hint="eastAsia" w:ascii="宋体" w:hAnsi="宋体" w:eastAsia="宋体"/>
          <w:sz w:val="28"/>
          <w:szCs w:val="28"/>
          <w:lang w:val="en-US" w:eastAsia="zh-CN"/>
        </w:rPr>
        <w:t>北京市安全生产条例</w:t>
      </w:r>
      <w:r>
        <w:rPr>
          <w:rFonts w:hint="eastAsia" w:ascii="宋体" w:hAnsi="宋体" w:eastAsia="宋体"/>
          <w:sz w:val="28"/>
          <w:szCs w:val="28"/>
          <w:lang w:eastAsia="zh-CN"/>
        </w:rPr>
        <w:t>》</w:t>
      </w:r>
      <w:r>
        <w:rPr>
          <w:rFonts w:hint="eastAsia" w:ascii="宋体" w:hAnsi="宋体" w:eastAsia="宋体"/>
          <w:sz w:val="28"/>
          <w:szCs w:val="28"/>
        </w:rPr>
        <w:t>均要求员工、作业人员参保工伤或意外保险。目前在职人员参保工伤保险，但</w:t>
      </w:r>
      <w:r>
        <w:rPr>
          <w:rFonts w:hint="eastAsia" w:ascii="宋体" w:hAnsi="宋体" w:eastAsia="宋体"/>
          <w:sz w:val="28"/>
          <w:szCs w:val="28"/>
          <w:lang w:val="en-US" w:eastAsia="zh-CN"/>
        </w:rPr>
        <w:t>未存储相关记录</w:t>
      </w:r>
      <w:r>
        <w:rPr>
          <w:rFonts w:hint="eastAsia" w:ascii="宋体" w:hAnsi="宋体" w:eastAsia="宋体"/>
          <w:sz w:val="28"/>
          <w:szCs w:val="28"/>
        </w:rPr>
        <w:t>。</w:t>
      </w:r>
    </w:p>
    <w:p w14:paraId="4399C7C9">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1078D4DF">
      <w:pPr>
        <w:pStyle w:val="27"/>
        <w:spacing w:line="360" w:lineRule="auto"/>
        <w:ind w:firstLine="560"/>
        <w:rPr>
          <w:rFonts w:ascii="宋体" w:hAnsi="宋体" w:eastAsia="宋体"/>
          <w:sz w:val="28"/>
          <w:szCs w:val="28"/>
        </w:rPr>
      </w:pPr>
      <w:r>
        <w:rPr>
          <w:rFonts w:hint="eastAsia" w:ascii="宋体" w:hAnsi="宋体" w:eastAsia="宋体"/>
          <w:sz w:val="28"/>
          <w:szCs w:val="28"/>
          <w:lang w:val="en-US" w:eastAsia="zh-CN"/>
        </w:rPr>
        <w:t>企业可考虑投保安责险或集体意外险，</w:t>
      </w:r>
      <w:r>
        <w:rPr>
          <w:rFonts w:hint="eastAsia" w:ascii="宋体" w:hAnsi="宋体" w:eastAsia="宋体"/>
          <w:sz w:val="28"/>
          <w:szCs w:val="28"/>
        </w:rPr>
        <w:t>将参保资料妥善保存至</w:t>
      </w:r>
      <w:r>
        <w:rPr>
          <w:rFonts w:hint="eastAsia" w:ascii="宋体" w:hAnsi="宋体" w:eastAsia="宋体"/>
          <w:sz w:val="28"/>
          <w:szCs w:val="28"/>
          <w:lang w:val="en-US" w:eastAsia="zh-CN"/>
        </w:rPr>
        <w:t>安全管理</w:t>
      </w:r>
      <w:r>
        <w:rPr>
          <w:rFonts w:hint="eastAsia" w:ascii="宋体" w:hAnsi="宋体" w:eastAsia="宋体"/>
          <w:sz w:val="28"/>
          <w:szCs w:val="28"/>
        </w:rPr>
        <w:t>档案中，若需要</w:t>
      </w:r>
      <w:r>
        <w:rPr>
          <w:rFonts w:hint="eastAsia" w:ascii="宋体" w:hAnsi="宋体" w:eastAsia="宋体"/>
          <w:sz w:val="28"/>
          <w:szCs w:val="28"/>
          <w:lang w:val="en-US" w:eastAsia="zh-CN"/>
        </w:rPr>
        <w:t>紧急</w:t>
      </w:r>
      <w:r>
        <w:rPr>
          <w:rFonts w:hint="eastAsia" w:ascii="宋体" w:hAnsi="宋体" w:eastAsia="宋体"/>
          <w:sz w:val="28"/>
          <w:szCs w:val="28"/>
        </w:rPr>
        <w:t>启动保障时，可随时查找。</w:t>
      </w:r>
    </w:p>
    <w:p w14:paraId="3C36F188">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6B459793">
      <w:pPr>
        <w:pStyle w:val="27"/>
        <w:spacing w:line="360" w:lineRule="auto"/>
        <w:ind w:firstLine="560"/>
        <w:rPr>
          <w:rFonts w:hint="default" w:ascii="宋体" w:hAnsi="宋体" w:eastAsia="宋体"/>
          <w:sz w:val="28"/>
          <w:szCs w:val="28"/>
          <w:lang w:val="en-US"/>
        </w:rPr>
      </w:pPr>
      <w:r>
        <w:rPr>
          <w:rFonts w:hint="eastAsia" w:ascii="宋体" w:hAnsi="宋体" w:eastAsia="宋体"/>
          <w:sz w:val="28"/>
          <w:szCs w:val="28"/>
        </w:rPr>
        <w:t>《中华人民共和国安全生产法》</w:t>
      </w:r>
      <w:r>
        <w:rPr>
          <w:rFonts w:hint="eastAsia" w:ascii="宋体" w:hAnsi="宋体" w:eastAsia="宋体"/>
          <w:sz w:val="28"/>
          <w:szCs w:val="28"/>
          <w:lang w:eastAsia="zh-CN"/>
        </w:rPr>
        <w:t>《</w:t>
      </w:r>
      <w:r>
        <w:rPr>
          <w:rFonts w:hint="eastAsia" w:ascii="宋体" w:hAnsi="宋体" w:eastAsia="宋体"/>
          <w:sz w:val="28"/>
          <w:szCs w:val="28"/>
          <w:lang w:val="en-US" w:eastAsia="zh-CN"/>
        </w:rPr>
        <w:t>北京市安全生产条例</w:t>
      </w:r>
      <w:r>
        <w:rPr>
          <w:rFonts w:hint="eastAsia" w:ascii="宋体" w:hAnsi="宋体" w:eastAsia="宋体"/>
          <w:sz w:val="28"/>
          <w:szCs w:val="28"/>
          <w:lang w:eastAsia="zh-CN"/>
        </w:rPr>
        <w:t>》</w:t>
      </w:r>
      <w:r>
        <w:rPr>
          <w:rFonts w:hint="eastAsia" w:ascii="宋体" w:hAnsi="宋体" w:eastAsia="宋体"/>
          <w:sz w:val="28"/>
          <w:szCs w:val="28"/>
          <w:lang w:val="en-US" w:eastAsia="zh-CN"/>
        </w:rPr>
        <w:t>规定了生产经营单位应当具备的安全生产条件所必需的资金投入，目前游泳馆现场已设置了各类救生应急救援装备器材，但未见相关记录清单。</w:t>
      </w:r>
    </w:p>
    <w:p w14:paraId="36CC74B1">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7CEAF2F8">
      <w:pPr>
        <w:pStyle w:val="27"/>
        <w:spacing w:line="360" w:lineRule="auto"/>
        <w:ind w:firstLine="560"/>
        <w:rPr>
          <w:rFonts w:ascii="宋体" w:hAnsi="宋体" w:eastAsia="宋体"/>
          <w:sz w:val="28"/>
          <w:szCs w:val="28"/>
        </w:rPr>
      </w:pPr>
      <w:r>
        <w:rPr>
          <w:rFonts w:hint="eastAsia" w:ascii="宋体" w:hAnsi="宋体" w:eastAsia="宋体"/>
          <w:sz w:val="28"/>
          <w:szCs w:val="28"/>
        </w:rPr>
        <w:t>建议建立安全生产费用管理台账，列明各项费用支出明细，纳入</w:t>
      </w:r>
      <w:r>
        <w:rPr>
          <w:rFonts w:hint="eastAsia" w:ascii="宋体" w:hAnsi="宋体" w:eastAsia="宋体"/>
          <w:sz w:val="28"/>
          <w:szCs w:val="28"/>
          <w:lang w:val="en-US" w:eastAsia="zh-CN"/>
        </w:rPr>
        <w:t>安全管理</w:t>
      </w:r>
      <w:r>
        <w:rPr>
          <w:rFonts w:hint="eastAsia" w:ascii="宋体" w:hAnsi="宋体" w:eastAsia="宋体"/>
          <w:sz w:val="28"/>
          <w:szCs w:val="28"/>
        </w:rPr>
        <w:t>档案中，务必确保专款专用。</w:t>
      </w:r>
    </w:p>
    <w:p w14:paraId="1592E5C3">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2CA2A711">
      <w:pPr>
        <w:pStyle w:val="27"/>
        <w:spacing w:line="360" w:lineRule="auto"/>
        <w:ind w:firstLine="560"/>
        <w:rPr>
          <w:rFonts w:hint="default" w:ascii="宋体" w:hAnsi="宋体" w:eastAsia="宋体"/>
          <w:sz w:val="28"/>
          <w:szCs w:val="28"/>
          <w:lang w:val="en-US"/>
        </w:rPr>
      </w:pPr>
      <w:r>
        <w:rPr>
          <w:rFonts w:hint="eastAsia" w:ascii="宋体" w:hAnsi="宋体" w:eastAsia="宋体"/>
          <w:sz w:val="28"/>
          <w:szCs w:val="28"/>
        </w:rPr>
        <w:t>《中华人民共和国安全生产法》</w:t>
      </w:r>
      <w:r>
        <w:rPr>
          <w:rFonts w:hint="eastAsia" w:ascii="宋体" w:hAnsi="宋体" w:eastAsia="宋体"/>
          <w:sz w:val="28"/>
          <w:szCs w:val="28"/>
          <w:lang w:eastAsia="zh-CN"/>
        </w:rPr>
        <w:t>《</w:t>
      </w:r>
      <w:r>
        <w:rPr>
          <w:rFonts w:hint="eastAsia" w:ascii="宋体" w:hAnsi="宋体" w:eastAsia="宋体"/>
          <w:sz w:val="28"/>
          <w:szCs w:val="28"/>
          <w:lang w:val="en-US" w:eastAsia="zh-CN"/>
        </w:rPr>
        <w:t>北京市安全生产条例</w:t>
      </w:r>
      <w:r>
        <w:rPr>
          <w:rFonts w:hint="eastAsia" w:ascii="宋体" w:hAnsi="宋体" w:eastAsia="宋体"/>
          <w:sz w:val="28"/>
          <w:szCs w:val="28"/>
          <w:lang w:eastAsia="zh-CN"/>
        </w:rPr>
        <w:t>》</w:t>
      </w:r>
      <w:r>
        <w:rPr>
          <w:rFonts w:hint="eastAsia" w:ascii="宋体" w:hAnsi="宋体" w:eastAsia="宋体"/>
          <w:sz w:val="28"/>
          <w:szCs w:val="28"/>
          <w:lang w:val="en-US" w:eastAsia="zh-CN"/>
        </w:rPr>
        <w:t>规定了生产经营单位应当建设完善应急预案，定期开展应急演练。目前游泳馆每年开展游泳救生比赛，但仅见照片，未见相关记录。</w:t>
      </w:r>
    </w:p>
    <w:p w14:paraId="3BDBE263">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00B48D40">
      <w:pPr>
        <w:pStyle w:val="27"/>
        <w:spacing w:line="360" w:lineRule="auto"/>
        <w:ind w:firstLine="560"/>
        <w:rPr>
          <w:rFonts w:hint="eastAsia" w:ascii="宋体" w:hAnsi="宋体" w:eastAsia="宋体"/>
          <w:sz w:val="28"/>
          <w:szCs w:val="28"/>
        </w:rPr>
      </w:pPr>
      <w:r>
        <w:rPr>
          <w:rFonts w:hint="eastAsia" w:ascii="宋体" w:hAnsi="宋体" w:eastAsia="宋体"/>
          <w:sz w:val="28"/>
          <w:szCs w:val="28"/>
          <w:lang w:val="en-US" w:eastAsia="zh-CN"/>
        </w:rPr>
        <w:t>按照</w:t>
      </w:r>
      <w:r>
        <w:rPr>
          <w:rFonts w:hint="eastAsia" w:ascii="宋体" w:hAnsi="宋体" w:eastAsia="宋体"/>
          <w:sz w:val="28"/>
          <w:szCs w:val="28"/>
          <w:lang w:eastAsia="zh-CN"/>
        </w:rPr>
        <w:t>《</w:t>
      </w:r>
      <w:r>
        <w:rPr>
          <w:rFonts w:hint="eastAsia" w:ascii="宋体" w:hAnsi="宋体" w:eastAsia="宋体"/>
          <w:sz w:val="28"/>
          <w:szCs w:val="28"/>
          <w:lang w:val="en-US" w:eastAsia="zh-CN"/>
        </w:rPr>
        <w:t>突发事件应急预案管理办法</w:t>
      </w:r>
      <w:r>
        <w:rPr>
          <w:rFonts w:hint="eastAsia" w:ascii="宋体" w:hAnsi="宋体" w:eastAsia="宋体"/>
          <w:sz w:val="28"/>
          <w:szCs w:val="28"/>
          <w:lang w:eastAsia="zh-CN"/>
        </w:rPr>
        <w:t>》《生产安全事故应急预案管理办法》结合本单位的事故风险特点、</w:t>
      </w:r>
      <w:r>
        <w:rPr>
          <w:rFonts w:hint="eastAsia" w:ascii="宋体" w:hAnsi="宋体" w:eastAsia="宋体"/>
          <w:sz w:val="28"/>
          <w:szCs w:val="28"/>
          <w:lang w:val="en-US" w:eastAsia="zh-CN"/>
        </w:rPr>
        <w:t>应急资源点位（包括人员和队伍），</w:t>
      </w:r>
      <w:r>
        <w:rPr>
          <w:rFonts w:hint="eastAsia" w:ascii="宋体" w:hAnsi="宋体" w:eastAsia="宋体"/>
          <w:sz w:val="28"/>
          <w:szCs w:val="28"/>
        </w:rPr>
        <w:t>组织应急演练</w:t>
      </w:r>
      <w:r>
        <w:rPr>
          <w:rFonts w:hint="eastAsia" w:ascii="宋体" w:hAnsi="宋体" w:eastAsia="宋体"/>
          <w:sz w:val="28"/>
          <w:szCs w:val="28"/>
          <w:lang w:eastAsia="zh-CN"/>
        </w:rPr>
        <w:t>，</w:t>
      </w:r>
      <w:r>
        <w:rPr>
          <w:rFonts w:hint="eastAsia" w:ascii="宋体" w:hAnsi="宋体" w:eastAsia="宋体"/>
          <w:sz w:val="28"/>
          <w:szCs w:val="28"/>
          <w:lang w:val="en-US" w:eastAsia="zh-CN"/>
        </w:rPr>
        <w:t>并留好相应的记录文件，做好计划及总结</w:t>
      </w:r>
      <w:r>
        <w:rPr>
          <w:rFonts w:hint="eastAsia" w:ascii="宋体" w:hAnsi="宋体" w:eastAsia="宋体"/>
          <w:sz w:val="28"/>
          <w:szCs w:val="28"/>
        </w:rPr>
        <w:t>。</w:t>
      </w:r>
    </w:p>
    <w:p w14:paraId="65BA56BB">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r>
        <w:rPr>
          <w:rFonts w:hint="eastAsia"/>
          <w:b/>
          <w:sz w:val="28"/>
          <w:szCs w:val="21"/>
          <w:lang w:val="en-US" w:eastAsia="zh-CN"/>
        </w:rPr>
        <w:t>（二）现场运营环境安全评估</w:t>
      </w:r>
      <w:bookmarkEnd w:id="19"/>
    </w:p>
    <w:p w14:paraId="689A2BFB">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本次评估还聘请了安全生产领域专家共同进行实地安全评估，依次走访了游泳馆的游泳区、更衣室、水处理间及配电室等区域，重点查看电气安全、设备设施、场所环境等方面可能存在的安全问题。</w:t>
      </w:r>
    </w:p>
    <w:p w14:paraId="15782BA1">
      <w:pPr>
        <w:pStyle w:val="27"/>
        <w:numPr>
          <w:ilvl w:val="0"/>
          <w:numId w:val="2"/>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事发现场情况</w:t>
      </w:r>
    </w:p>
    <w:p w14:paraId="034C172C">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评估组通过现场询问，“3·17”事故发生后，按照国家标准，配齐救生员，确保在岗救生员数量符合标准。游泳馆现有救生员8名，保证同时在岗救生员4名。对游泳馆进行改造，包括泳池增加地膜，减少里面眩光；游泳馆增加灯光，使泳池水底更清晰；对泳池内泳梯进行更换，增加接触面和防滑效果，调整泳池巡察路线；增加游泳馆监控设备，杜绝监控死角；在吧台设置血压仪检测仪，对泳客健康进行提前观测，避免有可能发生的意外；增加急救设备，购置 AED 和制氧仪，提高在面对意外时的人员应急处置效果。</w:t>
      </w:r>
    </w:p>
    <w:p w14:paraId="5009EC3D">
      <w:pPr>
        <w:pStyle w:val="27"/>
        <w:spacing w:line="360" w:lineRule="auto"/>
        <w:ind w:left="0" w:leftChars="0" w:firstLine="0" w:firstLineChars="0"/>
        <w:jc w:val="both"/>
        <w:rPr>
          <w:rFonts w:hint="eastAsia" w:ascii="宋体" w:hAnsi="宋体" w:eastAsia="宋体"/>
          <w:sz w:val="28"/>
          <w:szCs w:val="28"/>
          <w:lang w:val="en-US" w:eastAsia="zh-CN"/>
        </w:rPr>
      </w:pPr>
      <w:r>
        <w:rPr>
          <w:rFonts w:hint="eastAsia" w:ascii="宋体" w:hAnsi="宋体" w:eastAsia="宋体"/>
          <w:sz w:val="28"/>
          <w:szCs w:val="28"/>
          <w:lang w:val="en-US" w:eastAsia="zh-CN"/>
        </w:rPr>
        <w:drawing>
          <wp:inline distT="0" distB="0" distL="114300" distR="114300">
            <wp:extent cx="2570480" cy="1991995"/>
            <wp:effectExtent l="0" t="0" r="7620" b="1905"/>
            <wp:docPr id="18" name="图片 18" descr="da86629b180cccf7f582e28af7372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a86629b180cccf7f582e28af7372de"/>
                    <pic:cNvPicPr>
                      <a:picLocks noChangeAspect="1"/>
                    </pic:cNvPicPr>
                  </pic:nvPicPr>
                  <pic:blipFill>
                    <a:blip r:embed="rId8"/>
                    <a:stretch>
                      <a:fillRect/>
                    </a:stretch>
                  </pic:blipFill>
                  <pic:spPr>
                    <a:xfrm>
                      <a:off x="0" y="0"/>
                      <a:ext cx="2570480" cy="1991995"/>
                    </a:xfrm>
                    <a:prstGeom prst="rect">
                      <a:avLst/>
                    </a:prstGeom>
                  </pic:spPr>
                </pic:pic>
              </a:graphicData>
            </a:graphic>
          </wp:inline>
        </w:drawing>
      </w:r>
      <w:r>
        <w:rPr>
          <w:rFonts w:hint="eastAsia" w:ascii="宋体" w:hAnsi="宋体" w:eastAsia="宋体"/>
          <w:sz w:val="28"/>
          <w:szCs w:val="28"/>
          <w:lang w:val="en-US" w:eastAsia="zh-CN"/>
        </w:rPr>
        <w:drawing>
          <wp:inline distT="0" distB="0" distL="114300" distR="114300">
            <wp:extent cx="2630805" cy="1971040"/>
            <wp:effectExtent l="0" t="0" r="10795" b="10160"/>
            <wp:docPr id="19" name="图片 19" descr="04aead51e8689bb46bf7a5cb09e7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04aead51e8689bb46bf7a5cb09e7aba"/>
                    <pic:cNvPicPr>
                      <a:picLocks noChangeAspect="1"/>
                    </pic:cNvPicPr>
                  </pic:nvPicPr>
                  <pic:blipFill>
                    <a:blip r:embed="rId9"/>
                    <a:stretch>
                      <a:fillRect/>
                    </a:stretch>
                  </pic:blipFill>
                  <pic:spPr>
                    <a:xfrm>
                      <a:off x="0" y="0"/>
                      <a:ext cx="2630805" cy="1971040"/>
                    </a:xfrm>
                    <a:prstGeom prst="rect">
                      <a:avLst/>
                    </a:prstGeom>
                  </pic:spPr>
                </pic:pic>
              </a:graphicData>
            </a:graphic>
          </wp:inline>
        </w:drawing>
      </w:r>
    </w:p>
    <w:p w14:paraId="1408447E">
      <w:pPr>
        <w:pStyle w:val="27"/>
        <w:spacing w:line="360" w:lineRule="auto"/>
        <w:ind w:left="0" w:leftChars="0" w:firstLine="0" w:firstLineChars="0"/>
        <w:jc w:val="center"/>
        <w:rPr>
          <w:rFonts w:hint="eastAsia" w:ascii="宋体" w:hAnsi="宋体" w:eastAsia="宋体"/>
          <w:b w:val="0"/>
          <w:bCs/>
          <w:sz w:val="24"/>
          <w:szCs w:val="24"/>
          <w:lang w:val="en-US" w:eastAsia="zh-CN"/>
        </w:rPr>
      </w:pPr>
      <w:bookmarkStart w:id="20" w:name="_Toc18721"/>
      <w:bookmarkStart w:id="21" w:name="_Toc29535"/>
      <w:bookmarkStart w:id="22" w:name="_Toc26148"/>
      <w:r>
        <w:rPr>
          <w:rFonts w:hint="eastAsia" w:ascii="宋体" w:hAnsi="宋体" w:eastAsia="宋体"/>
          <w:b w:val="0"/>
          <w:bCs/>
          <w:sz w:val="24"/>
          <w:szCs w:val="24"/>
          <w:lang w:val="en-US" w:eastAsia="zh-CN"/>
        </w:rPr>
        <w:t>图3 评估组查看事发区域</w:t>
      </w:r>
      <w:bookmarkEnd w:id="20"/>
      <w:bookmarkEnd w:id="21"/>
      <w:bookmarkEnd w:id="22"/>
    </w:p>
    <w:p w14:paraId="636FEE74">
      <w:pPr>
        <w:pStyle w:val="27"/>
        <w:numPr>
          <w:ilvl w:val="0"/>
          <w:numId w:val="2"/>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其他区域现场情况</w:t>
      </w:r>
    </w:p>
    <w:p w14:paraId="379A7CCE">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DCC84C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配电控制箱，</w:t>
      </w:r>
    </w:p>
    <w:p w14:paraId="3C787166">
      <w:pPr>
        <w:pStyle w:val="27"/>
        <w:numPr>
          <w:ilvl w:val="0"/>
          <w:numId w:val="3"/>
        </w:numPr>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未见安全标识；</w:t>
      </w:r>
    </w:p>
    <w:p w14:paraId="0003E3D6">
      <w:pPr>
        <w:pStyle w:val="27"/>
        <w:numPr>
          <w:ilvl w:val="0"/>
          <w:numId w:val="3"/>
        </w:numPr>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箱体周边有可燃体；</w:t>
      </w:r>
    </w:p>
    <w:p w14:paraId="60B7E242">
      <w:pPr>
        <w:pStyle w:val="27"/>
        <w:numPr>
          <w:ilvl w:val="0"/>
          <w:numId w:val="3"/>
        </w:numPr>
        <w:spacing w:line="360" w:lineRule="auto"/>
        <w:ind w:left="0" w:leftChars="0" w:firstLine="560" w:firstLineChars="200"/>
        <w:rPr>
          <w:rFonts w:hint="eastAsia" w:ascii="宋体" w:hAnsi="宋体" w:eastAsia="宋体"/>
          <w:sz w:val="28"/>
          <w:szCs w:val="28"/>
          <w:lang w:val="en-US" w:eastAsia="zh-CN"/>
        </w:rPr>
      </w:pPr>
      <w:r>
        <w:rPr>
          <w:rFonts w:hint="eastAsia" w:ascii="宋体" w:hAnsi="宋体" w:eastAsia="宋体"/>
          <w:sz w:val="28"/>
          <w:szCs w:val="28"/>
          <w:lang w:val="en-US" w:eastAsia="zh-CN"/>
        </w:rPr>
        <w:t>未见巡检登记表；</w:t>
      </w:r>
    </w:p>
    <w:p w14:paraId="09E48129">
      <w:pPr>
        <w:pStyle w:val="27"/>
        <w:numPr>
          <w:ilvl w:val="0"/>
          <w:numId w:val="3"/>
        </w:numPr>
        <w:spacing w:line="360" w:lineRule="auto"/>
        <w:ind w:left="0" w:leftChars="0" w:firstLine="560" w:firstLineChars="200"/>
        <w:rPr>
          <w:rFonts w:hint="eastAsia" w:ascii="宋体" w:hAnsi="宋体" w:eastAsia="宋体"/>
          <w:sz w:val="28"/>
          <w:szCs w:val="28"/>
          <w:lang w:val="en-US" w:eastAsia="zh-CN"/>
        </w:rPr>
      </w:pPr>
      <w:r>
        <w:rPr>
          <w:rFonts w:hint="eastAsia" w:ascii="宋体" w:hAnsi="宋体" w:eastAsia="宋体"/>
          <w:sz w:val="28"/>
          <w:szCs w:val="28"/>
          <w:lang w:val="en-US" w:eastAsia="zh-CN"/>
        </w:rPr>
        <w:t>未见安全警示牌。</w:t>
      </w:r>
    </w:p>
    <w:p w14:paraId="48A47119">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58B4C2D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（1）按规定粘贴国标安全标识牌；</w:t>
      </w:r>
    </w:p>
    <w:p w14:paraId="51EE3262">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（2）清理可燃物，控制箱周边建议用警戒线隔离分开；</w:t>
      </w:r>
    </w:p>
    <w:p w14:paraId="48A70674">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（3）完善登记表；</w:t>
      </w:r>
    </w:p>
    <w:p w14:paraId="24A5E5EE">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（4）完善国标安全警示牌。</w:t>
      </w:r>
    </w:p>
    <w:p w14:paraId="4C0F4158">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宋体" w:hAnsi="宋体" w:eastAsia="宋体"/>
          <w:color w:val="000000"/>
          <w:sz w:val="24"/>
          <w:szCs w:val="24"/>
          <w:lang w:eastAsia="zh-CN"/>
        </w:rPr>
        <w:drawing>
          <wp:inline distT="0" distB="0" distL="114300" distR="114300">
            <wp:extent cx="4640580" cy="2962275"/>
            <wp:effectExtent l="0" t="0" r="7620" b="9525"/>
            <wp:docPr id="2" name="图片 2" descr="6cae89496ee6940396dd299e414f4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cae89496ee6940396dd299e414f4ac"/>
                    <pic:cNvPicPr>
                      <a:picLocks noChangeAspect="1"/>
                    </pic:cNvPicPr>
                  </pic:nvPicPr>
                  <pic:blipFill>
                    <a:blip r:embed="rId10"/>
                    <a:stretch>
                      <a:fillRect/>
                    </a:stretch>
                  </pic:blipFill>
                  <pic:spPr>
                    <a:xfrm>
                      <a:off x="0" y="0"/>
                      <a:ext cx="4640580" cy="2962275"/>
                    </a:xfrm>
                    <a:prstGeom prst="rect">
                      <a:avLst/>
                    </a:prstGeom>
                  </pic:spPr>
                </pic:pic>
              </a:graphicData>
            </a:graphic>
          </wp:inline>
        </w:drawing>
      </w:r>
    </w:p>
    <w:p w14:paraId="7D122E98">
      <w:pPr>
        <w:pStyle w:val="27"/>
        <w:spacing w:line="360" w:lineRule="auto"/>
        <w:ind w:left="0" w:leftChars="0" w:firstLine="0" w:firstLineChars="0"/>
        <w:jc w:val="center"/>
        <w:rPr>
          <w:rFonts w:hint="eastAsia" w:ascii="宋体" w:hAnsi="宋体" w:eastAsia="宋体"/>
          <w:b w:val="0"/>
          <w:bCs/>
          <w:sz w:val="24"/>
          <w:szCs w:val="24"/>
          <w:lang w:val="en-US" w:eastAsia="zh-CN"/>
        </w:rPr>
      </w:pPr>
      <w:bookmarkStart w:id="23" w:name="_Toc12668"/>
      <w:bookmarkStart w:id="24" w:name="_Toc14680"/>
      <w:bookmarkStart w:id="25" w:name="_Toc17488"/>
      <w:r>
        <w:rPr>
          <w:rFonts w:hint="eastAsia" w:ascii="宋体" w:hAnsi="宋体" w:eastAsia="宋体"/>
          <w:b w:val="0"/>
          <w:bCs/>
          <w:sz w:val="24"/>
          <w:szCs w:val="24"/>
          <w:lang w:val="en-US" w:eastAsia="zh-CN"/>
        </w:rPr>
        <w:t>图4 对配电箱提出整改建议</w:t>
      </w:r>
      <w:bookmarkEnd w:id="23"/>
      <w:bookmarkEnd w:id="24"/>
      <w:bookmarkEnd w:id="25"/>
    </w:p>
    <w:p w14:paraId="4F094E39">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41B4799">
      <w:pPr>
        <w:pStyle w:val="27"/>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（1）多用插线板未使用安全型多用；</w:t>
      </w:r>
    </w:p>
    <w:p w14:paraId="3456397D">
      <w:pPr>
        <w:pStyle w:val="27"/>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（2）双平线使用依据规范要求不允许使用在插座回路中；</w:t>
      </w:r>
    </w:p>
    <w:p w14:paraId="01BB861B">
      <w:pPr>
        <w:pStyle w:val="27"/>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（3）箱内有杂物。</w:t>
      </w:r>
    </w:p>
    <w:p w14:paraId="67CACA68">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159635B">
      <w:pPr>
        <w:pStyle w:val="27"/>
        <w:spacing w:line="360" w:lineRule="auto"/>
        <w:ind w:firstLine="480"/>
        <w:jc w:val="left"/>
        <w:rPr>
          <w:rFonts w:hint="default" w:ascii="宋体" w:hAnsi="宋体" w:eastAsia="宋体"/>
          <w:sz w:val="28"/>
          <w:szCs w:val="28"/>
          <w:lang w:val="en-US" w:eastAsia="zh-CN"/>
        </w:rPr>
      </w:pPr>
      <w:r>
        <w:rPr>
          <w:rFonts w:hint="eastAsia" w:ascii="宋体" w:hAnsi="宋体" w:eastAsia="宋体"/>
          <w:sz w:val="28"/>
          <w:szCs w:val="28"/>
          <w:lang w:val="en-US" w:eastAsia="zh-CN"/>
        </w:rPr>
        <w:t>（1）更换安全型多用插座；</w:t>
      </w:r>
    </w:p>
    <w:p w14:paraId="6F538AED">
      <w:pPr>
        <w:pStyle w:val="27"/>
        <w:numPr>
          <w:ilvl w:val="0"/>
          <w:numId w:val="4"/>
        </w:numPr>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建议更换BV或者BRV2.5平方毫米导线；</w:t>
      </w:r>
    </w:p>
    <w:p w14:paraId="6A71DBFA">
      <w:pPr>
        <w:pStyle w:val="27"/>
        <w:numPr>
          <w:ilvl w:val="0"/>
          <w:numId w:val="4"/>
        </w:numPr>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清扫箱内的杂物。</w:t>
      </w:r>
    </w:p>
    <w:p w14:paraId="2BA4DB67">
      <w:pPr>
        <w:pStyle w:val="27"/>
        <w:spacing w:line="360" w:lineRule="auto"/>
        <w:ind w:left="0" w:leftChars="0" w:firstLine="0" w:firstLineChars="0"/>
        <w:jc w:val="center"/>
        <w:rPr>
          <w:rFonts w:hint="default" w:ascii="宋体" w:hAnsi="宋体" w:eastAsia="宋体" w:cs="宋体"/>
          <w:kern w:val="0"/>
          <w:sz w:val="18"/>
          <w:szCs w:val="18"/>
          <w:lang w:val="en-US" w:eastAsia="zh-CN"/>
        </w:rPr>
      </w:pPr>
      <w:r>
        <w:rPr>
          <w:rFonts w:hint="eastAsia" w:ascii="宋体" w:hAnsi="宋体" w:eastAsia="宋体"/>
          <w:color w:val="000000"/>
          <w:sz w:val="24"/>
          <w:szCs w:val="24"/>
          <w:lang w:eastAsia="zh-CN"/>
        </w:rPr>
        <w:drawing>
          <wp:inline distT="0" distB="0" distL="114300" distR="114300">
            <wp:extent cx="3547745" cy="2476500"/>
            <wp:effectExtent l="0" t="0" r="8255" b="0"/>
            <wp:docPr id="16" name="图片 16" descr="8b80974befe272e2a3be9d8496b9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b80974befe272e2a3be9d8496b9daa"/>
                    <pic:cNvPicPr>
                      <a:picLocks noChangeAspect="1"/>
                    </pic:cNvPicPr>
                  </pic:nvPicPr>
                  <pic:blipFill>
                    <a:blip r:embed="rId11"/>
                    <a:stretch>
                      <a:fillRect/>
                    </a:stretch>
                  </pic:blipFill>
                  <pic:spPr>
                    <a:xfrm>
                      <a:off x="0" y="0"/>
                      <a:ext cx="3547745" cy="2476500"/>
                    </a:xfrm>
                    <a:prstGeom prst="rect">
                      <a:avLst/>
                    </a:prstGeom>
                  </pic:spPr>
                </pic:pic>
              </a:graphicData>
            </a:graphic>
          </wp:inline>
        </w:drawing>
      </w:r>
    </w:p>
    <w:p w14:paraId="1FEA7B37">
      <w:pPr>
        <w:pStyle w:val="27"/>
        <w:spacing w:line="360" w:lineRule="auto"/>
        <w:ind w:left="0" w:leftChars="0" w:firstLine="0" w:firstLineChars="0"/>
        <w:jc w:val="center"/>
        <w:rPr>
          <w:rFonts w:hint="eastAsia" w:ascii="宋体" w:hAnsi="宋体" w:eastAsia="宋体"/>
          <w:b w:val="0"/>
          <w:bCs/>
          <w:sz w:val="24"/>
          <w:szCs w:val="24"/>
          <w:lang w:val="en-US" w:eastAsia="zh-CN"/>
        </w:rPr>
      </w:pPr>
      <w:bookmarkStart w:id="26" w:name="_Toc21583"/>
      <w:bookmarkStart w:id="27" w:name="_Toc14774"/>
      <w:bookmarkStart w:id="28" w:name="_Toc24590"/>
      <w:r>
        <w:rPr>
          <w:rFonts w:hint="eastAsia" w:ascii="宋体" w:hAnsi="宋体" w:eastAsia="宋体"/>
          <w:b w:val="0"/>
          <w:bCs/>
          <w:sz w:val="24"/>
          <w:szCs w:val="24"/>
          <w:lang w:val="en-US" w:eastAsia="zh-CN"/>
        </w:rPr>
        <w:t>图5 对电路设备提出整改建议</w:t>
      </w:r>
      <w:bookmarkEnd w:id="26"/>
      <w:bookmarkEnd w:id="27"/>
      <w:bookmarkEnd w:id="28"/>
    </w:p>
    <w:p w14:paraId="244DCC92">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3C448A0">
      <w:pPr>
        <w:pStyle w:val="27"/>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（1）配电柜未见绝缘垫</w:t>
      </w:r>
    </w:p>
    <w:p w14:paraId="6F38875A">
      <w:pPr>
        <w:pStyle w:val="27"/>
        <w:numPr>
          <w:ilvl w:val="0"/>
          <w:numId w:val="5"/>
        </w:numPr>
        <w:spacing w:line="360" w:lineRule="auto"/>
        <w:ind w:firstLine="480"/>
        <w:jc w:val="left"/>
        <w:rPr>
          <w:rFonts w:hint="eastAsia" w:ascii="宋体" w:hAnsi="宋体" w:eastAsia="宋体"/>
          <w:sz w:val="28"/>
          <w:szCs w:val="28"/>
          <w:lang w:val="en-US" w:eastAsia="zh-CN"/>
        </w:rPr>
      </w:pPr>
      <w:r>
        <w:rPr>
          <w:rFonts w:hint="eastAsia" w:ascii="宋体" w:hAnsi="宋体" w:eastAsia="宋体"/>
          <w:sz w:val="28"/>
          <w:szCs w:val="28"/>
          <w:lang w:val="en-US" w:eastAsia="zh-CN"/>
        </w:rPr>
        <w:t>未见配电柜周边灭火器</w:t>
      </w:r>
    </w:p>
    <w:p w14:paraId="3644CD13">
      <w:pPr>
        <w:keepNext w:val="0"/>
        <w:keepLines w:val="0"/>
        <w:widowControl/>
        <w:numPr>
          <w:ilvl w:val="0"/>
          <w:numId w:val="0"/>
        </w:numPr>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1D7ECFA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（1）完善绝缘垫</w:t>
      </w:r>
    </w:p>
    <w:p w14:paraId="15B06D4B">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（2）建议配齐灭火器</w:t>
      </w:r>
    </w:p>
    <w:p w14:paraId="130BA66B">
      <w:pPr>
        <w:pStyle w:val="27"/>
        <w:spacing w:line="360" w:lineRule="auto"/>
        <w:ind w:left="0" w:leftChars="0" w:firstLine="0" w:firstLineChars="0"/>
        <w:jc w:val="center"/>
        <w:rPr>
          <w:rFonts w:hint="default" w:ascii="宋体" w:hAnsi="宋体" w:eastAsia="宋体"/>
          <w:sz w:val="28"/>
          <w:szCs w:val="28"/>
          <w:lang w:val="en-US" w:eastAsia="zh-CN"/>
        </w:rPr>
      </w:pPr>
      <w:bookmarkStart w:id="29" w:name="_Toc3080"/>
      <w:r>
        <w:rPr>
          <w:rFonts w:hint="default" w:ascii="宋体" w:hAnsi="宋体" w:eastAsia="宋体"/>
          <w:color w:val="000000"/>
          <w:sz w:val="24"/>
          <w:szCs w:val="24"/>
          <w:lang w:eastAsia="zh-CN"/>
        </w:rPr>
        <w:drawing>
          <wp:inline distT="0" distB="0" distL="114300" distR="114300">
            <wp:extent cx="2442210" cy="2491105"/>
            <wp:effectExtent l="0" t="0" r="8890" b="10795"/>
            <wp:docPr id="11" name="图片 11" descr="166e0cd774549220126b0285b3260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6e0cd774549220126b0285b32609e"/>
                    <pic:cNvPicPr>
                      <a:picLocks noChangeAspect="1"/>
                    </pic:cNvPicPr>
                  </pic:nvPicPr>
                  <pic:blipFill>
                    <a:blip r:embed="rId12"/>
                    <a:stretch>
                      <a:fillRect/>
                    </a:stretch>
                  </pic:blipFill>
                  <pic:spPr>
                    <a:xfrm>
                      <a:off x="0" y="0"/>
                      <a:ext cx="2442210" cy="2491105"/>
                    </a:xfrm>
                    <a:prstGeom prst="rect">
                      <a:avLst/>
                    </a:prstGeom>
                  </pic:spPr>
                </pic:pic>
              </a:graphicData>
            </a:graphic>
          </wp:inline>
        </w:drawing>
      </w:r>
    </w:p>
    <w:p w14:paraId="56584809">
      <w:pPr>
        <w:pStyle w:val="27"/>
        <w:spacing w:line="360" w:lineRule="auto"/>
        <w:ind w:left="0" w:leftChars="0" w:firstLine="0" w:firstLineChars="0"/>
        <w:jc w:val="center"/>
        <w:rPr>
          <w:rFonts w:hint="eastAsia" w:ascii="宋体" w:hAnsi="宋体" w:eastAsia="宋体"/>
          <w:b w:val="0"/>
          <w:bCs/>
          <w:sz w:val="24"/>
          <w:szCs w:val="24"/>
          <w:lang w:val="en-US" w:eastAsia="zh-CN"/>
        </w:rPr>
      </w:pPr>
      <w:bookmarkStart w:id="30" w:name="_Toc28758"/>
      <w:bookmarkStart w:id="31" w:name="_Toc9812"/>
      <w:bookmarkStart w:id="32" w:name="_Toc7524"/>
      <w:r>
        <w:rPr>
          <w:rFonts w:hint="eastAsia" w:ascii="宋体" w:hAnsi="宋体" w:eastAsia="宋体"/>
          <w:b w:val="0"/>
          <w:bCs/>
          <w:sz w:val="24"/>
          <w:szCs w:val="24"/>
          <w:lang w:val="en-US" w:eastAsia="zh-CN"/>
        </w:rPr>
        <w:t>图6 对配电柜提出整改建议</w:t>
      </w:r>
      <w:bookmarkEnd w:id="30"/>
      <w:bookmarkEnd w:id="31"/>
      <w:bookmarkEnd w:id="32"/>
    </w:p>
    <w:p w14:paraId="16E2E072">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7B27138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配电柜内布线接线不规范、未用护套软管保护导线</w:t>
      </w:r>
    </w:p>
    <w:p w14:paraId="111B9AA7">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14:paraId="2780D6F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（1）PVC波纹管建议用绝缘胶带缠绕；</w:t>
      </w:r>
    </w:p>
    <w:p w14:paraId="7155282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（2）用护套软管保护导线。</w:t>
      </w:r>
    </w:p>
    <w:p w14:paraId="673C2A4A">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宋体" w:hAnsi="宋体" w:eastAsia="宋体"/>
          <w:color w:val="000000"/>
          <w:sz w:val="24"/>
          <w:szCs w:val="24"/>
          <w:lang w:eastAsia="zh-CN"/>
        </w:rPr>
        <w:drawing>
          <wp:inline distT="0" distB="0" distL="114300" distR="114300">
            <wp:extent cx="1706880" cy="3717925"/>
            <wp:effectExtent l="0" t="0" r="7620" b="3175"/>
            <wp:docPr id="17" name="图片 17" descr="b01b9c6c751c3fe309b3a9548804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01b9c6c751c3fe309b3a9548804a92"/>
                    <pic:cNvPicPr>
                      <a:picLocks noChangeAspect="1"/>
                    </pic:cNvPicPr>
                  </pic:nvPicPr>
                  <pic:blipFill>
                    <a:blip r:embed="rId13"/>
                    <a:stretch>
                      <a:fillRect/>
                    </a:stretch>
                  </pic:blipFill>
                  <pic:spPr>
                    <a:xfrm>
                      <a:off x="0" y="0"/>
                      <a:ext cx="1706880" cy="3717925"/>
                    </a:xfrm>
                    <a:prstGeom prst="rect">
                      <a:avLst/>
                    </a:prstGeom>
                  </pic:spPr>
                </pic:pic>
              </a:graphicData>
            </a:graphic>
          </wp:inline>
        </w:drawing>
      </w:r>
    </w:p>
    <w:p w14:paraId="269BA5FD">
      <w:pPr>
        <w:pStyle w:val="27"/>
        <w:spacing w:line="360" w:lineRule="auto"/>
        <w:ind w:left="0" w:leftChars="0" w:firstLine="0" w:firstLineChars="0"/>
        <w:jc w:val="center"/>
        <w:rPr>
          <w:rFonts w:hint="eastAsia" w:ascii="宋体" w:hAnsi="宋体" w:eastAsia="宋体"/>
          <w:b w:val="0"/>
          <w:bCs/>
          <w:sz w:val="24"/>
          <w:szCs w:val="24"/>
          <w:lang w:val="en-US" w:eastAsia="zh-CN"/>
        </w:rPr>
      </w:pPr>
      <w:bookmarkStart w:id="33" w:name="_Toc25851"/>
      <w:bookmarkStart w:id="34" w:name="_Toc30573"/>
      <w:bookmarkStart w:id="35" w:name="_Toc11561"/>
      <w:r>
        <w:rPr>
          <w:rFonts w:hint="eastAsia" w:ascii="宋体" w:hAnsi="宋体" w:eastAsia="宋体"/>
          <w:b w:val="0"/>
          <w:bCs/>
          <w:sz w:val="24"/>
          <w:szCs w:val="24"/>
          <w:lang w:val="en-US" w:eastAsia="zh-CN"/>
        </w:rPr>
        <w:t xml:space="preserve">图7 </w:t>
      </w:r>
      <w:bookmarkEnd w:id="33"/>
      <w:bookmarkEnd w:id="34"/>
      <w:bookmarkEnd w:id="35"/>
      <w:r>
        <w:rPr>
          <w:rFonts w:hint="eastAsia" w:ascii="宋体" w:hAnsi="宋体" w:eastAsia="宋体"/>
          <w:b w:val="0"/>
          <w:bCs/>
          <w:sz w:val="24"/>
          <w:szCs w:val="24"/>
          <w:lang w:val="en-US" w:eastAsia="zh-CN"/>
        </w:rPr>
        <w:t>对配电柜提出整改建议</w:t>
      </w:r>
    </w:p>
    <w:p w14:paraId="3323DB77">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36" w:name="_Toc11625"/>
      <w:r>
        <w:rPr>
          <w:rFonts w:hint="eastAsia" w:ascii="黑体" w:hAnsi="黑体" w:eastAsia="黑体" w:cs="黑体"/>
          <w:sz w:val="28"/>
          <w:szCs w:val="28"/>
          <w:lang w:val="en-US" w:eastAsia="zh-CN"/>
        </w:rPr>
        <w:t>四、</w:t>
      </w:r>
      <w:bookmarkEnd w:id="29"/>
      <w:r>
        <w:rPr>
          <w:rFonts w:hint="eastAsia" w:ascii="黑体" w:hAnsi="黑体" w:eastAsia="黑体" w:cs="黑体"/>
          <w:sz w:val="28"/>
          <w:szCs w:val="28"/>
          <w:lang w:val="en-US" w:eastAsia="zh-CN"/>
        </w:rPr>
        <w:t>安全现状评估结论与建议</w:t>
      </w:r>
      <w:bookmarkEnd w:id="36"/>
    </w:p>
    <w:p w14:paraId="452908F6">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37" w:name="_Toc579"/>
      <w:r>
        <w:rPr>
          <w:rFonts w:hint="eastAsia"/>
          <w:b/>
          <w:sz w:val="28"/>
          <w:szCs w:val="21"/>
          <w:lang w:val="en-US" w:eastAsia="zh-CN"/>
        </w:rPr>
        <w:t>（一）评估结论</w:t>
      </w:r>
      <w:bookmarkEnd w:id="37"/>
    </w:p>
    <w:p w14:paraId="70390FA5">
      <w:pPr>
        <w:pStyle w:val="27"/>
        <w:spacing w:line="360" w:lineRule="auto"/>
        <w:ind w:firstLine="480"/>
        <w:rPr>
          <w:rFonts w:ascii="宋体" w:hAnsi="宋体" w:eastAsia="宋体"/>
          <w:sz w:val="24"/>
          <w:szCs w:val="24"/>
        </w:rPr>
      </w:pPr>
      <w:r>
        <w:rPr>
          <w:rFonts w:hint="eastAsia" w:ascii="宋体" w:hAnsi="宋体" w:eastAsia="宋体"/>
          <w:sz w:val="28"/>
          <w:szCs w:val="28"/>
          <w:lang w:val="en-US" w:eastAsia="zh-CN"/>
        </w:rPr>
        <w:t>评估组按照安全生产法律法规和《事故调查报告》中的事故间接原因、整改防范措施，对上述材料和现场环境进</w:t>
      </w:r>
      <w:r>
        <w:rPr>
          <w:rFonts w:hint="eastAsia" w:ascii="宋体" w:hAnsi="宋体" w:eastAsia="宋体"/>
          <w:sz w:val="28"/>
          <w:szCs w:val="28"/>
          <w:highlight w:val="none"/>
          <w:lang w:val="en-US" w:eastAsia="zh-CN"/>
        </w:rPr>
        <w:t>行评估，</w:t>
      </w:r>
      <w:r>
        <w:rPr>
          <w:rFonts w:hint="eastAsia" w:ascii="宋体" w:hAnsi="宋体" w:eastAsia="宋体"/>
          <w:sz w:val="28"/>
          <w:szCs w:val="28"/>
          <w:lang w:val="en-US" w:eastAsia="zh-CN"/>
        </w:rPr>
        <w:t>结合专家意见和企业整改工作情况，</w:t>
      </w:r>
      <w:r>
        <w:rPr>
          <w:rFonts w:hint="eastAsia" w:ascii="宋体" w:hAnsi="宋体" w:eastAsia="宋体"/>
          <w:sz w:val="28"/>
          <w:szCs w:val="28"/>
          <w:highlight w:val="none"/>
          <w:lang w:val="en-US" w:eastAsia="zh-CN"/>
        </w:rPr>
        <w:t>最终认为石油科技交流中心</w:t>
      </w:r>
      <w:r>
        <w:rPr>
          <w:rFonts w:hint="eastAsia" w:ascii="宋体" w:hAnsi="宋体" w:eastAsia="宋体"/>
          <w:sz w:val="28"/>
          <w:szCs w:val="28"/>
          <w:lang w:val="en-US" w:eastAsia="zh-CN"/>
        </w:rPr>
        <w:t>现行制度、管理措施和现场安全状态基本符合《中华人民共和国安全生产法》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lang w:val="en-US" w:eastAsia="zh-CN"/>
        </w:rPr>
        <w:t>相关规定。</w:t>
      </w:r>
    </w:p>
    <w:p w14:paraId="1715A01D">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38" w:name="_Toc8065"/>
      <w:r>
        <w:rPr>
          <w:rFonts w:hint="eastAsia"/>
          <w:b/>
          <w:sz w:val="28"/>
          <w:szCs w:val="21"/>
          <w:lang w:val="en-US" w:eastAsia="zh-CN"/>
        </w:rPr>
        <w:t>（二）工作提升建议</w:t>
      </w:r>
      <w:bookmarkEnd w:id="38"/>
    </w:p>
    <w:p w14:paraId="3B68DD1A">
      <w:pPr>
        <w:pStyle w:val="27"/>
        <w:spacing w:line="360" w:lineRule="auto"/>
        <w:ind w:firstLine="560"/>
        <w:rPr>
          <w:rFonts w:hint="default" w:ascii="宋体" w:hAnsi="宋体" w:eastAsia="宋体"/>
          <w:sz w:val="28"/>
          <w:szCs w:val="28"/>
          <w:lang w:val="en-US" w:eastAsia="zh-CN"/>
        </w:rPr>
      </w:pPr>
      <w:r>
        <w:rPr>
          <w:rFonts w:hint="default" w:ascii="宋体" w:hAnsi="宋体" w:eastAsia="宋体"/>
          <w:sz w:val="28"/>
          <w:szCs w:val="28"/>
          <w:lang w:val="zh-CN" w:eastAsia="zh-CN"/>
        </w:rPr>
        <w:t>根据本次评估过程及结论</w:t>
      </w:r>
      <w:r>
        <w:rPr>
          <w:rFonts w:ascii="宋体" w:hAnsi="宋体" w:eastAsia="宋体"/>
          <w:sz w:val="28"/>
          <w:szCs w:val="28"/>
          <w:lang w:val="zh-CN"/>
        </w:rPr>
        <w:t>，</w:t>
      </w:r>
      <w:r>
        <w:rPr>
          <w:rFonts w:hint="eastAsia" w:ascii="宋体" w:hAnsi="宋体" w:eastAsia="宋体"/>
          <w:sz w:val="28"/>
          <w:szCs w:val="28"/>
          <w:highlight w:val="none"/>
          <w:lang w:val="en-US" w:eastAsia="zh-CN"/>
        </w:rPr>
        <w:t>石油科技交流中心</w:t>
      </w:r>
      <w:r>
        <w:rPr>
          <w:rFonts w:hint="eastAsia" w:ascii="宋体" w:hAnsi="宋体" w:eastAsia="宋体"/>
          <w:sz w:val="28"/>
          <w:szCs w:val="28"/>
          <w:lang w:val="en-US" w:eastAsia="zh-CN"/>
        </w:rPr>
        <w:t>应针对安全现状评估中发现的问题积极改进落实，按照相关法律法规要求，履行安全生产主体责任，加强安全生产管理，提高安全生产水平，并对未履行安全生产主体责任导致的后果负责。</w:t>
      </w:r>
    </w:p>
    <w:p w14:paraId="504565C2">
      <w:pPr>
        <w:pStyle w:val="27"/>
        <w:spacing w:line="360" w:lineRule="auto"/>
        <w:ind w:firstLine="560"/>
        <w:rPr>
          <w:rFonts w:hint="default" w:ascii="宋体" w:hAnsi="宋体" w:eastAsia="宋体"/>
          <w:sz w:val="28"/>
          <w:szCs w:val="28"/>
          <w:lang w:val="zh-CN" w:eastAsia="zh-CN"/>
        </w:rPr>
      </w:pPr>
      <w:r>
        <w:rPr>
          <w:rFonts w:hint="eastAsia" w:ascii="宋体" w:hAnsi="宋体" w:eastAsia="宋体"/>
          <w:sz w:val="28"/>
          <w:szCs w:val="28"/>
          <w:lang w:val="en-US" w:eastAsia="zh-CN"/>
        </w:rPr>
        <w:t>评估组针对</w:t>
      </w:r>
      <w:r>
        <w:rPr>
          <w:rFonts w:hint="eastAsia" w:ascii="宋体" w:hAnsi="宋体" w:eastAsia="宋体"/>
          <w:sz w:val="28"/>
          <w:szCs w:val="28"/>
          <w:highlight w:val="none"/>
          <w:lang w:val="en-US" w:eastAsia="zh-CN"/>
        </w:rPr>
        <w:t>石油科技交流中心安全</w:t>
      </w:r>
      <w:r>
        <w:rPr>
          <w:rFonts w:hint="eastAsia" w:ascii="宋体" w:hAnsi="宋体" w:eastAsia="宋体"/>
          <w:sz w:val="28"/>
          <w:szCs w:val="28"/>
          <w:lang w:val="en-US" w:eastAsia="zh-CN"/>
        </w:rPr>
        <w:t>工作</w:t>
      </w:r>
      <w:r>
        <w:rPr>
          <w:rFonts w:hint="eastAsia" w:ascii="宋体" w:hAnsi="宋体" w:eastAsia="宋体"/>
          <w:sz w:val="28"/>
          <w:szCs w:val="28"/>
          <w:highlight w:val="none"/>
          <w:lang w:val="en-US" w:eastAsia="zh-CN"/>
        </w:rPr>
        <w:t>未来提升方向，还</w:t>
      </w:r>
      <w:r>
        <w:rPr>
          <w:rFonts w:hint="default" w:ascii="宋体" w:hAnsi="宋体" w:eastAsia="宋体"/>
          <w:sz w:val="28"/>
          <w:szCs w:val="28"/>
          <w:lang w:val="zh-CN" w:eastAsia="zh-CN"/>
        </w:rPr>
        <w:t>提出以下</w:t>
      </w:r>
      <w:r>
        <w:rPr>
          <w:rFonts w:hint="eastAsia" w:ascii="宋体" w:hAnsi="宋体" w:eastAsia="宋体"/>
          <w:sz w:val="28"/>
          <w:szCs w:val="28"/>
          <w:lang w:val="en-US" w:eastAsia="zh-CN"/>
        </w:rPr>
        <w:t>安全工作</w:t>
      </w:r>
      <w:r>
        <w:rPr>
          <w:rFonts w:hint="default" w:ascii="宋体" w:hAnsi="宋体" w:eastAsia="宋体"/>
          <w:sz w:val="28"/>
          <w:szCs w:val="28"/>
          <w:lang w:val="zh-CN" w:eastAsia="zh-CN"/>
        </w:rPr>
        <w:t>建议措施</w:t>
      </w:r>
      <w:r>
        <w:rPr>
          <w:rFonts w:hint="eastAsia" w:ascii="宋体" w:hAnsi="宋体" w:eastAsia="宋体"/>
          <w:sz w:val="28"/>
          <w:szCs w:val="28"/>
          <w:lang w:val="zh-CN" w:eastAsia="zh-CN"/>
        </w:rPr>
        <w:t>（</w:t>
      </w:r>
      <w:r>
        <w:rPr>
          <w:rFonts w:hint="eastAsia" w:ascii="宋体" w:hAnsi="宋体" w:eastAsia="宋体"/>
          <w:sz w:val="28"/>
          <w:szCs w:val="28"/>
          <w:lang w:val="en-US" w:eastAsia="zh-CN"/>
        </w:rPr>
        <w:t>不局限于本次事故</w:t>
      </w:r>
      <w:r>
        <w:rPr>
          <w:rFonts w:hint="eastAsia" w:ascii="宋体" w:hAnsi="宋体" w:eastAsia="宋体"/>
          <w:sz w:val="28"/>
          <w:szCs w:val="28"/>
          <w:lang w:val="zh-CN" w:eastAsia="zh-CN"/>
        </w:rPr>
        <w:t>）</w:t>
      </w:r>
      <w:r>
        <w:rPr>
          <w:rFonts w:hint="default" w:ascii="宋体" w:hAnsi="宋体" w:eastAsia="宋体"/>
          <w:sz w:val="28"/>
          <w:szCs w:val="28"/>
          <w:lang w:val="zh-CN" w:eastAsia="zh-CN"/>
        </w:rPr>
        <w:t>：</w:t>
      </w:r>
    </w:p>
    <w:p w14:paraId="4D590966">
      <w:pPr>
        <w:pStyle w:val="27"/>
        <w:spacing w:line="360" w:lineRule="auto"/>
        <w:ind w:firstLine="560"/>
        <w:rPr>
          <w:rFonts w:hint="default" w:ascii="宋体" w:hAnsi="宋体" w:eastAsia="宋体"/>
          <w:sz w:val="28"/>
          <w:szCs w:val="28"/>
          <w:lang w:val="en-US" w:eastAsia="zh-CN"/>
        </w:rPr>
      </w:pPr>
      <w:bookmarkStart w:id="39" w:name="_Toc23068"/>
      <w:bookmarkStart w:id="40" w:name="_Toc11585"/>
      <w:bookmarkStart w:id="41" w:name="_Toc32492"/>
      <w:bookmarkStart w:id="42" w:name="_Toc22663"/>
      <w:r>
        <w:rPr>
          <w:rFonts w:hint="eastAsia" w:ascii="宋体" w:hAnsi="宋体" w:eastAsia="宋体"/>
          <w:sz w:val="28"/>
          <w:szCs w:val="28"/>
          <w:lang w:val="en-US" w:eastAsia="zh-CN"/>
        </w:rPr>
        <w:t>（1）明确设立安全生产管理人员</w:t>
      </w:r>
    </w:p>
    <w:p w14:paraId="3427F67C">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val="en-US" w:eastAsia="zh-CN"/>
        </w:rPr>
        <w:t>企业应明确安全人员任命及职责。《北京市安全生产条例规定》，生产经营单位从业人员超过一百人的，应当设置安全生产管理机构或者配备专职安全生产管理人员；从业人员在一百人以下的，应当配备专职或者兼职的安全生产管理人员。《北京市体育运动项目经营单位安全生产规定》，体育运动项目经营单位从业人员超过300人的，应当设置安全生产管理机构或者配备专职安全生产管理人员；从业人员在300人以下的，应当配备专职或者兼职的安全生产管理人员，或者委托具有国家规定的相关专业技术资格的工程技术人员提供安全生产管理服务。</w:t>
      </w:r>
    </w:p>
    <w:p w14:paraId="12CE0404">
      <w:pPr>
        <w:pStyle w:val="27"/>
        <w:spacing w:line="360" w:lineRule="auto"/>
        <w:ind w:firstLine="560"/>
        <w:rPr>
          <w:rFonts w:hint="default" w:ascii="宋体" w:hAnsi="宋体" w:eastAsia="宋体"/>
          <w:sz w:val="28"/>
          <w:szCs w:val="28"/>
          <w:lang w:val="en-US" w:eastAsia="zh-CN"/>
        </w:rPr>
      </w:pPr>
      <w:r>
        <w:rPr>
          <w:rFonts w:hint="default" w:ascii="宋体" w:hAnsi="宋体" w:eastAsia="宋体"/>
          <w:sz w:val="28"/>
          <w:szCs w:val="28"/>
          <w:lang w:val="en-US" w:eastAsia="zh-CN"/>
        </w:rPr>
        <w:t>（</w:t>
      </w:r>
      <w:r>
        <w:rPr>
          <w:rFonts w:hint="eastAsia" w:ascii="宋体" w:hAnsi="宋体" w:eastAsia="宋体"/>
          <w:sz w:val="28"/>
          <w:szCs w:val="28"/>
          <w:lang w:val="en-US" w:eastAsia="zh-CN"/>
        </w:rPr>
        <w:t>2</w:t>
      </w:r>
      <w:r>
        <w:rPr>
          <w:rFonts w:hint="default" w:ascii="宋体" w:hAnsi="宋体" w:eastAsia="宋体"/>
          <w:sz w:val="28"/>
          <w:szCs w:val="28"/>
          <w:lang w:val="en-US" w:eastAsia="zh-CN"/>
        </w:rPr>
        <w:t>）</w:t>
      </w:r>
      <w:r>
        <w:rPr>
          <w:rFonts w:hint="eastAsia" w:ascii="宋体" w:hAnsi="宋体" w:eastAsia="宋体"/>
          <w:sz w:val="28"/>
          <w:szCs w:val="28"/>
          <w:lang w:val="en-US" w:eastAsia="zh-CN"/>
        </w:rPr>
        <w:t>强化安全管理，做好留存记录</w:t>
      </w:r>
    </w:p>
    <w:p w14:paraId="2B24973C">
      <w:pPr>
        <w:pStyle w:val="27"/>
        <w:spacing w:line="360" w:lineRule="auto"/>
        <w:ind w:firstLine="560"/>
        <w:rPr>
          <w:rFonts w:hint="eastAsia" w:ascii="宋体" w:hAnsi="宋体" w:eastAsia="宋体"/>
          <w:sz w:val="28"/>
          <w:szCs w:val="28"/>
          <w:lang w:val="en-US" w:eastAsia="zh-CN"/>
        </w:rPr>
      </w:pPr>
      <w:r>
        <w:rPr>
          <w:rFonts w:hint="default" w:ascii="宋体" w:hAnsi="宋体" w:eastAsia="宋体"/>
          <w:sz w:val="28"/>
          <w:szCs w:val="28"/>
          <w:lang w:val="en-US" w:eastAsia="zh-CN"/>
        </w:rPr>
        <w:t>为</w:t>
      </w:r>
      <w:r>
        <w:rPr>
          <w:rFonts w:hint="eastAsia" w:ascii="宋体" w:hAnsi="宋体" w:eastAsia="宋体"/>
          <w:sz w:val="28"/>
          <w:szCs w:val="28"/>
          <w:lang w:val="en-US" w:eastAsia="zh-CN"/>
        </w:rPr>
        <w:t>自行</w:t>
      </w:r>
      <w:r>
        <w:rPr>
          <w:rFonts w:hint="default" w:ascii="宋体" w:hAnsi="宋体" w:eastAsia="宋体"/>
          <w:sz w:val="28"/>
          <w:szCs w:val="28"/>
          <w:lang w:val="en-US" w:eastAsia="zh-CN"/>
        </w:rPr>
        <w:t>评估安全生产责任的具体落实情况，企业可通过安全档案的建立和应用来展现，对照《北京市安全生产条例》</w:t>
      </w:r>
      <w:r>
        <w:rPr>
          <w:rFonts w:hint="eastAsia" w:ascii="宋体" w:hAnsi="宋体" w:eastAsia="宋体"/>
          <w:sz w:val="28"/>
          <w:szCs w:val="28"/>
          <w:lang w:val="en-US" w:eastAsia="zh-CN"/>
        </w:rPr>
        <w:t>《北京市体育运动项目经营单位安全生产规定》</w:t>
      </w:r>
      <w:r>
        <w:rPr>
          <w:rFonts w:hint="default" w:ascii="宋体" w:hAnsi="宋体" w:eastAsia="宋体"/>
          <w:sz w:val="28"/>
          <w:szCs w:val="28"/>
          <w:lang w:val="en-US" w:eastAsia="zh-CN"/>
        </w:rPr>
        <w:t>整理安全工作档案，妥善保存各项工作记录，制定工作记录检查汇交制度，及时更新风险源等信息公示，确保工作记录的及时性、准确性，保证工作情况可查询、可追溯，提升安全工作水平。</w:t>
      </w:r>
      <w:r>
        <w:rPr>
          <w:rFonts w:hint="eastAsia" w:ascii="宋体" w:hAnsi="宋体" w:eastAsia="宋体"/>
          <w:sz w:val="28"/>
          <w:szCs w:val="28"/>
          <w:lang w:val="en-US" w:eastAsia="zh-CN"/>
        </w:rPr>
        <w:t>*可利用现有的安全日志，加入培训记录、演练记录、劳动用品购买清单、保险投保情况等。</w:t>
      </w:r>
      <w:bookmarkEnd w:id="39"/>
      <w:bookmarkEnd w:id="40"/>
      <w:bookmarkEnd w:id="41"/>
      <w:bookmarkEnd w:id="42"/>
    </w:p>
    <w:sectPr>
      <w:pgSz w:w="11906" w:h="16838"/>
      <w:pgMar w:top="1418" w:right="1588" w:bottom="1418"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86837"/>
    </w:sdtPr>
    <w:sdtContent>
      <w:p w14:paraId="7AB210AA">
        <w:pPr>
          <w:pStyle w:val="12"/>
          <w:jc w:val="center"/>
        </w:pPr>
        <w:r>
          <w:fldChar w:fldCharType="begin"/>
        </w:r>
        <w:r>
          <w:instrText xml:space="preserve">PAGE   \* MERGEFORMAT</w:instrText>
        </w:r>
        <w:r>
          <w:fldChar w:fldCharType="separate"/>
        </w:r>
        <w:r>
          <w:rPr>
            <w:lang w:val="zh-CN"/>
          </w:rPr>
          <w:t>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D09B">
    <w:pPr>
      <w:spacing w:line="176" w:lineRule="auto"/>
      <w:jc w:val="lef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D26C5">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1D26C5">
                    <w:pPr>
                      <w:pStyle w:val="12"/>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47EEF"/>
    <w:multiLevelType w:val="singleLevel"/>
    <w:tmpl w:val="8B047EEF"/>
    <w:lvl w:ilvl="0" w:tentative="0">
      <w:start w:val="1"/>
      <w:numFmt w:val="decimal"/>
      <w:suff w:val="nothing"/>
      <w:lvlText w:val="（%1）"/>
      <w:lvlJc w:val="left"/>
    </w:lvl>
  </w:abstractNum>
  <w:abstractNum w:abstractNumId="1">
    <w:nsid w:val="BE3360F2"/>
    <w:multiLevelType w:val="singleLevel"/>
    <w:tmpl w:val="BE3360F2"/>
    <w:lvl w:ilvl="0" w:tentative="0">
      <w:start w:val="2"/>
      <w:numFmt w:val="decimal"/>
      <w:suff w:val="nothing"/>
      <w:lvlText w:val="（%1）"/>
      <w:lvlJc w:val="left"/>
    </w:lvl>
  </w:abstractNum>
  <w:abstractNum w:abstractNumId="2">
    <w:nsid w:val="45633061"/>
    <w:multiLevelType w:val="singleLevel"/>
    <w:tmpl w:val="45633061"/>
    <w:lvl w:ilvl="0" w:tentative="0">
      <w:start w:val="2"/>
      <w:numFmt w:val="decimal"/>
      <w:suff w:val="nothing"/>
      <w:lvlText w:val="（%1）"/>
      <w:lvlJc w:val="left"/>
    </w:lvl>
  </w:abstractNum>
  <w:abstractNum w:abstractNumId="3">
    <w:nsid w:val="5BCBE5AB"/>
    <w:multiLevelType w:val="singleLevel"/>
    <w:tmpl w:val="5BCBE5AB"/>
    <w:lvl w:ilvl="0" w:tentative="0">
      <w:start w:val="1"/>
      <w:numFmt w:val="chineseCounting"/>
      <w:suff w:val="nothing"/>
      <w:lvlText w:val="（%1）"/>
      <w:lvlJc w:val="left"/>
      <w:rPr>
        <w:rFonts w:hint="eastAsia"/>
      </w:rPr>
    </w:lvl>
  </w:abstractNum>
  <w:abstractNum w:abstractNumId="4">
    <w:nsid w:val="65397192"/>
    <w:multiLevelType w:val="singleLevel"/>
    <w:tmpl w:val="65397192"/>
    <w:lvl w:ilvl="0" w:tentative="0">
      <w:start w:val="1"/>
      <w:numFmt w:val="decimal"/>
      <w:suff w:val="nothing"/>
      <w:lvlText w:val="%1、"/>
      <w:lvlJc w:val="left"/>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285FDF"/>
    <w:rsid w:val="00033FC3"/>
    <w:rsid w:val="00035633"/>
    <w:rsid w:val="0004493C"/>
    <w:rsid w:val="000661DA"/>
    <w:rsid w:val="0007127B"/>
    <w:rsid w:val="000D68EE"/>
    <w:rsid w:val="000F5A8B"/>
    <w:rsid w:val="00100F64"/>
    <w:rsid w:val="0010441E"/>
    <w:rsid w:val="00124065"/>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2F00005"/>
    <w:rsid w:val="034857FC"/>
    <w:rsid w:val="071F6E1C"/>
    <w:rsid w:val="08A01F6E"/>
    <w:rsid w:val="0E71037E"/>
    <w:rsid w:val="100C51FC"/>
    <w:rsid w:val="134A0388"/>
    <w:rsid w:val="180D715A"/>
    <w:rsid w:val="19CA4A8E"/>
    <w:rsid w:val="19CA7395"/>
    <w:rsid w:val="1D13560D"/>
    <w:rsid w:val="1F5D64C4"/>
    <w:rsid w:val="218A4E78"/>
    <w:rsid w:val="22ED352C"/>
    <w:rsid w:val="243F2B28"/>
    <w:rsid w:val="27697D30"/>
    <w:rsid w:val="2878627F"/>
    <w:rsid w:val="295F3250"/>
    <w:rsid w:val="29752593"/>
    <w:rsid w:val="29BD5C6D"/>
    <w:rsid w:val="2B4879DE"/>
    <w:rsid w:val="2F4106A4"/>
    <w:rsid w:val="31851332"/>
    <w:rsid w:val="32F86C10"/>
    <w:rsid w:val="341A1D21"/>
    <w:rsid w:val="35BE3446"/>
    <w:rsid w:val="3729169F"/>
    <w:rsid w:val="3A1C48BA"/>
    <w:rsid w:val="3A330AC8"/>
    <w:rsid w:val="3B1677C5"/>
    <w:rsid w:val="3C146687"/>
    <w:rsid w:val="3DB94D57"/>
    <w:rsid w:val="3DFA0B12"/>
    <w:rsid w:val="3FC16063"/>
    <w:rsid w:val="419E6AF8"/>
    <w:rsid w:val="4465587E"/>
    <w:rsid w:val="46B45C34"/>
    <w:rsid w:val="49FE7B06"/>
    <w:rsid w:val="4F8A6FB2"/>
    <w:rsid w:val="500E77D1"/>
    <w:rsid w:val="50A979DC"/>
    <w:rsid w:val="52903990"/>
    <w:rsid w:val="555B55F4"/>
    <w:rsid w:val="556E38DA"/>
    <w:rsid w:val="55882F61"/>
    <w:rsid w:val="55AC1F4E"/>
    <w:rsid w:val="56420F92"/>
    <w:rsid w:val="564B2C56"/>
    <w:rsid w:val="57890AF4"/>
    <w:rsid w:val="58C73516"/>
    <w:rsid w:val="59324BF8"/>
    <w:rsid w:val="5976568E"/>
    <w:rsid w:val="5B4052B6"/>
    <w:rsid w:val="60DE48B9"/>
    <w:rsid w:val="61827479"/>
    <w:rsid w:val="63A87905"/>
    <w:rsid w:val="64847B1E"/>
    <w:rsid w:val="654B0969"/>
    <w:rsid w:val="68D37B49"/>
    <w:rsid w:val="695C55C0"/>
    <w:rsid w:val="6A6D0663"/>
    <w:rsid w:val="6A732C5E"/>
    <w:rsid w:val="6B8C1AB4"/>
    <w:rsid w:val="6C0E2107"/>
    <w:rsid w:val="6C12391D"/>
    <w:rsid w:val="6C746EC1"/>
    <w:rsid w:val="6E133B99"/>
    <w:rsid w:val="6F68734C"/>
    <w:rsid w:val="701D3609"/>
    <w:rsid w:val="79E729F7"/>
    <w:rsid w:val="7B507D27"/>
    <w:rsid w:val="7C6A0859"/>
    <w:rsid w:val="7C942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left="420" w:firstLine="210"/>
    </w:pPr>
    <w:rPr>
      <w:sz w:val="21"/>
      <w:szCs w:val="20"/>
    </w:rPr>
  </w:style>
  <w:style w:type="paragraph" w:styleId="3">
    <w:name w:val="Body Text Indent"/>
    <w:basedOn w:val="1"/>
    <w:qFormat/>
    <w:uiPriority w:val="0"/>
    <w:pPr>
      <w:spacing w:after="120"/>
      <w:ind w:left="420" w:leftChars="200"/>
    </w:pPr>
  </w:style>
  <w:style w:type="paragraph" w:styleId="6">
    <w:name w:val="Normal Indent"/>
    <w:basedOn w:val="1"/>
    <w:qFormat/>
    <w:uiPriority w:val="99"/>
    <w:pPr>
      <w:ind w:firstLine="420" w:firstLineChars="200"/>
    </w:pPr>
    <w:rPr>
      <w:rFonts w:eastAsia="宋体"/>
      <w:kern w:val="0"/>
    </w:rPr>
  </w:style>
  <w:style w:type="paragraph" w:styleId="7">
    <w:name w:val="toa heading"/>
    <w:basedOn w:val="1"/>
    <w:next w:val="1"/>
    <w:unhideWhenUsed/>
    <w:qFormat/>
    <w:uiPriority w:val="99"/>
    <w:pPr>
      <w:spacing w:before="120"/>
    </w:pPr>
    <w:rPr>
      <w:rFonts w:ascii="等线 Light" w:hAnsi="等线 Light" w:cs="Times New Roman"/>
      <w:szCs w:val="24"/>
    </w:rPr>
  </w:style>
  <w:style w:type="paragraph" w:styleId="8">
    <w:name w:val="annotation text"/>
    <w:basedOn w:val="1"/>
    <w:link w:val="83"/>
    <w:unhideWhenUsed/>
    <w:qFormat/>
    <w:uiPriority w:val="99"/>
    <w:pPr>
      <w:jc w:val="left"/>
    </w:pPr>
  </w:style>
  <w:style w:type="paragraph" w:styleId="9">
    <w:name w:val="Body Text"/>
    <w:basedOn w:val="1"/>
    <w:unhideWhenUsed/>
    <w:qFormat/>
    <w:uiPriority w:val="99"/>
    <w:pPr>
      <w:spacing w:after="120"/>
    </w:pPr>
  </w:style>
  <w:style w:type="paragraph" w:styleId="10">
    <w:name w:val="toc 3"/>
    <w:basedOn w:val="1"/>
    <w:next w:val="1"/>
    <w:unhideWhenUsed/>
    <w:qFormat/>
    <w:uiPriority w:val="39"/>
    <w:pPr>
      <w:widowControl/>
      <w:spacing w:after="100" w:line="259" w:lineRule="auto"/>
      <w:ind w:left="440"/>
      <w:jc w:val="left"/>
    </w:pPr>
    <w:rPr>
      <w:rFonts w:cs="Times New Roman"/>
      <w:kern w:val="0"/>
      <w:sz w:val="22"/>
    </w:rPr>
  </w:style>
  <w:style w:type="paragraph" w:styleId="11">
    <w:name w:val="Balloon Text"/>
    <w:basedOn w:val="1"/>
    <w:link w:val="32"/>
    <w:unhideWhenUsed/>
    <w:qFormat/>
    <w:uiPriority w:val="0"/>
    <w:rPr>
      <w:sz w:val="18"/>
      <w:szCs w:val="18"/>
    </w:rPr>
  </w:style>
  <w:style w:type="paragraph" w:styleId="12">
    <w:name w:val="footer"/>
    <w:basedOn w:val="1"/>
    <w:link w:val="29"/>
    <w:unhideWhenUsed/>
    <w:qFormat/>
    <w:uiPriority w:val="0"/>
    <w:pPr>
      <w:tabs>
        <w:tab w:val="center" w:pos="4153"/>
        <w:tab w:val="right" w:pos="8306"/>
      </w:tabs>
      <w:snapToGrid w:val="0"/>
      <w:jc w:val="left"/>
    </w:pPr>
    <w:rPr>
      <w:sz w:val="18"/>
      <w:szCs w:val="18"/>
    </w:rPr>
  </w:style>
  <w:style w:type="paragraph" w:styleId="13">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cs="Times New Roman"/>
      <w:kern w:val="0"/>
      <w:sz w:val="22"/>
    </w:rPr>
  </w:style>
  <w:style w:type="paragraph" w:styleId="15">
    <w:name w:val="toc 2"/>
    <w:basedOn w:val="1"/>
    <w:next w:val="1"/>
    <w:unhideWhenUsed/>
    <w:qFormat/>
    <w:uiPriority w:val="39"/>
    <w:pPr>
      <w:widowControl/>
      <w:spacing w:after="100" w:line="259" w:lineRule="auto"/>
      <w:ind w:left="220"/>
      <w:jc w:val="left"/>
    </w:pPr>
    <w:rPr>
      <w:rFonts w:cs="Times New Roman"/>
      <w:kern w:val="0"/>
      <w:sz w:val="22"/>
    </w:rPr>
  </w:style>
  <w:style w:type="paragraph" w:styleId="16">
    <w:name w:val="HTML Preformatted"/>
    <w:basedOn w:val="1"/>
    <w:link w:val="30"/>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annotation subject"/>
    <w:basedOn w:val="8"/>
    <w:next w:val="8"/>
    <w:link w:val="84"/>
    <w:qFormat/>
    <w:uiPriority w:val="0"/>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basedOn w:val="21"/>
    <w:qFormat/>
    <w:uiPriority w:val="0"/>
    <w:rPr>
      <w:sz w:val="21"/>
      <w:szCs w:val="21"/>
    </w:rPr>
  </w:style>
  <w:style w:type="character" w:customStyle="1" w:styleId="26">
    <w:name w:val="标题 1 Char"/>
    <w:basedOn w:val="21"/>
    <w:link w:val="4"/>
    <w:qFormat/>
    <w:uiPriority w:val="9"/>
    <w:rPr>
      <w:b/>
      <w:bCs/>
      <w:kern w:val="44"/>
      <w:sz w:val="44"/>
      <w:szCs w:val="44"/>
    </w:rPr>
  </w:style>
  <w:style w:type="paragraph" w:styleId="27">
    <w:name w:val="List Paragraph"/>
    <w:basedOn w:val="1"/>
    <w:qFormat/>
    <w:uiPriority w:val="34"/>
    <w:pPr>
      <w:ind w:firstLine="420" w:firstLineChars="200"/>
    </w:pPr>
  </w:style>
  <w:style w:type="character" w:customStyle="1" w:styleId="28">
    <w:name w:val="页眉 Char"/>
    <w:basedOn w:val="21"/>
    <w:link w:val="13"/>
    <w:qFormat/>
    <w:uiPriority w:val="0"/>
    <w:rPr>
      <w:sz w:val="18"/>
      <w:szCs w:val="18"/>
    </w:rPr>
  </w:style>
  <w:style w:type="character" w:customStyle="1" w:styleId="29">
    <w:name w:val="页脚 Char"/>
    <w:basedOn w:val="21"/>
    <w:link w:val="12"/>
    <w:qFormat/>
    <w:uiPriority w:val="0"/>
    <w:rPr>
      <w:sz w:val="18"/>
      <w:szCs w:val="18"/>
    </w:rPr>
  </w:style>
  <w:style w:type="character" w:customStyle="1" w:styleId="30">
    <w:name w:val="HTML 预设格式 Char"/>
    <w:basedOn w:val="21"/>
    <w:link w:val="16"/>
    <w:semiHidden/>
    <w:qFormat/>
    <w:uiPriority w:val="99"/>
    <w:rPr>
      <w:rFonts w:ascii="宋体" w:hAnsi="宋体" w:eastAsia="宋体" w:cs="宋体"/>
      <w:kern w:val="0"/>
      <w:sz w:val="24"/>
      <w:szCs w:val="24"/>
    </w:rPr>
  </w:style>
  <w:style w:type="paragraph" w:customStyle="1" w:styleId="31">
    <w:name w:val="TOC 标题1"/>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2">
    <w:name w:val="批注框文本 Char"/>
    <w:basedOn w:val="21"/>
    <w:link w:val="11"/>
    <w:qFormat/>
    <w:uiPriority w:val="0"/>
    <w:rPr>
      <w:sz w:val="18"/>
      <w:szCs w:val="18"/>
    </w:rPr>
  </w:style>
  <w:style w:type="paragraph" w:customStyle="1" w:styleId="3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7">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2">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9">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2">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4">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7">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7">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8">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0">
    <w:name w:val="cf01"/>
    <w:basedOn w:val="21"/>
    <w:qFormat/>
    <w:uiPriority w:val="0"/>
    <w:rPr>
      <w:rFonts w:hint="eastAsia" w:ascii="Microsoft YaHei UI" w:hAnsi="Microsoft YaHei UI" w:eastAsia="Microsoft YaHei UI"/>
      <w:sz w:val="18"/>
      <w:szCs w:val="18"/>
    </w:rPr>
  </w:style>
  <w:style w:type="paragraph" w:customStyle="1" w:styleId="8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文字 字符"/>
    <w:basedOn w:val="21"/>
    <w:qFormat/>
    <w:uiPriority w:val="99"/>
    <w:rPr>
      <w:rFonts w:asciiTheme="minorHAnsi" w:hAnsiTheme="minorHAnsi" w:eastAsiaTheme="minorEastAsia" w:cstheme="minorBidi"/>
      <w:kern w:val="2"/>
      <w:sz w:val="21"/>
      <w:szCs w:val="22"/>
    </w:rPr>
  </w:style>
  <w:style w:type="character" w:customStyle="1" w:styleId="83">
    <w:name w:val="批注文字 Char"/>
    <w:basedOn w:val="21"/>
    <w:link w:val="8"/>
    <w:qFormat/>
    <w:uiPriority w:val="99"/>
    <w:rPr>
      <w:rFonts w:asciiTheme="minorHAnsi" w:hAnsiTheme="minorHAnsi" w:eastAsiaTheme="minorEastAsia" w:cstheme="minorBidi"/>
      <w:kern w:val="2"/>
      <w:sz w:val="21"/>
      <w:szCs w:val="22"/>
    </w:rPr>
  </w:style>
  <w:style w:type="character" w:customStyle="1" w:styleId="84">
    <w:name w:val="批注主题 Char"/>
    <w:basedOn w:val="83"/>
    <w:link w:val="18"/>
    <w:qFormat/>
    <w:uiPriority w:val="0"/>
    <w:rPr>
      <w:rFonts w:asciiTheme="minorHAnsi" w:hAnsiTheme="minorHAnsi" w:eastAsiaTheme="minorEastAsia" w:cstheme="minorBidi"/>
      <w:b/>
      <w:bCs/>
      <w:kern w:val="2"/>
      <w:sz w:val="21"/>
      <w:szCs w:val="22"/>
    </w:rPr>
  </w:style>
  <w:style w:type="paragraph" w:customStyle="1" w:styleId="85">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6">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
    <w:name w:val="cf11"/>
    <w:basedOn w:val="21"/>
    <w:qFormat/>
    <w:uiPriority w:val="0"/>
    <w:rPr>
      <w:rFonts w:hint="eastAsia" w:ascii="Microsoft YaHei UI" w:hAnsi="Microsoft YaHei UI" w:eastAsia="Microsoft YaHei UI"/>
      <w:sz w:val="18"/>
      <w:szCs w:val="18"/>
    </w:rPr>
  </w:style>
  <w:style w:type="paragraph" w:customStyle="1" w:styleId="88">
    <w:name w:val="WPSOffice手动目录 1"/>
    <w:qFormat/>
    <w:uiPriority w:val="0"/>
    <w:pPr>
      <w:ind w:leftChars="0"/>
    </w:pPr>
    <w:rPr>
      <w:rFonts w:ascii="Times New Roman" w:hAnsi="Times New Roman" w:eastAsia="宋体" w:cs="Times New Roman"/>
      <w:sz w:val="20"/>
      <w:szCs w:val="20"/>
    </w:rPr>
  </w:style>
  <w:style w:type="paragraph" w:customStyle="1" w:styleId="89">
    <w:name w:val="WPSOffice手动目录 2"/>
    <w:qFormat/>
    <w:uiPriority w:val="0"/>
    <w:pPr>
      <w:ind w:leftChars="200"/>
    </w:pPr>
    <w:rPr>
      <w:rFonts w:ascii="Times New Roman" w:hAnsi="Times New Roman" w:eastAsia="宋体" w:cs="Times New Roman"/>
      <w:sz w:val="20"/>
      <w:szCs w:val="20"/>
    </w:rPr>
  </w:style>
  <w:style w:type="paragraph" w:customStyle="1" w:styleId="90">
    <w:name w:val="WPSOffice手动目录 3"/>
    <w:qFormat/>
    <w:uiPriority w:val="0"/>
    <w:pPr>
      <w:ind w:leftChars="400"/>
    </w:pPr>
    <w:rPr>
      <w:rFonts w:ascii="Times New Roman" w:hAnsi="Times New Roman" w:eastAsia="宋体" w:cs="Times New Roman"/>
      <w:sz w:val="20"/>
      <w:szCs w:val="20"/>
    </w:rPr>
  </w:style>
  <w:style w:type="paragraph" w:customStyle="1" w:styleId="91">
    <w:name w:val="Table Text"/>
    <w:basedOn w:val="1"/>
    <w:semiHidden/>
    <w:qFormat/>
    <w:uiPriority w:val="0"/>
    <w:rPr>
      <w:rFonts w:ascii="宋体" w:hAnsi="宋体" w:eastAsia="宋体" w:cs="宋体"/>
      <w:sz w:val="20"/>
      <w:szCs w:val="20"/>
      <w:lang w:val="en-US" w:eastAsia="en-US" w:bidi="ar-SA"/>
    </w:rPr>
  </w:style>
  <w:style w:type="table" w:customStyle="1" w:styleId="9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Pages>24</Pages>
  <Words>10161</Words>
  <Characters>10335</Characters>
  <Lines>173</Lines>
  <Paragraphs>48</Paragraphs>
  <TotalTime>6</TotalTime>
  <ScaleCrop>false</ScaleCrop>
  <LinksUpToDate>false</LinksUpToDate>
  <CharactersWithSpaces>10390</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Dr.美ˇ</cp:lastModifiedBy>
  <cp:lastPrinted>2017-12-14T13:52:00Z</cp:lastPrinted>
  <dcterms:modified xsi:type="dcterms:W3CDTF">2024-09-14T02:11:13Z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3A3C242A79CE4944BED813998719BC89_13</vt:lpwstr>
  </property>
</Properties>
</file>