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08DC6">
      <w:pPr>
        <w:spacing w:line="360" w:lineRule="auto"/>
        <w:jc w:val="center"/>
        <w:rPr>
          <w:rFonts w:hint="eastAsia" w:ascii="黑体" w:hAnsi="黑体" w:eastAsia="黑体" w:cs="黑体"/>
          <w:b/>
          <w:sz w:val="48"/>
          <w:szCs w:val="48"/>
        </w:rPr>
      </w:pPr>
    </w:p>
    <w:p w14:paraId="6AEBEE64">
      <w:pPr>
        <w:spacing w:line="360" w:lineRule="auto"/>
        <w:jc w:val="center"/>
        <w:rPr>
          <w:rFonts w:hint="eastAsia" w:ascii="黑体" w:hAnsi="黑体" w:eastAsia="黑体" w:cs="黑体"/>
          <w:sz w:val="48"/>
          <w:szCs w:val="48"/>
        </w:rPr>
      </w:pPr>
      <w:bookmarkStart w:id="0" w:name="_Toc264729017"/>
      <w:bookmarkStart w:id="1" w:name="_Toc264643771"/>
    </w:p>
    <w:p w14:paraId="52FE480B">
      <w:pPr>
        <w:pStyle w:val="16"/>
        <w:rPr>
          <w:rFonts w:hint="eastAsia" w:ascii="黑体" w:hAnsi="黑体" w:eastAsia="黑体" w:cs="黑体"/>
          <w:sz w:val="48"/>
          <w:szCs w:val="48"/>
        </w:rPr>
      </w:pPr>
    </w:p>
    <w:p w14:paraId="5166DACE">
      <w:pPr>
        <w:rPr>
          <w:rFonts w:hint="eastAsia"/>
        </w:rPr>
      </w:pPr>
    </w:p>
    <w:p w14:paraId="1E4DAD2E">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小汤山御汤山熙园1-141号别墅“4·1”</w:t>
      </w:r>
    </w:p>
    <w:p w14:paraId="1C178FDB">
      <w:pPr>
        <w:spacing w:line="360" w:lineRule="auto"/>
        <w:jc w:val="center"/>
        <w:rPr>
          <w:rFonts w:eastAsia="黑体"/>
          <w:b/>
          <w:sz w:val="48"/>
          <w:szCs w:val="48"/>
        </w:rPr>
      </w:pPr>
      <w:r>
        <w:rPr>
          <w:rFonts w:hint="eastAsia" w:ascii="黑体" w:hAnsi="黑体" w:eastAsia="黑体"/>
          <w:sz w:val="48"/>
          <w:szCs w:val="48"/>
        </w:rPr>
        <w:t>一般生产安全事故现场安全现状评估报告</w:t>
      </w:r>
    </w:p>
    <w:bookmarkEnd w:id="0"/>
    <w:bookmarkEnd w:id="1"/>
    <w:p w14:paraId="1967A072">
      <w:pPr>
        <w:spacing w:line="360" w:lineRule="auto"/>
        <w:jc w:val="center"/>
        <w:rPr>
          <w:rFonts w:eastAsia="黑体"/>
          <w:b/>
          <w:sz w:val="48"/>
          <w:szCs w:val="48"/>
        </w:rPr>
      </w:pPr>
    </w:p>
    <w:p w14:paraId="76A7BB5B">
      <w:pPr>
        <w:spacing w:line="360" w:lineRule="auto"/>
        <w:jc w:val="center"/>
        <w:rPr>
          <w:rFonts w:eastAsia="黑体"/>
          <w:b/>
          <w:sz w:val="48"/>
          <w:szCs w:val="48"/>
        </w:rPr>
      </w:pPr>
    </w:p>
    <w:p w14:paraId="2185CD20">
      <w:pPr>
        <w:spacing w:line="360" w:lineRule="auto"/>
        <w:jc w:val="center"/>
        <w:rPr>
          <w:rFonts w:eastAsia="黑体"/>
          <w:b/>
          <w:sz w:val="48"/>
          <w:szCs w:val="48"/>
        </w:rPr>
      </w:pPr>
    </w:p>
    <w:p w14:paraId="0049F11F">
      <w:pPr>
        <w:spacing w:line="360" w:lineRule="auto"/>
        <w:jc w:val="center"/>
        <w:rPr>
          <w:rFonts w:eastAsia="黑体"/>
          <w:b/>
          <w:sz w:val="48"/>
          <w:szCs w:val="48"/>
        </w:rPr>
      </w:pPr>
    </w:p>
    <w:p w14:paraId="6B048121">
      <w:pPr>
        <w:spacing w:line="360" w:lineRule="auto"/>
        <w:jc w:val="center"/>
        <w:rPr>
          <w:rFonts w:eastAsia="黑体"/>
          <w:b/>
          <w:sz w:val="48"/>
          <w:szCs w:val="48"/>
        </w:rPr>
      </w:pPr>
    </w:p>
    <w:p w14:paraId="76E48FA7">
      <w:pPr>
        <w:spacing w:line="360" w:lineRule="auto"/>
        <w:jc w:val="center"/>
        <w:rPr>
          <w:rFonts w:eastAsia="黑体"/>
          <w:b/>
          <w:sz w:val="48"/>
          <w:szCs w:val="48"/>
        </w:rPr>
      </w:pPr>
    </w:p>
    <w:p w14:paraId="49743DDB">
      <w:pPr>
        <w:pStyle w:val="16"/>
        <w:rPr>
          <w:sz w:val="48"/>
          <w:szCs w:val="48"/>
        </w:rPr>
      </w:pPr>
    </w:p>
    <w:p w14:paraId="63171053">
      <w:pPr>
        <w:spacing w:line="360" w:lineRule="auto"/>
        <w:jc w:val="center"/>
        <w:rPr>
          <w:rFonts w:ascii="黑体" w:hAnsi="黑体" w:eastAsia="黑体"/>
          <w:sz w:val="48"/>
          <w:szCs w:val="48"/>
        </w:rPr>
      </w:pPr>
      <w:r>
        <w:rPr>
          <w:rFonts w:hint="eastAsia" w:ascii="黑体" w:hAnsi="黑体" w:eastAsia="黑体"/>
          <w:sz w:val="48"/>
          <w:szCs w:val="48"/>
        </w:rPr>
        <w:t>北京市科学技术研究院</w:t>
      </w:r>
    </w:p>
    <w:p w14:paraId="5A3B7C3C">
      <w:pPr>
        <w:spacing w:line="360" w:lineRule="auto"/>
        <w:jc w:val="center"/>
        <w:rPr>
          <w:rFonts w:ascii="黑体" w:hAnsi="黑体" w:eastAsia="黑体"/>
          <w:sz w:val="48"/>
          <w:szCs w:val="48"/>
        </w:rPr>
      </w:pPr>
      <w:r>
        <w:rPr>
          <w:rFonts w:hint="eastAsia" w:ascii="黑体" w:hAnsi="黑体" w:eastAsia="黑体"/>
          <w:sz w:val="48"/>
          <w:szCs w:val="48"/>
        </w:rPr>
        <w:t xml:space="preserve">城市安全与环境科学研究所 </w:t>
      </w:r>
    </w:p>
    <w:p w14:paraId="45677639">
      <w:pPr>
        <w:pStyle w:val="16"/>
        <w:ind w:left="0" w:leftChars="0" w:firstLine="0" w:firstLineChars="0"/>
        <w:jc w:val="center"/>
        <w:rPr>
          <w:rFonts w:ascii="黑体" w:hAnsi="黑体" w:eastAsia="黑体"/>
          <w:sz w:val="48"/>
          <w:szCs w:val="48"/>
        </w:rPr>
        <w:sectPr>
          <w:headerReference r:id="rId3" w:type="default"/>
          <w:footerReference r:id="rId4" w:type="default"/>
          <w:pgSz w:w="11906" w:h="16838"/>
          <w:pgMar w:top="1418" w:right="1588" w:bottom="1418" w:left="1531" w:header="851" w:footer="992" w:gutter="0"/>
          <w:cols w:space="425" w:num="1"/>
          <w:docGrid w:type="lines" w:linePitch="312" w:charSpace="0"/>
        </w:sectPr>
      </w:pPr>
      <w:r>
        <w:rPr>
          <w:rFonts w:hint="eastAsia" w:ascii="黑体" w:hAnsi="黑体" w:eastAsia="黑体"/>
          <w:sz w:val="48"/>
          <w:szCs w:val="48"/>
        </w:rPr>
        <w:t>202</w:t>
      </w:r>
      <w:r>
        <w:rPr>
          <w:rFonts w:hint="eastAsia" w:ascii="黑体" w:hAnsi="黑体" w:eastAsia="黑体"/>
          <w:sz w:val="48"/>
          <w:szCs w:val="48"/>
          <w:lang w:val="en-US" w:eastAsia="zh-CN"/>
        </w:rPr>
        <w:t>4</w:t>
      </w:r>
      <w:r>
        <w:rPr>
          <w:rFonts w:ascii="黑体" w:hAnsi="黑体" w:eastAsia="黑体"/>
          <w:sz w:val="48"/>
          <w:szCs w:val="48"/>
        </w:rPr>
        <w:t>年</w:t>
      </w:r>
      <w:r>
        <w:rPr>
          <w:rFonts w:hint="eastAsia" w:ascii="黑体" w:hAnsi="黑体" w:eastAsia="黑体"/>
          <w:sz w:val="48"/>
          <w:szCs w:val="48"/>
          <w:lang w:val="en-US" w:eastAsia="zh-CN"/>
        </w:rPr>
        <w:t>4</w:t>
      </w:r>
      <w:r>
        <w:rPr>
          <w:rFonts w:ascii="黑体" w:hAnsi="黑体" w:eastAsia="黑体"/>
          <w:sz w:val="48"/>
          <w:szCs w:val="48"/>
        </w:rPr>
        <w:t>月</w:t>
      </w:r>
    </w:p>
    <w:p w14:paraId="698B062E">
      <w:pPr>
        <w:jc w:val="center"/>
        <w:rPr>
          <w:rFonts w:ascii="宋体" w:hAnsi="宋体" w:eastAsia="宋体"/>
        </w:rPr>
      </w:pPr>
      <w:bookmarkStart w:id="2" w:name="_Toc4192"/>
    </w:p>
    <w:p w14:paraId="1753A3D1">
      <w:pPr>
        <w:jc w:val="center"/>
        <w:rPr>
          <w:rFonts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74544504">
      <w:pPr>
        <w:pStyle w:val="5"/>
      </w:pPr>
    </w:p>
    <w:p w14:paraId="7ADA33B0">
      <w:pPr>
        <w:pStyle w:val="11"/>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sz w:val="32"/>
          <w:szCs w:val="32"/>
        </w:rPr>
        <w:fldChar w:fldCharType="begin"/>
      </w:r>
      <w:r>
        <w:rPr>
          <w:rFonts w:ascii="Times New Roman" w:hAnsi="Times New Roman" w:eastAsia="黑体"/>
          <w:sz w:val="32"/>
          <w:szCs w:val="32"/>
        </w:rPr>
        <w:instrText xml:space="preserve">TOC \o "1-3" \h \u </w:instrText>
      </w:r>
      <w:r>
        <w:rPr>
          <w:rFonts w:ascii="Times New Roman" w:hAnsi="Times New Roman" w:eastAsia="黑体"/>
          <w:sz w:val="32"/>
          <w:szCs w:val="32"/>
        </w:rPr>
        <w:fldChar w:fldCharType="separate"/>
      </w:r>
      <w:r>
        <w:rPr>
          <w:rFonts w:ascii="Times New Roman" w:hAnsi="Times New Roman" w:eastAsia="黑体"/>
          <w:sz w:val="24"/>
          <w:szCs w:val="32"/>
        </w:rPr>
        <w:fldChar w:fldCharType="begin"/>
      </w:r>
      <w:r>
        <w:rPr>
          <w:rFonts w:ascii="Times New Roman" w:hAnsi="Times New Roman" w:eastAsia="黑体"/>
          <w:sz w:val="24"/>
          <w:szCs w:val="32"/>
        </w:rPr>
        <w:instrText xml:space="preserve"> HYPERLINK \l _Toc9335 </w:instrText>
      </w:r>
      <w:r>
        <w:rPr>
          <w:rFonts w:ascii="Times New Roman" w:hAnsi="Times New Roman" w:eastAsia="黑体"/>
          <w:sz w:val="24"/>
          <w:szCs w:val="32"/>
        </w:rPr>
        <w:fldChar w:fldCharType="separate"/>
      </w:r>
      <w:r>
        <w:rPr>
          <w:rFonts w:hint="eastAsia" w:ascii="黑体" w:hAnsi="黑体" w:eastAsia="黑体" w:cs="黑体"/>
          <w:sz w:val="24"/>
          <w:szCs w:val="32"/>
        </w:rPr>
        <w:t>一、目的依据</w:t>
      </w:r>
      <w:r>
        <w:rPr>
          <w:sz w:val="24"/>
          <w:szCs w:val="24"/>
        </w:rPr>
        <w:tab/>
      </w:r>
      <w:r>
        <w:rPr>
          <w:sz w:val="24"/>
          <w:szCs w:val="24"/>
        </w:rPr>
        <w:fldChar w:fldCharType="begin"/>
      </w:r>
      <w:r>
        <w:rPr>
          <w:sz w:val="24"/>
          <w:szCs w:val="24"/>
        </w:rPr>
        <w:instrText xml:space="preserve"> PAGEREF _Toc9335 \h </w:instrText>
      </w:r>
      <w:r>
        <w:rPr>
          <w:sz w:val="24"/>
          <w:szCs w:val="24"/>
        </w:rPr>
        <w:fldChar w:fldCharType="separate"/>
      </w:r>
      <w:r>
        <w:rPr>
          <w:sz w:val="24"/>
          <w:szCs w:val="24"/>
        </w:rPr>
        <w:t>3</w:t>
      </w:r>
      <w:r>
        <w:rPr>
          <w:sz w:val="24"/>
          <w:szCs w:val="24"/>
        </w:rPr>
        <w:fldChar w:fldCharType="end"/>
      </w:r>
      <w:r>
        <w:rPr>
          <w:rFonts w:ascii="Times New Roman" w:hAnsi="Times New Roman" w:eastAsia="黑体"/>
          <w:sz w:val="24"/>
          <w:szCs w:val="32"/>
        </w:rPr>
        <w:fldChar w:fldCharType="end"/>
      </w:r>
    </w:p>
    <w:p w14:paraId="17B13734">
      <w:pPr>
        <w:pStyle w:val="11"/>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_Toc23919 </w:instrText>
      </w:r>
      <w:r>
        <w:rPr>
          <w:rFonts w:ascii="Times New Roman" w:hAnsi="Times New Roman" w:eastAsia="黑体" w:cs="Times New Roman"/>
          <w:sz w:val="24"/>
          <w:szCs w:val="32"/>
        </w:rPr>
        <w:fldChar w:fldCharType="separate"/>
      </w:r>
      <w:r>
        <w:rPr>
          <w:rFonts w:hint="eastAsia" w:ascii="黑体" w:hAnsi="黑体" w:eastAsia="黑体" w:cs="黑体"/>
          <w:sz w:val="24"/>
          <w:szCs w:val="32"/>
        </w:rPr>
        <w:t>二、工作范围和方式</w:t>
      </w:r>
      <w:r>
        <w:rPr>
          <w:sz w:val="24"/>
          <w:szCs w:val="24"/>
        </w:rPr>
        <w:tab/>
      </w:r>
      <w:r>
        <w:rPr>
          <w:sz w:val="24"/>
          <w:szCs w:val="24"/>
        </w:rPr>
        <w:fldChar w:fldCharType="begin"/>
      </w:r>
      <w:r>
        <w:rPr>
          <w:sz w:val="24"/>
          <w:szCs w:val="24"/>
        </w:rPr>
        <w:instrText xml:space="preserve"> PAGEREF _Toc23919 \h </w:instrText>
      </w:r>
      <w:r>
        <w:rPr>
          <w:sz w:val="24"/>
          <w:szCs w:val="24"/>
        </w:rPr>
        <w:fldChar w:fldCharType="separate"/>
      </w:r>
      <w:r>
        <w:rPr>
          <w:sz w:val="24"/>
          <w:szCs w:val="24"/>
        </w:rPr>
        <w:t>3</w:t>
      </w:r>
      <w:r>
        <w:rPr>
          <w:sz w:val="24"/>
          <w:szCs w:val="24"/>
        </w:rPr>
        <w:fldChar w:fldCharType="end"/>
      </w:r>
      <w:r>
        <w:rPr>
          <w:rFonts w:ascii="Times New Roman" w:hAnsi="Times New Roman" w:eastAsia="黑体" w:cs="Times New Roman"/>
          <w:sz w:val="24"/>
          <w:szCs w:val="32"/>
        </w:rPr>
        <w:fldChar w:fldCharType="end"/>
      </w:r>
    </w:p>
    <w:p w14:paraId="4A4FD8FE">
      <w:pPr>
        <w:pStyle w:val="12"/>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_Toc28846 </w:instrText>
      </w:r>
      <w:r>
        <w:rPr>
          <w:rFonts w:ascii="Times New Roman" w:hAnsi="Times New Roman" w:eastAsia="黑体" w:cs="Times New Roman"/>
          <w:sz w:val="24"/>
          <w:szCs w:val="32"/>
        </w:rPr>
        <w:fldChar w:fldCharType="separate"/>
      </w:r>
      <w:r>
        <w:rPr>
          <w:rFonts w:hint="eastAsia"/>
          <w:sz w:val="24"/>
          <w:szCs w:val="22"/>
        </w:rPr>
        <w:t>（一）资料查阅</w:t>
      </w:r>
      <w:r>
        <w:rPr>
          <w:sz w:val="24"/>
          <w:szCs w:val="24"/>
        </w:rPr>
        <w:tab/>
      </w:r>
      <w:r>
        <w:rPr>
          <w:sz w:val="24"/>
          <w:szCs w:val="24"/>
        </w:rPr>
        <w:fldChar w:fldCharType="begin"/>
      </w:r>
      <w:r>
        <w:rPr>
          <w:sz w:val="24"/>
          <w:szCs w:val="24"/>
        </w:rPr>
        <w:instrText xml:space="preserve"> PAGEREF _Toc28846 \h </w:instrText>
      </w:r>
      <w:r>
        <w:rPr>
          <w:sz w:val="24"/>
          <w:szCs w:val="24"/>
        </w:rPr>
        <w:fldChar w:fldCharType="separate"/>
      </w:r>
      <w:r>
        <w:rPr>
          <w:sz w:val="24"/>
          <w:szCs w:val="24"/>
        </w:rPr>
        <w:t>3</w:t>
      </w:r>
      <w:r>
        <w:rPr>
          <w:sz w:val="24"/>
          <w:szCs w:val="24"/>
        </w:rPr>
        <w:fldChar w:fldCharType="end"/>
      </w:r>
      <w:r>
        <w:rPr>
          <w:rFonts w:ascii="Times New Roman" w:hAnsi="Times New Roman" w:eastAsia="黑体" w:cs="Times New Roman"/>
          <w:sz w:val="24"/>
          <w:szCs w:val="32"/>
        </w:rPr>
        <w:fldChar w:fldCharType="end"/>
      </w:r>
    </w:p>
    <w:p w14:paraId="2D6472DD">
      <w:pPr>
        <w:pStyle w:val="12"/>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_Toc31983 </w:instrText>
      </w:r>
      <w:r>
        <w:rPr>
          <w:rFonts w:ascii="Times New Roman" w:hAnsi="Times New Roman" w:eastAsia="黑体" w:cs="Times New Roman"/>
          <w:sz w:val="24"/>
          <w:szCs w:val="32"/>
        </w:rPr>
        <w:fldChar w:fldCharType="separate"/>
      </w:r>
      <w:r>
        <w:rPr>
          <w:rFonts w:hint="eastAsia"/>
          <w:sz w:val="24"/>
          <w:szCs w:val="22"/>
        </w:rPr>
        <w:t>（</w:t>
      </w:r>
      <w:r>
        <w:rPr>
          <w:rFonts w:hint="eastAsia"/>
          <w:sz w:val="24"/>
          <w:szCs w:val="22"/>
          <w:lang w:val="en-US" w:eastAsia="zh-CN"/>
        </w:rPr>
        <w:t>二</w:t>
      </w:r>
      <w:r>
        <w:rPr>
          <w:rFonts w:hint="eastAsia"/>
          <w:sz w:val="24"/>
          <w:szCs w:val="22"/>
        </w:rPr>
        <w:t>）走访核查</w:t>
      </w:r>
      <w:r>
        <w:rPr>
          <w:sz w:val="24"/>
          <w:szCs w:val="24"/>
        </w:rPr>
        <w:tab/>
      </w:r>
      <w:r>
        <w:rPr>
          <w:sz w:val="24"/>
          <w:szCs w:val="24"/>
        </w:rPr>
        <w:fldChar w:fldCharType="begin"/>
      </w:r>
      <w:r>
        <w:rPr>
          <w:sz w:val="24"/>
          <w:szCs w:val="24"/>
        </w:rPr>
        <w:instrText xml:space="preserve"> PAGEREF _Toc31983 \h </w:instrText>
      </w:r>
      <w:r>
        <w:rPr>
          <w:sz w:val="24"/>
          <w:szCs w:val="24"/>
        </w:rPr>
        <w:fldChar w:fldCharType="separate"/>
      </w:r>
      <w:r>
        <w:rPr>
          <w:sz w:val="24"/>
          <w:szCs w:val="24"/>
        </w:rPr>
        <w:t>4</w:t>
      </w:r>
      <w:r>
        <w:rPr>
          <w:sz w:val="24"/>
          <w:szCs w:val="24"/>
        </w:rPr>
        <w:fldChar w:fldCharType="end"/>
      </w:r>
      <w:r>
        <w:rPr>
          <w:rFonts w:ascii="Times New Roman" w:hAnsi="Times New Roman" w:eastAsia="黑体" w:cs="Times New Roman"/>
          <w:sz w:val="24"/>
          <w:szCs w:val="32"/>
        </w:rPr>
        <w:fldChar w:fldCharType="end"/>
      </w:r>
    </w:p>
    <w:p w14:paraId="03A12820">
      <w:pPr>
        <w:pStyle w:val="11"/>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_Toc17629 </w:instrText>
      </w:r>
      <w:r>
        <w:rPr>
          <w:rFonts w:ascii="Times New Roman" w:hAnsi="Times New Roman" w:eastAsia="黑体" w:cs="Times New Roman"/>
          <w:sz w:val="24"/>
          <w:szCs w:val="32"/>
        </w:rPr>
        <w:fldChar w:fldCharType="separate"/>
      </w:r>
      <w:r>
        <w:rPr>
          <w:rFonts w:hint="eastAsia" w:ascii="黑体" w:hAnsi="黑体" w:eastAsia="黑体" w:cs="黑体"/>
          <w:sz w:val="24"/>
          <w:szCs w:val="32"/>
        </w:rPr>
        <w:t>三、安全现状评估</w:t>
      </w:r>
      <w:r>
        <w:rPr>
          <w:sz w:val="24"/>
          <w:szCs w:val="24"/>
        </w:rPr>
        <w:tab/>
      </w:r>
      <w:r>
        <w:rPr>
          <w:sz w:val="24"/>
          <w:szCs w:val="24"/>
        </w:rPr>
        <w:fldChar w:fldCharType="begin"/>
      </w:r>
      <w:r>
        <w:rPr>
          <w:sz w:val="24"/>
          <w:szCs w:val="24"/>
        </w:rPr>
        <w:instrText xml:space="preserve"> PAGEREF _Toc17629 \h </w:instrText>
      </w:r>
      <w:r>
        <w:rPr>
          <w:sz w:val="24"/>
          <w:szCs w:val="24"/>
        </w:rPr>
        <w:fldChar w:fldCharType="separate"/>
      </w:r>
      <w:r>
        <w:rPr>
          <w:sz w:val="24"/>
          <w:szCs w:val="24"/>
        </w:rPr>
        <w:t>4</w:t>
      </w:r>
      <w:r>
        <w:rPr>
          <w:sz w:val="24"/>
          <w:szCs w:val="24"/>
        </w:rPr>
        <w:fldChar w:fldCharType="end"/>
      </w:r>
      <w:r>
        <w:rPr>
          <w:rFonts w:ascii="Times New Roman" w:hAnsi="Times New Roman" w:eastAsia="黑体" w:cs="Times New Roman"/>
          <w:sz w:val="24"/>
          <w:szCs w:val="32"/>
        </w:rPr>
        <w:fldChar w:fldCharType="end"/>
      </w:r>
    </w:p>
    <w:p w14:paraId="0B3B98F7">
      <w:pPr>
        <w:pStyle w:val="12"/>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_Toc10993 </w:instrText>
      </w:r>
      <w:r>
        <w:rPr>
          <w:rFonts w:ascii="Times New Roman" w:hAnsi="Times New Roman" w:eastAsia="黑体" w:cs="Times New Roman"/>
          <w:sz w:val="24"/>
          <w:szCs w:val="32"/>
        </w:rPr>
        <w:fldChar w:fldCharType="separate"/>
      </w:r>
      <w:r>
        <w:rPr>
          <w:rFonts w:hint="eastAsia"/>
          <w:sz w:val="24"/>
          <w:szCs w:val="22"/>
        </w:rPr>
        <w:t>（一）现行安全管理制度制定及落实情况评估</w:t>
      </w:r>
      <w:r>
        <w:rPr>
          <w:sz w:val="24"/>
          <w:szCs w:val="24"/>
        </w:rPr>
        <w:tab/>
      </w:r>
      <w:r>
        <w:rPr>
          <w:sz w:val="24"/>
          <w:szCs w:val="24"/>
        </w:rPr>
        <w:fldChar w:fldCharType="begin"/>
      </w:r>
      <w:r>
        <w:rPr>
          <w:sz w:val="24"/>
          <w:szCs w:val="24"/>
        </w:rPr>
        <w:instrText xml:space="preserve"> PAGEREF _Toc10993 \h </w:instrText>
      </w:r>
      <w:r>
        <w:rPr>
          <w:sz w:val="24"/>
          <w:szCs w:val="24"/>
        </w:rPr>
        <w:fldChar w:fldCharType="separate"/>
      </w:r>
      <w:r>
        <w:rPr>
          <w:sz w:val="24"/>
          <w:szCs w:val="24"/>
        </w:rPr>
        <w:t>4</w:t>
      </w:r>
      <w:r>
        <w:rPr>
          <w:sz w:val="24"/>
          <w:szCs w:val="24"/>
        </w:rPr>
        <w:fldChar w:fldCharType="end"/>
      </w:r>
      <w:r>
        <w:rPr>
          <w:rFonts w:ascii="Times New Roman" w:hAnsi="Times New Roman" w:eastAsia="黑体" w:cs="Times New Roman"/>
          <w:sz w:val="24"/>
          <w:szCs w:val="32"/>
        </w:rPr>
        <w:fldChar w:fldCharType="end"/>
      </w:r>
    </w:p>
    <w:p w14:paraId="5FD8DCC4">
      <w:pPr>
        <w:pStyle w:val="12"/>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_Toc29512 </w:instrText>
      </w:r>
      <w:r>
        <w:rPr>
          <w:rFonts w:ascii="Times New Roman" w:hAnsi="Times New Roman" w:eastAsia="黑体" w:cs="Times New Roman"/>
          <w:sz w:val="24"/>
          <w:szCs w:val="32"/>
        </w:rPr>
        <w:fldChar w:fldCharType="separate"/>
      </w:r>
      <w:r>
        <w:rPr>
          <w:rFonts w:hint="eastAsia"/>
          <w:sz w:val="24"/>
          <w:szCs w:val="22"/>
        </w:rPr>
        <w:t>（二）现场施工环境安全评估</w:t>
      </w:r>
      <w:r>
        <w:rPr>
          <w:sz w:val="24"/>
          <w:szCs w:val="24"/>
        </w:rPr>
        <w:tab/>
      </w:r>
      <w:r>
        <w:rPr>
          <w:sz w:val="24"/>
          <w:szCs w:val="24"/>
        </w:rPr>
        <w:fldChar w:fldCharType="begin"/>
      </w:r>
      <w:r>
        <w:rPr>
          <w:sz w:val="24"/>
          <w:szCs w:val="24"/>
        </w:rPr>
        <w:instrText xml:space="preserve"> PAGEREF _Toc29512 \h </w:instrText>
      </w:r>
      <w:r>
        <w:rPr>
          <w:sz w:val="24"/>
          <w:szCs w:val="24"/>
        </w:rPr>
        <w:fldChar w:fldCharType="separate"/>
      </w:r>
      <w:r>
        <w:rPr>
          <w:sz w:val="24"/>
          <w:szCs w:val="24"/>
        </w:rPr>
        <w:t>6</w:t>
      </w:r>
      <w:r>
        <w:rPr>
          <w:sz w:val="24"/>
          <w:szCs w:val="24"/>
        </w:rPr>
        <w:fldChar w:fldCharType="end"/>
      </w:r>
      <w:r>
        <w:rPr>
          <w:rFonts w:ascii="Times New Roman" w:hAnsi="Times New Roman" w:eastAsia="黑体" w:cs="Times New Roman"/>
          <w:sz w:val="24"/>
          <w:szCs w:val="32"/>
        </w:rPr>
        <w:fldChar w:fldCharType="end"/>
      </w:r>
    </w:p>
    <w:p w14:paraId="67A2FED0">
      <w:pPr>
        <w:pStyle w:val="11"/>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_Toc19966 </w:instrText>
      </w:r>
      <w:r>
        <w:rPr>
          <w:rFonts w:ascii="Times New Roman" w:hAnsi="Times New Roman" w:eastAsia="黑体" w:cs="Times New Roman"/>
          <w:sz w:val="24"/>
          <w:szCs w:val="32"/>
        </w:rPr>
        <w:fldChar w:fldCharType="separate"/>
      </w:r>
      <w:r>
        <w:rPr>
          <w:rFonts w:hint="eastAsia" w:ascii="黑体" w:hAnsi="黑体" w:eastAsia="黑体" w:cs="黑体"/>
          <w:sz w:val="24"/>
          <w:szCs w:val="32"/>
          <w:lang w:val="en-US" w:eastAsia="zh-CN"/>
        </w:rPr>
        <w:t>四</w:t>
      </w:r>
      <w:r>
        <w:rPr>
          <w:rFonts w:hint="eastAsia" w:ascii="黑体" w:hAnsi="黑体" w:eastAsia="黑体" w:cs="黑体"/>
          <w:sz w:val="24"/>
          <w:szCs w:val="32"/>
        </w:rPr>
        <w:t>、</w:t>
      </w:r>
      <w:r>
        <w:rPr>
          <w:rFonts w:hint="eastAsia" w:ascii="黑体" w:hAnsi="黑体" w:eastAsia="黑体" w:cs="黑体"/>
          <w:sz w:val="24"/>
          <w:szCs w:val="32"/>
          <w:lang w:val="en-US" w:eastAsia="zh-CN"/>
        </w:rPr>
        <w:t>安全现状</w:t>
      </w:r>
      <w:r>
        <w:rPr>
          <w:rFonts w:hint="eastAsia" w:ascii="黑体" w:hAnsi="黑体" w:eastAsia="黑体" w:cs="黑体"/>
          <w:sz w:val="24"/>
          <w:szCs w:val="32"/>
        </w:rPr>
        <w:t>评估结论与建议</w:t>
      </w:r>
      <w:r>
        <w:rPr>
          <w:sz w:val="24"/>
          <w:szCs w:val="24"/>
        </w:rPr>
        <w:tab/>
      </w:r>
      <w:r>
        <w:rPr>
          <w:sz w:val="24"/>
          <w:szCs w:val="24"/>
        </w:rPr>
        <w:fldChar w:fldCharType="begin"/>
      </w:r>
      <w:r>
        <w:rPr>
          <w:sz w:val="24"/>
          <w:szCs w:val="24"/>
        </w:rPr>
        <w:instrText xml:space="preserve"> PAGEREF _Toc19966 \h </w:instrText>
      </w:r>
      <w:r>
        <w:rPr>
          <w:sz w:val="24"/>
          <w:szCs w:val="24"/>
        </w:rPr>
        <w:fldChar w:fldCharType="separate"/>
      </w:r>
      <w:r>
        <w:rPr>
          <w:sz w:val="24"/>
          <w:szCs w:val="24"/>
        </w:rPr>
        <w:t>7</w:t>
      </w:r>
      <w:r>
        <w:rPr>
          <w:sz w:val="24"/>
          <w:szCs w:val="24"/>
        </w:rPr>
        <w:fldChar w:fldCharType="end"/>
      </w:r>
      <w:r>
        <w:rPr>
          <w:rFonts w:ascii="Times New Roman" w:hAnsi="Times New Roman" w:eastAsia="黑体" w:cs="Times New Roman"/>
          <w:sz w:val="24"/>
          <w:szCs w:val="32"/>
        </w:rPr>
        <w:fldChar w:fldCharType="end"/>
      </w:r>
    </w:p>
    <w:p w14:paraId="3DB9395E">
      <w:pPr>
        <w:pStyle w:val="12"/>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_Toc30814 </w:instrText>
      </w:r>
      <w:r>
        <w:rPr>
          <w:rFonts w:ascii="Times New Roman" w:hAnsi="Times New Roman" w:eastAsia="黑体" w:cs="Times New Roman"/>
          <w:sz w:val="24"/>
          <w:szCs w:val="32"/>
        </w:rPr>
        <w:fldChar w:fldCharType="separate"/>
      </w:r>
      <w:r>
        <w:rPr>
          <w:rFonts w:hint="eastAsia"/>
          <w:sz w:val="24"/>
          <w:szCs w:val="22"/>
        </w:rPr>
        <w:t>（一）评估结论</w:t>
      </w:r>
      <w:r>
        <w:rPr>
          <w:sz w:val="24"/>
          <w:szCs w:val="24"/>
        </w:rPr>
        <w:tab/>
      </w:r>
      <w:r>
        <w:rPr>
          <w:sz w:val="24"/>
          <w:szCs w:val="24"/>
        </w:rPr>
        <w:fldChar w:fldCharType="begin"/>
      </w:r>
      <w:r>
        <w:rPr>
          <w:sz w:val="24"/>
          <w:szCs w:val="24"/>
        </w:rPr>
        <w:instrText xml:space="preserve"> PAGEREF _Toc30814 \h </w:instrText>
      </w:r>
      <w:r>
        <w:rPr>
          <w:sz w:val="24"/>
          <w:szCs w:val="24"/>
        </w:rPr>
        <w:fldChar w:fldCharType="separate"/>
      </w:r>
      <w:r>
        <w:rPr>
          <w:sz w:val="24"/>
          <w:szCs w:val="24"/>
        </w:rPr>
        <w:t>7</w:t>
      </w:r>
      <w:r>
        <w:rPr>
          <w:sz w:val="24"/>
          <w:szCs w:val="24"/>
        </w:rPr>
        <w:fldChar w:fldCharType="end"/>
      </w:r>
      <w:r>
        <w:rPr>
          <w:rFonts w:ascii="Times New Roman" w:hAnsi="Times New Roman" w:eastAsia="黑体" w:cs="Times New Roman"/>
          <w:sz w:val="24"/>
          <w:szCs w:val="32"/>
        </w:rPr>
        <w:fldChar w:fldCharType="end"/>
      </w:r>
    </w:p>
    <w:p w14:paraId="28242D2B">
      <w:pPr>
        <w:pStyle w:val="12"/>
        <w:pageBreakBefore w:val="0"/>
        <w:tabs>
          <w:tab w:val="right" w:leader="dot" w:pos="8787"/>
        </w:tabs>
        <w:kinsoku/>
        <w:wordWrap/>
        <w:overflowPunct/>
        <w:topLinePunct w:val="0"/>
        <w:autoSpaceDE/>
        <w:autoSpaceDN/>
        <w:bidi w:val="0"/>
        <w:adjustRightInd/>
        <w:snapToGrid/>
        <w:spacing w:after="0" w:line="360" w:lineRule="auto"/>
        <w:textAlignment w:val="auto"/>
        <w:rPr>
          <w:sz w:val="24"/>
          <w:szCs w:val="24"/>
        </w:rPr>
      </w:pPr>
      <w:r>
        <w:rPr>
          <w:rFonts w:ascii="Times New Roman" w:hAnsi="Times New Roman" w:eastAsia="黑体" w:cs="Times New Roman"/>
          <w:sz w:val="24"/>
          <w:szCs w:val="32"/>
        </w:rPr>
        <w:fldChar w:fldCharType="begin"/>
      </w:r>
      <w:r>
        <w:rPr>
          <w:rFonts w:ascii="Times New Roman" w:hAnsi="Times New Roman" w:eastAsia="黑体" w:cs="Times New Roman"/>
          <w:sz w:val="24"/>
          <w:szCs w:val="32"/>
        </w:rPr>
        <w:instrText xml:space="preserve"> HYPERLINK \l _Toc2214 </w:instrText>
      </w:r>
      <w:r>
        <w:rPr>
          <w:rFonts w:ascii="Times New Roman" w:hAnsi="Times New Roman" w:eastAsia="黑体" w:cs="Times New Roman"/>
          <w:sz w:val="24"/>
          <w:szCs w:val="32"/>
        </w:rPr>
        <w:fldChar w:fldCharType="separate"/>
      </w:r>
      <w:r>
        <w:rPr>
          <w:rFonts w:hint="eastAsia"/>
          <w:sz w:val="24"/>
          <w:szCs w:val="22"/>
        </w:rPr>
        <w:t>（二）工作提升建议</w:t>
      </w:r>
      <w:r>
        <w:rPr>
          <w:sz w:val="24"/>
          <w:szCs w:val="24"/>
        </w:rPr>
        <w:tab/>
      </w:r>
      <w:r>
        <w:rPr>
          <w:sz w:val="24"/>
          <w:szCs w:val="24"/>
        </w:rPr>
        <w:fldChar w:fldCharType="begin"/>
      </w:r>
      <w:r>
        <w:rPr>
          <w:sz w:val="24"/>
          <w:szCs w:val="24"/>
        </w:rPr>
        <w:instrText xml:space="preserve"> PAGEREF _Toc2214 \h </w:instrText>
      </w:r>
      <w:r>
        <w:rPr>
          <w:sz w:val="24"/>
          <w:szCs w:val="24"/>
        </w:rPr>
        <w:fldChar w:fldCharType="separate"/>
      </w:r>
      <w:r>
        <w:rPr>
          <w:sz w:val="24"/>
          <w:szCs w:val="24"/>
        </w:rPr>
        <w:t>7</w:t>
      </w:r>
      <w:r>
        <w:rPr>
          <w:sz w:val="24"/>
          <w:szCs w:val="24"/>
        </w:rPr>
        <w:fldChar w:fldCharType="end"/>
      </w:r>
      <w:r>
        <w:rPr>
          <w:rFonts w:ascii="Times New Roman" w:hAnsi="Times New Roman" w:eastAsia="黑体" w:cs="Times New Roman"/>
          <w:sz w:val="24"/>
          <w:szCs w:val="32"/>
        </w:rPr>
        <w:fldChar w:fldCharType="end"/>
      </w:r>
    </w:p>
    <w:p w14:paraId="3414B8DB">
      <w:pPr>
        <w:pStyle w:val="2"/>
        <w:pageBreakBefore w:val="0"/>
        <w:kinsoku/>
        <w:wordWrap/>
        <w:overflowPunct/>
        <w:topLinePunct w:val="0"/>
        <w:autoSpaceDE/>
        <w:autoSpaceDN/>
        <w:bidi w:val="0"/>
        <w:adjustRightInd/>
        <w:snapToGrid/>
        <w:spacing w:before="0" w:after="0" w:line="360" w:lineRule="auto"/>
        <w:textAlignment w:val="auto"/>
        <w:rPr>
          <w:rFonts w:ascii="黑体" w:hAnsi="黑体" w:eastAsia="黑体" w:cs="黑体"/>
          <w:szCs w:val="28"/>
        </w:rPr>
        <w:sectPr>
          <w:pgSz w:w="11906" w:h="16838"/>
          <w:pgMar w:top="1418" w:right="1588" w:bottom="1418" w:left="1531" w:header="851" w:footer="992" w:gutter="0"/>
          <w:cols w:space="425" w:num="1"/>
          <w:docGrid w:type="lines" w:linePitch="312" w:charSpace="0"/>
        </w:sectPr>
      </w:pPr>
      <w:r>
        <w:rPr>
          <w:rFonts w:ascii="Times New Roman" w:hAnsi="Times New Roman" w:eastAsia="黑体" w:cs="Times New Roman"/>
          <w:sz w:val="48"/>
          <w:szCs w:val="32"/>
        </w:rPr>
        <w:fldChar w:fldCharType="end"/>
      </w:r>
    </w:p>
    <w:p w14:paraId="072955FD">
      <w:pPr>
        <w:pStyle w:val="2"/>
        <w:spacing w:before="240" w:after="240" w:line="360" w:lineRule="auto"/>
        <w:rPr>
          <w:rFonts w:ascii="黑体" w:hAnsi="黑体" w:eastAsia="黑体" w:cs="黑体"/>
          <w:sz w:val="28"/>
          <w:szCs w:val="28"/>
        </w:rPr>
      </w:pPr>
      <w:bookmarkStart w:id="3" w:name="_Toc9335"/>
      <w:r>
        <w:rPr>
          <w:rFonts w:hint="eastAsia" w:ascii="黑体" w:hAnsi="黑体" w:eastAsia="黑体" w:cs="黑体"/>
          <w:sz w:val="28"/>
          <w:szCs w:val="28"/>
        </w:rPr>
        <w:t>一、目的依据</w:t>
      </w:r>
      <w:bookmarkEnd w:id="2"/>
      <w:bookmarkEnd w:id="3"/>
    </w:p>
    <w:p w14:paraId="37014273">
      <w:pPr>
        <w:pStyle w:val="25"/>
        <w:spacing w:line="360" w:lineRule="auto"/>
        <w:ind w:firstLine="560"/>
        <w:rPr>
          <w:rFonts w:ascii="宋体" w:hAnsi="宋体" w:eastAsia="宋体"/>
          <w:sz w:val="28"/>
          <w:szCs w:val="28"/>
        </w:rPr>
      </w:pPr>
      <w:r>
        <w:rPr>
          <w:rFonts w:hint="eastAsia" w:ascii="宋体" w:hAnsi="宋体" w:eastAsia="宋体"/>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，开展本次一般生产安全事故现场安全现状评估工作。</w:t>
      </w:r>
    </w:p>
    <w:p w14:paraId="205119BD">
      <w:pPr>
        <w:pStyle w:val="2"/>
        <w:spacing w:before="240" w:after="240" w:line="360" w:lineRule="auto"/>
        <w:rPr>
          <w:rFonts w:ascii="黑体" w:hAnsi="黑体" w:eastAsia="黑体" w:cs="黑体"/>
          <w:sz w:val="28"/>
          <w:szCs w:val="28"/>
        </w:rPr>
      </w:pPr>
      <w:bookmarkStart w:id="4" w:name="_Toc26337"/>
      <w:bookmarkStart w:id="5" w:name="_Toc23919"/>
      <w:r>
        <w:rPr>
          <w:rFonts w:hint="eastAsia" w:ascii="黑体" w:hAnsi="黑体" w:eastAsia="黑体" w:cs="黑体"/>
          <w:sz w:val="28"/>
          <w:szCs w:val="28"/>
        </w:rPr>
        <w:t>二、工作</w:t>
      </w:r>
      <w:bookmarkEnd w:id="4"/>
      <w:r>
        <w:rPr>
          <w:rFonts w:hint="eastAsia" w:ascii="黑体" w:hAnsi="黑体" w:eastAsia="黑体" w:cs="黑体"/>
          <w:sz w:val="28"/>
          <w:szCs w:val="28"/>
        </w:rPr>
        <w:t>范围和方式</w:t>
      </w:r>
      <w:bookmarkEnd w:id="5"/>
    </w:p>
    <w:p w14:paraId="0B534E69">
      <w:pPr>
        <w:pStyle w:val="25"/>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本次现场评估的对象是英赛迩（北京）装饰设计有限公司（以下简称：英赛迩设计公司）和北京云端蓝图装饰工程有限公司（以下简称：云端蓝图工程公司）。</w:t>
      </w:r>
    </w:p>
    <w:p w14:paraId="34883034">
      <w:pPr>
        <w:pStyle w:val="25"/>
        <w:spacing w:line="360" w:lineRule="auto"/>
        <w:ind w:firstLine="560"/>
        <w:rPr>
          <w:rFonts w:ascii="宋体" w:hAnsi="宋体" w:eastAsia="宋体"/>
          <w:sz w:val="28"/>
          <w:szCs w:val="28"/>
        </w:rPr>
      </w:pPr>
      <w:r>
        <w:rPr>
          <w:rFonts w:hint="eastAsia" w:ascii="宋体" w:hAnsi="宋体" w:eastAsia="宋体"/>
          <w:sz w:val="28"/>
          <w:szCs w:val="28"/>
        </w:rPr>
        <w:t>因事故现场为居民家中，非公共场所，且两家事故责任单位</w:t>
      </w:r>
      <w:r>
        <w:rPr>
          <w:rFonts w:hint="eastAsia" w:ascii="宋体" w:hAnsi="宋体" w:eastAsia="宋体"/>
          <w:sz w:val="28"/>
          <w:szCs w:val="28"/>
          <w:lang w:val="en-US" w:eastAsia="zh-CN"/>
        </w:rPr>
        <w:t>目前</w:t>
      </w:r>
      <w:r>
        <w:rPr>
          <w:rFonts w:hint="eastAsia" w:ascii="宋体" w:hAnsi="宋体" w:eastAsia="宋体"/>
          <w:sz w:val="28"/>
          <w:szCs w:val="28"/>
        </w:rPr>
        <w:t>均无相关施工活动。本次评估主要通过内业资料调查，评估企业整改</w:t>
      </w:r>
      <w:r>
        <w:rPr>
          <w:rFonts w:hint="eastAsia" w:ascii="宋体" w:hAnsi="宋体" w:eastAsia="宋体"/>
          <w:sz w:val="28"/>
          <w:szCs w:val="28"/>
          <w:lang w:val="en-US" w:eastAsia="zh-CN"/>
        </w:rPr>
        <w:t>和现状落实</w:t>
      </w:r>
      <w:r>
        <w:rPr>
          <w:rFonts w:hint="eastAsia" w:ascii="宋体" w:hAnsi="宋体" w:eastAsia="宋体"/>
          <w:sz w:val="28"/>
          <w:szCs w:val="28"/>
        </w:rPr>
        <w:t>情况</w:t>
      </w:r>
      <w:r>
        <w:rPr>
          <w:rFonts w:hint="eastAsia" w:ascii="宋体" w:hAnsi="宋体" w:eastAsia="宋体"/>
          <w:sz w:val="28"/>
          <w:szCs w:val="28"/>
          <w:lang w:eastAsia="zh-CN"/>
        </w:rPr>
        <w:t>。</w:t>
      </w:r>
    </w:p>
    <w:p w14:paraId="4E65FFF8">
      <w:pPr>
        <w:pStyle w:val="3"/>
        <w:spacing w:before="120" w:after="120" w:line="360" w:lineRule="auto"/>
        <w:rPr>
          <w:sz w:val="28"/>
          <w:szCs w:val="21"/>
        </w:rPr>
      </w:pPr>
      <w:bookmarkStart w:id="6" w:name="_Toc28846"/>
      <w:r>
        <w:rPr>
          <w:rFonts w:hint="eastAsia"/>
          <w:sz w:val="28"/>
          <w:szCs w:val="21"/>
        </w:rPr>
        <w:t>（一）资料查阅</w:t>
      </w:r>
      <w:bookmarkEnd w:id="6"/>
    </w:p>
    <w:p w14:paraId="2AAC69F8">
      <w:pPr>
        <w:pStyle w:val="25"/>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英赛迩设计公司</w:t>
      </w:r>
    </w:p>
    <w:p w14:paraId="19395318">
      <w:pPr>
        <w:pStyle w:val="25"/>
        <w:spacing w:line="360" w:lineRule="auto"/>
        <w:ind w:firstLine="560"/>
        <w:rPr>
          <w:rFonts w:hint="default" w:ascii="宋体" w:hAnsi="宋体" w:eastAsia="宋体"/>
          <w:sz w:val="28"/>
          <w:szCs w:val="28"/>
          <w:lang w:val="en-US" w:eastAsia="zh-CN"/>
        </w:rPr>
      </w:pPr>
      <w:r>
        <w:rPr>
          <w:rFonts w:hint="eastAsia" w:ascii="宋体" w:hAnsi="宋体" w:eastAsia="宋体"/>
          <w:sz w:val="28"/>
          <w:szCs w:val="28"/>
        </w:rPr>
        <w:t>英赛迩设计公司提供了</w:t>
      </w:r>
      <w:r>
        <w:rPr>
          <w:rFonts w:hint="eastAsia" w:ascii="宋体" w:hAnsi="宋体" w:eastAsia="宋体"/>
          <w:sz w:val="28"/>
          <w:szCs w:val="28"/>
          <w:lang w:val="en-US" w:eastAsia="zh-CN"/>
        </w:rPr>
        <w:t>事故整改落实报告及企业安全生产管理标准制度，表示公司自事故发生后，主要业务为室内设计类项目，不涉及室内装饰施工活动。在未来经营活动中规范企业安全生产经营行为，严格落实企业安全生产主体责任。完善企业安全生产管理体系，健全并落实各类安全生产责任制及规章制度，不将工程发包给不具备安全生产条件或相应资质的单位或个人，决杜绝类似事故发生。</w:t>
      </w:r>
    </w:p>
    <w:p w14:paraId="01E93056">
      <w:pPr>
        <w:pStyle w:val="25"/>
        <w:spacing w:line="360" w:lineRule="auto"/>
        <w:ind w:firstLine="560"/>
        <w:rPr>
          <w:rFonts w:hint="default" w:ascii="宋体" w:hAnsi="宋体" w:eastAsia="宋体"/>
          <w:sz w:val="28"/>
          <w:szCs w:val="28"/>
          <w:lang w:val="en-US" w:eastAsia="zh-CN"/>
        </w:rPr>
      </w:pPr>
    </w:p>
    <w:p w14:paraId="4826D178">
      <w:pPr>
        <w:pStyle w:val="25"/>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云端蓝图工程公司</w:t>
      </w:r>
    </w:p>
    <w:p w14:paraId="40162670">
      <w:pPr>
        <w:pStyle w:val="25"/>
        <w:spacing w:line="360" w:lineRule="auto"/>
        <w:ind w:firstLine="560"/>
        <w:rPr>
          <w:rFonts w:hint="default" w:ascii="宋体" w:hAnsi="宋体" w:eastAsia="宋体"/>
          <w:sz w:val="28"/>
          <w:szCs w:val="28"/>
          <w:lang w:val="en-US" w:eastAsia="zh-CN"/>
        </w:rPr>
      </w:pPr>
      <w:r>
        <w:rPr>
          <w:rFonts w:hint="eastAsia" w:ascii="宋体" w:hAnsi="宋体" w:eastAsia="宋体"/>
          <w:sz w:val="28"/>
          <w:szCs w:val="28"/>
        </w:rPr>
        <w:t>云端蓝图工程公司提供了</w:t>
      </w:r>
      <w:r>
        <w:rPr>
          <w:rFonts w:hint="eastAsia" w:ascii="宋体" w:hAnsi="宋体" w:eastAsia="宋体"/>
          <w:sz w:val="28"/>
          <w:szCs w:val="28"/>
          <w:lang w:val="en-US" w:eastAsia="zh-CN"/>
        </w:rPr>
        <w:t>企业现状经营说明，表示自事故发生后未在开展施工及经营活动，并预计于近期注销。</w:t>
      </w:r>
    </w:p>
    <w:p w14:paraId="5F955F0D">
      <w:pPr>
        <w:pStyle w:val="3"/>
        <w:spacing w:before="120" w:after="120" w:line="360" w:lineRule="auto"/>
        <w:rPr>
          <w:sz w:val="28"/>
          <w:szCs w:val="21"/>
        </w:rPr>
      </w:pPr>
      <w:bookmarkStart w:id="7" w:name="_Toc31983"/>
      <w:r>
        <w:rPr>
          <w:rFonts w:hint="eastAsia"/>
          <w:sz w:val="28"/>
          <w:szCs w:val="21"/>
        </w:rPr>
        <w:t>（</w:t>
      </w:r>
      <w:r>
        <w:rPr>
          <w:rFonts w:hint="eastAsia"/>
          <w:sz w:val="28"/>
          <w:szCs w:val="21"/>
          <w:lang w:val="en-US" w:eastAsia="zh-CN"/>
        </w:rPr>
        <w:t>二</w:t>
      </w:r>
      <w:r>
        <w:rPr>
          <w:rFonts w:hint="eastAsia"/>
          <w:sz w:val="28"/>
          <w:szCs w:val="21"/>
        </w:rPr>
        <w:t>）走访核查</w:t>
      </w:r>
      <w:bookmarkEnd w:id="7"/>
    </w:p>
    <w:p w14:paraId="183A8830">
      <w:pPr>
        <w:pStyle w:val="25"/>
        <w:spacing w:line="360" w:lineRule="auto"/>
        <w:rPr>
          <w:rFonts w:ascii="宋体" w:hAnsi="宋体" w:eastAsia="宋体"/>
          <w:sz w:val="28"/>
          <w:szCs w:val="28"/>
        </w:rPr>
      </w:pPr>
      <w:r>
        <w:rPr>
          <w:rFonts w:hint="eastAsia" w:ascii="宋体" w:hAnsi="宋体" w:eastAsia="宋体"/>
          <w:sz w:val="28"/>
          <w:szCs w:val="28"/>
        </w:rPr>
        <w:t>因事故现场为居民家中，非公共场所，且两家事故责任单位</w:t>
      </w:r>
      <w:r>
        <w:rPr>
          <w:rFonts w:hint="eastAsia" w:ascii="宋体" w:hAnsi="宋体" w:eastAsia="宋体"/>
          <w:sz w:val="28"/>
          <w:szCs w:val="28"/>
          <w:lang w:val="en-US" w:eastAsia="zh-CN"/>
        </w:rPr>
        <w:t>目前</w:t>
      </w:r>
      <w:r>
        <w:rPr>
          <w:rFonts w:hint="eastAsia" w:ascii="宋体" w:hAnsi="宋体" w:eastAsia="宋体"/>
          <w:sz w:val="28"/>
          <w:szCs w:val="28"/>
        </w:rPr>
        <w:t>均无相关施工活动。本次评估主要通过内业资料调查，评估企业整改</w:t>
      </w:r>
      <w:r>
        <w:rPr>
          <w:rFonts w:hint="eastAsia" w:ascii="宋体" w:hAnsi="宋体" w:eastAsia="宋体"/>
          <w:sz w:val="28"/>
          <w:szCs w:val="28"/>
          <w:lang w:val="en-US" w:eastAsia="zh-CN"/>
        </w:rPr>
        <w:t>和现状落实</w:t>
      </w:r>
      <w:r>
        <w:rPr>
          <w:rFonts w:hint="eastAsia" w:ascii="宋体" w:hAnsi="宋体" w:eastAsia="宋体"/>
          <w:sz w:val="28"/>
          <w:szCs w:val="28"/>
        </w:rPr>
        <w:t>情况</w:t>
      </w:r>
      <w:r>
        <w:rPr>
          <w:rFonts w:hint="eastAsia" w:ascii="宋体" w:hAnsi="宋体" w:eastAsia="宋体"/>
          <w:sz w:val="28"/>
          <w:szCs w:val="28"/>
          <w:lang w:eastAsia="zh-CN"/>
        </w:rPr>
        <w:t>。</w:t>
      </w:r>
    </w:p>
    <w:p w14:paraId="0D8A2431">
      <w:pPr>
        <w:pStyle w:val="2"/>
        <w:spacing w:before="240" w:after="240" w:line="360" w:lineRule="auto"/>
        <w:rPr>
          <w:rFonts w:ascii="黑体" w:hAnsi="黑体" w:eastAsia="黑体" w:cs="黑体"/>
          <w:sz w:val="28"/>
          <w:szCs w:val="28"/>
        </w:rPr>
      </w:pPr>
      <w:bookmarkStart w:id="8" w:name="_Toc17629"/>
      <w:r>
        <w:rPr>
          <w:rFonts w:hint="eastAsia" w:ascii="黑体" w:hAnsi="黑体" w:eastAsia="黑体" w:cs="黑体"/>
          <w:sz w:val="28"/>
          <w:szCs w:val="28"/>
        </w:rPr>
        <w:t>三、安全现状评估</w:t>
      </w:r>
      <w:bookmarkEnd w:id="8"/>
    </w:p>
    <w:p w14:paraId="4A0B9C63">
      <w:pPr>
        <w:pStyle w:val="3"/>
        <w:spacing w:before="120" w:after="120" w:line="360" w:lineRule="auto"/>
        <w:rPr>
          <w:sz w:val="28"/>
          <w:szCs w:val="21"/>
        </w:rPr>
      </w:pPr>
      <w:bookmarkStart w:id="9" w:name="_Toc10993"/>
      <w:r>
        <w:rPr>
          <w:rFonts w:hint="eastAsia"/>
          <w:sz w:val="28"/>
          <w:szCs w:val="21"/>
        </w:rPr>
        <w:t>（一）现行安全管理制度制定及落实情况评估</w:t>
      </w:r>
      <w:bookmarkEnd w:id="9"/>
    </w:p>
    <w:p w14:paraId="3F5069E7">
      <w:pPr>
        <w:pStyle w:val="25"/>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英赛迩设计公司</w:t>
      </w:r>
    </w:p>
    <w:p w14:paraId="0B6A9F1D">
      <w:pPr>
        <w:pStyle w:val="25"/>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rPr>
        <w:t>英赛迩设计公司提供了</w:t>
      </w:r>
      <w:r>
        <w:rPr>
          <w:rFonts w:hint="eastAsia" w:ascii="宋体" w:hAnsi="宋体" w:eastAsia="宋体"/>
          <w:sz w:val="28"/>
          <w:szCs w:val="28"/>
          <w:lang w:eastAsia="zh-CN"/>
        </w:rPr>
        <w:t>《企业安全生产管理标准制度》，</w:t>
      </w:r>
      <w:r>
        <w:rPr>
          <w:rFonts w:hint="eastAsia" w:ascii="宋体" w:hAnsi="宋体" w:eastAsia="宋体"/>
          <w:sz w:val="28"/>
          <w:szCs w:val="28"/>
          <w:lang w:val="en-US" w:eastAsia="zh-CN"/>
        </w:rPr>
        <w:t>其中包括安全生产检查制度、安全生产事故隐患排查制度、安全事故隐患整改制度、生产场所及设备安全措施、施工现场安全管理制度、企业外包工程安全生产制度等文件，该制度文件部分符合</w:t>
      </w:r>
      <w:r>
        <w:rPr>
          <w:rFonts w:hint="default" w:ascii="宋体" w:hAnsi="宋体" w:eastAsia="宋体"/>
          <w:sz w:val="28"/>
          <w:szCs w:val="28"/>
          <w:lang w:val="en-US" w:eastAsia="zh-CN"/>
        </w:rPr>
        <w:t>《中华人民共和国安全生产法》</w:t>
      </w:r>
      <w:r>
        <w:rPr>
          <w:rFonts w:hint="eastAsia" w:ascii="宋体" w:hAnsi="宋体" w:eastAsia="宋体"/>
          <w:sz w:val="28"/>
          <w:szCs w:val="28"/>
          <w:lang w:val="en-US" w:eastAsia="zh-CN"/>
        </w:rPr>
        <w:t>第四条，要求的“生产经营单位必须遵守本法和其他有关安全生产的法律、法规，加强安全生产管理，建立健全全员安全生产责任制和安全生产规章制度”。</w:t>
      </w:r>
    </w:p>
    <w:p w14:paraId="7A4AF3C0">
      <w:pPr>
        <w:pStyle w:val="25"/>
        <w:spacing w:line="360" w:lineRule="auto"/>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考虑到企业目前主要从事室内设计，无施工等作业活动，企业目前的安全管理制度应与主营业务调整适应，结合实际，按照《北京市生产经营单位安全生产主体责任规定》（北京市人民政府令第 285 号）《北京市安全生产条例》中要求，落实全员安全生产责任制；保证安全生产费用投入，用于培训、劳动防护用品购买、安责险投保；编制现场应急疏散方案等。</w:t>
      </w:r>
    </w:p>
    <w:p w14:paraId="66B0EA96">
      <w:pPr>
        <w:pStyle w:val="25"/>
        <w:numPr>
          <w:ilvl w:val="0"/>
          <w:numId w:val="2"/>
        </w:numPr>
        <w:spacing w:line="360" w:lineRule="auto"/>
        <w:ind w:firstLine="560"/>
        <w:rPr>
          <w:rFonts w:hint="eastAsia" w:ascii="宋体" w:hAnsi="宋体" w:eastAsia="宋体"/>
          <w:b/>
          <w:bCs/>
          <w:sz w:val="28"/>
          <w:szCs w:val="28"/>
        </w:rPr>
      </w:pPr>
      <w:r>
        <w:rPr>
          <w:rFonts w:hint="eastAsia" w:ascii="宋体" w:hAnsi="宋体" w:eastAsia="宋体"/>
          <w:b/>
          <w:bCs/>
          <w:sz w:val="28"/>
          <w:szCs w:val="28"/>
        </w:rPr>
        <w:t>云端蓝图工程公司</w:t>
      </w:r>
    </w:p>
    <w:p w14:paraId="5F51CE7C">
      <w:pPr>
        <w:pStyle w:val="25"/>
        <w:spacing w:line="360" w:lineRule="auto"/>
        <w:ind w:firstLine="560"/>
        <w:rPr>
          <w:rFonts w:hint="eastAsia" w:ascii="宋体" w:hAnsi="宋体" w:eastAsia="宋体"/>
          <w:sz w:val="28"/>
          <w:szCs w:val="28"/>
          <w:lang w:val="en-US" w:eastAsia="zh-CN"/>
        </w:rPr>
      </w:pPr>
      <w:r>
        <w:rPr>
          <w:rFonts w:hint="eastAsia" w:ascii="宋体" w:hAnsi="宋体" w:eastAsia="宋体"/>
          <w:sz w:val="28"/>
          <w:szCs w:val="28"/>
        </w:rPr>
        <w:t>云端蓝图工程公司提供了</w:t>
      </w:r>
      <w:r>
        <w:rPr>
          <w:rFonts w:hint="eastAsia" w:ascii="宋体" w:hAnsi="宋体" w:eastAsia="宋体"/>
          <w:sz w:val="28"/>
          <w:szCs w:val="28"/>
          <w:lang w:val="en-US" w:eastAsia="zh-CN"/>
        </w:rPr>
        <w:t>企业现状经营说明，表示自事故发生后未在开展施工及经营活动，并预计于近期注销。</w:t>
      </w:r>
    </w:p>
    <w:p w14:paraId="1786338C">
      <w:pPr>
        <w:pStyle w:val="25"/>
        <w:spacing w:line="360" w:lineRule="auto"/>
        <w:ind w:firstLine="560"/>
        <w:rPr>
          <w:rFonts w:hint="eastAsia" w:ascii="宋体" w:hAnsi="宋体" w:eastAsia="宋体"/>
          <w:sz w:val="28"/>
          <w:szCs w:val="28"/>
          <w:lang w:val="en-US" w:eastAsia="zh-CN"/>
        </w:rPr>
      </w:pPr>
      <w:r>
        <w:rPr>
          <w:rFonts w:hint="default" w:ascii="宋体" w:hAnsi="宋体" w:eastAsia="宋体"/>
          <w:sz w:val="28"/>
          <w:szCs w:val="28"/>
          <w:lang w:val="en-US" w:eastAsia="zh-CN"/>
        </w:rPr>
        <w:t>若</w:t>
      </w:r>
      <w:r>
        <w:rPr>
          <w:rFonts w:hint="eastAsia" w:ascii="宋体" w:hAnsi="宋体" w:eastAsia="宋体"/>
          <w:sz w:val="28"/>
          <w:szCs w:val="28"/>
          <w:lang w:val="en-US" w:eastAsia="zh-CN"/>
        </w:rPr>
        <w:t>企业</w:t>
      </w:r>
      <w:r>
        <w:rPr>
          <w:rFonts w:hint="default" w:ascii="宋体" w:hAnsi="宋体" w:eastAsia="宋体"/>
          <w:sz w:val="28"/>
          <w:szCs w:val="28"/>
          <w:lang w:val="en-US" w:eastAsia="zh-CN"/>
        </w:rPr>
        <w:t>后续恢复运营，开展现场施工作业活动，除做好本次事故相关整改措施的落实工作外，还应吸取事故教训，按照安全生产、建筑施工等法律法规进一步完善，</w:t>
      </w:r>
      <w:r>
        <w:rPr>
          <w:rFonts w:hint="eastAsia" w:ascii="宋体" w:hAnsi="宋体" w:eastAsia="宋体"/>
          <w:sz w:val="28"/>
          <w:szCs w:val="28"/>
          <w:lang w:val="en-US" w:eastAsia="zh-CN"/>
        </w:rPr>
        <w:t>可从以下几点进行完善落实。</w:t>
      </w:r>
    </w:p>
    <w:p w14:paraId="06DE3BCA">
      <w:pPr>
        <w:widowControl/>
        <w:jc w:val="left"/>
        <w:rPr>
          <w:rFonts w:hint="eastAsia" w:ascii="仿宋_GB2312" w:hAnsi="宋体" w:eastAsia="仿宋_GB2312" w:cs="仿宋_GB2312"/>
          <w:b/>
          <w:bCs/>
          <w:color w:val="000000"/>
          <w:kern w:val="0"/>
          <w:sz w:val="28"/>
          <w:szCs w:val="28"/>
          <w:lang w:val="en-US" w:eastAsia="zh-CN" w:bidi="ar"/>
        </w:rPr>
      </w:pPr>
      <w:r>
        <w:rPr>
          <w:rFonts w:hint="eastAsia" w:ascii="仿宋_GB2312" w:hAnsi="宋体" w:eastAsia="仿宋_GB2312" w:cs="仿宋_GB2312"/>
          <w:b/>
          <w:bCs/>
          <w:color w:val="000000"/>
          <w:kern w:val="0"/>
          <w:sz w:val="28"/>
          <w:szCs w:val="28"/>
          <w:lang w:val="en-US" w:eastAsia="zh-CN" w:bidi="ar"/>
        </w:rPr>
        <w:t>（1）增加额外安全保障</w:t>
      </w:r>
    </w:p>
    <w:p w14:paraId="2CAD7353">
      <w:pPr>
        <w:pStyle w:val="25"/>
        <w:spacing w:line="360" w:lineRule="auto"/>
        <w:ind w:firstLine="560"/>
        <w:rPr>
          <w:rFonts w:hint="eastAsia" w:ascii="宋体" w:hAnsi="宋体" w:eastAsia="宋体"/>
          <w:sz w:val="28"/>
          <w:szCs w:val="28"/>
        </w:rPr>
      </w:pPr>
      <w:r>
        <w:rPr>
          <w:rFonts w:hint="eastAsia" w:ascii="宋体" w:hAnsi="宋体" w:eastAsia="宋体"/>
          <w:sz w:val="28"/>
          <w:szCs w:val="28"/>
        </w:rPr>
        <w:t>建筑行业安全风险较高，事故发生频次较高、施工后果也较为严重。建议按照法规要求，施工总包单位要求所有现场施工作业人员参保意外险，其中危险作业人员必须参保；且“</w:t>
      </w:r>
      <w:r>
        <w:rPr>
          <w:rFonts w:ascii="Times New Roman" w:hAnsi="Times New Roman" w:eastAsia="宋体" w:cs="Times New Roman"/>
          <w:sz w:val="28"/>
          <w:szCs w:val="28"/>
        </w:rPr>
        <w:t>意外伤害保险期限自建设工程开工之日起至竣工验收合格止</w:t>
      </w:r>
      <w:r>
        <w:rPr>
          <w:rFonts w:hint="eastAsia" w:ascii="宋体" w:hAnsi="宋体" w:eastAsia="宋体"/>
          <w:sz w:val="28"/>
          <w:szCs w:val="28"/>
        </w:rPr>
        <w:t>”；将参保资料妥善保存至工程安全施工档案中，若发生突发事件，需要启动保障时，可随时查找。</w:t>
      </w:r>
    </w:p>
    <w:p w14:paraId="65A9BCC0">
      <w:pPr>
        <w:widowControl/>
        <w:jc w:val="left"/>
        <w:rPr>
          <w:rFonts w:hint="default" w:ascii="仿宋_GB2312" w:hAnsi="宋体" w:eastAsia="仿宋_GB2312" w:cs="仿宋_GB2312"/>
          <w:b/>
          <w:bCs/>
          <w:color w:val="000000"/>
          <w:kern w:val="0"/>
          <w:sz w:val="28"/>
          <w:szCs w:val="28"/>
          <w:lang w:val="en-US" w:eastAsia="zh-CN" w:bidi="ar"/>
        </w:rPr>
      </w:pPr>
      <w:r>
        <w:rPr>
          <w:rFonts w:hint="eastAsia" w:ascii="仿宋_GB2312" w:hAnsi="宋体" w:eastAsia="仿宋_GB2312" w:cs="仿宋_GB2312"/>
          <w:b/>
          <w:bCs/>
          <w:color w:val="000000"/>
          <w:kern w:val="0"/>
          <w:sz w:val="28"/>
          <w:szCs w:val="28"/>
          <w:lang w:val="en-US" w:eastAsia="zh-CN" w:bidi="ar"/>
        </w:rPr>
        <w:t>（2）建设隐患排查和风险评估双重预防机制，严格落实相关工作。</w:t>
      </w:r>
    </w:p>
    <w:p w14:paraId="63F37E1B">
      <w:pPr>
        <w:pStyle w:val="25"/>
        <w:spacing w:line="360" w:lineRule="auto"/>
        <w:ind w:firstLine="560"/>
        <w:rPr>
          <w:rFonts w:ascii="宋体" w:hAnsi="宋体" w:eastAsia="宋体"/>
          <w:sz w:val="28"/>
          <w:szCs w:val="28"/>
        </w:rPr>
      </w:pPr>
      <w:r>
        <w:rPr>
          <w:rFonts w:ascii="宋体" w:hAnsi="宋体" w:eastAsia="宋体"/>
          <w:sz w:val="28"/>
          <w:szCs w:val="28"/>
        </w:rPr>
        <w:t>人的不安全行为始终是</w:t>
      </w:r>
      <w:r>
        <w:rPr>
          <w:rFonts w:hint="eastAsia" w:ascii="宋体" w:hAnsi="宋体" w:eastAsia="宋体"/>
          <w:sz w:val="28"/>
          <w:szCs w:val="28"/>
        </w:rPr>
        <w:t>导致突发事件</w:t>
      </w:r>
      <w:r>
        <w:rPr>
          <w:rFonts w:ascii="宋体" w:hAnsi="宋体" w:eastAsia="宋体"/>
          <w:sz w:val="28"/>
          <w:szCs w:val="28"/>
        </w:rPr>
        <w:t>的关键</w:t>
      </w:r>
      <w:r>
        <w:rPr>
          <w:rFonts w:hint="eastAsia" w:ascii="宋体" w:hAnsi="宋体" w:eastAsia="宋体"/>
          <w:sz w:val="28"/>
          <w:szCs w:val="28"/>
        </w:rPr>
        <w:t>因素</w:t>
      </w:r>
      <w:r>
        <w:rPr>
          <w:rFonts w:hint="eastAsia" w:ascii="宋体" w:hAnsi="宋体" w:eastAsia="宋体"/>
          <w:sz w:val="28"/>
          <w:szCs w:val="28"/>
          <w:lang w:eastAsia="zh-CN"/>
        </w:rPr>
        <w:t>。</w:t>
      </w:r>
      <w:r>
        <w:rPr>
          <w:rFonts w:hint="eastAsia" w:ascii="宋体" w:hAnsi="宋体" w:eastAsia="宋体"/>
          <w:sz w:val="28"/>
          <w:szCs w:val="28"/>
          <w:lang w:val="en-US" w:eastAsia="zh-CN"/>
        </w:rPr>
        <w:t>若作为施工的</w:t>
      </w:r>
      <w:r>
        <w:rPr>
          <w:rFonts w:ascii="宋体" w:hAnsi="宋体" w:eastAsia="宋体"/>
          <w:sz w:val="28"/>
          <w:szCs w:val="28"/>
        </w:rPr>
        <w:t>劳务单位，</w:t>
      </w:r>
      <w:r>
        <w:rPr>
          <w:rFonts w:hint="eastAsia" w:ascii="宋体" w:hAnsi="宋体" w:eastAsia="宋体"/>
          <w:sz w:val="28"/>
          <w:szCs w:val="28"/>
          <w:lang w:val="en-US" w:eastAsia="zh-CN"/>
        </w:rPr>
        <w:t>应按照</w:t>
      </w:r>
      <w:r>
        <w:rPr>
          <w:rFonts w:ascii="宋体" w:hAnsi="宋体" w:eastAsia="宋体"/>
          <w:sz w:val="28"/>
          <w:szCs w:val="28"/>
        </w:rPr>
        <w:t>总包、承包单位要求</w:t>
      </w:r>
      <w:r>
        <w:rPr>
          <w:rFonts w:hint="eastAsia" w:ascii="宋体" w:hAnsi="宋体" w:eastAsia="宋体"/>
          <w:sz w:val="28"/>
          <w:szCs w:val="28"/>
          <w:lang w:eastAsia="zh-CN"/>
        </w:rPr>
        <w:t>，</w:t>
      </w:r>
      <w:r>
        <w:rPr>
          <w:rFonts w:ascii="宋体" w:hAnsi="宋体" w:eastAsia="宋体"/>
          <w:sz w:val="28"/>
          <w:szCs w:val="28"/>
        </w:rPr>
        <w:t>严格按照安全管理制度、安全技术交底、安全操作规程进行落实，并要求各单位提供落实记录，包括人员安排、培训教育、现场检查等</w:t>
      </w:r>
      <w:r>
        <w:rPr>
          <w:rFonts w:hint="eastAsia" w:ascii="宋体" w:hAnsi="宋体" w:eastAsia="宋体"/>
          <w:sz w:val="28"/>
          <w:szCs w:val="28"/>
        </w:rPr>
        <w:t>。</w:t>
      </w:r>
    </w:p>
    <w:p w14:paraId="5EA84841">
      <w:pPr>
        <w:pStyle w:val="25"/>
        <w:spacing w:line="360" w:lineRule="auto"/>
        <w:ind w:firstLine="560"/>
        <w:rPr>
          <w:rFonts w:ascii="宋体" w:hAnsi="宋体" w:eastAsia="宋体"/>
          <w:sz w:val="28"/>
          <w:szCs w:val="28"/>
        </w:rPr>
      </w:pPr>
      <w:r>
        <w:rPr>
          <w:rFonts w:hint="eastAsia" w:ascii="宋体" w:hAnsi="宋体" w:eastAsia="宋体"/>
          <w:sz w:val="28"/>
          <w:szCs w:val="28"/>
          <w:lang w:val="en-US" w:eastAsia="zh-CN"/>
        </w:rPr>
        <w:t>劳务单位自身</w:t>
      </w:r>
      <w:r>
        <w:rPr>
          <w:rFonts w:ascii="宋体" w:hAnsi="宋体" w:eastAsia="宋体"/>
          <w:sz w:val="28"/>
          <w:szCs w:val="28"/>
        </w:rPr>
        <w:t>要</w:t>
      </w:r>
      <w:r>
        <w:rPr>
          <w:rFonts w:hint="eastAsia" w:ascii="宋体" w:hAnsi="宋体" w:eastAsia="宋体"/>
          <w:sz w:val="28"/>
          <w:szCs w:val="28"/>
        </w:rPr>
        <w:t>负起安全生产责任主体意识，要将施工安全风险分级管控和隐患排查治理工作纳入企业安全生产责任制</w:t>
      </w:r>
      <w:r>
        <w:rPr>
          <w:rFonts w:hint="eastAsia" w:ascii="宋体" w:hAnsi="宋体" w:eastAsia="宋体"/>
          <w:sz w:val="28"/>
          <w:szCs w:val="28"/>
          <w:lang w:eastAsia="zh-CN"/>
        </w:rPr>
        <w:t>，</w:t>
      </w:r>
      <w:r>
        <w:rPr>
          <w:rFonts w:hint="eastAsia" w:ascii="宋体" w:hAnsi="宋体" w:eastAsia="宋体"/>
          <w:sz w:val="28"/>
          <w:szCs w:val="28"/>
        </w:rPr>
        <w:t>明确工作职责、制定监督检查计划，重点管控重大和较大风险，重点落实重大事故隐患整改情况；安全管理人员要加强作业现场安全检查，及时发现并消除施工人员违反安全技术交底违规冒险的隐患。</w:t>
      </w:r>
    </w:p>
    <w:p w14:paraId="3EBCB785">
      <w:pPr>
        <w:widowControl/>
        <w:jc w:val="left"/>
        <w:rPr>
          <w:rFonts w:hint="eastAsia" w:ascii="仿宋_GB2312" w:hAnsi="宋体" w:eastAsia="仿宋_GB2312" w:cs="仿宋_GB2312"/>
          <w:b/>
          <w:bCs/>
          <w:color w:val="000000"/>
          <w:kern w:val="0"/>
          <w:sz w:val="28"/>
          <w:szCs w:val="28"/>
          <w:lang w:val="en-US" w:eastAsia="zh-CN" w:bidi="ar"/>
        </w:rPr>
      </w:pPr>
      <w:r>
        <w:rPr>
          <w:rFonts w:hint="eastAsia" w:ascii="仿宋_GB2312" w:hAnsi="宋体" w:eastAsia="仿宋_GB2312" w:cs="仿宋_GB2312"/>
          <w:b/>
          <w:bCs/>
          <w:color w:val="000000"/>
          <w:kern w:val="0"/>
          <w:sz w:val="28"/>
          <w:szCs w:val="28"/>
          <w:lang w:val="en-US" w:eastAsia="zh-CN" w:bidi="ar"/>
        </w:rPr>
        <w:t>（3）建立施工安全管理档案</w:t>
      </w:r>
    </w:p>
    <w:p w14:paraId="7AC69B82">
      <w:pPr>
        <w:pStyle w:val="25"/>
        <w:spacing w:line="360" w:lineRule="auto"/>
        <w:ind w:firstLine="560"/>
        <w:rPr>
          <w:rFonts w:ascii="宋体" w:hAnsi="宋体" w:eastAsia="宋体"/>
          <w:sz w:val="28"/>
          <w:szCs w:val="28"/>
        </w:rPr>
      </w:pPr>
      <w:r>
        <w:rPr>
          <w:rFonts w:hint="eastAsia" w:ascii="宋体" w:hAnsi="宋体" w:eastAsia="宋体"/>
          <w:sz w:val="28"/>
          <w:szCs w:val="28"/>
        </w:rPr>
        <w:t>施工项目一般划分为多个阶段，各阶段工序皆对应不同的安全管理需求，为规范施工过程的安全生产管理，安全档案必须建立完善、专人主管、妥善储存。安全档案的主要内容对应《建设工程安全生产管理条例》，包括且不限于安全生产责任制及考核、安全管理人员证书、安全生产协议、安全措施费用支出台账、安全教育培训、意外保险、安全操作规程、特种作业人员/特种设备管理（证书、资质、验收单等）、专项施工方案（包括防护措施）、危大工程管理（方案、论证、安全技术交底、现场监护检查）、文明施工管理、消防管理、应急救援管理等；各项内容的具体工作参考《建筑施工安全检查标准》（JGJ 59-2011）准备。安全档案管理工作贯穿项目建设全过程,</w:t>
      </w:r>
      <w:bookmarkStart w:id="17" w:name="_GoBack"/>
      <w:bookmarkEnd w:id="17"/>
      <w:r>
        <w:rPr>
          <w:rFonts w:hint="eastAsia" w:ascii="宋体" w:hAnsi="宋体" w:eastAsia="宋体"/>
          <w:sz w:val="28"/>
          <w:szCs w:val="28"/>
        </w:rPr>
        <w:t>可以真实记录项目建设过程中所有信息资料,还原项目建设全过程,同时也是有效的工作落实凭证。</w:t>
      </w:r>
    </w:p>
    <w:p w14:paraId="326E405D">
      <w:pPr>
        <w:pStyle w:val="3"/>
        <w:spacing w:before="120" w:after="120" w:line="360" w:lineRule="auto"/>
        <w:rPr>
          <w:sz w:val="28"/>
          <w:szCs w:val="21"/>
        </w:rPr>
      </w:pPr>
      <w:bookmarkStart w:id="10" w:name="_Toc29512"/>
      <w:r>
        <w:rPr>
          <w:rFonts w:hint="eastAsia"/>
          <w:sz w:val="28"/>
          <w:szCs w:val="21"/>
        </w:rPr>
        <w:t>（二）现场施工环境安全评估</w:t>
      </w:r>
      <w:bookmarkEnd w:id="10"/>
    </w:p>
    <w:p w14:paraId="4135BDDE">
      <w:pPr>
        <w:pStyle w:val="25"/>
        <w:spacing w:line="360" w:lineRule="auto"/>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小汤山御汤山熙园1-141号别墅“4·1”事故现场为居民家中，非公共场所。赛迩设计公司和云端蓝图工程公司表示自2023年4月1日后，无施工活动。</w:t>
      </w:r>
    </w:p>
    <w:p w14:paraId="50750530">
      <w:pPr>
        <w:pStyle w:val="25"/>
        <w:spacing w:line="360" w:lineRule="auto"/>
        <w:ind w:firstLine="560"/>
        <w:rPr>
          <w:rFonts w:hint="eastAsia" w:ascii="宋体" w:hAnsi="宋体" w:eastAsia="宋体"/>
          <w:sz w:val="28"/>
          <w:szCs w:val="28"/>
        </w:rPr>
      </w:pPr>
      <w:r>
        <w:rPr>
          <w:rFonts w:hint="eastAsia" w:ascii="宋体" w:hAnsi="宋体" w:eastAsia="宋体"/>
          <w:sz w:val="28"/>
          <w:szCs w:val="28"/>
          <w:lang w:val="en-US" w:eastAsia="zh-CN"/>
        </w:rPr>
        <w:t>因此，</w:t>
      </w:r>
      <w:r>
        <w:rPr>
          <w:rFonts w:hint="eastAsia" w:ascii="宋体" w:hAnsi="宋体" w:eastAsia="宋体"/>
          <w:sz w:val="28"/>
          <w:szCs w:val="28"/>
        </w:rPr>
        <w:t>评估组在对事故单位整改措施落实情况评估的基础上，按照安全生产法律法规，对企业单位提供的现行制度等资料进行内业评估。</w:t>
      </w:r>
    </w:p>
    <w:p w14:paraId="1643A196">
      <w:pPr>
        <w:pStyle w:val="2"/>
        <w:spacing w:before="240" w:after="240" w:line="360" w:lineRule="auto"/>
        <w:rPr>
          <w:rFonts w:ascii="黑体" w:hAnsi="黑体" w:eastAsia="黑体" w:cs="黑体"/>
          <w:sz w:val="28"/>
          <w:szCs w:val="28"/>
        </w:rPr>
      </w:pPr>
      <w:bookmarkStart w:id="11" w:name="_Toc7490"/>
      <w:bookmarkStart w:id="12" w:name="_Toc19966"/>
      <w:r>
        <w:rPr>
          <w:rFonts w:hint="eastAsia" w:ascii="黑体" w:hAnsi="黑体" w:eastAsia="黑体" w:cs="黑体"/>
          <w:sz w:val="28"/>
          <w:szCs w:val="28"/>
          <w:lang w:val="en-US" w:eastAsia="zh-CN"/>
        </w:rPr>
        <w:t>四</w:t>
      </w:r>
      <w:r>
        <w:rPr>
          <w:rFonts w:hint="eastAsia" w:ascii="黑体" w:hAnsi="黑体" w:eastAsia="黑体" w:cs="黑体"/>
          <w:sz w:val="28"/>
          <w:szCs w:val="28"/>
        </w:rPr>
        <w:t>、</w:t>
      </w:r>
      <w:r>
        <w:rPr>
          <w:rFonts w:hint="eastAsia" w:ascii="黑体" w:hAnsi="黑体" w:eastAsia="黑体" w:cs="黑体"/>
          <w:sz w:val="28"/>
          <w:szCs w:val="28"/>
          <w:lang w:val="en-US" w:eastAsia="zh-CN"/>
        </w:rPr>
        <w:t>安全现状</w:t>
      </w:r>
      <w:r>
        <w:rPr>
          <w:rFonts w:hint="eastAsia" w:ascii="黑体" w:hAnsi="黑体" w:eastAsia="黑体" w:cs="黑体"/>
          <w:sz w:val="28"/>
          <w:szCs w:val="28"/>
        </w:rPr>
        <w:t>评估结论与建议</w:t>
      </w:r>
      <w:bookmarkEnd w:id="11"/>
      <w:bookmarkEnd w:id="12"/>
    </w:p>
    <w:p w14:paraId="6CEF6BC8">
      <w:pPr>
        <w:pStyle w:val="3"/>
        <w:spacing w:before="120" w:after="120" w:line="360" w:lineRule="auto"/>
        <w:rPr>
          <w:sz w:val="28"/>
          <w:szCs w:val="21"/>
        </w:rPr>
      </w:pPr>
      <w:bookmarkStart w:id="13" w:name="_Toc4980"/>
      <w:bookmarkStart w:id="14" w:name="_Toc30814"/>
      <w:r>
        <w:rPr>
          <w:rFonts w:hint="eastAsia"/>
          <w:sz w:val="28"/>
          <w:szCs w:val="21"/>
        </w:rPr>
        <w:t>（一）评估结论</w:t>
      </w:r>
      <w:bookmarkEnd w:id="13"/>
      <w:bookmarkEnd w:id="14"/>
    </w:p>
    <w:p w14:paraId="2D726DCB">
      <w:pPr>
        <w:pStyle w:val="25"/>
        <w:spacing w:line="360" w:lineRule="auto"/>
        <w:ind w:firstLine="560"/>
        <w:rPr>
          <w:rFonts w:ascii="宋体" w:hAnsi="宋体" w:eastAsia="宋体"/>
          <w:sz w:val="24"/>
          <w:szCs w:val="24"/>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按照安全生产法律法规和《事故调查报告》中的事故间接原因、整改防范措施，对上述材料进行评估，最终认为</w:t>
      </w:r>
      <w:r>
        <w:rPr>
          <w:rFonts w:hint="eastAsia" w:ascii="宋体" w:hAnsi="宋体" w:eastAsia="宋体"/>
          <w:sz w:val="28"/>
          <w:szCs w:val="28"/>
          <w:lang w:eastAsia="zh-CN"/>
        </w:rPr>
        <w:t>英赛迩设计</w:t>
      </w:r>
      <w:r>
        <w:rPr>
          <w:rFonts w:hint="eastAsia" w:ascii="宋体" w:hAnsi="宋体" w:eastAsia="宋体"/>
          <w:sz w:val="28"/>
          <w:szCs w:val="28"/>
        </w:rPr>
        <w:t>公司现行制度</w:t>
      </w:r>
      <w:r>
        <w:rPr>
          <w:rFonts w:hint="eastAsia" w:ascii="宋体" w:hAnsi="宋体" w:eastAsia="宋体"/>
          <w:sz w:val="28"/>
          <w:szCs w:val="28"/>
          <w:lang w:val="en-US" w:eastAsia="zh-CN"/>
        </w:rPr>
        <w:t>需按照</w:t>
      </w:r>
      <w:r>
        <w:rPr>
          <w:rFonts w:hint="eastAsia" w:ascii="宋体" w:hAnsi="宋体" w:eastAsia="宋体"/>
          <w:sz w:val="28"/>
          <w:szCs w:val="28"/>
        </w:rPr>
        <w:t>《中华人民共和国安全生产法》相关规定</w:t>
      </w:r>
      <w:r>
        <w:rPr>
          <w:rFonts w:hint="eastAsia" w:ascii="宋体" w:hAnsi="宋体" w:eastAsia="宋体"/>
          <w:sz w:val="28"/>
          <w:szCs w:val="28"/>
          <w:lang w:val="en-US" w:eastAsia="zh-CN"/>
        </w:rPr>
        <w:t>进行落实完善</w:t>
      </w:r>
      <w:r>
        <w:rPr>
          <w:rFonts w:hint="eastAsia" w:ascii="宋体" w:hAnsi="宋体" w:eastAsia="宋体"/>
          <w:sz w:val="28"/>
          <w:szCs w:val="28"/>
        </w:rPr>
        <w:t>。</w:t>
      </w:r>
    </w:p>
    <w:p w14:paraId="67E81540">
      <w:pPr>
        <w:pStyle w:val="3"/>
        <w:spacing w:before="120" w:after="120" w:line="360" w:lineRule="auto"/>
        <w:rPr>
          <w:sz w:val="28"/>
          <w:szCs w:val="21"/>
        </w:rPr>
      </w:pPr>
      <w:bookmarkStart w:id="15" w:name="_Toc20081"/>
      <w:bookmarkStart w:id="16" w:name="_Toc2214"/>
      <w:r>
        <w:rPr>
          <w:rFonts w:hint="eastAsia"/>
          <w:sz w:val="28"/>
          <w:szCs w:val="21"/>
        </w:rPr>
        <w:t>（二）工作提升建议</w:t>
      </w:r>
      <w:bookmarkEnd w:id="15"/>
      <w:bookmarkEnd w:id="16"/>
    </w:p>
    <w:p w14:paraId="3B68DD1A">
      <w:pPr>
        <w:pStyle w:val="25"/>
        <w:spacing w:line="360" w:lineRule="auto"/>
        <w:ind w:firstLine="560"/>
        <w:rPr>
          <w:rFonts w:hint="default" w:ascii="宋体" w:hAnsi="宋体" w:eastAsia="宋体"/>
          <w:sz w:val="28"/>
          <w:szCs w:val="28"/>
          <w:lang w:val="en-US" w:eastAsia="zh-CN"/>
        </w:rPr>
      </w:pPr>
      <w:r>
        <w:rPr>
          <w:rFonts w:ascii="宋体" w:hAnsi="宋体" w:eastAsia="宋体"/>
          <w:sz w:val="28"/>
          <w:szCs w:val="28"/>
          <w:lang w:val="zh-CN"/>
        </w:rPr>
        <w:t>根据本次评估过程及结论，</w:t>
      </w:r>
      <w:r>
        <w:rPr>
          <w:rFonts w:hint="eastAsia" w:ascii="宋体" w:hAnsi="宋体" w:eastAsia="宋体"/>
          <w:sz w:val="28"/>
          <w:szCs w:val="28"/>
          <w:lang w:val="en-US" w:eastAsia="zh-CN"/>
        </w:rPr>
        <w:t>两家事故单位应针对安全现状评估中发现的问题积极改进落实，无论后续是否继续开展施工作业活动，均应按照相关法律法规要求，履行安全生产主体责任，加强安全生产管理，提高安全生产水平，并对未履行安全生产主体责任导致的后果负责。</w:t>
      </w:r>
    </w:p>
    <w:p w14:paraId="391523EC">
      <w:pPr>
        <w:pStyle w:val="25"/>
        <w:spacing w:line="360" w:lineRule="auto"/>
        <w:ind w:firstLine="560"/>
        <w:rPr>
          <w:rFonts w:ascii="宋体" w:hAnsi="宋体" w:eastAsia="宋体"/>
          <w:sz w:val="28"/>
          <w:szCs w:val="28"/>
          <w:lang w:val="zh-CN"/>
        </w:rPr>
      </w:pPr>
      <w:r>
        <w:rPr>
          <w:rFonts w:hint="eastAsia" w:ascii="宋体" w:hAnsi="宋体" w:eastAsia="宋体"/>
          <w:sz w:val="28"/>
          <w:szCs w:val="28"/>
          <w:lang w:val="en-US" w:eastAsia="zh-CN"/>
        </w:rPr>
        <w:t>此外，评估组还对限额以下小型工程安全管理的重点问题，</w:t>
      </w:r>
      <w:r>
        <w:rPr>
          <w:rFonts w:ascii="宋体" w:hAnsi="宋体" w:eastAsia="宋体"/>
          <w:sz w:val="28"/>
          <w:szCs w:val="28"/>
          <w:lang w:val="zh-CN"/>
        </w:rPr>
        <w:t>提出以下</w:t>
      </w:r>
      <w:r>
        <w:rPr>
          <w:rFonts w:hint="eastAsia" w:ascii="宋体" w:hAnsi="宋体" w:eastAsia="宋体"/>
          <w:sz w:val="28"/>
          <w:szCs w:val="28"/>
        </w:rPr>
        <w:t>安全工作</w:t>
      </w:r>
      <w:r>
        <w:rPr>
          <w:rFonts w:ascii="宋体" w:hAnsi="宋体" w:eastAsia="宋体"/>
          <w:sz w:val="28"/>
          <w:szCs w:val="28"/>
          <w:lang w:val="zh-CN"/>
        </w:rPr>
        <w:t>建议措施</w:t>
      </w:r>
      <w:r>
        <w:rPr>
          <w:rFonts w:hint="eastAsia" w:ascii="宋体" w:hAnsi="宋体" w:eastAsia="宋体"/>
          <w:sz w:val="28"/>
          <w:szCs w:val="28"/>
          <w:lang w:val="zh-CN"/>
        </w:rPr>
        <w:t>（</w:t>
      </w:r>
      <w:r>
        <w:rPr>
          <w:rFonts w:hint="eastAsia" w:ascii="宋体" w:hAnsi="宋体" w:eastAsia="宋体"/>
          <w:sz w:val="28"/>
          <w:szCs w:val="28"/>
        </w:rPr>
        <w:t>不局限于本次事故</w:t>
      </w:r>
      <w:r>
        <w:rPr>
          <w:rFonts w:hint="eastAsia" w:ascii="宋体" w:hAnsi="宋体" w:eastAsia="宋体"/>
          <w:sz w:val="28"/>
          <w:szCs w:val="28"/>
          <w:lang w:val="zh-CN"/>
        </w:rPr>
        <w:t>）</w:t>
      </w:r>
      <w:r>
        <w:rPr>
          <w:rFonts w:ascii="宋体" w:hAnsi="宋体" w:eastAsia="宋体"/>
          <w:sz w:val="28"/>
          <w:szCs w:val="28"/>
          <w:lang w:val="zh-CN"/>
        </w:rPr>
        <w:t>：</w:t>
      </w:r>
    </w:p>
    <w:p w14:paraId="5D27289B">
      <w:pPr>
        <w:pStyle w:val="25"/>
        <w:spacing w:line="360" w:lineRule="auto"/>
        <w:ind w:firstLine="560"/>
        <w:rPr>
          <w:rFonts w:hint="eastAsia" w:ascii="宋体" w:hAnsi="宋体" w:eastAsia="宋体"/>
          <w:sz w:val="28"/>
          <w:szCs w:val="28"/>
          <w:lang w:val="zh-CN"/>
        </w:rPr>
      </w:pPr>
      <w:r>
        <w:rPr>
          <w:rFonts w:hint="eastAsia" w:ascii="仿宋_GB2312" w:eastAsia="仿宋_GB2312"/>
          <w:sz w:val="32"/>
          <w:szCs w:val="32"/>
        </w:rPr>
        <w:t>【</w:t>
      </w:r>
      <w:r>
        <w:rPr>
          <w:rFonts w:hint="eastAsia" w:ascii="宋体" w:hAnsi="宋体" w:eastAsia="宋体"/>
          <w:sz w:val="28"/>
          <w:szCs w:val="28"/>
          <w:lang w:val="en-US" w:eastAsia="zh-CN"/>
        </w:rPr>
        <w:t>施工单位</w:t>
      </w:r>
      <w:r>
        <w:rPr>
          <w:rFonts w:hint="eastAsia" w:ascii="仿宋_GB2312" w:eastAsia="仿宋_GB2312"/>
          <w:sz w:val="32"/>
          <w:szCs w:val="32"/>
        </w:rPr>
        <w:t>】</w:t>
      </w:r>
    </w:p>
    <w:p w14:paraId="31586F2E">
      <w:pPr>
        <w:pStyle w:val="25"/>
        <w:spacing w:line="360" w:lineRule="auto"/>
        <w:ind w:firstLine="560"/>
        <w:rPr>
          <w:rFonts w:hint="eastAsia" w:ascii="宋体" w:hAnsi="宋体" w:eastAsia="宋体"/>
          <w:sz w:val="28"/>
          <w:szCs w:val="28"/>
          <w:lang w:val="zh-CN"/>
        </w:rPr>
      </w:pPr>
      <w:r>
        <w:rPr>
          <w:rFonts w:hint="eastAsia" w:ascii="宋体" w:hAnsi="宋体" w:eastAsia="宋体"/>
          <w:sz w:val="28"/>
          <w:szCs w:val="28"/>
          <w:lang w:val="zh-CN"/>
        </w:rPr>
        <w:t>市住房城乡建设委、市应急管理局等17部门研究制定了《限额以下小型工程施工安全管理办法（试行）（2023年修订）》，管理办法中明确了各企业首先要落实安全生产主体责任，各单位要委托具备相应资质或条件的生产经营单位进行施工，合同中明确各方安全生产及消防安全管理责任；其次，组织对本单位相关人员及施工人员开展进场前安全培训，施工单位项目负责人必须签署《施工安全管理承诺书》《安全责任清单》，在现场应配备不少于1名安全生产管理人员，安全生产管理人员负责对施工现场的施工作业、使用材料、进场人员等进行管理；最后在施工过程中加大巡查力度，及时消除不符合安全生产条件或者存在安全隐患的行为，及时支付安全防护相关费用，并督促落实施工安全防护措施。</w:t>
      </w:r>
    </w:p>
    <w:p w14:paraId="203BAE67">
      <w:pPr>
        <w:pStyle w:val="25"/>
        <w:spacing w:line="360" w:lineRule="auto"/>
        <w:ind w:firstLine="560"/>
        <w:rPr>
          <w:rFonts w:hint="eastAsia" w:ascii="宋体" w:hAnsi="宋体" w:eastAsia="宋体"/>
          <w:sz w:val="28"/>
          <w:szCs w:val="28"/>
          <w:lang w:val="zh-CN"/>
        </w:rPr>
      </w:pPr>
      <w:r>
        <w:rPr>
          <w:rFonts w:hint="eastAsia" w:ascii="宋体" w:hAnsi="宋体" w:eastAsia="宋体"/>
          <w:sz w:val="28"/>
          <w:szCs w:val="28"/>
          <w:lang w:val="zh-CN"/>
        </w:rPr>
        <w:t>在整体施工阶段中，均有做好相应的安全记录与施工其他记录一起，形成档案，由专人管理、妥善保存，可以真实记录项目施工过程中所有的信息资料，还原全程，同时也是有效的工作落实凭证。</w:t>
      </w:r>
    </w:p>
    <w:p w14:paraId="49C69B70">
      <w:pPr>
        <w:pStyle w:val="25"/>
        <w:spacing w:line="360" w:lineRule="auto"/>
        <w:ind w:firstLine="560"/>
        <w:rPr>
          <w:rFonts w:hint="eastAsia" w:ascii="仿宋_GB2312" w:eastAsia="仿宋_GB2312"/>
          <w:sz w:val="32"/>
          <w:szCs w:val="32"/>
        </w:rPr>
      </w:pPr>
      <w:r>
        <w:rPr>
          <w:rFonts w:hint="eastAsia" w:ascii="仿宋_GB2312" w:eastAsia="仿宋_GB2312"/>
          <w:sz w:val="32"/>
          <w:szCs w:val="32"/>
        </w:rPr>
        <w:t>【</w:t>
      </w:r>
      <w:r>
        <w:rPr>
          <w:rFonts w:hint="eastAsia" w:ascii="宋体" w:hAnsi="宋体" w:eastAsia="宋体"/>
          <w:sz w:val="28"/>
          <w:szCs w:val="28"/>
          <w:lang w:val="en-US" w:eastAsia="zh-CN"/>
        </w:rPr>
        <w:t>属地街镇</w:t>
      </w:r>
      <w:r>
        <w:rPr>
          <w:rFonts w:hint="eastAsia" w:ascii="仿宋_GB2312" w:eastAsia="仿宋_GB2312"/>
          <w:sz w:val="32"/>
          <w:szCs w:val="32"/>
        </w:rPr>
        <w:t>】</w:t>
      </w:r>
    </w:p>
    <w:p w14:paraId="04F39360">
      <w:pPr>
        <w:pStyle w:val="25"/>
        <w:spacing w:line="360" w:lineRule="auto"/>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属地街镇做好高风险限额以下小型工程的安全生产信息登记确认，建立监管台账，全面掌握辖区内高风险限额以下小型工程基本情况，加大日常巡查，按照“街乡吹哨，部门报到”机制，及时组织相关部门开展联合执法。发现违法建设行为，依法查处或移交规自、住建、城市管理等部门。</w:t>
      </w:r>
    </w:p>
    <w:sectPr>
      <w:footerReference r:id="rId5" w:type="default"/>
      <w:pgSz w:w="11906" w:h="16838"/>
      <w:pgMar w:top="1418" w:right="1588"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3520C">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14:paraId="31921252">
        <w:pPr>
          <w:pStyle w:val="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C3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5FB2D"/>
    <w:multiLevelType w:val="singleLevel"/>
    <w:tmpl w:val="D3E5FB2D"/>
    <w:lvl w:ilvl="0" w:tentative="0">
      <w:start w:val="1"/>
      <w:numFmt w:val="decimal"/>
      <w:suff w:val="nothing"/>
      <w:lvlText w:val="%1、"/>
      <w:lvlJc w:val="left"/>
    </w:lvl>
  </w:abstractNum>
  <w:abstractNum w:abstractNumId="1">
    <w:nsid w:val="F495AA7D"/>
    <w:multiLevelType w:val="singleLevel"/>
    <w:tmpl w:val="F495AA7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172A27"/>
    <w:rsid w:val="00033FC3"/>
    <w:rsid w:val="00035633"/>
    <w:rsid w:val="0004493C"/>
    <w:rsid w:val="000661DA"/>
    <w:rsid w:val="0007127B"/>
    <w:rsid w:val="000D68EE"/>
    <w:rsid w:val="000F5A8B"/>
    <w:rsid w:val="00100F64"/>
    <w:rsid w:val="0010441E"/>
    <w:rsid w:val="00124065"/>
    <w:rsid w:val="00172A27"/>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64A8"/>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3F50402"/>
    <w:rsid w:val="042B35C9"/>
    <w:rsid w:val="071F6E1C"/>
    <w:rsid w:val="08A01F6E"/>
    <w:rsid w:val="097C7C49"/>
    <w:rsid w:val="0B8E5EBB"/>
    <w:rsid w:val="0E71037E"/>
    <w:rsid w:val="100C51FC"/>
    <w:rsid w:val="180D715A"/>
    <w:rsid w:val="194859F8"/>
    <w:rsid w:val="19CA4A8E"/>
    <w:rsid w:val="1B467B77"/>
    <w:rsid w:val="1D13560D"/>
    <w:rsid w:val="1EAD3489"/>
    <w:rsid w:val="218A4E78"/>
    <w:rsid w:val="243F2B28"/>
    <w:rsid w:val="24AA0AA2"/>
    <w:rsid w:val="267F7489"/>
    <w:rsid w:val="2758784D"/>
    <w:rsid w:val="27697D30"/>
    <w:rsid w:val="2878627F"/>
    <w:rsid w:val="28C03753"/>
    <w:rsid w:val="29BD5C6D"/>
    <w:rsid w:val="2AAF7569"/>
    <w:rsid w:val="2BF125E1"/>
    <w:rsid w:val="32F86C10"/>
    <w:rsid w:val="341A1D21"/>
    <w:rsid w:val="35BE3446"/>
    <w:rsid w:val="36B158FD"/>
    <w:rsid w:val="3729169F"/>
    <w:rsid w:val="3A330AC8"/>
    <w:rsid w:val="3C146687"/>
    <w:rsid w:val="3D1B79C1"/>
    <w:rsid w:val="3DB94D57"/>
    <w:rsid w:val="3DE003F4"/>
    <w:rsid w:val="3DFA0B12"/>
    <w:rsid w:val="4465587E"/>
    <w:rsid w:val="46B45C34"/>
    <w:rsid w:val="49820821"/>
    <w:rsid w:val="49FE7B06"/>
    <w:rsid w:val="4ECA1194"/>
    <w:rsid w:val="52903990"/>
    <w:rsid w:val="53F31DDA"/>
    <w:rsid w:val="555B55F4"/>
    <w:rsid w:val="556E38DA"/>
    <w:rsid w:val="557850E0"/>
    <w:rsid w:val="55882F61"/>
    <w:rsid w:val="55AC1F4E"/>
    <w:rsid w:val="56420F92"/>
    <w:rsid w:val="57890AF4"/>
    <w:rsid w:val="59324BF8"/>
    <w:rsid w:val="5976568E"/>
    <w:rsid w:val="5B4052B6"/>
    <w:rsid w:val="5E4946D1"/>
    <w:rsid w:val="5F5F2947"/>
    <w:rsid w:val="6A732C5E"/>
    <w:rsid w:val="6B8C1AB4"/>
    <w:rsid w:val="6C0E2107"/>
    <w:rsid w:val="6C3D126A"/>
    <w:rsid w:val="6DB1063B"/>
    <w:rsid w:val="6F52337F"/>
    <w:rsid w:val="6F68734C"/>
    <w:rsid w:val="729B63C0"/>
    <w:rsid w:val="751F3C9D"/>
    <w:rsid w:val="753260FA"/>
    <w:rsid w:val="78272E45"/>
    <w:rsid w:val="79E729F7"/>
    <w:rsid w:val="7C072619"/>
    <w:rsid w:val="7C6A0859"/>
    <w:rsid w:val="7E4A0E42"/>
    <w:rsid w:val="7ED4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81"/>
    <w:unhideWhenUsed/>
    <w:qFormat/>
    <w:uiPriority w:val="99"/>
    <w:pPr>
      <w:jc w:val="left"/>
    </w:pPr>
  </w:style>
  <w:style w:type="paragraph" w:styleId="5">
    <w:name w:val="Body Text"/>
    <w:basedOn w:val="1"/>
    <w:next w:val="1"/>
    <w:unhideWhenUsed/>
    <w:qFormat/>
    <w:uiPriority w:val="99"/>
    <w:pPr>
      <w:spacing w:after="120"/>
    </w:pPr>
  </w:style>
  <w:style w:type="paragraph" w:styleId="6">
    <w:name w:val="Body Text Indent"/>
    <w:basedOn w:val="1"/>
    <w:next w:val="1"/>
    <w:qFormat/>
    <w:uiPriority w:val="0"/>
    <w:pPr>
      <w:spacing w:after="120"/>
      <w:ind w:left="420" w:leftChars="200"/>
    </w:pPr>
  </w:style>
  <w:style w:type="paragraph" w:styleId="7">
    <w:name w:val="toc 3"/>
    <w:basedOn w:val="1"/>
    <w:next w:val="1"/>
    <w:unhideWhenUsed/>
    <w:qFormat/>
    <w:uiPriority w:val="39"/>
    <w:pPr>
      <w:widowControl/>
      <w:spacing w:after="100" w:line="259" w:lineRule="auto"/>
      <w:ind w:left="440"/>
      <w:jc w:val="left"/>
    </w:pPr>
    <w:rPr>
      <w:rFonts w:cs="Times New Roman"/>
      <w:kern w:val="0"/>
      <w:sz w:val="22"/>
    </w:rPr>
  </w:style>
  <w:style w:type="paragraph" w:styleId="8">
    <w:name w:val="Balloon Text"/>
    <w:basedOn w:val="1"/>
    <w:link w:val="30"/>
    <w:unhideWhenUsed/>
    <w:qFormat/>
    <w:uiPriority w:val="0"/>
    <w:rPr>
      <w:sz w:val="18"/>
      <w:szCs w:val="18"/>
    </w:rPr>
  </w:style>
  <w:style w:type="paragraph" w:styleId="9">
    <w:name w:val="footer"/>
    <w:basedOn w:val="1"/>
    <w:link w:val="27"/>
    <w:unhideWhenUsed/>
    <w:qFormat/>
    <w:uiPriority w:val="0"/>
    <w:pPr>
      <w:tabs>
        <w:tab w:val="center" w:pos="4153"/>
        <w:tab w:val="right" w:pos="8306"/>
      </w:tabs>
      <w:snapToGrid w:val="0"/>
      <w:jc w:val="left"/>
    </w:pPr>
    <w:rPr>
      <w:sz w:val="18"/>
      <w:szCs w:val="18"/>
    </w:rPr>
  </w:style>
  <w:style w:type="paragraph" w:styleId="10">
    <w:name w:val="header"/>
    <w:basedOn w:val="1"/>
    <w:link w:val="26"/>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cs="Times New Roman"/>
      <w:kern w:val="0"/>
      <w:sz w:val="22"/>
    </w:rPr>
  </w:style>
  <w:style w:type="paragraph" w:styleId="12">
    <w:name w:val="toc 2"/>
    <w:basedOn w:val="1"/>
    <w:next w:val="1"/>
    <w:unhideWhenUsed/>
    <w:qFormat/>
    <w:uiPriority w:val="39"/>
    <w:pPr>
      <w:widowControl/>
      <w:spacing w:after="100" w:line="259" w:lineRule="auto"/>
      <w:ind w:left="220"/>
      <w:jc w:val="left"/>
    </w:pPr>
    <w:rPr>
      <w:rFonts w:cs="Times New Roman"/>
      <w:kern w:val="0"/>
      <w:sz w:val="22"/>
    </w:rPr>
  </w:style>
  <w:style w:type="paragraph" w:styleId="13">
    <w:name w:val="HTML Preformatted"/>
    <w:basedOn w:val="1"/>
    <w:link w:val="28"/>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annotation subject"/>
    <w:basedOn w:val="4"/>
    <w:next w:val="4"/>
    <w:link w:val="82"/>
    <w:qFormat/>
    <w:uiPriority w:val="0"/>
    <w:rPr>
      <w:b/>
      <w:bCs/>
    </w:rPr>
  </w:style>
  <w:style w:type="paragraph" w:styleId="16">
    <w:name w:val="Body Text First Indent 2"/>
    <w:basedOn w:val="6"/>
    <w:next w:val="1"/>
    <w:qFormat/>
    <w:uiPriority w:val="0"/>
    <w:pPr>
      <w:ind w:firstLine="210"/>
    </w:pPr>
    <w:rPr>
      <w:szCs w:val="20"/>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FollowedHyperlink"/>
    <w:basedOn w:val="19"/>
    <w:semiHidden/>
    <w:unhideWhenUsed/>
    <w:qFormat/>
    <w:uiPriority w:val="99"/>
    <w:rPr>
      <w:color w:val="800080"/>
      <w:u w:val="single"/>
    </w:rPr>
  </w:style>
  <w:style w:type="character" w:styleId="22">
    <w:name w:val="Hyperlink"/>
    <w:basedOn w:val="19"/>
    <w:unhideWhenUsed/>
    <w:qFormat/>
    <w:uiPriority w:val="99"/>
    <w:rPr>
      <w:color w:val="0563C1" w:themeColor="hyperlink"/>
      <w:u w:val="single"/>
      <w14:textFill>
        <w14:solidFill>
          <w14:schemeClr w14:val="hlink"/>
        </w14:solidFill>
      </w14:textFill>
    </w:rPr>
  </w:style>
  <w:style w:type="character" w:styleId="23">
    <w:name w:val="annotation reference"/>
    <w:basedOn w:val="19"/>
    <w:qFormat/>
    <w:uiPriority w:val="0"/>
    <w:rPr>
      <w:sz w:val="21"/>
      <w:szCs w:val="21"/>
    </w:rPr>
  </w:style>
  <w:style w:type="character" w:customStyle="1" w:styleId="24">
    <w:name w:val="标题 1 字符"/>
    <w:basedOn w:val="19"/>
    <w:link w:val="2"/>
    <w:qFormat/>
    <w:uiPriority w:val="9"/>
    <w:rPr>
      <w:b/>
      <w:bCs/>
      <w:kern w:val="44"/>
      <w:sz w:val="44"/>
      <w:szCs w:val="44"/>
    </w:rPr>
  </w:style>
  <w:style w:type="paragraph" w:styleId="25">
    <w:name w:val="List Paragraph"/>
    <w:basedOn w:val="1"/>
    <w:qFormat/>
    <w:uiPriority w:val="34"/>
    <w:pPr>
      <w:ind w:firstLine="420" w:firstLineChars="200"/>
    </w:pPr>
  </w:style>
  <w:style w:type="character" w:customStyle="1" w:styleId="26">
    <w:name w:val="页眉 字符"/>
    <w:basedOn w:val="19"/>
    <w:link w:val="10"/>
    <w:qFormat/>
    <w:uiPriority w:val="0"/>
    <w:rPr>
      <w:sz w:val="18"/>
      <w:szCs w:val="18"/>
    </w:rPr>
  </w:style>
  <w:style w:type="character" w:customStyle="1" w:styleId="27">
    <w:name w:val="页脚 字符"/>
    <w:basedOn w:val="19"/>
    <w:link w:val="9"/>
    <w:qFormat/>
    <w:uiPriority w:val="0"/>
    <w:rPr>
      <w:sz w:val="18"/>
      <w:szCs w:val="18"/>
    </w:rPr>
  </w:style>
  <w:style w:type="character" w:customStyle="1" w:styleId="28">
    <w:name w:val="HTML 预设格式 字符"/>
    <w:basedOn w:val="19"/>
    <w:link w:val="13"/>
    <w:semiHidden/>
    <w:qFormat/>
    <w:uiPriority w:val="99"/>
    <w:rPr>
      <w:rFonts w:ascii="宋体" w:hAnsi="宋体" w:eastAsia="宋体" w:cs="宋体"/>
      <w:kern w:val="0"/>
      <w:sz w:val="24"/>
      <w:szCs w:val="24"/>
    </w:rPr>
  </w:style>
  <w:style w:type="paragraph" w:customStyle="1" w:styleId="2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0">
    <w:name w:val="批注框文本 字符"/>
    <w:basedOn w:val="19"/>
    <w:link w:val="8"/>
    <w:qFormat/>
    <w:uiPriority w:val="0"/>
    <w:rPr>
      <w:sz w:val="18"/>
      <w:szCs w:val="18"/>
    </w:rPr>
  </w:style>
  <w:style w:type="paragraph" w:customStyle="1" w:styleId="31">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2">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3">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4">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5">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6">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7">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8">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0">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2">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3">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4">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6">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7">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8">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1">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2">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3">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7">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8">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0">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2">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3">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4">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5">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6">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0">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1">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2">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5">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6">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7">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8">
    <w:name w:val="cf01"/>
    <w:basedOn w:val="19"/>
    <w:qFormat/>
    <w:uiPriority w:val="0"/>
    <w:rPr>
      <w:rFonts w:hint="eastAsia" w:ascii="Microsoft YaHei UI" w:hAnsi="Microsoft YaHei UI" w:eastAsia="Microsoft YaHei UI"/>
      <w:sz w:val="18"/>
      <w:szCs w:val="18"/>
    </w:rPr>
  </w:style>
  <w:style w:type="paragraph" w:customStyle="1" w:styleId="79">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0">
    <w:name w:val="批注文字 字符"/>
    <w:basedOn w:val="19"/>
    <w:qFormat/>
    <w:uiPriority w:val="99"/>
    <w:rPr>
      <w:rFonts w:asciiTheme="minorHAnsi" w:hAnsiTheme="minorHAnsi" w:eastAsiaTheme="minorEastAsia" w:cstheme="minorBidi"/>
      <w:kern w:val="2"/>
      <w:sz w:val="21"/>
      <w:szCs w:val="22"/>
    </w:rPr>
  </w:style>
  <w:style w:type="character" w:customStyle="1" w:styleId="81">
    <w:name w:val="批注文字 字符1"/>
    <w:basedOn w:val="19"/>
    <w:link w:val="4"/>
    <w:qFormat/>
    <w:uiPriority w:val="99"/>
    <w:rPr>
      <w:rFonts w:asciiTheme="minorHAnsi" w:hAnsiTheme="minorHAnsi" w:eastAsiaTheme="minorEastAsia" w:cstheme="minorBidi"/>
      <w:kern w:val="2"/>
      <w:sz w:val="21"/>
      <w:szCs w:val="22"/>
    </w:rPr>
  </w:style>
  <w:style w:type="character" w:customStyle="1" w:styleId="82">
    <w:name w:val="批注主题 字符"/>
    <w:basedOn w:val="81"/>
    <w:link w:val="15"/>
    <w:qFormat/>
    <w:uiPriority w:val="0"/>
    <w:rPr>
      <w:rFonts w:asciiTheme="minorHAnsi" w:hAnsiTheme="minorHAnsi" w:eastAsiaTheme="minorEastAsia" w:cstheme="minorBidi"/>
      <w:b/>
      <w:bCs/>
      <w:kern w:val="2"/>
      <w:sz w:val="21"/>
      <w:szCs w:val="22"/>
    </w:rPr>
  </w:style>
  <w:style w:type="paragraph" w:customStyle="1" w:styleId="83">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4">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5">
    <w:name w:val="cf11"/>
    <w:basedOn w:val="19"/>
    <w:qFormat/>
    <w:uiPriority w:val="0"/>
    <w:rPr>
      <w:rFonts w:hint="eastAsia" w:ascii="Microsoft YaHei UI" w:hAnsi="Microsoft YaHei UI" w:eastAsia="Microsoft YaHei UI"/>
      <w:sz w:val="18"/>
      <w:szCs w:val="18"/>
    </w:rPr>
  </w:style>
  <w:style w:type="paragraph" w:customStyle="1" w:styleId="86">
    <w:name w:val="WPSOffice手动目录 1"/>
    <w:qFormat/>
    <w:uiPriority w:val="0"/>
    <w:rPr>
      <w:rFonts w:ascii="Times New Roman" w:hAnsi="Times New Roman" w:eastAsia="宋体" w:cs="Times New Roman"/>
      <w:lang w:val="en-US" w:eastAsia="zh-CN" w:bidi="ar-SA"/>
    </w:rPr>
  </w:style>
  <w:style w:type="paragraph" w:customStyle="1" w:styleId="8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8">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062E3-6527-4945-B372-F0664392E16F}">
  <ds:schemaRefs/>
</ds:datastoreItem>
</file>

<file path=docProps/app.xml><?xml version="1.0" encoding="utf-8"?>
<Properties xmlns="http://schemas.openxmlformats.org/officeDocument/2006/extended-properties" xmlns:vt="http://schemas.openxmlformats.org/officeDocument/2006/docPropsVTypes">
  <Template>Normal.dotm</Template>
  <Company>LG</Company>
  <Pages>8</Pages>
  <Words>3049</Words>
  <Characters>3077</Characters>
  <Lines>93</Lines>
  <Paragraphs>26</Paragraphs>
  <TotalTime>0</TotalTime>
  <ScaleCrop>false</ScaleCrop>
  <LinksUpToDate>false</LinksUpToDate>
  <CharactersWithSpaces>3092</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Dr.美ˇ</cp:lastModifiedBy>
  <cp:lastPrinted>2017-12-14T13:52:00Z</cp:lastPrinted>
  <dcterms:modified xsi:type="dcterms:W3CDTF">2024-09-14T02:11:58Z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094131EB9E24440F9D7DF554C91707CA_13</vt:lpwstr>
  </property>
</Properties>
</file>