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30B29">
      <w:pPr>
        <w:pageBreakBefore w:val="0"/>
        <w:kinsoku/>
        <w:wordWrap/>
        <w:overflowPunct w:val="0"/>
        <w:topLinePunct w:val="0"/>
        <w:bidi w:val="0"/>
        <w:snapToGrid/>
        <w:ind w:firstLine="720"/>
        <w:textAlignment w:val="auto"/>
        <w:rPr>
          <w:rFonts w:hint="eastAsia" w:ascii="Times New Roman" w:hAnsi="Times New Roman" w:eastAsia="黑体" w:cs="黑体"/>
          <w:b w:val="0"/>
          <w:bCs w:val="0"/>
          <w:sz w:val="48"/>
          <w:szCs w:val="48"/>
        </w:rPr>
      </w:pPr>
    </w:p>
    <w:p w14:paraId="0ADA9E03">
      <w:pPr>
        <w:pageBreakBefore w:val="0"/>
        <w:kinsoku/>
        <w:wordWrap/>
        <w:overflowPunct w:val="0"/>
        <w:topLinePunct w:val="0"/>
        <w:bidi w:val="0"/>
        <w:snapToGrid/>
        <w:ind w:firstLine="720"/>
        <w:textAlignment w:val="auto"/>
        <w:rPr>
          <w:rFonts w:hint="eastAsia" w:ascii="Times New Roman" w:hAnsi="Times New Roman" w:eastAsia="黑体" w:cs="黑体"/>
          <w:b w:val="0"/>
          <w:bCs w:val="0"/>
          <w:sz w:val="48"/>
          <w:szCs w:val="48"/>
        </w:rPr>
      </w:pPr>
    </w:p>
    <w:p w14:paraId="29D534F5">
      <w:pPr>
        <w:pageBreakBefore w:val="0"/>
        <w:kinsoku/>
        <w:wordWrap/>
        <w:overflowPunct w:val="0"/>
        <w:topLinePunct w:val="0"/>
        <w:bidi w:val="0"/>
        <w:snapToGrid/>
        <w:spacing w:line="720" w:lineRule="auto"/>
        <w:ind w:firstLine="0" w:firstLineChars="0"/>
        <w:jc w:val="center"/>
        <w:textAlignment w:val="auto"/>
        <w:rPr>
          <w:rFonts w:hint="eastAsia" w:ascii="Times New Roman" w:hAnsi="Times New Roman" w:eastAsia="黑体" w:cs="黑体"/>
          <w:b w:val="0"/>
          <w:bCs w:val="0"/>
          <w:sz w:val="48"/>
          <w:szCs w:val="48"/>
          <w:lang w:val="en-US" w:eastAsia="zh-CN"/>
        </w:rPr>
      </w:pPr>
    </w:p>
    <w:p w14:paraId="28ECD721">
      <w:pPr>
        <w:pageBreakBefore w:val="0"/>
        <w:kinsoku/>
        <w:wordWrap/>
        <w:overflowPunct w:val="0"/>
        <w:topLinePunct w:val="0"/>
        <w:bidi w:val="0"/>
        <w:snapToGrid/>
        <w:spacing w:line="720" w:lineRule="auto"/>
        <w:ind w:firstLine="0" w:firstLineChars="0"/>
        <w:jc w:val="center"/>
        <w:textAlignment w:val="auto"/>
        <w:rPr>
          <w:rFonts w:hint="eastAsia" w:ascii="Times New Roman" w:hAnsi="Times New Roman" w:eastAsia="黑体" w:cs="黑体"/>
          <w:b w:val="0"/>
          <w:bCs w:val="0"/>
          <w:sz w:val="48"/>
          <w:szCs w:val="48"/>
          <w:lang w:val="en-US" w:eastAsia="zh-CN"/>
        </w:rPr>
      </w:pPr>
      <w:r>
        <w:rPr>
          <w:rFonts w:hint="eastAsia" w:ascii="Times New Roman" w:hAnsi="Times New Roman" w:eastAsia="黑体" w:cs="黑体"/>
          <w:b w:val="0"/>
          <w:bCs w:val="0"/>
          <w:sz w:val="48"/>
          <w:szCs w:val="48"/>
          <w:lang w:val="en-US" w:eastAsia="zh-CN"/>
        </w:rPr>
        <w:t>中关村商城二期-3项目2#楼西侧艺术雨棚工程“3·23”一般生产安全事故整改和防范措施落实专项评估报告</w:t>
      </w:r>
    </w:p>
    <w:p w14:paraId="1A86332D">
      <w:pPr>
        <w:pageBreakBefore w:val="0"/>
        <w:kinsoku/>
        <w:wordWrap/>
        <w:overflowPunct w:val="0"/>
        <w:topLinePunct w:val="0"/>
        <w:bidi w:val="0"/>
        <w:snapToGrid/>
        <w:spacing w:line="480" w:lineRule="auto"/>
        <w:ind w:firstLine="803"/>
        <w:jc w:val="center"/>
        <w:textAlignment w:val="auto"/>
        <w:rPr>
          <w:rFonts w:hint="eastAsia" w:ascii="Times New Roman" w:hAnsi="Times New Roman" w:eastAsia="黑体" w:cs="黑体"/>
          <w:b w:val="0"/>
          <w:bCs w:val="0"/>
          <w:sz w:val="48"/>
          <w:szCs w:val="48"/>
        </w:rPr>
      </w:pPr>
    </w:p>
    <w:p w14:paraId="3ECBFCF1">
      <w:pPr>
        <w:pageBreakBefore w:val="0"/>
        <w:kinsoku/>
        <w:wordWrap/>
        <w:overflowPunct w:val="0"/>
        <w:topLinePunct w:val="0"/>
        <w:bidi w:val="0"/>
        <w:snapToGrid/>
        <w:spacing w:line="480" w:lineRule="auto"/>
        <w:ind w:firstLine="803"/>
        <w:jc w:val="center"/>
        <w:textAlignment w:val="auto"/>
        <w:rPr>
          <w:rFonts w:hint="eastAsia" w:ascii="Times New Roman" w:hAnsi="Times New Roman" w:eastAsia="黑体" w:cs="黑体"/>
          <w:b w:val="0"/>
          <w:bCs w:val="0"/>
          <w:sz w:val="48"/>
          <w:szCs w:val="48"/>
        </w:rPr>
      </w:pPr>
    </w:p>
    <w:p w14:paraId="19F2E107">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黑体"/>
          <w:b w:val="0"/>
          <w:bCs w:val="0"/>
          <w:sz w:val="48"/>
          <w:szCs w:val="48"/>
          <w:lang w:val="en-US" w:eastAsia="zh-CN"/>
        </w:rPr>
      </w:pPr>
    </w:p>
    <w:p w14:paraId="09F72E2B">
      <w:pPr>
        <w:pStyle w:val="7"/>
        <w:rPr>
          <w:rFonts w:hint="eastAsia" w:ascii="Times New Roman" w:hAnsi="Times New Roman" w:eastAsia="黑体" w:cs="黑体"/>
          <w:b w:val="0"/>
          <w:bCs w:val="0"/>
          <w:sz w:val="48"/>
          <w:szCs w:val="48"/>
        </w:rPr>
      </w:pPr>
    </w:p>
    <w:p w14:paraId="0E6AA9AE">
      <w:pPr>
        <w:rPr>
          <w:rFonts w:hint="eastAsia" w:ascii="Times New Roman" w:hAnsi="Times New Roman" w:eastAsia="黑体" w:cs="黑体"/>
          <w:b w:val="0"/>
          <w:bCs w:val="0"/>
          <w:sz w:val="48"/>
          <w:szCs w:val="48"/>
        </w:rPr>
      </w:pPr>
    </w:p>
    <w:p w14:paraId="1DA33BD4">
      <w:pPr>
        <w:pageBreakBefore w:val="0"/>
        <w:kinsoku/>
        <w:wordWrap/>
        <w:overflowPunct w:val="0"/>
        <w:topLinePunct w:val="0"/>
        <w:bidi w:val="0"/>
        <w:snapToGrid/>
        <w:spacing w:line="480" w:lineRule="auto"/>
        <w:ind w:firstLine="803"/>
        <w:jc w:val="center"/>
        <w:textAlignment w:val="auto"/>
        <w:rPr>
          <w:rFonts w:hint="eastAsia" w:ascii="Times New Roman" w:hAnsi="Times New Roman" w:eastAsia="黑体" w:cs="黑体"/>
          <w:b w:val="0"/>
          <w:bCs w:val="0"/>
          <w:sz w:val="48"/>
          <w:szCs w:val="48"/>
        </w:rPr>
      </w:pPr>
    </w:p>
    <w:p w14:paraId="45F4CDBF">
      <w:pPr>
        <w:pStyle w:val="7"/>
        <w:rPr>
          <w:rFonts w:hint="eastAsia" w:ascii="Times New Roman" w:hAnsi="Times New Roman" w:eastAsia="黑体" w:cs="黑体"/>
          <w:b w:val="0"/>
          <w:bCs w:val="0"/>
          <w:sz w:val="48"/>
          <w:szCs w:val="48"/>
        </w:rPr>
      </w:pPr>
    </w:p>
    <w:p w14:paraId="68D16D80">
      <w:pPr>
        <w:pageBreakBefore w:val="0"/>
        <w:kinsoku/>
        <w:wordWrap/>
        <w:overflowPunct w:val="0"/>
        <w:topLinePunct w:val="0"/>
        <w:bidi w:val="0"/>
        <w:snapToGrid/>
        <w:spacing w:line="480" w:lineRule="auto"/>
        <w:ind w:firstLine="0" w:firstLineChars="0"/>
        <w:jc w:val="center"/>
        <w:textAlignment w:val="auto"/>
        <w:rPr>
          <w:rFonts w:hint="eastAsia" w:ascii="Times New Roman" w:hAnsi="Times New Roman" w:eastAsia="黑体" w:cs="黑体"/>
          <w:b w:val="0"/>
          <w:bCs w:val="0"/>
          <w:sz w:val="48"/>
          <w:szCs w:val="48"/>
        </w:rPr>
      </w:pPr>
    </w:p>
    <w:p w14:paraId="43C2E470">
      <w:pPr>
        <w:pStyle w:val="7"/>
        <w:rPr>
          <w:rFonts w:hint="eastAsia" w:ascii="Times New Roman" w:hAnsi="Times New Roman" w:eastAsia="黑体" w:cs="黑体"/>
          <w:b w:val="0"/>
          <w:bCs w:val="0"/>
          <w:sz w:val="48"/>
          <w:szCs w:val="48"/>
        </w:rPr>
      </w:pPr>
    </w:p>
    <w:p w14:paraId="6F0627D6">
      <w:pPr>
        <w:rPr>
          <w:rFonts w:hint="eastAsia" w:ascii="Times New Roman" w:hAnsi="Times New Roman"/>
        </w:rPr>
      </w:pPr>
    </w:p>
    <w:p w14:paraId="5BD0451F">
      <w:pPr>
        <w:pageBreakBefore w:val="0"/>
        <w:kinsoku/>
        <w:wordWrap/>
        <w:overflowPunct w:val="0"/>
        <w:topLinePunct w:val="0"/>
        <w:bidi w:val="0"/>
        <w:snapToGrid/>
        <w:spacing w:line="480" w:lineRule="auto"/>
        <w:ind w:firstLine="0" w:firstLineChars="0"/>
        <w:jc w:val="center"/>
        <w:textAlignment w:val="auto"/>
        <w:rPr>
          <w:rFonts w:hint="eastAsia" w:ascii="Times New Roman" w:hAnsi="Times New Roman" w:eastAsia="黑体" w:cs="黑体"/>
          <w:b w:val="0"/>
          <w:bCs w:val="0"/>
          <w:sz w:val="48"/>
          <w:szCs w:val="48"/>
        </w:rPr>
      </w:pPr>
      <w:r>
        <w:rPr>
          <w:rFonts w:hint="eastAsia" w:ascii="Times New Roman" w:hAnsi="Times New Roman" w:eastAsia="黑体" w:cs="黑体"/>
          <w:b w:val="0"/>
          <w:bCs w:val="0"/>
          <w:sz w:val="48"/>
          <w:szCs w:val="48"/>
        </w:rPr>
        <w:t>202</w:t>
      </w:r>
      <w:r>
        <w:rPr>
          <w:rFonts w:hint="eastAsia" w:ascii="Times New Roman" w:hAnsi="Times New Roman" w:eastAsia="黑体" w:cs="黑体"/>
          <w:b w:val="0"/>
          <w:bCs w:val="0"/>
          <w:sz w:val="48"/>
          <w:szCs w:val="48"/>
          <w:lang w:val="en-US" w:eastAsia="zh-CN"/>
        </w:rPr>
        <w:t>5</w:t>
      </w:r>
      <w:r>
        <w:rPr>
          <w:rFonts w:hint="eastAsia" w:ascii="Times New Roman" w:hAnsi="Times New Roman" w:eastAsia="黑体" w:cs="黑体"/>
          <w:b w:val="0"/>
          <w:bCs w:val="0"/>
          <w:sz w:val="48"/>
          <w:szCs w:val="48"/>
        </w:rPr>
        <w:t>年</w:t>
      </w:r>
      <w:r>
        <w:rPr>
          <w:rFonts w:hint="eastAsia" w:ascii="Times New Roman" w:hAnsi="Times New Roman" w:eastAsia="黑体" w:cs="黑体"/>
          <w:b w:val="0"/>
          <w:bCs w:val="0"/>
          <w:sz w:val="48"/>
          <w:szCs w:val="48"/>
          <w:lang w:val="en-US" w:eastAsia="zh-CN"/>
        </w:rPr>
        <w:t>9</w:t>
      </w:r>
      <w:bookmarkStart w:id="113" w:name="_GoBack"/>
      <w:bookmarkEnd w:id="113"/>
      <w:r>
        <w:rPr>
          <w:rFonts w:hint="eastAsia" w:ascii="Times New Roman" w:hAnsi="Times New Roman" w:eastAsia="黑体" w:cs="黑体"/>
          <w:b w:val="0"/>
          <w:bCs w:val="0"/>
          <w:sz w:val="48"/>
          <w:szCs w:val="48"/>
        </w:rPr>
        <w:t>月</w:t>
      </w:r>
    </w:p>
    <w:p w14:paraId="1F0C33B4">
      <w:pPr>
        <w:pStyle w:val="20"/>
        <w:rPr>
          <w:rFonts w:hint="eastAsia" w:ascii="Times New Roman" w:hAnsi="Times New Roman" w:eastAsia="黑体" w:cs="黑体"/>
          <w:b w:val="0"/>
          <w:bCs w:val="0"/>
          <w:sz w:val="48"/>
          <w:szCs w:val="48"/>
        </w:rPr>
      </w:pPr>
    </w:p>
    <w:p w14:paraId="6CF8A33F">
      <w:pPr>
        <w:pStyle w:val="20"/>
        <w:ind w:left="0" w:leftChars="0" w:firstLine="0" w:firstLineChars="0"/>
        <w:rPr>
          <w:rFonts w:hint="eastAsia" w:ascii="Times New Roman" w:hAnsi="Times New Roman" w:eastAsia="黑体" w:cs="黑体"/>
          <w:b w:val="0"/>
          <w:bCs w:val="0"/>
          <w:sz w:val="48"/>
          <w:szCs w:val="48"/>
        </w:rPr>
      </w:pPr>
    </w:p>
    <w:p w14:paraId="6FA9141B">
      <w:pPr>
        <w:pStyle w:val="34"/>
        <w:pageBreakBefore w:val="0"/>
        <w:kinsoku/>
        <w:wordWrap/>
        <w:overflowPunct w:val="0"/>
        <w:topLinePunct w:val="0"/>
        <w:autoSpaceDE/>
        <w:autoSpaceDN/>
        <w:bidi w:val="0"/>
        <w:adjustRightInd/>
        <w:snapToGrid/>
        <w:spacing w:before="0" w:line="360" w:lineRule="auto"/>
        <w:ind w:firstLine="560"/>
        <w:jc w:val="center"/>
        <w:textAlignment w:val="auto"/>
        <w:rPr>
          <w:rFonts w:hint="default" w:ascii="Times New Roman" w:hAnsi="Times New Roman" w:eastAsia="宋体" w:cs="Times New Roman"/>
          <w:b/>
          <w:bCs/>
          <w:color w:val="auto"/>
          <w:lang w:val="zh-CN"/>
        </w:rPr>
        <w:sectPr>
          <w:headerReference r:id="rId5" w:type="default"/>
          <w:footerReference r:id="rId6" w:type="default"/>
          <w:pgSz w:w="11906" w:h="16838"/>
          <w:pgMar w:top="1440" w:right="1800" w:bottom="1440" w:left="1800" w:header="851" w:footer="992" w:gutter="0"/>
          <w:pgNumType w:fmt="upperRoman" w:start="1"/>
          <w:cols w:space="720" w:num="1"/>
          <w:docGrid w:type="lines" w:linePitch="312" w:charSpace="0"/>
        </w:sectPr>
      </w:pPr>
    </w:p>
    <w:sdt>
      <w:sdtPr>
        <w:rPr>
          <w:rFonts w:ascii="Times New Roman" w:hAnsi="Times New Roman" w:eastAsia="宋体" w:cs="Times New Roman"/>
          <w:kern w:val="2"/>
          <w:sz w:val="21"/>
          <w:szCs w:val="22"/>
          <w:lang w:val="en-US" w:eastAsia="zh-CN" w:bidi="ar-SA"/>
        </w:rPr>
        <w:id w:val="147452214"/>
        <w15:color w:val="DBDBDB"/>
        <w:docPartObj>
          <w:docPartGallery w:val="Table of Contents"/>
          <w:docPartUnique/>
        </w:docPartObj>
      </w:sdtPr>
      <w:sdtEndPr>
        <w:rPr>
          <w:rFonts w:hint="default" w:ascii="Times New Roman" w:hAnsi="Times New Roman" w:eastAsia="宋体" w:cs="Times New Roman"/>
          <w:kern w:val="2"/>
          <w:sz w:val="28"/>
          <w:szCs w:val="22"/>
          <w:lang w:val="zh-CN" w:eastAsia="zh-CN" w:bidi="ar-SA"/>
        </w:rPr>
      </w:sdtEndPr>
      <w:sdtContent>
        <w:p w14:paraId="46E1A657">
          <w:pPr>
            <w:pStyle w:val="34"/>
            <w:pageBreakBefore w:val="0"/>
            <w:kinsoku/>
            <w:wordWrap/>
            <w:overflowPunct w:val="0"/>
            <w:topLinePunct w:val="0"/>
            <w:autoSpaceDE/>
            <w:autoSpaceDN/>
            <w:bidi w:val="0"/>
            <w:adjustRightInd/>
            <w:snapToGrid/>
            <w:spacing w:before="0" w:line="360" w:lineRule="auto"/>
            <w:ind w:firstLine="0" w:firstLineChars="0"/>
            <w:jc w:val="center"/>
            <w:textAlignment w:val="auto"/>
            <w:rPr>
              <w:rFonts w:ascii="Times New Roman" w:hAnsi="Times New Roman" w:eastAsia="宋体" w:cs="Times New Roman"/>
              <w:kern w:val="2"/>
              <w:sz w:val="21"/>
              <w:szCs w:val="22"/>
              <w:lang w:val="en-US" w:eastAsia="zh-CN" w:bidi="ar-SA"/>
            </w:rPr>
          </w:pPr>
        </w:p>
        <w:p w14:paraId="39BFA1F0">
          <w:pPr>
            <w:pStyle w:val="34"/>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eastAsia="zh-CN"/>
            </w:rPr>
          </w:pPr>
          <w:r>
            <w:rPr>
              <w:rFonts w:hint="default" w:ascii="Times New Roman" w:hAnsi="Times New Roman" w:eastAsia="宋体" w:cs="Times New Roman"/>
              <w:b/>
              <w:bCs/>
              <w:color w:val="auto"/>
              <w:lang w:val="zh-CN" w:eastAsia="zh-CN"/>
            </w:rPr>
            <w:t>目</w:t>
          </w:r>
          <w:r>
            <w:rPr>
              <w:rFonts w:hint="eastAsia" w:ascii="Times New Roman" w:hAnsi="Times New Roman" w:eastAsia="宋体" w:cs="Times New Roman"/>
              <w:b/>
              <w:bCs/>
              <w:color w:val="auto"/>
              <w:lang w:val="en-US" w:eastAsia="zh-CN"/>
            </w:rPr>
            <w:t xml:space="preserve"> </w:t>
          </w:r>
          <w:r>
            <w:rPr>
              <w:rFonts w:hint="default" w:ascii="Times New Roman" w:hAnsi="Times New Roman" w:eastAsia="宋体" w:cs="Times New Roman"/>
              <w:b/>
              <w:bCs/>
              <w:color w:val="auto"/>
              <w:lang w:val="zh-CN" w:eastAsia="zh-CN"/>
            </w:rPr>
            <w:t>录</w:t>
          </w:r>
        </w:p>
        <w:p w14:paraId="1A9A5404">
          <w:pPr>
            <w:pStyle w:val="14"/>
            <w:keepNext w:val="0"/>
            <w:keepLines w:val="0"/>
            <w:pageBreakBefore w:val="0"/>
            <w:widowControl w:val="0"/>
            <w:tabs>
              <w:tab w:val="right" w:leader="dot" w:pos="8300"/>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TOC \o "1-2" \h \u </w:instrText>
          </w:r>
          <w:r>
            <w:rPr>
              <w:rFonts w:hint="default" w:ascii="Times New Roman" w:hAnsi="Times New Roman" w:cs="Times New Roman"/>
              <w:lang w:val="zh-CN"/>
            </w:rPr>
            <w:fldChar w:fldCharType="separate"/>
          </w: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_Toc1036 </w:instrText>
          </w:r>
          <w:r>
            <w:rPr>
              <w:rFonts w:hint="default" w:ascii="Times New Roman" w:hAnsi="Times New Roman" w:cs="Times New Roman"/>
              <w:lang w:val="zh-CN"/>
            </w:rPr>
            <w:fldChar w:fldCharType="separate"/>
          </w:r>
          <w:r>
            <w:rPr>
              <w:rFonts w:hint="default" w:ascii="Times New Roman" w:hAnsi="Times New Roman" w:cs="Times New Roman"/>
              <w:kern w:val="0"/>
              <w:szCs w:val="44"/>
              <w:lang w:val="zh-CN"/>
            </w:rPr>
            <w:t>第1章 编制说明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_Toc1036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39B448F6">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_Toc24027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rPr>
            <w:t>1.1 评估目的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_Toc24027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3E1B1766">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_Toc2136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rPr>
            <w:t>1.2 评估依据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_Toc2136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674FEA78">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_Toc18389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rPr>
            <w:t>1.3 评估对象及范围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_Toc18389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43A13077">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_Toc22646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rPr>
            <w:t>1.4 评估过程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_Toc22646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1E44993E">
          <w:pPr>
            <w:pStyle w:val="14"/>
            <w:keepNext w:val="0"/>
            <w:keepLines w:val="0"/>
            <w:pageBreakBefore w:val="0"/>
            <w:widowControl w:val="0"/>
            <w:tabs>
              <w:tab w:val="right" w:leader="dot" w:pos="8300"/>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_Toc21879 </w:instrText>
          </w:r>
          <w:r>
            <w:rPr>
              <w:rFonts w:hint="default" w:ascii="Times New Roman" w:hAnsi="Times New Roman" w:cs="Times New Roman"/>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_Toc21879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1CD20CC9">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_Toc15670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rPr>
            <w:t>2.1 事故单位情况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_Toc15670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5D4A11BD">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_Toc26463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rPr>
            <w:t>2.2 事故发生经过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_Toc26463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7884D340">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_Toc8638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rPr>
            <w:t>2.3 事故原因分析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_Toc8638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01793873">
          <w:pPr>
            <w:pStyle w:val="14"/>
            <w:keepNext w:val="0"/>
            <w:keepLines w:val="0"/>
            <w:pageBreakBefore w:val="0"/>
            <w:widowControl w:val="0"/>
            <w:tabs>
              <w:tab w:val="right" w:leader="dot" w:pos="8300"/>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_Toc21790 </w:instrText>
          </w:r>
          <w:r>
            <w:rPr>
              <w:rFonts w:hint="default" w:ascii="Times New Roman" w:hAnsi="Times New Roman" w:cs="Times New Roman"/>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default"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_Toc21790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5553F27D">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_Toc7859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lang w:val="en-US" w:eastAsia="zh-CN"/>
            </w:rPr>
            <w:t>3.1 追究刑事责任的人员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_Toc7859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36C0AC66">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_Toc2248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lang w:val="en-US" w:eastAsia="zh-CN"/>
            </w:rPr>
            <w:t>3.2 追究行政责任的单位及人员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_Toc2248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18B9552B">
          <w:pPr>
            <w:pStyle w:val="14"/>
            <w:keepNext w:val="0"/>
            <w:keepLines w:val="0"/>
            <w:pageBreakBefore w:val="0"/>
            <w:widowControl w:val="0"/>
            <w:tabs>
              <w:tab w:val="right" w:leader="dot" w:pos="8300"/>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_Toc24634 </w:instrText>
          </w:r>
          <w:r>
            <w:rPr>
              <w:rFonts w:hint="default" w:ascii="Times New Roman" w:hAnsi="Times New Roman" w:cs="Times New Roman"/>
              <w:lang w:val="zh-CN"/>
            </w:rPr>
            <w:fldChar w:fldCharType="separate"/>
          </w:r>
          <w:r>
            <w:rPr>
              <w:rFonts w:hint="default" w:ascii="Times New Roman" w:hAnsi="Times New Roman" w:cs="Times New Roman"/>
              <w:kern w:val="0"/>
              <w:szCs w:val="44"/>
              <w:highlight w:val="none"/>
              <w:lang w:val="zh-CN"/>
            </w:rPr>
            <w:t>第</w:t>
          </w:r>
          <w:r>
            <w:rPr>
              <w:rFonts w:hint="default" w:ascii="Times New Roman" w:hAnsi="Times New Roman" w:cs="Times New Roman"/>
              <w:kern w:val="0"/>
              <w:szCs w:val="44"/>
              <w:highlight w:val="none"/>
              <w:lang w:val="en-US" w:eastAsia="zh-CN"/>
            </w:rPr>
            <w:t>4</w:t>
          </w:r>
          <w:r>
            <w:rPr>
              <w:rFonts w:hint="default" w:ascii="Times New Roman" w:hAnsi="Times New Roman" w:cs="Times New Roman"/>
              <w:kern w:val="0"/>
              <w:szCs w:val="44"/>
              <w:highlight w:val="none"/>
              <w:lang w:val="zh-CN"/>
            </w:rPr>
            <w:t>章 事故责任单位整改和防范措施落实情况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_Toc24634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10B588A0">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_Toc6719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1</w:t>
          </w:r>
          <w:r>
            <w:rPr>
              <w:rFonts w:hint="default" w:ascii="Times New Roman" w:hAnsi="Times New Roman" w:eastAsia="宋体" w:cs="Times New Roman"/>
              <w:bCs/>
              <w:kern w:val="0"/>
              <w:szCs w:val="28"/>
            </w:rPr>
            <w:t xml:space="preserve"> </w:t>
          </w:r>
          <w:r>
            <w:rPr>
              <w:rFonts w:hint="default" w:ascii="Times New Roman" w:hAnsi="Times New Roman" w:cs="Times New Roman"/>
              <w:bCs/>
              <w:kern w:val="0"/>
              <w:szCs w:val="28"/>
              <w:lang w:val="en-US" w:eastAsia="zh-CN"/>
            </w:rPr>
            <w:t>江苏中南建筑公司落实情况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_Toc6719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6DE1EAD1">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_Toc26319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2 中星联丰建设公司</w:t>
          </w:r>
          <w:r>
            <w:rPr>
              <w:rFonts w:hint="default" w:ascii="Times New Roman" w:hAnsi="Times New Roman" w:eastAsia="宋体" w:cs="Times New Roman"/>
              <w:bCs/>
              <w:kern w:val="0"/>
              <w:szCs w:val="28"/>
            </w:rPr>
            <w:t>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_Toc26319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71870DD0">
          <w:pPr>
            <w:pStyle w:val="16"/>
            <w:keepNext w:val="0"/>
            <w:keepLines w:val="0"/>
            <w:pageBreakBefore w:val="0"/>
            <w:widowControl w:val="0"/>
            <w:tabs>
              <w:tab w:val="right" w:leader="dot" w:pos="8300"/>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_Toc7731 </w:instrText>
          </w:r>
          <w:r>
            <w:rPr>
              <w:rFonts w:hint="default" w:ascii="Times New Roman" w:hAnsi="Times New Roman" w:cs="Times New Roman"/>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3 史各庄街道</w:t>
          </w:r>
          <w:r>
            <w:rPr>
              <w:rFonts w:hint="default" w:ascii="Times New Roman" w:hAnsi="Times New Roman" w:eastAsia="宋体" w:cs="Times New Roman"/>
              <w:bCs/>
              <w:kern w:val="0"/>
              <w:szCs w:val="28"/>
            </w:rPr>
            <w:t>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_Toc7731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496D2BFD">
          <w:pPr>
            <w:pStyle w:val="14"/>
            <w:keepNext w:val="0"/>
            <w:keepLines w:val="0"/>
            <w:pageBreakBefore w:val="0"/>
            <w:widowControl w:val="0"/>
            <w:tabs>
              <w:tab w:val="right" w:leader="dot" w:pos="8300"/>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lang w:val="zh-CN"/>
            </w:rPr>
            <w:fldChar w:fldCharType="begin"/>
          </w:r>
          <w:r>
            <w:rPr>
              <w:rFonts w:hint="default" w:ascii="Times New Roman" w:hAnsi="Times New Roman" w:cs="Times New Roman"/>
              <w:lang w:val="zh-CN"/>
            </w:rPr>
            <w:instrText xml:space="preserve"> HYPERLINK \l _Toc14842 </w:instrText>
          </w:r>
          <w:r>
            <w:rPr>
              <w:rFonts w:hint="default" w:ascii="Times New Roman" w:hAnsi="Times New Roman" w:cs="Times New Roman"/>
              <w:lang w:val="zh-CN"/>
            </w:rPr>
            <w:fldChar w:fldCharType="separate"/>
          </w:r>
          <w:r>
            <w:rPr>
              <w:rFonts w:hint="default" w:ascii="Times New Roman" w:hAnsi="Times New Roman" w:eastAsia="宋体" w:cs="Times New Roman"/>
              <w:kern w:val="0"/>
              <w:szCs w:val="44"/>
              <w:highlight w:val="none"/>
              <w:lang w:val="zh-CN"/>
            </w:rPr>
            <w:t>第</w:t>
          </w:r>
          <w:r>
            <w:rPr>
              <w:rFonts w:hint="default" w:ascii="Times New Roman" w:hAnsi="Times New Roman" w:cs="Times New Roman"/>
              <w:kern w:val="0"/>
              <w:szCs w:val="44"/>
              <w:highlight w:val="none"/>
              <w:lang w:val="en-US" w:eastAsia="zh-CN"/>
            </w:rPr>
            <w:t>5</w:t>
          </w:r>
          <w:r>
            <w:rPr>
              <w:rFonts w:hint="default" w:ascii="Times New Roman" w:hAnsi="Times New Roman" w:eastAsia="宋体" w:cs="Times New Roman"/>
              <w:kern w:val="0"/>
              <w:szCs w:val="44"/>
              <w:highlight w:val="none"/>
              <w:lang w:val="zh-CN"/>
            </w:rPr>
            <w:t>章</w:t>
          </w:r>
          <w:r>
            <w:rPr>
              <w:rFonts w:hint="default" w:ascii="Times New Roman" w:hAnsi="Times New Roman" w:cs="Times New Roman"/>
              <w:kern w:val="0"/>
              <w:szCs w:val="44"/>
              <w:highlight w:val="none"/>
              <w:lang w:val="en-US" w:eastAsia="zh-CN"/>
            </w:rPr>
            <w:t xml:space="preserve"> </w:t>
          </w:r>
          <w:r>
            <w:rPr>
              <w:rFonts w:hint="default" w:ascii="Times New Roman" w:hAnsi="Times New Roman" w:eastAsia="宋体" w:cs="Times New Roman"/>
              <w:kern w:val="0"/>
              <w:szCs w:val="44"/>
              <w:highlight w:val="none"/>
              <w:lang w:val="zh-CN"/>
            </w:rPr>
            <w:t>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_Toc14842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lang w:val="zh-CN"/>
            </w:rPr>
            <w:fldChar w:fldCharType="end"/>
          </w:r>
        </w:p>
        <w:p w14:paraId="59841D22">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pPr>
          <w:r>
            <w:rPr>
              <w:rFonts w:hint="default" w:ascii="Times New Roman" w:hAnsi="Times New Roman" w:cs="Times New Roman"/>
              <w:lang w:val="zh-CN"/>
            </w:rPr>
            <w:fldChar w:fldCharType="end"/>
          </w:r>
          <w:bookmarkStart w:id="0" w:name="_Toc529967234"/>
          <w:bookmarkStart w:id="1" w:name="_Toc11845"/>
          <w:bookmarkStart w:id="2" w:name="_Toc14693"/>
          <w:bookmarkStart w:id="3" w:name="_Toc6024"/>
          <w:bookmarkStart w:id="4" w:name="_Toc12135"/>
          <w:bookmarkStart w:id="5" w:name="_Toc18371"/>
        </w:p>
      </w:sdtContent>
    </w:sdt>
    <w:p w14:paraId="310276DD">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sectPr>
          <w:footerReference r:id="rId7" w:type="default"/>
          <w:pgSz w:w="11906" w:h="16838"/>
          <w:pgMar w:top="1440" w:right="1803" w:bottom="1440" w:left="1803" w:header="851" w:footer="992" w:gutter="0"/>
          <w:pgNumType w:start="1"/>
          <w:cols w:space="0" w:num="1"/>
          <w:rtlGutter w:val="0"/>
          <w:docGrid w:type="lines" w:linePitch="395" w:charSpace="0"/>
        </w:sectPr>
      </w:pPr>
      <w:bookmarkStart w:id="6" w:name="_Toc1036"/>
    </w:p>
    <w:p w14:paraId="76EDD4FA">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lang w:val="zh-CN"/>
        </w:rPr>
      </w:pPr>
      <w:r>
        <w:rPr>
          <w:rFonts w:hint="default" w:ascii="Times New Roman" w:hAnsi="Times New Roman" w:cs="Times New Roman"/>
          <w:b/>
          <w:kern w:val="0"/>
          <w:sz w:val="32"/>
          <w:szCs w:val="44"/>
          <w:lang w:val="zh-CN"/>
        </w:rPr>
        <w:t>第1章 编制说明</w:t>
      </w:r>
      <w:bookmarkEnd w:id="0"/>
      <w:bookmarkEnd w:id="1"/>
      <w:bookmarkEnd w:id="2"/>
      <w:bookmarkEnd w:id="3"/>
      <w:bookmarkEnd w:id="4"/>
      <w:bookmarkEnd w:id="5"/>
      <w:bookmarkEnd w:id="6"/>
    </w:p>
    <w:p w14:paraId="4EF5DAD3">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7" w:name="_Toc529967235"/>
      <w:bookmarkStart w:id="8" w:name="_Toc5085"/>
      <w:bookmarkStart w:id="9" w:name="_Toc12759"/>
      <w:bookmarkStart w:id="10" w:name="_Toc24027"/>
      <w:bookmarkStart w:id="11" w:name="_Toc2511"/>
      <w:bookmarkStart w:id="12" w:name="_Toc25947"/>
      <w:bookmarkStart w:id="13" w:name="_Toc9366"/>
      <w:r>
        <w:rPr>
          <w:rFonts w:hint="default" w:ascii="Times New Roman" w:hAnsi="Times New Roman" w:cs="Times New Roman"/>
          <w:b/>
          <w:bCs/>
          <w:kern w:val="0"/>
          <w:szCs w:val="28"/>
        </w:rPr>
        <w:t>1.1 评估目的</w:t>
      </w:r>
      <w:bookmarkEnd w:id="7"/>
      <w:bookmarkEnd w:id="8"/>
      <w:bookmarkEnd w:id="9"/>
      <w:bookmarkEnd w:id="10"/>
      <w:bookmarkEnd w:id="11"/>
      <w:bookmarkEnd w:id="12"/>
      <w:bookmarkEnd w:id="13"/>
    </w:p>
    <w:p w14:paraId="2E92D7F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对中关村商城二期-3项目2#楼西侧艺术雨棚工程</w:t>
      </w:r>
      <w:r>
        <w:rPr>
          <w:rFonts w:hint="eastAsia" w:ascii="Times New Roman" w:hAnsi="Times New Roman" w:cs="Times New Roman"/>
          <w:lang w:eastAsia="zh-CN"/>
        </w:rPr>
        <w:t>“</w:t>
      </w:r>
      <w:r>
        <w:rPr>
          <w:rFonts w:hint="eastAsia" w:ascii="Times New Roman" w:hAnsi="Times New Roman" w:cs="Times New Roman"/>
          <w:lang w:val="en-US" w:eastAsia="zh-CN"/>
        </w:rPr>
        <w:t>3·23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cs="Times New Roman"/>
        </w:rPr>
        <w:t>措施落实情况评估的主要目的有：</w:t>
      </w:r>
    </w:p>
    <w:p w14:paraId="77FE839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1.进一步监督企业对安全生产违法行为进行整改，对事故隐患进行排查，采取纠正预防措施，切实加强安全生产工作；</w:t>
      </w:r>
    </w:p>
    <w:p w14:paraId="34F8FBF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2.排查企业存在的同类事故隐患和安全风险，进一步落实企业安全生产主体责任，进一步</w:t>
      </w:r>
      <w:r>
        <w:rPr>
          <w:rFonts w:hint="eastAsia" w:ascii="Times New Roman" w:hAnsi="Times New Roman" w:cs="Times New Roman"/>
          <w:lang w:val="en-US" w:eastAsia="zh-CN"/>
        </w:rPr>
        <w:t>评估分析</w:t>
      </w:r>
      <w:r>
        <w:rPr>
          <w:rFonts w:hint="default" w:ascii="Times New Roman" w:hAnsi="Times New Roman" w:cs="Times New Roman"/>
        </w:rPr>
        <w:t>事故责任追究和整改措施</w:t>
      </w:r>
      <w:r>
        <w:rPr>
          <w:rFonts w:hint="eastAsia" w:ascii="Times New Roman" w:hAnsi="Times New Roman" w:cs="Times New Roman"/>
          <w:lang w:val="en-US" w:eastAsia="zh-CN"/>
        </w:rPr>
        <w:t>落实情况</w:t>
      </w:r>
      <w:r>
        <w:rPr>
          <w:rFonts w:hint="default" w:ascii="Times New Roman" w:hAnsi="Times New Roman" w:cs="Times New Roman"/>
        </w:rPr>
        <w:t>，切实加强企业安全生产工作。</w:t>
      </w:r>
    </w:p>
    <w:p w14:paraId="22A64A0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4" w:name="_Toc529967236"/>
      <w:bookmarkStart w:id="15" w:name="_Toc2136"/>
      <w:bookmarkStart w:id="16" w:name="_Toc71"/>
      <w:bookmarkStart w:id="17" w:name="_Toc13196"/>
      <w:bookmarkStart w:id="18" w:name="_Toc18531"/>
      <w:bookmarkStart w:id="19" w:name="_Toc1427"/>
      <w:bookmarkStart w:id="20" w:name="_Toc715"/>
      <w:r>
        <w:rPr>
          <w:rFonts w:hint="default" w:ascii="Times New Roman" w:hAnsi="Times New Roman" w:cs="Times New Roman"/>
          <w:b/>
          <w:bCs/>
          <w:kern w:val="0"/>
          <w:szCs w:val="28"/>
        </w:rPr>
        <w:t>1.2 评估依据</w:t>
      </w:r>
      <w:bookmarkEnd w:id="14"/>
      <w:bookmarkEnd w:id="15"/>
      <w:bookmarkEnd w:id="16"/>
      <w:bookmarkEnd w:id="17"/>
      <w:bookmarkEnd w:id="18"/>
      <w:bookmarkEnd w:id="19"/>
      <w:bookmarkEnd w:id="20"/>
    </w:p>
    <w:p w14:paraId="4090A6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中关村商城二期-3项目2#楼西侧艺术雨棚工程</w:t>
      </w:r>
      <w:r>
        <w:rPr>
          <w:rFonts w:hint="eastAsia" w:ascii="Times New Roman" w:hAnsi="Times New Roman" w:cs="Times New Roman"/>
          <w:lang w:eastAsia="zh-CN"/>
        </w:rPr>
        <w:t>“</w:t>
      </w:r>
      <w:r>
        <w:rPr>
          <w:rFonts w:hint="eastAsia" w:ascii="Times New Roman" w:hAnsi="Times New Roman" w:cs="Times New Roman"/>
          <w:lang w:val="en-US" w:eastAsia="zh-CN"/>
        </w:rPr>
        <w:t>3·23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cs="Times New Roman"/>
        </w:rPr>
        <w:t>措施落实情况评估工作，主要依据如下：</w:t>
      </w:r>
    </w:p>
    <w:p w14:paraId="0A0CDAA9">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《中华人民共和国安全生产法》</w:t>
      </w:r>
    </w:p>
    <w:p w14:paraId="31C9EEA1">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《生产安全事故报告和调查处理条例》</w:t>
      </w:r>
    </w:p>
    <w:p w14:paraId="521353C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imes New Roman" w:hAnsi="Times New Roman" w:cs="Times New Roman"/>
          <w:szCs w:val="28"/>
          <w:lang w:eastAsia="zh-CN"/>
        </w:rPr>
      </w:pPr>
      <w:r>
        <w:rPr>
          <w:rFonts w:hint="eastAsia" w:ascii="Times New Roman" w:hAnsi="Times New Roman" w:cs="Times New Roman"/>
          <w:szCs w:val="28"/>
          <w:lang w:eastAsia="zh-CN"/>
        </w:rPr>
        <w:t>《</w:t>
      </w:r>
      <w:r>
        <w:rPr>
          <w:rFonts w:hint="eastAsia" w:ascii="Times New Roman" w:hAnsi="Times New Roman" w:cs="Times New Roman"/>
          <w:szCs w:val="28"/>
          <w:lang w:val="en-US" w:eastAsia="zh-CN"/>
        </w:rPr>
        <w:t>建设工程安全生产管理条例</w:t>
      </w:r>
      <w:r>
        <w:rPr>
          <w:rFonts w:hint="eastAsia" w:ascii="Times New Roman" w:hAnsi="Times New Roman" w:cs="Times New Roman"/>
          <w:szCs w:val="28"/>
          <w:lang w:eastAsia="zh-CN"/>
        </w:rPr>
        <w:t>》</w:t>
      </w:r>
    </w:p>
    <w:p w14:paraId="1DCF1C13">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《北京市生产安全事故隐患排查治理办法》</w:t>
      </w:r>
    </w:p>
    <w:p w14:paraId="121F706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《北京市生产安全事故整改和防范措施落实情况评估办法》</w:t>
      </w:r>
    </w:p>
    <w:p w14:paraId="2586F03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《中关村商城二期-3项目2#楼西侧艺术雨棚工程</w:t>
      </w:r>
      <w:r>
        <w:rPr>
          <w:rFonts w:hint="eastAsia" w:ascii="Times New Roman" w:hAnsi="Times New Roman" w:cs="Times New Roman"/>
          <w:lang w:eastAsia="zh-CN"/>
        </w:rPr>
        <w:t>“</w:t>
      </w:r>
      <w:r>
        <w:rPr>
          <w:rFonts w:hint="eastAsia" w:ascii="Times New Roman" w:hAnsi="Times New Roman" w:cs="Times New Roman"/>
          <w:lang w:val="en-US" w:eastAsia="zh-CN"/>
        </w:rPr>
        <w:t>3·23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一般生产安全事</w:t>
      </w:r>
      <w:r>
        <w:rPr>
          <w:rFonts w:hint="default" w:ascii="Times New Roman" w:hAnsi="Times New Roman" w:cs="Times New Roman"/>
        </w:rPr>
        <w:t>故调查报告》</w:t>
      </w:r>
    </w:p>
    <w:p w14:paraId="2F7F5995">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其他有关法律法规和标准规范</w:t>
      </w:r>
    </w:p>
    <w:p w14:paraId="01086AA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涉及单位及企业提供的资料</w:t>
      </w:r>
    </w:p>
    <w:p w14:paraId="4C68D365">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1" w:name="_Toc18174"/>
      <w:bookmarkStart w:id="22" w:name="_Toc112"/>
      <w:bookmarkStart w:id="23" w:name="_Toc27171"/>
      <w:bookmarkStart w:id="24" w:name="_Toc17310"/>
      <w:bookmarkStart w:id="25" w:name="_Toc18389"/>
      <w:bookmarkStart w:id="26" w:name="_Toc529967238"/>
      <w:bookmarkStart w:id="27" w:name="_Toc13824"/>
      <w:r>
        <w:rPr>
          <w:rFonts w:hint="default" w:ascii="Times New Roman" w:hAnsi="Times New Roman" w:cs="Times New Roman"/>
          <w:b/>
          <w:bCs/>
          <w:kern w:val="0"/>
          <w:szCs w:val="28"/>
        </w:rPr>
        <w:t>1.3 评估对象及范围</w:t>
      </w:r>
      <w:bookmarkEnd w:id="21"/>
      <w:bookmarkEnd w:id="22"/>
      <w:bookmarkEnd w:id="23"/>
      <w:bookmarkEnd w:id="24"/>
      <w:bookmarkEnd w:id="25"/>
      <w:bookmarkEnd w:id="26"/>
      <w:bookmarkEnd w:id="27"/>
    </w:p>
    <w:p w14:paraId="4F2DC2F2">
      <w:pPr>
        <w:keepNext w:val="0"/>
        <w:keepLines w:val="0"/>
        <w:widowControl/>
        <w:suppressLineNumbers w:val="0"/>
        <w:jc w:val="left"/>
        <w:rPr>
          <w:rFonts w:hint="default" w:ascii="Times New Roman" w:hAnsi="Times New Roman" w:cs="Times New Roman"/>
        </w:rPr>
      </w:pPr>
      <w:r>
        <w:rPr>
          <w:rFonts w:hint="default" w:ascii="Times New Roman" w:hAnsi="Times New Roman" w:cs="Times New Roman"/>
        </w:rPr>
        <w:t>根据《中关村商城二期-3项目2#楼西侧艺术雨棚工程</w:t>
      </w:r>
      <w:r>
        <w:rPr>
          <w:rFonts w:hint="eastAsia" w:ascii="Times New Roman" w:hAnsi="Times New Roman" w:cs="Times New Roman"/>
          <w:lang w:eastAsia="zh-CN"/>
        </w:rPr>
        <w:t>“</w:t>
      </w:r>
      <w:r>
        <w:rPr>
          <w:rFonts w:hint="eastAsia" w:ascii="Times New Roman" w:hAnsi="Times New Roman" w:cs="Times New Roman"/>
          <w:lang w:val="en-US" w:eastAsia="zh-CN"/>
        </w:rPr>
        <w:t>3·23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事故调查报告》（以下简称《事故调查报告》）中明确的被调查单位或个人，本次事故</w:t>
      </w:r>
      <w:r>
        <w:rPr>
          <w:rFonts w:hint="eastAsia" w:ascii="Times New Roman" w:hAnsi="Times New Roman" w:cs="Times New Roman"/>
          <w:lang w:eastAsia="zh-CN"/>
        </w:rPr>
        <w:t>整改和防范</w:t>
      </w:r>
      <w:r>
        <w:rPr>
          <w:rFonts w:hint="default" w:ascii="Times New Roman" w:hAnsi="Times New Roman" w:cs="Times New Roman"/>
        </w:rPr>
        <w:t>措施落实评估工作的评估对象是江苏中南建筑产业集团有限责任公司（以下简称：江苏中南建筑公司）</w:t>
      </w:r>
      <w:r>
        <w:rPr>
          <w:rFonts w:hint="eastAsia" w:ascii="Times New Roman" w:hAnsi="Times New Roman" w:cs="Times New Roman"/>
          <w:lang w:val="en-US" w:eastAsia="zh-CN"/>
        </w:rPr>
        <w:t>和中星联丰建设集团有限公司（以下简称：中星联丰建设公司）</w:t>
      </w:r>
      <w:r>
        <w:rPr>
          <w:rFonts w:hint="eastAsia" w:ascii="Times New Roman" w:hAnsi="Times New Roman" w:cs="Times New Roman"/>
          <w:highlight w:val="none"/>
          <w:lang w:val="en-US" w:eastAsia="zh-CN"/>
        </w:rPr>
        <w:t>，</w:t>
      </w:r>
      <w:r>
        <w:rPr>
          <w:rFonts w:hint="default" w:ascii="Times New Roman" w:hAnsi="Times New Roman" w:cs="Times New Roman"/>
        </w:rPr>
        <w:t>评估内容依据《事故调查报告》中明确的责任追究和整改防范措施要求，对被调查单位的落实事故</w:t>
      </w:r>
      <w:r>
        <w:rPr>
          <w:rFonts w:hint="eastAsia" w:ascii="Times New Roman" w:hAnsi="Times New Roman" w:cs="Times New Roman"/>
          <w:lang w:eastAsia="zh-CN"/>
        </w:rPr>
        <w:t>整改和防范</w:t>
      </w:r>
      <w:r>
        <w:rPr>
          <w:rFonts w:hint="default" w:ascii="Times New Roman" w:hAnsi="Times New Roman" w:cs="Times New Roman"/>
        </w:rPr>
        <w:t>措施采取的具体举措以及工作成效进行评估，主要从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53CF58E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9CC672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w:t>
      </w:r>
      <w:r>
        <w:rPr>
          <w:rFonts w:hint="eastAsia" w:ascii="Times New Roman" w:hAnsi="Times New Roman" w:cs="Times New Roman"/>
          <w:lang w:val="en-US" w:eastAsia="zh-CN"/>
        </w:rPr>
        <w:t>管理</w:t>
      </w:r>
      <w:r>
        <w:rPr>
          <w:rFonts w:hint="default" w:ascii="Times New Roman" w:hAnsi="Times New Roman" w:cs="Times New Roman"/>
        </w:rPr>
        <w:t>现状。</w:t>
      </w:r>
    </w:p>
    <w:p w14:paraId="6AB1DB8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8" w:name="_Toc529967239"/>
      <w:bookmarkStart w:id="29" w:name="_Toc30183"/>
      <w:bookmarkStart w:id="30" w:name="_Toc14110"/>
      <w:bookmarkStart w:id="31" w:name="_Toc19249"/>
      <w:bookmarkStart w:id="32" w:name="_Toc16023"/>
      <w:bookmarkStart w:id="33" w:name="_Toc22805"/>
      <w:bookmarkStart w:id="34" w:name="_Toc22646"/>
      <w:r>
        <w:rPr>
          <w:rFonts w:hint="default" w:ascii="Times New Roman" w:hAnsi="Times New Roman" w:cs="Times New Roman"/>
          <w:b/>
          <w:bCs/>
          <w:kern w:val="0"/>
          <w:szCs w:val="28"/>
        </w:rPr>
        <w:t>1.4 评估过程</w:t>
      </w:r>
      <w:bookmarkEnd w:id="28"/>
      <w:bookmarkEnd w:id="29"/>
      <w:bookmarkEnd w:id="30"/>
      <w:bookmarkEnd w:id="31"/>
      <w:bookmarkEnd w:id="32"/>
      <w:bookmarkEnd w:id="33"/>
      <w:bookmarkEnd w:id="34"/>
    </w:p>
    <w:p w14:paraId="61D6FF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rPr>
      </w:pPr>
      <w:r>
        <w:rPr>
          <w:rFonts w:hint="default" w:ascii="Times New Roman" w:hAnsi="Times New Roman" w:eastAsia="宋体" w:cs="Times New Roman"/>
        </w:rPr>
        <w:t>根据北京市</w:t>
      </w:r>
      <w:r>
        <w:rPr>
          <w:rFonts w:hint="eastAsia" w:ascii="Times New Roman" w:hAnsi="Times New Roman" w:eastAsia="宋体" w:cs="Times New Roman"/>
          <w:lang w:eastAsia="zh-CN"/>
        </w:rPr>
        <w:t>昌平</w:t>
      </w:r>
      <w:r>
        <w:rPr>
          <w:rFonts w:hint="default" w:ascii="Times New Roman" w:hAnsi="Times New Roman" w:eastAsia="宋体" w:cs="Times New Roman"/>
        </w:rPr>
        <w:t>区应急管理局</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以下简称：区应急</w:t>
      </w:r>
      <w:r>
        <w:rPr>
          <w:rFonts w:hint="eastAsia" w:ascii="Times New Roman" w:hAnsi="Times New Roman" w:cs="Times New Roman"/>
          <w:lang w:val="en-US" w:eastAsia="zh-CN"/>
        </w:rPr>
        <w:t>管理</w:t>
      </w:r>
      <w:r>
        <w:rPr>
          <w:rFonts w:hint="eastAsia" w:ascii="Times New Roman" w:hAnsi="Times New Roman" w:eastAsia="宋体" w:cs="Times New Roman"/>
          <w:lang w:val="en-US" w:eastAsia="zh-CN"/>
        </w:rPr>
        <w:t>局</w:t>
      </w:r>
      <w:r>
        <w:rPr>
          <w:rFonts w:hint="eastAsia" w:ascii="Times New Roman" w:hAnsi="Times New Roman" w:eastAsia="宋体" w:cs="Times New Roman"/>
          <w:lang w:eastAsia="zh-CN"/>
        </w:rPr>
        <w:t>）</w:t>
      </w:r>
      <w:r>
        <w:rPr>
          <w:rFonts w:hint="default" w:ascii="Times New Roman" w:hAnsi="Times New Roman" w:eastAsia="宋体" w:cs="Times New Roman"/>
        </w:rPr>
        <w:t>工作要求，组建</w:t>
      </w:r>
      <w:r>
        <w:rPr>
          <w:rFonts w:hint="eastAsia" w:ascii="Times New Roman" w:hAnsi="Times New Roman" w:cs="Times New Roman"/>
          <w:lang w:eastAsia="zh-CN"/>
        </w:rPr>
        <w:t>评估组</w:t>
      </w:r>
      <w:r>
        <w:rPr>
          <w:rFonts w:hint="default" w:ascii="Times New Roman" w:hAnsi="Times New Roman" w:eastAsia="宋体" w:cs="Times New Roman"/>
        </w:rPr>
        <w:t>，多次组织会议对评估工作进行研讨，对企业和事故现场开展现场调研、收集资料、勘查问询等工作，评估企业整改情况，</w:t>
      </w:r>
      <w:r>
        <w:rPr>
          <w:rFonts w:hint="eastAsia" w:ascii="Times New Roman" w:hAnsi="Times New Roman" w:cs="Times New Roman"/>
          <w:lang w:val="en-US" w:eastAsia="zh-CN"/>
        </w:rPr>
        <w:t>最终</w:t>
      </w:r>
      <w:r>
        <w:rPr>
          <w:rFonts w:hint="default" w:ascii="Times New Roman" w:hAnsi="Times New Roman" w:eastAsia="宋体" w:cs="Times New Roman"/>
        </w:rPr>
        <w:t>组织编制了《</w:t>
      </w:r>
      <w:r>
        <w:rPr>
          <w:rFonts w:hint="default" w:ascii="Times New Roman" w:hAnsi="Times New Roman" w:cs="Times New Roman"/>
        </w:rPr>
        <w:t>中关村商城二期-3项目2#楼西侧艺术雨棚工程</w:t>
      </w:r>
      <w:r>
        <w:rPr>
          <w:rFonts w:hint="eastAsia" w:ascii="Times New Roman" w:hAnsi="Times New Roman" w:cs="Times New Roman"/>
          <w:lang w:eastAsia="zh-CN"/>
        </w:rPr>
        <w:t>“</w:t>
      </w:r>
      <w:r>
        <w:rPr>
          <w:rFonts w:hint="eastAsia" w:ascii="Times New Roman" w:hAnsi="Times New Roman" w:cs="Times New Roman"/>
          <w:lang w:val="en-US" w:eastAsia="zh-CN"/>
        </w:rPr>
        <w:t>3·23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cs="Times New Roman"/>
          <w:lang w:eastAsia="zh-CN"/>
        </w:rPr>
        <w:t>整改和防范</w:t>
      </w:r>
      <w:r>
        <w:rPr>
          <w:rFonts w:hint="default" w:ascii="Times New Roman" w:hAnsi="Times New Roman" w:eastAsia="宋体" w:cs="Times New Roman"/>
        </w:rPr>
        <w:t>措施落实专项评估报告》</w:t>
      </w:r>
      <w:r>
        <w:rPr>
          <w:rFonts w:hint="eastAsia" w:ascii="Times New Roman" w:hAnsi="Times New Roman" w:eastAsia="宋体" w:cs="Times New Roman"/>
          <w:lang w:val="en-US" w:eastAsia="zh-CN"/>
        </w:rPr>
        <w:t>和《</w:t>
      </w:r>
      <w:r>
        <w:rPr>
          <w:rFonts w:hint="default" w:ascii="Times New Roman" w:hAnsi="Times New Roman" w:cs="Times New Roman"/>
        </w:rPr>
        <w:t>中关村商城二期-3项目2#楼西侧艺术雨棚工程</w:t>
      </w:r>
      <w:r>
        <w:rPr>
          <w:rFonts w:hint="eastAsia" w:ascii="Times New Roman" w:hAnsi="Times New Roman" w:cs="Times New Roman"/>
          <w:lang w:eastAsia="zh-CN"/>
        </w:rPr>
        <w:t>“</w:t>
      </w:r>
      <w:r>
        <w:rPr>
          <w:rFonts w:hint="eastAsia" w:ascii="Times New Roman" w:hAnsi="Times New Roman" w:cs="Times New Roman"/>
          <w:lang w:val="en-US" w:eastAsia="zh-CN"/>
        </w:rPr>
        <w:t>3·23</w:t>
      </w:r>
      <w:r>
        <w:rPr>
          <w:rFonts w:hint="eastAsia" w:ascii="Times New Roman" w:hAnsi="Times New Roman" w:cs="Times New Roman"/>
          <w:lang w:eastAsia="zh-CN"/>
        </w:rPr>
        <w:t>”</w:t>
      </w:r>
      <w:r>
        <w:rPr>
          <w:rFonts w:hint="eastAsia" w:ascii="Times New Roman" w:hAnsi="Times New Roman" w:cs="Times New Roman"/>
          <w:lang w:val="en-US" w:eastAsia="zh-CN"/>
        </w:rPr>
        <w:t>一般生产安全</w:t>
      </w:r>
      <w:r>
        <w:rPr>
          <w:rFonts w:hint="default" w:ascii="Times New Roman" w:hAnsi="Times New Roman" w:cs="Times New Roman"/>
        </w:rPr>
        <w:t>事故</w:t>
      </w:r>
      <w:r>
        <w:rPr>
          <w:rFonts w:hint="eastAsia" w:ascii="Times New Roman" w:hAnsi="Times New Roman" w:eastAsia="宋体" w:cs="Times New Roman"/>
          <w:lang w:val="en-US" w:eastAsia="zh-CN"/>
        </w:rPr>
        <w:t>安全现状评估报告》</w:t>
      </w:r>
      <w:r>
        <w:rPr>
          <w:rFonts w:hint="default" w:ascii="Times New Roman" w:hAnsi="Times New Roman" w:eastAsia="宋体" w:cs="Times New Roman"/>
        </w:rPr>
        <w:t>。</w:t>
      </w:r>
    </w:p>
    <w:p w14:paraId="03B3941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35" w:name="_Toc1831"/>
      <w:bookmarkStart w:id="36" w:name="_Toc2131"/>
      <w:bookmarkStart w:id="37" w:name="_Toc15058"/>
      <w:bookmarkStart w:id="38" w:name="_Toc21660"/>
      <w:bookmarkStart w:id="39" w:name="_Toc21879"/>
      <w:bookmarkStart w:id="40" w:name="_Toc2051"/>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35"/>
      <w:bookmarkEnd w:id="36"/>
      <w:bookmarkEnd w:id="37"/>
      <w:bookmarkEnd w:id="38"/>
      <w:bookmarkEnd w:id="39"/>
      <w:bookmarkEnd w:id="40"/>
    </w:p>
    <w:p w14:paraId="5660DAB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1" w:name="_Toc15670"/>
      <w:bookmarkStart w:id="42" w:name="_Toc16542"/>
      <w:bookmarkStart w:id="43" w:name="_Toc6493"/>
      <w:bookmarkStart w:id="44" w:name="_Toc3755"/>
      <w:bookmarkStart w:id="45" w:name="_Toc16952"/>
      <w:bookmarkStart w:id="46" w:name="_Toc15225"/>
      <w:r>
        <w:rPr>
          <w:rFonts w:hint="default" w:ascii="Times New Roman" w:hAnsi="Times New Roman" w:cs="Times New Roman"/>
          <w:b/>
          <w:bCs/>
          <w:kern w:val="0"/>
          <w:szCs w:val="28"/>
        </w:rPr>
        <w:t>2.1 事故单位情况</w:t>
      </w:r>
      <w:bookmarkEnd w:id="41"/>
      <w:bookmarkEnd w:id="42"/>
      <w:bookmarkEnd w:id="43"/>
      <w:bookmarkEnd w:id="44"/>
      <w:bookmarkEnd w:id="45"/>
      <w:bookmarkEnd w:id="46"/>
    </w:p>
    <w:p w14:paraId="3A5B2C0C">
      <w:pPr>
        <w:keepNext/>
        <w:keepLines/>
        <w:widowControl/>
        <w:overflowPunct w:val="0"/>
        <w:spacing w:line="560" w:lineRule="exact"/>
        <w:ind w:firstLine="0" w:firstLineChars="0"/>
        <w:outlineLvl w:val="2"/>
        <w:rPr>
          <w:rFonts w:hint="eastAsia" w:ascii="Times New Roman" w:hAnsi="Times New Roman"/>
          <w:b/>
          <w:szCs w:val="28"/>
          <w:lang w:val="en-US" w:eastAsia="zh-CN"/>
        </w:rPr>
      </w:pPr>
      <w:bookmarkStart w:id="47" w:name="_Toc29690"/>
      <w:bookmarkStart w:id="48" w:name="_Toc17639"/>
      <w:bookmarkStart w:id="49" w:name="_Toc31714"/>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.1</w:t>
      </w:r>
      <w:bookmarkEnd w:id="47"/>
      <w:r>
        <w:rPr>
          <w:rFonts w:hint="eastAsia" w:ascii="Times New Roman" w:hAnsi="Times New Roman"/>
          <w:b/>
          <w:szCs w:val="28"/>
          <w:lang w:val="en-US" w:eastAsia="zh-CN"/>
        </w:rPr>
        <w:t>江苏中南建筑公司</w:t>
      </w:r>
    </w:p>
    <w:p w14:paraId="460A844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江苏中南建筑公司，成立日期：2001年10月8日；营业期限：2001年10月8日至无固定期限；经营范围：从事房屋建筑工程施工总承包（资质特级）。</w:t>
      </w:r>
    </w:p>
    <w:p w14:paraId="207B0922">
      <w:pPr>
        <w:keepNext/>
        <w:keepLines/>
        <w:widowControl/>
        <w:overflowPunct w:val="0"/>
        <w:spacing w:line="560" w:lineRule="exact"/>
        <w:ind w:firstLine="0" w:firstLineChars="0"/>
        <w:outlineLvl w:val="2"/>
        <w:rPr>
          <w:rFonts w:hint="eastAsia" w:ascii="Times New Roman" w:hAnsi="Times New Roman"/>
          <w:b/>
          <w:szCs w:val="28"/>
          <w:lang w:val="en-US" w:eastAsia="zh-CN"/>
        </w:rPr>
      </w:pPr>
      <w:bookmarkStart w:id="50" w:name="_Toc29079"/>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w:t>
      </w:r>
      <w:r>
        <w:rPr>
          <w:rFonts w:hint="eastAsia" w:ascii="Times New Roman" w:hAnsi="Times New Roman"/>
          <w:b/>
          <w:szCs w:val="28"/>
          <w:lang w:val="en-US" w:eastAsia="zh-CN"/>
        </w:rPr>
        <w:t>2</w:t>
      </w:r>
      <w:bookmarkEnd w:id="50"/>
      <w:r>
        <w:rPr>
          <w:rFonts w:hint="eastAsia" w:ascii="Times New Roman" w:hAnsi="Times New Roman"/>
          <w:b/>
          <w:szCs w:val="28"/>
          <w:lang w:val="en-US" w:eastAsia="zh-CN"/>
        </w:rPr>
        <w:t>中星联丰建设公司</w:t>
      </w:r>
    </w:p>
    <w:p w14:paraId="36BC780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中兴联丰建设</w:t>
      </w:r>
      <w:r>
        <w:rPr>
          <w:rFonts w:hint="default" w:ascii="Times New Roman" w:hAnsi="Times New Roman" w:cs="Times New Roman"/>
        </w:rPr>
        <w:t>公司</w:t>
      </w:r>
      <w:r>
        <w:rPr>
          <w:rFonts w:hint="eastAsia" w:ascii="Times New Roman" w:hAnsi="Times New Roman" w:cs="Times New Roman"/>
          <w:lang w:eastAsia="zh-CN"/>
        </w:rPr>
        <w:t>，成立日期：1995年3月6日；营业期限：1995年9月13日至</w:t>
      </w:r>
      <w:r>
        <w:rPr>
          <w:rFonts w:hint="eastAsia" w:ascii="Times New Roman" w:hAnsi="Times New Roman" w:cs="Times New Roman"/>
          <w:lang w:val="en-US" w:eastAsia="zh-CN"/>
        </w:rPr>
        <w:t>无固定期限</w:t>
      </w:r>
      <w:r>
        <w:rPr>
          <w:rFonts w:hint="eastAsia" w:ascii="Times New Roman" w:hAnsi="Times New Roman" w:cs="Times New Roman"/>
          <w:lang w:eastAsia="zh-CN"/>
        </w:rPr>
        <w:t>；经营范围：建设工程施工；施工专业作业；建筑劳务分包等。</w:t>
      </w:r>
    </w:p>
    <w:p w14:paraId="41BB2011">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51" w:name="_Toc26463"/>
      <w:bookmarkStart w:id="52" w:name="_Toc21"/>
      <w:bookmarkStart w:id="53" w:name="_Toc10721"/>
      <w:bookmarkStart w:id="54" w:name="_Toc16336"/>
      <w:r>
        <w:rPr>
          <w:rFonts w:hint="default" w:ascii="Times New Roman" w:hAnsi="Times New Roman" w:cs="Times New Roman"/>
          <w:b/>
          <w:bCs/>
          <w:kern w:val="0"/>
          <w:szCs w:val="28"/>
        </w:rPr>
        <w:t>2.2 事故发生经过</w:t>
      </w:r>
      <w:bookmarkEnd w:id="48"/>
      <w:bookmarkEnd w:id="49"/>
      <w:bookmarkEnd w:id="51"/>
      <w:bookmarkEnd w:id="52"/>
      <w:bookmarkEnd w:id="53"/>
      <w:bookmarkEnd w:id="54"/>
    </w:p>
    <w:p w14:paraId="7149E68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2024年3月23日6时30分许，工长刘*月带领胡*华、刘*豹、薛*超、梁*业、朱*宝、张*强6名作业人员到2#商务楼西侧，安装艺术雨棚西南角的金属副框及钢化玻璃。</w:t>
      </w:r>
    </w:p>
    <w:p w14:paraId="78EE3BA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8时30分许，胡*华、刘*豹、薛*超、梁*业等人将艺术雨棚西南角金属副框安装完成。刘*月安排作业人员继续安装西南角钢化玻璃后，离开施工现场去购买工具。</w:t>
      </w:r>
    </w:p>
    <w:p w14:paraId="351B446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9时20分许，刘*豹3人俯身安装第8块钢化玻璃时，胡*华从生命大绳上摘下安全绳向北行走过程中不慎踩空坠落至艺术雨棚下方的台阶上。</w:t>
      </w:r>
    </w:p>
    <w:p w14:paraId="1437A44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事故发生后，张*强立即拨打了120急救电话，中星联丰建设公司安全员张*晨赶到现场后将现场设置警戒线等待救援。</w:t>
      </w:r>
    </w:p>
    <w:p w14:paraId="4C54172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9时40分许，120到达了现场，医护人员将胡*华送往北大国际医院抢救。</w:t>
      </w:r>
    </w:p>
    <w:p w14:paraId="2757CCA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10时许，医护人员确认胡*华已无生命体征。</w:t>
      </w:r>
    </w:p>
    <w:p w14:paraId="6F784657">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55" w:name="_Toc32523"/>
      <w:bookmarkStart w:id="56" w:name="_Toc6459"/>
      <w:bookmarkStart w:id="57" w:name="_Toc29092"/>
      <w:bookmarkStart w:id="58" w:name="_Toc8638"/>
      <w:r>
        <w:rPr>
          <w:rFonts w:hint="default" w:ascii="Times New Roman" w:hAnsi="Times New Roman" w:cs="Times New Roman"/>
          <w:b/>
          <w:bCs/>
          <w:kern w:val="0"/>
          <w:szCs w:val="28"/>
        </w:rPr>
        <w:t>2.3 事故原因分析</w:t>
      </w:r>
      <w:bookmarkEnd w:id="55"/>
      <w:bookmarkEnd w:id="56"/>
      <w:bookmarkEnd w:id="57"/>
      <w:bookmarkEnd w:id="58"/>
    </w:p>
    <w:p w14:paraId="16B3494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事故调查组依法对事故现场进行了认真勘验调查，并查阅了有关资料，对事故涉及相关人员进行了询问，基本查明了事故原因及性质。</w:t>
      </w:r>
    </w:p>
    <w:p w14:paraId="7AECDB8D">
      <w:pPr>
        <w:keepNext/>
        <w:keepLines/>
        <w:widowControl/>
        <w:overflowPunct w:val="0"/>
        <w:spacing w:line="560" w:lineRule="exact"/>
        <w:ind w:firstLine="0" w:firstLineChars="0"/>
        <w:outlineLvl w:val="2"/>
        <w:rPr>
          <w:rFonts w:ascii="Times New Roman" w:hAnsi="Times New Roman"/>
          <w:b/>
          <w:szCs w:val="28"/>
        </w:rPr>
      </w:pPr>
      <w:bookmarkStart w:id="59" w:name="_Toc21948"/>
      <w:bookmarkStart w:id="60" w:name="_Toc29086"/>
      <w:r>
        <w:rPr>
          <w:rFonts w:hint="eastAsia" w:ascii="Times New Roman" w:hAnsi="Times New Roman"/>
          <w:b/>
          <w:szCs w:val="28"/>
        </w:rPr>
        <w:t>2</w:t>
      </w:r>
      <w:r>
        <w:rPr>
          <w:rFonts w:ascii="Times New Roman" w:hAnsi="Times New Roman"/>
          <w:b/>
          <w:szCs w:val="28"/>
        </w:rPr>
        <w:t>.3.1事故直接原因</w:t>
      </w:r>
      <w:bookmarkEnd w:id="59"/>
      <w:bookmarkEnd w:id="60"/>
    </w:p>
    <w:p w14:paraId="53B03E0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胡*华安装玻璃行走过程未将安全带系在生命大绳上导致其高处坠落是事故发生的直接原因。</w:t>
      </w:r>
    </w:p>
    <w:p w14:paraId="41C8ACFA">
      <w:pPr>
        <w:keepNext/>
        <w:keepLines/>
        <w:widowControl/>
        <w:overflowPunct w:val="0"/>
        <w:spacing w:line="560" w:lineRule="exact"/>
        <w:ind w:firstLine="0" w:firstLineChars="0"/>
        <w:outlineLvl w:val="2"/>
        <w:rPr>
          <w:rFonts w:ascii="Times New Roman" w:hAnsi="Times New Roman"/>
          <w:b/>
          <w:szCs w:val="28"/>
        </w:rPr>
      </w:pPr>
      <w:bookmarkStart w:id="61" w:name="_Toc12413"/>
      <w:bookmarkStart w:id="62" w:name="_Toc31886"/>
      <w:r>
        <w:rPr>
          <w:rFonts w:hint="eastAsia" w:ascii="Times New Roman" w:hAnsi="Times New Roman"/>
          <w:b/>
          <w:szCs w:val="28"/>
        </w:rPr>
        <w:t>2</w:t>
      </w:r>
      <w:r>
        <w:rPr>
          <w:rFonts w:ascii="Times New Roman" w:hAnsi="Times New Roman"/>
          <w:b/>
          <w:szCs w:val="28"/>
        </w:rPr>
        <w:t>.3.2</w:t>
      </w:r>
      <w:r>
        <w:rPr>
          <w:rFonts w:hint="eastAsia" w:ascii="Times New Roman" w:hAnsi="Times New Roman"/>
          <w:b/>
          <w:szCs w:val="28"/>
        </w:rPr>
        <w:t>事故间接原因</w:t>
      </w:r>
      <w:bookmarkEnd w:id="61"/>
      <w:bookmarkEnd w:id="62"/>
    </w:p>
    <w:p w14:paraId="2E07DD01">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江苏中南建筑公司，一是未督促中星联丰建设公司按《建筑施工高处作业安全技术规范》（JGJ 80-2016）第5.2.1条，</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悬空作业的立足处的设置应牢固，并应配置登高和防坠落装置和设施</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规定，在艺术雨棚下方设置水平安全防护网；二是在专项施工方案未经审批的情况下，未采取暂停施工强制措施；三是未及时发现并消除作业人员在艺术雨棚安装玻璃过程中存在的事故隐患。</w:t>
      </w:r>
    </w:p>
    <w:p w14:paraId="777F4440">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中星联丰建设公司，一是未对胡*华进行安全教育培训，对刘*豹、薛*超等人直接下发答案进行考试，未保证作业人员具备必要的安全生产知识；二是未按《建筑施工高处作业安全技术规范》（JGJ 80-2016）第5.2.1条，</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悬空作业的立足处的设置应牢固，并应配置登高和防坠落装置和设施</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规定，在艺术雨棚下方设置水平安全防护网；三是未根据《建筑施工高处作业安全技术规范》（JGJ 80-2016）第3.0.5条</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高处作业人员应根据作业的实际情况配备相应的高处作业安全防护用品，并应按规定正确佩戴和使用相应的安全防护用品、用具。</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的规定，向作业人员提供符合施工现场实际的双钩安全带，并监督、教育从业人员规范佩戴使用；四是未执行监理通知：</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在艺术雨棚施工平台应满铺脚手板且安排专职安全员进行现场监护</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的要求，在专项施工方案未经审批的情况下，冒险组织作业人员进行高处作业。</w:t>
      </w:r>
    </w:p>
    <w:p w14:paraId="7E9F666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63" w:name="_Toc21790"/>
      <w:bookmarkStart w:id="64" w:name="_Toc23707"/>
      <w:bookmarkStart w:id="65" w:name="_Toc9981"/>
      <w:bookmarkStart w:id="66" w:name="_Toc31207"/>
      <w:r>
        <w:rPr>
          <w:rFonts w:hint="default" w:ascii="Times New Roman" w:hAnsi="Times New Roman" w:cs="Times New Roman"/>
          <w:b/>
          <w:kern w:val="0"/>
          <w:sz w:val="32"/>
          <w:szCs w:val="44"/>
          <w:lang w:val="zh-CN"/>
        </w:rPr>
        <w:t>第</w:t>
      </w:r>
      <w:r>
        <w:rPr>
          <w:rFonts w:hint="eastAsia"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eastAsia"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63"/>
      <w:bookmarkEnd w:id="64"/>
      <w:bookmarkEnd w:id="65"/>
      <w:bookmarkEnd w:id="66"/>
    </w:p>
    <w:p w14:paraId="1D70184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lang w:val="en-US" w:eastAsia="zh-CN"/>
        </w:rPr>
      </w:pPr>
      <w:bookmarkStart w:id="67" w:name="_Toc7859"/>
      <w:bookmarkStart w:id="68" w:name="_Toc4325"/>
      <w:bookmarkStart w:id="69" w:name="_Toc1096"/>
      <w:bookmarkStart w:id="70" w:name="_Toc24343"/>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lang w:val="en-US" w:eastAsia="zh-CN"/>
        </w:rPr>
        <w:t>.</w:t>
      </w:r>
      <w:r>
        <w:rPr>
          <w:rFonts w:hint="eastAsia" w:ascii="Times New Roman" w:hAnsi="Times New Roman" w:cs="Times New Roman"/>
          <w:b/>
          <w:bCs/>
          <w:kern w:val="0"/>
          <w:szCs w:val="28"/>
          <w:lang w:val="en-US" w:eastAsia="zh-CN"/>
        </w:rPr>
        <w:t>1</w:t>
      </w:r>
      <w:r>
        <w:rPr>
          <w:rFonts w:hint="default" w:ascii="Times New Roman" w:hAnsi="Times New Roman" w:cs="Times New Roman"/>
          <w:b/>
          <w:bCs/>
          <w:kern w:val="0"/>
          <w:szCs w:val="28"/>
          <w:lang w:val="en-US" w:eastAsia="zh-CN"/>
        </w:rPr>
        <w:t xml:space="preserve"> </w:t>
      </w:r>
      <w:bookmarkStart w:id="71" w:name="_Toc529967245"/>
      <w:bookmarkStart w:id="72" w:name="_Toc32016"/>
      <w:bookmarkStart w:id="73" w:name="_Toc15906"/>
      <w:r>
        <w:rPr>
          <w:rFonts w:hint="eastAsia" w:ascii="Times New Roman" w:hAnsi="Times New Roman" w:cs="Times New Roman"/>
          <w:b/>
          <w:bCs/>
          <w:kern w:val="0"/>
          <w:szCs w:val="28"/>
          <w:lang w:val="en-US" w:eastAsia="zh-CN"/>
        </w:rPr>
        <w:t>追究刑事责任的人员</w:t>
      </w:r>
      <w:bookmarkEnd w:id="67"/>
      <w:bookmarkEnd w:id="68"/>
      <w:bookmarkEnd w:id="69"/>
      <w:bookmarkEnd w:id="70"/>
    </w:p>
    <w:p w14:paraId="624B1AC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eastAsia="宋体" w:cs="Times New Roman"/>
          <w:lang w:eastAsia="zh-CN"/>
        </w:rPr>
        <w:t>追究刑事责任的人员</w:t>
      </w:r>
      <w:r>
        <w:rPr>
          <w:rFonts w:hint="eastAsia" w:ascii="Times New Roman" w:hAnsi="Times New Roman" w:eastAsia="宋体" w:cs="Times New Roman"/>
          <w:lang w:val="en-US" w:eastAsia="zh-CN"/>
        </w:rPr>
        <w:t>如下：</w:t>
      </w:r>
    </w:p>
    <w:p w14:paraId="3A405819">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毛*忠，江苏中南建筑公司安全员，对事故发生负有直接管理责任，公安机关已依法追究其刑事责任；</w:t>
      </w:r>
    </w:p>
    <w:p w14:paraId="39C4ABA7">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王*涛，中星联丰建设公司项目经理，对事故发生负有直接管理责任，公安机关已依法追究其刑事责任；</w:t>
      </w:r>
    </w:p>
    <w:p w14:paraId="10A4DD61">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韩*栋，中星联丰建设公司项目执行经理，对事故发生负有直接管理责任，公安机关已依法追究其刑事责任；</w:t>
      </w:r>
    </w:p>
    <w:p w14:paraId="127FA356">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张*晨，中星联丰建设公司项目安全员，对事故发生负有直接管理责任，公安机关已依法追究其刑事责任；</w:t>
      </w:r>
    </w:p>
    <w:p w14:paraId="1453FE4D">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eastAsia" w:ascii="Times New Roman" w:hAnsi="Times New Roman" w:cs="Times New Roman"/>
          <w:lang w:val="zh-CN" w:eastAsia="zh-CN"/>
        </w:rPr>
        <w:t>石*宇，天津尚真园林工程有限公司项目负责人，对事故发生负有直接管理责任，公安机关已依法追究其刑事责任；</w:t>
      </w:r>
    </w:p>
    <w:p w14:paraId="0A5F63E1">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zh-CN" w:eastAsia="zh-CN"/>
        </w:rPr>
      </w:pPr>
      <w:r>
        <w:rPr>
          <w:rFonts w:hint="eastAsia" w:ascii="Times New Roman" w:hAnsi="Times New Roman" w:cs="Times New Roman"/>
          <w:lang w:val="zh-CN" w:eastAsia="zh-CN"/>
        </w:rPr>
        <w:t>常*，中城建监理公司安全监理，对事故发生负有直接管理责任，公安机关已依法追究其刑事责任。</w:t>
      </w:r>
    </w:p>
    <w:p w14:paraId="4B29D7B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lang w:val="en-US" w:eastAsia="zh-CN"/>
        </w:rPr>
      </w:pPr>
      <w:bookmarkStart w:id="74" w:name="_Toc8379"/>
      <w:bookmarkStart w:id="75" w:name="_Toc2982"/>
      <w:bookmarkStart w:id="76" w:name="_Toc2248"/>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lang w:val="en-US" w:eastAsia="zh-CN"/>
        </w:rPr>
        <w:t>.</w:t>
      </w:r>
      <w:r>
        <w:rPr>
          <w:rFonts w:hint="eastAsia" w:ascii="Times New Roman" w:hAnsi="Times New Roman" w:cs="Times New Roman"/>
          <w:b/>
          <w:bCs/>
          <w:kern w:val="0"/>
          <w:szCs w:val="28"/>
          <w:lang w:val="en-US" w:eastAsia="zh-CN"/>
        </w:rPr>
        <w:t>2</w:t>
      </w:r>
      <w:r>
        <w:rPr>
          <w:rFonts w:hint="default" w:ascii="Times New Roman" w:hAnsi="Times New Roman" w:cs="Times New Roman"/>
          <w:b/>
          <w:bCs/>
          <w:kern w:val="0"/>
          <w:szCs w:val="28"/>
          <w:lang w:val="en-US" w:eastAsia="zh-CN"/>
        </w:rPr>
        <w:t xml:space="preserve"> </w:t>
      </w:r>
      <w:r>
        <w:rPr>
          <w:rFonts w:hint="eastAsia" w:ascii="Times New Roman" w:hAnsi="Times New Roman" w:cs="Times New Roman"/>
          <w:b/>
          <w:bCs/>
          <w:kern w:val="0"/>
          <w:szCs w:val="28"/>
          <w:lang w:val="en-US" w:eastAsia="zh-CN"/>
        </w:rPr>
        <w:t>追究行政责任的单位及人员</w:t>
      </w:r>
      <w:bookmarkEnd w:id="74"/>
      <w:bookmarkEnd w:id="75"/>
      <w:bookmarkEnd w:id="76"/>
    </w:p>
    <w:p w14:paraId="0CE26E2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eastAsia="宋体" w:cs="Times New Roman"/>
          <w:lang w:eastAsia="zh-CN"/>
        </w:rPr>
        <w:t>追究</w:t>
      </w:r>
      <w:r>
        <w:rPr>
          <w:rFonts w:hint="eastAsia" w:ascii="Times New Roman" w:hAnsi="Times New Roman" w:cs="Times New Roman"/>
          <w:lang w:val="en-US" w:eastAsia="zh-CN"/>
        </w:rPr>
        <w:t>行政</w:t>
      </w:r>
      <w:r>
        <w:rPr>
          <w:rFonts w:hint="eastAsia" w:ascii="Times New Roman" w:hAnsi="Times New Roman" w:eastAsia="宋体" w:cs="Times New Roman"/>
          <w:lang w:eastAsia="zh-CN"/>
        </w:rPr>
        <w:t>责任的</w:t>
      </w:r>
      <w:r>
        <w:rPr>
          <w:rFonts w:hint="eastAsia" w:ascii="Times New Roman" w:hAnsi="Times New Roman" w:cs="Times New Roman"/>
          <w:lang w:val="en-US" w:eastAsia="zh-CN"/>
        </w:rPr>
        <w:t>单位及</w:t>
      </w:r>
      <w:r>
        <w:rPr>
          <w:rFonts w:hint="eastAsia" w:ascii="Times New Roman" w:hAnsi="Times New Roman" w:eastAsia="宋体" w:cs="Times New Roman"/>
          <w:lang w:eastAsia="zh-CN"/>
        </w:rPr>
        <w:t>人员</w:t>
      </w:r>
      <w:r>
        <w:rPr>
          <w:rFonts w:hint="eastAsia" w:ascii="Times New Roman" w:hAnsi="Times New Roman" w:eastAsia="宋体" w:cs="Times New Roman"/>
          <w:lang w:val="en-US" w:eastAsia="zh-CN"/>
        </w:rPr>
        <w:t>如下：</w:t>
      </w:r>
    </w:p>
    <w:p w14:paraId="0AAF7F9B">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r>
        <w:rPr>
          <w:rFonts w:hint="eastAsia" w:ascii="Times New Roman" w:hAnsi="Times New Roman" w:cs="Times New Roman"/>
          <w:b/>
          <w:szCs w:val="28"/>
          <w:lang w:val="en-US" w:eastAsia="zh-CN"/>
        </w:rPr>
        <w:t>3.2.1 江苏中南建筑公司</w:t>
      </w:r>
    </w:p>
    <w:p w14:paraId="5AEE717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cs="Times New Roman"/>
          <w:lang w:val="en-US" w:eastAsia="zh-CN"/>
        </w:rPr>
        <w:t>处理建议</w:t>
      </w:r>
      <w:r>
        <w:rPr>
          <w:rFonts w:hint="eastAsia" w:ascii="Times New Roman" w:hAnsi="Times New Roman" w:eastAsia="宋体" w:cs="Times New Roman"/>
          <w:lang w:val="en-US" w:eastAsia="zh-CN"/>
        </w:rPr>
        <w:t>如下：</w:t>
      </w:r>
    </w:p>
    <w:p w14:paraId="362203E5">
      <w:pPr>
        <w:keepNext w:val="0"/>
        <w:keepLines w:val="0"/>
        <w:pageBreakBefore w:val="0"/>
        <w:widowControl w:val="0"/>
        <w:numPr>
          <w:ilvl w:val="0"/>
          <w:numId w:val="4"/>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江苏中南建筑公司</w:t>
      </w:r>
      <w:r>
        <w:rPr>
          <w:rFonts w:hint="eastAsia" w:ascii="Times New Roman" w:hAnsi="Times New Roman" w:cs="Times New Roman"/>
          <w:lang w:val="zh-CN" w:eastAsia="zh-CN"/>
        </w:rPr>
        <w:t>，违反了《中华人民共和国安全生产法》第四十一条第二款、第四十四条第一款的规定，对事故的发生负有管理责任。依据《中华人民共和国安全生产法》第一百一十四条第一款第（一）项的规定，结合《生产安全事故罚款处罚规定》第十四条第（二）项的规定，建议区应急局给予江苏中南建筑公司罚款50万元以上70 万元以下的行政处罚</w:t>
      </w:r>
    </w:p>
    <w:p w14:paraId="25247B8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lang w:val="en-US" w:eastAsia="zh-CN"/>
        </w:rPr>
        <w:t>江苏中南建筑公司</w:t>
      </w:r>
      <w:r>
        <w:rPr>
          <w:rFonts w:hint="eastAsia" w:ascii="Times New Roman" w:hAnsi="Times New Roman" w:eastAsia="宋体" w:cs="Times New Roman"/>
          <w:highlight w:val="none"/>
          <w:lang w:val="en-US" w:eastAsia="zh-CN"/>
        </w:rPr>
        <w:t>处以人民币</w:t>
      </w:r>
      <w:r>
        <w:rPr>
          <w:rFonts w:hint="eastAsia" w:ascii="Times New Roman" w:hAnsi="Times New Roman" w:cs="Times New Roman"/>
          <w:highlight w:val="none"/>
          <w:lang w:val="en-US" w:eastAsia="zh-CN"/>
        </w:rPr>
        <w:t>伍拾</w:t>
      </w:r>
      <w:r>
        <w:rPr>
          <w:rFonts w:hint="eastAsia" w:ascii="Times New Roman" w:hAnsi="Times New Roman" w:eastAsia="宋体" w:cs="Times New Roman"/>
          <w:highlight w:val="none"/>
          <w:lang w:val="en-US" w:eastAsia="zh-CN"/>
        </w:rPr>
        <w:t>万元的行政处罚（处罚决定书编号：（昌）应急（事故）罚〔202</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010</w:t>
      </w:r>
      <w:r>
        <w:rPr>
          <w:rFonts w:hint="eastAsia" w:ascii="Times New Roman" w:hAnsi="Times New Roman" w:eastAsia="宋体" w:cs="Times New Roman"/>
          <w:highlight w:val="none"/>
          <w:lang w:val="en-US" w:eastAsia="zh-CN"/>
        </w:rPr>
        <w:t>-1号），公司罚款</w:t>
      </w:r>
      <w:r>
        <w:rPr>
          <w:rFonts w:hint="eastAsia" w:ascii="Times New Roman" w:hAnsi="Times New Roman" w:cs="Times New Roman"/>
          <w:highlight w:val="none"/>
          <w:lang w:val="en-US" w:eastAsia="zh-CN"/>
        </w:rPr>
        <w:t>未</w:t>
      </w:r>
      <w:r>
        <w:rPr>
          <w:rFonts w:hint="eastAsia" w:ascii="Times New Roman" w:hAnsi="Times New Roman" w:eastAsia="宋体" w:cs="Times New Roman"/>
          <w:highlight w:val="none"/>
          <w:lang w:val="en-US" w:eastAsia="zh-CN"/>
        </w:rPr>
        <w:t>缴纳</w:t>
      </w:r>
      <w:r>
        <w:rPr>
          <w:rFonts w:hint="eastAsia" w:ascii="Times New Roman" w:hAnsi="Times New Roman" w:cs="Times New Roman"/>
          <w:highlight w:val="none"/>
          <w:lang w:val="en-US" w:eastAsia="zh-CN"/>
        </w:rPr>
        <w:t>，已移交法院强制执行</w:t>
      </w:r>
      <w:r>
        <w:rPr>
          <w:rFonts w:hint="eastAsia" w:ascii="Times New Roman" w:hAnsi="Times New Roman" w:eastAsia="宋体" w:cs="Times New Roman"/>
          <w:highlight w:val="none"/>
          <w:lang w:val="en-US" w:eastAsia="zh-CN"/>
        </w:rPr>
        <w:t>。</w:t>
      </w:r>
    </w:p>
    <w:p w14:paraId="7B87259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2.江苏中南建筑公司主要负责人丁</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违反了《中华人民共和国安全生产法》第二十一条第（五）项的规定，对事故发生负有领导责任。依据《中华人民共和国安全生产法》第九十五条第（一）项的规定，结合《北京市安全生产行政处罚自由裁量基准》中《中华人民共和国安全生产法》相关规定裁量基准（四），建议区应急局给予丁</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罚款上一年年度收入40%的行政处罚。</w:t>
      </w:r>
    </w:p>
    <w:p w14:paraId="2D95EAC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lang w:val="en-US" w:eastAsia="zh-CN"/>
        </w:rPr>
        <w:t>丁</w:t>
      </w:r>
      <w:r>
        <w:rPr>
          <w:rFonts w:hint="eastAsia" w:ascii="Times New Roman" w:hAnsi="Times New Roman" w:cs="Times New Roman"/>
          <w:highlight w:val="none"/>
          <w:lang w:val="en-US" w:eastAsia="zh-CN"/>
        </w:rPr>
        <w:t>*</w:t>
      </w:r>
      <w:r>
        <w:rPr>
          <w:rFonts w:hint="eastAsia" w:ascii="Times New Roman" w:hAnsi="Times New Roman" w:cs="Times New Roman"/>
          <w:lang w:val="en-US" w:eastAsia="zh-CN"/>
        </w:rPr>
        <w:t>处</w:t>
      </w:r>
      <w:r>
        <w:rPr>
          <w:rFonts w:hint="eastAsia" w:ascii="Times New Roman" w:hAnsi="Times New Roman" w:eastAsia="宋体" w:cs="Times New Roman"/>
          <w:highlight w:val="none"/>
          <w:lang w:val="en-US" w:eastAsia="zh-CN"/>
        </w:rPr>
        <w:t>以人民币</w:t>
      </w:r>
      <w:r>
        <w:rPr>
          <w:rFonts w:hint="eastAsia" w:ascii="Times New Roman" w:hAnsi="Times New Roman" w:cs="Times New Roman"/>
          <w:highlight w:val="none"/>
          <w:lang w:val="en-US" w:eastAsia="zh-CN"/>
        </w:rPr>
        <w:t>叁万陆仟元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010</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号），人员罚款已缴纳。</w:t>
      </w:r>
    </w:p>
    <w:p w14:paraId="5B9908DC">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r>
        <w:rPr>
          <w:rFonts w:hint="eastAsia" w:ascii="Times New Roman" w:hAnsi="Times New Roman" w:cs="Times New Roman"/>
          <w:b/>
          <w:szCs w:val="28"/>
          <w:lang w:val="en-US" w:eastAsia="zh-CN"/>
        </w:rPr>
        <w:t>3.2.2 中星联丰建设公司</w:t>
      </w:r>
    </w:p>
    <w:p w14:paraId="7EE0640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cs="Times New Roman"/>
          <w:lang w:val="en-US" w:eastAsia="zh-CN"/>
        </w:rPr>
        <w:t>处理建议</w:t>
      </w:r>
      <w:r>
        <w:rPr>
          <w:rFonts w:hint="eastAsia" w:ascii="Times New Roman" w:hAnsi="Times New Roman" w:eastAsia="宋体" w:cs="Times New Roman"/>
          <w:lang w:val="en-US" w:eastAsia="zh-CN"/>
        </w:rPr>
        <w:t>如下：</w:t>
      </w:r>
    </w:p>
    <w:p w14:paraId="51A2332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cs="Times New Roman"/>
          <w:lang w:val="en-US" w:eastAsia="zh-CN"/>
        </w:rPr>
        <w:t>1.中星联丰建设公司</w:t>
      </w:r>
      <w:r>
        <w:rPr>
          <w:rFonts w:hint="eastAsia" w:ascii="Times New Roman" w:hAnsi="Times New Roman" w:cs="Times New Roman"/>
          <w:lang w:val="zh-CN" w:eastAsia="zh-CN"/>
        </w:rPr>
        <w:t>，违反了《中华人民共和国安全生产法》第二十八条第一款、第四十一条第二款、第四十四条第一款规定，对事故的发生负有直接管理责任。依据《中华人民共和国安全生产法》第一百一十四条第一款第（一）项的规定，结合《生产安全事故罚款处罚规定》第十四条第（二）项的规定，建议区应急局给予中星联丰建设公司罚款50万元以上70万元以下的行政处罚。</w:t>
      </w:r>
    </w:p>
    <w:p w14:paraId="626D8BE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lang w:val="zh-CN" w:eastAsia="zh-CN"/>
        </w:rPr>
        <w:t>中星联丰建设公司</w:t>
      </w:r>
      <w:r>
        <w:rPr>
          <w:rFonts w:hint="eastAsia" w:ascii="Times New Roman" w:hAnsi="Times New Roman" w:eastAsia="宋体" w:cs="Times New Roman"/>
          <w:highlight w:val="none"/>
          <w:lang w:val="en-US" w:eastAsia="zh-CN"/>
        </w:rPr>
        <w:t>处以人民币</w:t>
      </w:r>
      <w:r>
        <w:rPr>
          <w:rFonts w:hint="eastAsia" w:ascii="Times New Roman" w:hAnsi="Times New Roman" w:cs="Times New Roman"/>
          <w:highlight w:val="none"/>
          <w:lang w:val="en-US" w:eastAsia="zh-CN"/>
        </w:rPr>
        <w:t>伍拾贰</w:t>
      </w:r>
      <w:r>
        <w:rPr>
          <w:rFonts w:hint="eastAsia" w:ascii="Times New Roman" w:hAnsi="Times New Roman" w:eastAsia="宋体" w:cs="Times New Roman"/>
          <w:highlight w:val="none"/>
          <w:lang w:val="en-US" w:eastAsia="zh-CN"/>
        </w:rPr>
        <w:t>万元的行政处罚（处罚决定书编号：（昌）应急（事故）罚〔202</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010</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号），公司罚款已缴纳。</w:t>
      </w:r>
    </w:p>
    <w:p w14:paraId="29E6795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2.中星联丰建设公司法定代表人陈*东，违反了《中华人民共和国安全生产法》第二十一条第（五）项的规定，对事故发生负有领导责任。依据《中华人民共和国安全生产法》第九十五条第（一）项的规定，结合《北京市安全生产行政处罚自由裁量基准》中《中华人民共和国安全生产法》相关规定裁量基准（四），建议区应急局给予陈*东罚款上一年年度收入40%的行政处罚。</w:t>
      </w:r>
    </w:p>
    <w:p w14:paraId="09DB5AC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en-US" w:eastAsia="zh-CN"/>
        </w:rPr>
        <w:t>陈*东</w:t>
      </w:r>
      <w:r>
        <w:rPr>
          <w:rFonts w:hint="eastAsia" w:ascii="Times New Roman" w:hAnsi="Times New Roman" w:cs="Times New Roman"/>
          <w:lang w:val="en-US" w:eastAsia="zh-CN"/>
        </w:rPr>
        <w:t>处</w:t>
      </w:r>
      <w:r>
        <w:rPr>
          <w:rFonts w:hint="eastAsia" w:ascii="Times New Roman" w:hAnsi="Times New Roman" w:eastAsia="宋体" w:cs="Times New Roman"/>
          <w:highlight w:val="none"/>
          <w:lang w:val="en-US" w:eastAsia="zh-CN"/>
        </w:rPr>
        <w:t>以人民币</w:t>
      </w:r>
      <w:r>
        <w:rPr>
          <w:rFonts w:hint="eastAsia" w:ascii="Times New Roman" w:hAnsi="Times New Roman" w:cs="Times New Roman"/>
          <w:highlight w:val="none"/>
          <w:lang w:val="en-US" w:eastAsia="zh-CN"/>
        </w:rPr>
        <w:t>陆万元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010</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号），人员罚款已缴纳。</w:t>
      </w:r>
    </w:p>
    <w:p w14:paraId="5616521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r>
        <w:rPr>
          <w:rFonts w:hint="eastAsia" w:ascii="Times New Roman" w:hAnsi="Times New Roman" w:cs="Times New Roman"/>
          <w:b/>
          <w:szCs w:val="28"/>
          <w:lang w:val="en-US" w:eastAsia="zh-CN"/>
        </w:rPr>
        <w:t>3.2.3 北京中城建建设管理有限公司（以下简称：中城建监理公司）</w:t>
      </w:r>
    </w:p>
    <w:p w14:paraId="2697BC0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1.中城建监理公司项目总监王*军，违反了《中华人民共和国安全生产法》第二十五条第（五）项的规定，对事故发生负有监督管理责任。依据《中华人民共和国安全生产法》第九十六条的规定，结合《北京市安全生产行政处罚自由裁量基准》中《中华人民共和国安全生产法》相关规定裁量基准（三十八），建议区应急局给予王*军罚款上一年年度收入20%以上30%以下的行政处罚。</w:t>
      </w:r>
    </w:p>
    <w:p w14:paraId="37EE9A2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en-US" w:eastAsia="zh-CN"/>
        </w:rPr>
        <w:t>王*军</w:t>
      </w:r>
      <w:r>
        <w:rPr>
          <w:rFonts w:hint="eastAsia" w:ascii="Times New Roman" w:hAnsi="Times New Roman" w:eastAsia="宋体" w:cs="Times New Roman"/>
          <w:highlight w:val="none"/>
          <w:lang w:val="en-US" w:eastAsia="zh-CN"/>
        </w:rPr>
        <w:t>处以人民币</w:t>
      </w:r>
      <w:r>
        <w:rPr>
          <w:rFonts w:hint="eastAsia" w:ascii="Times New Roman" w:hAnsi="Times New Roman" w:cs="Times New Roman"/>
          <w:highlight w:val="none"/>
          <w:lang w:val="en-US" w:eastAsia="zh-CN"/>
        </w:rPr>
        <w:t>壹万伍仟陆佰元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010</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lang w:val="en-US" w:eastAsia="zh-CN"/>
        </w:rPr>
        <w:t>号），</w:t>
      </w:r>
      <w:r>
        <w:rPr>
          <w:rFonts w:hint="eastAsia" w:ascii="Times New Roman" w:hAnsi="Times New Roman" w:cs="Times New Roman"/>
          <w:highlight w:val="none"/>
          <w:lang w:val="en-US" w:eastAsia="zh-CN"/>
        </w:rPr>
        <w:t>人员</w:t>
      </w:r>
      <w:r>
        <w:rPr>
          <w:rFonts w:hint="eastAsia" w:ascii="Times New Roman" w:hAnsi="Times New Roman" w:eastAsia="宋体" w:cs="Times New Roman"/>
          <w:highlight w:val="none"/>
          <w:lang w:val="en-US" w:eastAsia="zh-CN"/>
        </w:rPr>
        <w:t>罚款已缴纳。</w:t>
      </w:r>
    </w:p>
    <w:p w14:paraId="3FF2484E">
      <w:pPr>
        <w:keepNext w:val="0"/>
        <w:keepLines w:val="0"/>
        <w:pageBreakBefore w:val="0"/>
        <w:widowControl w:val="0"/>
        <w:numPr>
          <w:ilvl w:val="0"/>
          <w:numId w:val="4"/>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中城建监理公司项目总监代表韩*永，违反了《中华人民共和国安全生产法》第二十五条第（六）项的规定，对事故发生负有监督管理责任。依据《中华人民共和国安全生产法》第九十六条的规定，结合《北京市安全生产行政处罚自由裁量基准》中《中华人民共和国安全生产法》相关规定裁量基准（三十八），建议区应急局给予韩*永罚款上一年年度收入20%以上30%以下的行政处罚。</w:t>
      </w:r>
    </w:p>
    <w:p w14:paraId="04AEF62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en-US" w:eastAsia="zh-CN"/>
        </w:rPr>
        <w:t>韩*永</w:t>
      </w:r>
      <w:r>
        <w:rPr>
          <w:rFonts w:hint="eastAsia" w:ascii="Times New Roman" w:hAnsi="Times New Roman" w:cs="Times New Roman"/>
          <w:lang w:val="en-US" w:eastAsia="zh-CN"/>
        </w:rPr>
        <w:t>处</w:t>
      </w:r>
      <w:r>
        <w:rPr>
          <w:rFonts w:hint="eastAsia" w:ascii="Times New Roman" w:hAnsi="Times New Roman" w:eastAsia="宋体" w:cs="Times New Roman"/>
          <w:highlight w:val="none"/>
          <w:lang w:val="en-US" w:eastAsia="zh-CN"/>
        </w:rPr>
        <w:t>以人民币</w:t>
      </w:r>
      <w:r>
        <w:rPr>
          <w:rFonts w:hint="eastAsia" w:ascii="Times New Roman" w:hAnsi="Times New Roman" w:cs="Times New Roman"/>
          <w:highlight w:val="none"/>
          <w:lang w:val="en-US" w:eastAsia="zh-CN"/>
        </w:rPr>
        <w:t>壹万伍仟陆佰元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010</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6</w:t>
      </w:r>
      <w:r>
        <w:rPr>
          <w:rFonts w:hint="eastAsia" w:ascii="Times New Roman" w:hAnsi="Times New Roman" w:eastAsia="宋体" w:cs="Times New Roman"/>
          <w:highlight w:val="none"/>
          <w:lang w:val="en-US" w:eastAsia="zh-CN"/>
        </w:rPr>
        <w:t>号），人员罚款已缴纳。</w:t>
      </w:r>
    </w:p>
    <w:p w14:paraId="12997A8F">
      <w:pPr>
        <w:keepNext w:val="0"/>
        <w:keepLines w:val="0"/>
        <w:pageBreakBefore w:val="0"/>
        <w:widowControl w:val="0"/>
        <w:numPr>
          <w:ilvl w:val="0"/>
          <w:numId w:val="4"/>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中城建监理公司项目安全监理常*，违反了《中华人民共和国安全生产法》第二十五条第（六）项的规定，对事故发生负有监督管理责任。依据《中华人民共和国安全生产法》第九十六条的规定，结合《北京市安全生产行政处罚自由裁量基准》中《中华人民共和国安全生产法》相关规定裁量基准（三十八），建议区应急局给予常*罚款上一年年度收入20%以上30%以下的行政处罚。</w:t>
      </w:r>
    </w:p>
    <w:p w14:paraId="514A039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en-US" w:eastAsia="zh-CN"/>
        </w:rPr>
        <w:t>常*</w:t>
      </w:r>
      <w:r>
        <w:rPr>
          <w:rFonts w:hint="eastAsia" w:ascii="Times New Roman" w:hAnsi="Times New Roman" w:cs="Times New Roman"/>
          <w:lang w:val="en-US" w:eastAsia="zh-CN"/>
        </w:rPr>
        <w:t>处</w:t>
      </w:r>
      <w:r>
        <w:rPr>
          <w:rFonts w:hint="eastAsia" w:ascii="Times New Roman" w:hAnsi="Times New Roman" w:eastAsia="宋体" w:cs="Times New Roman"/>
          <w:highlight w:val="none"/>
          <w:lang w:val="en-US" w:eastAsia="zh-CN"/>
        </w:rPr>
        <w:t>以人民币</w:t>
      </w:r>
      <w:r>
        <w:rPr>
          <w:rFonts w:hint="eastAsia" w:ascii="Times New Roman" w:hAnsi="Times New Roman" w:cs="Times New Roman"/>
          <w:highlight w:val="none"/>
          <w:lang w:val="en-US" w:eastAsia="zh-CN"/>
        </w:rPr>
        <w:t>壹万叁仟贰佰元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010</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7</w:t>
      </w:r>
      <w:r>
        <w:rPr>
          <w:rFonts w:hint="eastAsia" w:ascii="Times New Roman" w:hAnsi="Times New Roman" w:eastAsia="宋体" w:cs="Times New Roman"/>
          <w:highlight w:val="none"/>
          <w:lang w:val="en-US" w:eastAsia="zh-CN"/>
        </w:rPr>
        <w:t>号），人员罚款已缴纳。</w:t>
      </w:r>
    </w:p>
    <w:p w14:paraId="78544F3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r>
        <w:rPr>
          <w:rFonts w:hint="eastAsia" w:ascii="Times New Roman" w:hAnsi="Times New Roman" w:cs="Times New Roman"/>
          <w:b/>
          <w:szCs w:val="28"/>
          <w:lang w:val="en-US" w:eastAsia="zh-CN"/>
        </w:rPr>
        <w:t>3.2.4 天津尚真园林工程有限公司（以下简称：天津尚真劳务公司）</w:t>
      </w:r>
    </w:p>
    <w:p w14:paraId="651E7CDC">
      <w:pPr>
        <w:keepNext w:val="0"/>
        <w:keepLines w:val="0"/>
        <w:pageBreakBefore w:val="0"/>
        <w:widowControl w:val="0"/>
        <w:numPr>
          <w:ilvl w:val="0"/>
          <w:numId w:val="5"/>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天津尚真劳务公司现场负责人石*宇，违反了《中华人民共和国安全生产法》第二十五条第（五）项的规定，对事故发生负有直接管理责任。依据《中华人民共和国安全生产法》第九十六条的规定，结合《北京市安全生产行政处罚自由裁量基准》中《中华人民共和国安全生产法》相关规定裁量基准（三十八），建议区应急局给予石*宇罚款上一年年度收入20%以上30%以下的行政处罚。</w:t>
      </w:r>
    </w:p>
    <w:p w14:paraId="4F437D84">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highlight w:val="none"/>
          <w:lang w:val="zh-CN"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eastAsia" w:ascii="Times New Roman" w:hAnsi="Times New Roman" w:cs="Times New Roman"/>
          <w:highlight w:val="none"/>
          <w:lang w:val="en-US" w:eastAsia="zh-CN"/>
        </w:rPr>
        <w:t>石*宇</w:t>
      </w:r>
      <w:r>
        <w:rPr>
          <w:rFonts w:hint="eastAsia" w:ascii="Times New Roman" w:hAnsi="Times New Roman" w:eastAsia="宋体" w:cs="Times New Roman"/>
          <w:highlight w:val="none"/>
          <w:lang w:val="en-US" w:eastAsia="zh-CN"/>
        </w:rPr>
        <w:t>以人民币</w:t>
      </w:r>
      <w:r>
        <w:rPr>
          <w:rFonts w:hint="eastAsia" w:ascii="Times New Roman" w:hAnsi="Times New Roman" w:cs="Times New Roman"/>
          <w:highlight w:val="none"/>
          <w:lang w:val="en-US" w:eastAsia="zh-CN"/>
        </w:rPr>
        <w:t>壹万贰仟元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010</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8</w:t>
      </w:r>
      <w:r>
        <w:rPr>
          <w:rFonts w:hint="eastAsia" w:ascii="Times New Roman" w:hAnsi="Times New Roman" w:eastAsia="宋体" w:cs="Times New Roman"/>
          <w:highlight w:val="none"/>
          <w:lang w:val="en-US" w:eastAsia="zh-CN"/>
        </w:rPr>
        <w:t>号），人员罚款已缴纳。</w:t>
      </w:r>
    </w:p>
    <w:p w14:paraId="0465110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highlight w:val="none"/>
          <w:lang w:val="zh-CN"/>
        </w:rPr>
      </w:pPr>
      <w:bookmarkStart w:id="77" w:name="_Toc27401"/>
      <w:bookmarkStart w:id="78" w:name="_Toc24634"/>
      <w:bookmarkStart w:id="79" w:name="_Toc13132"/>
      <w:bookmarkStart w:id="80" w:name="_Toc6486"/>
      <w:r>
        <w:rPr>
          <w:rFonts w:hint="default" w:ascii="Times New Roman" w:hAnsi="Times New Roman"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4</w:t>
      </w:r>
      <w:r>
        <w:rPr>
          <w:rFonts w:hint="default" w:ascii="Times New Roman" w:hAnsi="Times New Roman" w:cs="Times New Roman"/>
          <w:b/>
          <w:kern w:val="0"/>
          <w:sz w:val="32"/>
          <w:szCs w:val="44"/>
          <w:highlight w:val="none"/>
          <w:lang w:val="zh-CN"/>
        </w:rPr>
        <w:t>章 事故责任单位</w:t>
      </w:r>
      <w:r>
        <w:rPr>
          <w:rFonts w:hint="eastAsia" w:ascii="Times New Roman" w:hAnsi="Times New Roman" w:cs="Times New Roman"/>
          <w:b/>
          <w:kern w:val="0"/>
          <w:sz w:val="32"/>
          <w:szCs w:val="44"/>
          <w:highlight w:val="none"/>
          <w:lang w:val="zh-CN"/>
        </w:rPr>
        <w:t>整改和防范</w:t>
      </w:r>
      <w:r>
        <w:rPr>
          <w:rFonts w:hint="default" w:ascii="Times New Roman" w:hAnsi="Times New Roman" w:cs="Times New Roman"/>
          <w:b/>
          <w:kern w:val="0"/>
          <w:sz w:val="32"/>
          <w:szCs w:val="44"/>
          <w:highlight w:val="none"/>
          <w:lang w:val="zh-CN"/>
        </w:rPr>
        <w:t>措施落实情况</w:t>
      </w:r>
      <w:bookmarkEnd w:id="71"/>
      <w:bookmarkEnd w:id="72"/>
      <w:bookmarkEnd w:id="73"/>
      <w:bookmarkEnd w:id="77"/>
      <w:bookmarkEnd w:id="78"/>
      <w:bookmarkEnd w:id="79"/>
      <w:bookmarkEnd w:id="80"/>
    </w:p>
    <w:p w14:paraId="60766E3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81" w:name="_Toc529967246"/>
      <w:bookmarkStart w:id="82" w:name="_Toc27578"/>
      <w:bookmarkStart w:id="83" w:name="_Toc23074"/>
      <w:bookmarkStart w:id="84" w:name="_Toc27877"/>
      <w:bookmarkStart w:id="85" w:name="_Toc6719"/>
      <w:bookmarkStart w:id="86" w:name="_Toc16478"/>
      <w:bookmarkStart w:id="87" w:name="_Toc7374"/>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81"/>
      <w:r>
        <w:rPr>
          <w:rFonts w:hint="eastAsia" w:ascii="Times New Roman" w:hAnsi="Times New Roman" w:cs="Times New Roman"/>
          <w:b/>
          <w:bCs/>
          <w:kern w:val="0"/>
          <w:szCs w:val="28"/>
          <w:lang w:val="en-US" w:eastAsia="zh-CN"/>
        </w:rPr>
        <w:t>1</w:t>
      </w:r>
      <w:r>
        <w:rPr>
          <w:rFonts w:hint="default" w:ascii="Times New Roman" w:hAnsi="Times New Roman" w:eastAsia="宋体" w:cs="Times New Roman"/>
          <w:b/>
          <w:bCs/>
          <w:kern w:val="0"/>
          <w:szCs w:val="28"/>
        </w:rPr>
        <w:t xml:space="preserve"> </w:t>
      </w:r>
      <w:bookmarkEnd w:id="82"/>
      <w:bookmarkEnd w:id="83"/>
      <w:r>
        <w:rPr>
          <w:rFonts w:hint="eastAsia" w:ascii="Times New Roman" w:hAnsi="Times New Roman" w:cs="Times New Roman"/>
          <w:b/>
          <w:bCs/>
          <w:kern w:val="0"/>
          <w:szCs w:val="28"/>
          <w:lang w:val="en-US" w:eastAsia="zh-CN"/>
        </w:rPr>
        <w:t>江苏中南建筑公司落实情况</w:t>
      </w:r>
      <w:bookmarkEnd w:id="84"/>
      <w:bookmarkEnd w:id="85"/>
      <w:bookmarkEnd w:id="86"/>
      <w:bookmarkEnd w:id="87"/>
    </w:p>
    <w:p w14:paraId="50F9B100">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88" w:name="_Toc27332"/>
      <w:r>
        <w:rPr>
          <w:rFonts w:hint="eastAsia" w:ascii="Times New Roman" w:hAnsi="Times New Roman" w:cs="Times New Roman"/>
          <w:b/>
          <w:szCs w:val="28"/>
          <w:lang w:val="en-US" w:eastAsia="zh-CN"/>
        </w:rPr>
        <w:t>4.1.1</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事故整改和防范措施</w:t>
      </w:r>
      <w:bookmarkEnd w:id="88"/>
    </w:p>
    <w:p w14:paraId="779C77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89" w:name="_Toc107394543"/>
      <w:bookmarkStart w:id="90" w:name="_Toc107394614"/>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5513636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深刻汲取事故教训，严格遵守安全生产法律法规及相关规章制度，严格履行安全生产主体责任，落实本单位全员安全生产责任制、安全隐患排查治理制度，加强对商铺装修装饰施工作业现场的监督管理，严禁施工作业人员无证上岗和违法、违规、违章作业行为，发现问题隐患及时整改，坚决杜绝类似事故再次发生</w:t>
      </w:r>
      <w:r>
        <w:rPr>
          <w:rFonts w:hint="eastAsia" w:ascii="Times New Roman" w:hAnsi="Times New Roman" w:cs="Times New Roman"/>
          <w:lang w:val="zh-CN" w:eastAsia="zh-CN"/>
        </w:rPr>
        <w:t>。</w:t>
      </w:r>
    </w:p>
    <w:p w14:paraId="4793B7E4">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91" w:name="_Toc7998"/>
      <w:r>
        <w:rPr>
          <w:rFonts w:hint="eastAsia" w:ascii="Times New Roman" w:hAnsi="Times New Roman" w:cs="Times New Roman"/>
          <w:b/>
          <w:szCs w:val="28"/>
          <w:lang w:val="en-US" w:eastAsia="zh-CN"/>
        </w:rPr>
        <w:t>4.1.2</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具体落实情况</w:t>
      </w:r>
      <w:bookmarkEnd w:id="91"/>
    </w:p>
    <w:p w14:paraId="2A55C38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在3月28日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2866AD1E">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b w:val="0"/>
          <w:bCs w:val="0"/>
          <w:lang w:val="en-US" w:eastAsia="zh-CN"/>
        </w:rPr>
      </w:pPr>
      <w:r>
        <w:rPr>
          <w:rFonts w:hint="eastAsia" w:ascii="Times New Roman" w:hAnsi="Times New Roman" w:cs="Times New Roman"/>
          <w:highlight w:val="none"/>
          <w:lang w:val="en-US" w:eastAsia="zh-CN"/>
        </w:rPr>
        <w:t>经</w:t>
      </w:r>
      <w:r>
        <w:rPr>
          <w:rFonts w:hint="default" w:ascii="Times New Roman" w:hAnsi="Times New Roman" w:cs="Times New Roman"/>
          <w:lang w:val="en-US" w:eastAsia="zh-CN"/>
        </w:rPr>
        <w:t>核实，</w:t>
      </w:r>
      <w:r>
        <w:rPr>
          <w:rFonts w:hint="eastAsia" w:ascii="宋体" w:hAnsi="宋体" w:eastAsia="宋体"/>
          <w:sz w:val="28"/>
          <w:szCs w:val="28"/>
          <w:lang w:val="en-US" w:eastAsia="zh-CN"/>
        </w:rPr>
        <w:t>事故现场</w:t>
      </w:r>
      <w:r>
        <w:rPr>
          <w:rFonts w:hint="eastAsia" w:ascii="宋体" w:hAnsi="宋体" w:eastAsia="宋体"/>
          <w:sz w:val="28"/>
          <w:szCs w:val="28"/>
        </w:rPr>
        <w:t>装修已施工结束</w:t>
      </w:r>
      <w:r>
        <w:rPr>
          <w:rFonts w:hint="default" w:ascii="Times New Roman" w:hAnsi="Times New Roman" w:cs="Times New Roman"/>
          <w:lang w:val="en-US" w:eastAsia="zh-CN"/>
        </w:rPr>
        <w:t>，</w:t>
      </w:r>
      <w:r>
        <w:rPr>
          <w:rFonts w:hint="eastAsia" w:ascii="Times New Roman" w:hAnsi="Times New Roman" w:cs="Times New Roman"/>
          <w:lang w:val="en-US" w:eastAsia="zh-CN"/>
        </w:rPr>
        <w:t>已移交建设单位开展运营。</w:t>
      </w:r>
      <w:r>
        <w:rPr>
          <w:rFonts w:hint="default" w:ascii="Times New Roman" w:hAnsi="Times New Roman" w:cs="Times New Roman"/>
          <w:lang w:val="en-US" w:eastAsia="zh-CN"/>
        </w:rPr>
        <w:t>评估组对事故单位提供的</w:t>
      </w:r>
      <w:r>
        <w:rPr>
          <w:rFonts w:hint="default" w:ascii="Times New Roman" w:hAnsi="Times New Roman" w:cs="Times New Roman"/>
          <w:highlight w:val="none"/>
          <w:lang w:val="en-US" w:eastAsia="zh-CN"/>
        </w:rPr>
        <w:t>事故整改报告</w:t>
      </w:r>
      <w:r>
        <w:rPr>
          <w:rFonts w:hint="default" w:ascii="Times New Roman" w:hAnsi="Times New Roman" w:eastAsia="宋体" w:cs="Times New Roman"/>
          <w:lang w:val="en-US" w:eastAsia="zh-CN"/>
        </w:rPr>
        <w:t>进行了询问和查看</w:t>
      </w:r>
      <w:r>
        <w:rPr>
          <w:rFonts w:hint="eastAsia" w:ascii="Times New Roman" w:hAnsi="Times New Roman" w:cs="Times New Roman"/>
          <w:lang w:val="en-US" w:eastAsia="zh-CN"/>
        </w:rPr>
        <w:t>，江苏中南建筑公司表示自事故发生后，受经营情况影响，暂未在北京开展类似建筑施工作业活动。</w:t>
      </w:r>
    </w:p>
    <w:p w14:paraId="5094129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92" w:name="_Toc3648"/>
      <w:r>
        <w:rPr>
          <w:rFonts w:hint="eastAsia" w:ascii="Times New Roman" w:hAnsi="Times New Roman" w:cs="Times New Roman"/>
          <w:b/>
          <w:szCs w:val="28"/>
          <w:lang w:val="en-US" w:eastAsia="zh-CN"/>
        </w:rPr>
        <w:t>4.1.3</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安全现状评估情况</w:t>
      </w:r>
      <w:bookmarkEnd w:id="92"/>
    </w:p>
    <w:p w14:paraId="1486F63C">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sz w:val="28"/>
          <w:szCs w:val="28"/>
          <w:highlight w:val="none"/>
          <w:lang w:val="en-US" w:eastAsia="zh-CN"/>
        </w:rPr>
      </w:pPr>
      <w:r>
        <w:rPr>
          <w:rFonts w:hint="eastAsia" w:ascii="Times New Roman" w:hAnsi="Times New Roman" w:cs="Times New Roman"/>
          <w:lang w:val="en-US" w:eastAsia="zh-CN"/>
        </w:rPr>
        <w:t>江苏中南建筑公司表示，暂未在北京开展类似建筑施工作业活动。</w:t>
      </w:r>
      <w:r>
        <w:rPr>
          <w:rFonts w:hint="eastAsia" w:ascii="Times New Roman" w:hAnsi="Times New Roman" w:eastAsia="宋体"/>
          <w:sz w:val="28"/>
          <w:szCs w:val="28"/>
          <w:lang w:val="en-US" w:eastAsia="zh-CN"/>
        </w:rPr>
        <w:t>若事故单位后续恢复现场</w:t>
      </w:r>
      <w:r>
        <w:rPr>
          <w:rFonts w:hint="eastAsia" w:ascii="Times New Roman" w:hAnsi="Times New Roman"/>
          <w:sz w:val="28"/>
          <w:szCs w:val="28"/>
          <w:lang w:val="en-US" w:eastAsia="zh-CN"/>
        </w:rPr>
        <w:t>施工作业活动</w:t>
      </w:r>
      <w:r>
        <w:rPr>
          <w:rFonts w:hint="eastAsia" w:ascii="Times New Roman" w:hAnsi="Times New Roman" w:eastAsia="宋体"/>
          <w:sz w:val="28"/>
          <w:szCs w:val="28"/>
          <w:lang w:val="en-US" w:eastAsia="zh-CN"/>
        </w:rPr>
        <w:t>，</w:t>
      </w:r>
      <w:r>
        <w:rPr>
          <w:rFonts w:hint="default" w:ascii="Times New Roman" w:hAnsi="Times New Roman" w:eastAsia="宋体"/>
          <w:sz w:val="28"/>
          <w:szCs w:val="28"/>
          <w:lang w:val="en-US" w:eastAsia="zh-CN"/>
        </w:rPr>
        <w:t>除做好本次事故相关整改措施的落实工作外，还应吸取事故教训，按照</w:t>
      </w:r>
      <w:r>
        <w:rPr>
          <w:rFonts w:hint="eastAsia" w:ascii="Times New Roman" w:hAnsi="Times New Roman" w:eastAsia="宋体"/>
          <w:sz w:val="28"/>
          <w:szCs w:val="28"/>
          <w:lang w:val="en-US" w:eastAsia="zh-CN"/>
        </w:rPr>
        <w:t>安全生产</w:t>
      </w:r>
      <w:r>
        <w:rPr>
          <w:rFonts w:hint="eastAsia" w:ascii="Times New Roman" w:hAnsi="Times New Roman"/>
          <w:sz w:val="28"/>
          <w:szCs w:val="28"/>
          <w:lang w:val="en-US" w:eastAsia="zh-CN"/>
        </w:rPr>
        <w:t>、建筑施工相关</w:t>
      </w:r>
      <w:r>
        <w:rPr>
          <w:rFonts w:hint="eastAsia" w:ascii="Times New Roman" w:hAnsi="Times New Roman" w:eastAsia="宋体"/>
          <w:sz w:val="28"/>
          <w:szCs w:val="28"/>
          <w:lang w:val="en-US" w:eastAsia="zh-CN"/>
        </w:rPr>
        <w:t>法规</w:t>
      </w:r>
      <w:r>
        <w:rPr>
          <w:rFonts w:hint="eastAsia" w:ascii="Times New Roman" w:hAnsi="Times New Roman"/>
          <w:sz w:val="28"/>
          <w:szCs w:val="28"/>
          <w:lang w:val="en-US" w:eastAsia="zh-CN"/>
        </w:rPr>
        <w:t>进一步完善</w:t>
      </w:r>
      <w:r>
        <w:rPr>
          <w:rFonts w:hint="eastAsia" w:ascii="Times New Roman" w:hAnsi="Times New Roman" w:eastAsia="宋体"/>
          <w:sz w:val="28"/>
          <w:szCs w:val="28"/>
          <w:lang w:val="en-US" w:eastAsia="zh-CN"/>
        </w:rPr>
        <w:t>，</w:t>
      </w:r>
      <w:r>
        <w:rPr>
          <w:rFonts w:hint="eastAsia" w:ascii="Times New Roman" w:hAnsi="Times New Roman" w:eastAsia="宋体"/>
          <w:sz w:val="28"/>
          <w:szCs w:val="28"/>
          <w:highlight w:val="none"/>
          <w:lang w:val="en-US" w:eastAsia="zh-CN"/>
        </w:rPr>
        <w:t>详见《中关村商城二期-3项目2#楼西侧艺术雨棚工程“3·23”</w:t>
      </w:r>
      <w:r>
        <w:rPr>
          <w:rFonts w:hint="eastAsia" w:ascii="Times New Roman" w:hAnsi="Times New Roman"/>
          <w:sz w:val="28"/>
          <w:szCs w:val="28"/>
          <w:highlight w:val="none"/>
          <w:lang w:val="en-US" w:eastAsia="zh-CN"/>
        </w:rPr>
        <w:t>一般生产安全</w:t>
      </w:r>
      <w:r>
        <w:rPr>
          <w:rFonts w:hint="default" w:ascii="Times New Roman" w:hAnsi="Times New Roman" w:eastAsia="宋体" w:cs="Times New Roman"/>
        </w:rPr>
        <w:t>事故</w:t>
      </w:r>
      <w:r>
        <w:rPr>
          <w:rFonts w:hint="eastAsia" w:ascii="Times New Roman" w:hAnsi="Times New Roman" w:eastAsia="宋体" w:cs="Times New Roman"/>
          <w:lang w:val="en-US" w:eastAsia="zh-CN"/>
        </w:rPr>
        <w:t>安全现状评估报告</w:t>
      </w:r>
      <w:r>
        <w:rPr>
          <w:rFonts w:hint="eastAsia" w:ascii="Times New Roman" w:hAnsi="Times New Roman" w:eastAsia="宋体"/>
          <w:sz w:val="28"/>
          <w:szCs w:val="28"/>
          <w:highlight w:val="none"/>
          <w:lang w:val="en-US" w:eastAsia="zh-CN"/>
        </w:rPr>
        <w:t>》（简称《安全现状评估报告》）。</w:t>
      </w:r>
    </w:p>
    <w:p w14:paraId="1DA41466">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93" w:name="_Toc1621"/>
      <w:bookmarkStart w:id="94" w:name="_Toc6111"/>
      <w:bookmarkStart w:id="95" w:name="_Toc31850"/>
      <w:bookmarkStart w:id="96" w:name="_Toc26319"/>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2 中星联丰建设公司</w:t>
      </w:r>
      <w:r>
        <w:rPr>
          <w:rFonts w:hint="default" w:ascii="Times New Roman" w:hAnsi="Times New Roman" w:eastAsia="宋体" w:cs="Times New Roman"/>
          <w:b/>
          <w:bCs/>
          <w:kern w:val="0"/>
          <w:szCs w:val="28"/>
        </w:rPr>
        <w:t>落实情况</w:t>
      </w:r>
      <w:bookmarkEnd w:id="89"/>
      <w:bookmarkEnd w:id="90"/>
      <w:bookmarkEnd w:id="93"/>
      <w:bookmarkEnd w:id="94"/>
      <w:bookmarkEnd w:id="95"/>
      <w:bookmarkEnd w:id="96"/>
    </w:p>
    <w:p w14:paraId="723C3DBC">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97" w:name="_Toc17217"/>
      <w:r>
        <w:rPr>
          <w:rFonts w:hint="eastAsia" w:ascii="Times New Roman" w:hAnsi="Times New Roman" w:cs="Times New Roman"/>
          <w:b/>
          <w:szCs w:val="28"/>
          <w:lang w:val="en-US" w:eastAsia="zh-CN"/>
        </w:rPr>
        <w:t>4.2.1</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事故整改和防范措施</w:t>
      </w:r>
      <w:bookmarkEnd w:id="97"/>
    </w:p>
    <w:p w14:paraId="5172A17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32D0067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深刻汲取事故教训，严格落实安全生产主体责任，建立健全并落实安全生产责任制及安全生产规章制度；督促作业人员严格执行安全生产规章制度及安全操作规程；向作业人员提供符合国家标准或行业标准的劳动防护用品，并监督、教育从业人员规范佩戴使用，加强安全生产教育和培训，保证从业人员具备必要的安全生产知识，杜绝</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三违</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行为发生，谨防类似事故发生。</w:t>
      </w:r>
    </w:p>
    <w:p w14:paraId="0CCC59F5">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98" w:name="_Toc17355"/>
      <w:r>
        <w:rPr>
          <w:rFonts w:hint="eastAsia" w:ascii="Times New Roman" w:hAnsi="Times New Roman" w:cs="Times New Roman"/>
          <w:b/>
          <w:szCs w:val="28"/>
          <w:lang w:val="en-US" w:eastAsia="zh-CN"/>
        </w:rPr>
        <w:t>4.2.2</w:t>
      </w:r>
      <w:r>
        <w:rPr>
          <w:rFonts w:hint="default" w:ascii="Times New Roman" w:hAnsi="Times New Roman" w:cs="Times New Roman"/>
          <w:b/>
          <w:szCs w:val="28"/>
          <w:lang w:val="en-US" w:eastAsia="zh-CN"/>
        </w:rPr>
        <w:t xml:space="preserve"> </w:t>
      </w:r>
      <w:r>
        <w:rPr>
          <w:rFonts w:hint="eastAsia" w:ascii="Times New Roman" w:hAnsi="Times New Roman" w:cs="Times New Roman"/>
          <w:b/>
          <w:szCs w:val="28"/>
          <w:lang w:val="en-US" w:eastAsia="zh-CN"/>
        </w:rPr>
        <w:t>具体落实情况</w:t>
      </w:r>
      <w:bookmarkEnd w:id="98"/>
    </w:p>
    <w:p w14:paraId="098494FB">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在3月28日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14F4CD8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b/>
          <w:bCs/>
          <w:lang w:val="en-US" w:eastAsia="zh-CN"/>
        </w:rPr>
      </w:pPr>
      <w:r>
        <w:rPr>
          <w:rFonts w:hint="default" w:ascii="Times New Roman" w:hAnsi="Times New Roman" w:eastAsia="宋体" w:cs="Times New Roman"/>
          <w:lang w:val="zh-CN" w:eastAsia="zh-CN"/>
        </w:rPr>
        <w:t>经核实，</w:t>
      </w:r>
      <w:r>
        <w:rPr>
          <w:rFonts w:hint="eastAsia" w:ascii="宋体" w:hAnsi="宋体" w:eastAsia="宋体"/>
          <w:sz w:val="28"/>
          <w:szCs w:val="28"/>
          <w:lang w:val="en-US" w:eastAsia="zh-CN"/>
        </w:rPr>
        <w:t>事故现场</w:t>
      </w:r>
      <w:r>
        <w:rPr>
          <w:rFonts w:hint="eastAsia" w:ascii="宋体" w:hAnsi="宋体" w:eastAsia="宋体"/>
          <w:sz w:val="28"/>
          <w:szCs w:val="28"/>
        </w:rPr>
        <w:t>装修已施工结束</w:t>
      </w:r>
      <w:r>
        <w:rPr>
          <w:rFonts w:hint="default" w:ascii="Times New Roman" w:hAnsi="Times New Roman" w:cs="Times New Roman"/>
          <w:lang w:val="en-US" w:eastAsia="zh-CN"/>
        </w:rPr>
        <w:t>，</w:t>
      </w:r>
      <w:r>
        <w:rPr>
          <w:rFonts w:hint="eastAsia" w:ascii="Times New Roman" w:hAnsi="Times New Roman" w:cs="Times New Roman"/>
          <w:lang w:val="en-US" w:eastAsia="zh-CN"/>
        </w:rPr>
        <w:t>已移交建设单位开展运营。</w:t>
      </w:r>
      <w:r>
        <w:rPr>
          <w:rFonts w:hint="default" w:ascii="Times New Roman" w:hAnsi="Times New Roman" w:cs="Times New Roman"/>
          <w:lang w:val="en-US" w:eastAsia="zh-CN"/>
        </w:rPr>
        <w:t>评估组对事故单位提供的</w:t>
      </w:r>
      <w:r>
        <w:rPr>
          <w:rFonts w:hint="default" w:ascii="Times New Roman" w:hAnsi="Times New Roman" w:cs="Times New Roman"/>
          <w:highlight w:val="none"/>
          <w:lang w:val="en-US" w:eastAsia="zh-CN"/>
        </w:rPr>
        <w:t>事故整改报告</w:t>
      </w:r>
      <w:r>
        <w:rPr>
          <w:rFonts w:hint="default" w:ascii="Times New Roman" w:hAnsi="Times New Roman" w:eastAsia="宋体" w:cs="Times New Roman"/>
          <w:lang w:val="en-US" w:eastAsia="zh-CN"/>
        </w:rPr>
        <w:t>进行了询问和查看</w:t>
      </w:r>
      <w:r>
        <w:rPr>
          <w:rFonts w:hint="eastAsia" w:ascii="Times New Roman" w:hAnsi="Times New Roman" w:cs="Times New Roman"/>
          <w:lang w:val="en-US" w:eastAsia="zh-CN"/>
        </w:rPr>
        <w:t>，中星联丰建设公司表示自事故发生后，受经营情况影响，暂未在北京开展类似建筑施工作业活动</w:t>
      </w:r>
      <w:r>
        <w:rPr>
          <w:rFonts w:hint="eastAsia" w:ascii="Times New Roman" w:hAnsi="Times New Roman"/>
          <w:b w:val="0"/>
          <w:bCs w:val="0"/>
          <w:lang w:val="en-US" w:eastAsia="zh-CN"/>
        </w:rPr>
        <w:t>。</w:t>
      </w:r>
    </w:p>
    <w:p w14:paraId="2AF1F23C">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99" w:name="_Toc26573"/>
      <w:r>
        <w:rPr>
          <w:rFonts w:hint="eastAsia" w:ascii="Times New Roman" w:hAnsi="Times New Roman" w:cs="Times New Roman"/>
          <w:b/>
          <w:szCs w:val="28"/>
          <w:lang w:val="en-US" w:eastAsia="zh-CN"/>
        </w:rPr>
        <w:t>4.2.3安全现状评估情况</w:t>
      </w:r>
      <w:bookmarkEnd w:id="99"/>
    </w:p>
    <w:p w14:paraId="278D8134">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sz w:val="28"/>
          <w:szCs w:val="28"/>
          <w:highlight w:val="none"/>
          <w:lang w:val="en-US" w:eastAsia="zh-CN"/>
        </w:rPr>
      </w:pPr>
      <w:bookmarkStart w:id="100" w:name="_Toc529967252"/>
      <w:bookmarkStart w:id="101" w:name="_Toc2654"/>
      <w:bookmarkStart w:id="102" w:name="_Toc19424"/>
      <w:r>
        <w:rPr>
          <w:rFonts w:hint="eastAsia" w:ascii="Times New Roman" w:hAnsi="Times New Roman" w:cs="Times New Roman"/>
          <w:lang w:val="en-US" w:eastAsia="zh-CN"/>
        </w:rPr>
        <w:t>中星联丰建设公司表示，暂未在北京开展类似建筑施工作业活动。</w:t>
      </w:r>
      <w:r>
        <w:rPr>
          <w:rFonts w:hint="eastAsia" w:ascii="Times New Roman" w:hAnsi="Times New Roman" w:eastAsia="宋体"/>
          <w:sz w:val="28"/>
          <w:szCs w:val="28"/>
          <w:lang w:val="en-US" w:eastAsia="zh-CN"/>
        </w:rPr>
        <w:t>若事故单位后续恢复现场</w:t>
      </w:r>
      <w:r>
        <w:rPr>
          <w:rFonts w:hint="eastAsia" w:ascii="Times New Roman" w:hAnsi="Times New Roman"/>
          <w:sz w:val="28"/>
          <w:szCs w:val="28"/>
          <w:lang w:val="en-US" w:eastAsia="zh-CN"/>
        </w:rPr>
        <w:t>施工作业活动</w:t>
      </w:r>
      <w:r>
        <w:rPr>
          <w:rFonts w:hint="eastAsia" w:ascii="Times New Roman" w:hAnsi="Times New Roman" w:eastAsia="宋体"/>
          <w:sz w:val="28"/>
          <w:szCs w:val="28"/>
          <w:lang w:val="en-US" w:eastAsia="zh-CN"/>
        </w:rPr>
        <w:t>，</w:t>
      </w:r>
      <w:r>
        <w:rPr>
          <w:rFonts w:hint="default" w:ascii="Times New Roman" w:hAnsi="Times New Roman" w:eastAsia="宋体"/>
          <w:sz w:val="28"/>
          <w:szCs w:val="28"/>
          <w:lang w:val="en-US" w:eastAsia="zh-CN"/>
        </w:rPr>
        <w:t>除做好本次事故相关整改措施的落实工作外，还应吸取事故教训，按照</w:t>
      </w:r>
      <w:r>
        <w:rPr>
          <w:rFonts w:hint="eastAsia" w:ascii="Times New Roman" w:hAnsi="Times New Roman" w:eastAsia="宋体"/>
          <w:sz w:val="28"/>
          <w:szCs w:val="28"/>
          <w:lang w:val="en-US" w:eastAsia="zh-CN"/>
        </w:rPr>
        <w:t>安全生产</w:t>
      </w:r>
      <w:r>
        <w:rPr>
          <w:rFonts w:hint="eastAsia" w:ascii="Times New Roman" w:hAnsi="Times New Roman"/>
          <w:sz w:val="28"/>
          <w:szCs w:val="28"/>
          <w:lang w:val="en-US" w:eastAsia="zh-CN"/>
        </w:rPr>
        <w:t>、建筑施工相关</w:t>
      </w:r>
      <w:r>
        <w:rPr>
          <w:rFonts w:hint="eastAsia" w:ascii="Times New Roman" w:hAnsi="Times New Roman" w:eastAsia="宋体"/>
          <w:sz w:val="28"/>
          <w:szCs w:val="28"/>
          <w:lang w:val="en-US" w:eastAsia="zh-CN"/>
        </w:rPr>
        <w:t>法规</w:t>
      </w:r>
      <w:r>
        <w:rPr>
          <w:rFonts w:hint="eastAsia" w:ascii="Times New Roman" w:hAnsi="Times New Roman"/>
          <w:sz w:val="28"/>
          <w:szCs w:val="28"/>
          <w:lang w:val="en-US" w:eastAsia="zh-CN"/>
        </w:rPr>
        <w:t>进一步完善</w:t>
      </w:r>
      <w:r>
        <w:rPr>
          <w:rFonts w:hint="eastAsia" w:ascii="Times New Roman" w:hAnsi="Times New Roman" w:eastAsia="宋体"/>
          <w:sz w:val="28"/>
          <w:szCs w:val="28"/>
          <w:lang w:val="en-US" w:eastAsia="zh-CN"/>
        </w:rPr>
        <w:t>，</w:t>
      </w:r>
      <w:r>
        <w:rPr>
          <w:rFonts w:hint="eastAsia" w:ascii="Times New Roman" w:hAnsi="Times New Roman" w:eastAsia="宋体"/>
          <w:sz w:val="28"/>
          <w:szCs w:val="28"/>
          <w:highlight w:val="none"/>
          <w:lang w:val="en-US" w:eastAsia="zh-CN"/>
        </w:rPr>
        <w:t>详见《安全现状评估报告》。</w:t>
      </w:r>
    </w:p>
    <w:p w14:paraId="462BCF1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103" w:name="_Toc7018"/>
      <w:bookmarkStart w:id="104" w:name="_Toc31372"/>
      <w:bookmarkStart w:id="105" w:name="_Toc4236"/>
      <w:bookmarkStart w:id="106" w:name="_Toc7731"/>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3 史各庄街道</w:t>
      </w:r>
      <w:r>
        <w:rPr>
          <w:rFonts w:hint="default" w:ascii="Times New Roman" w:hAnsi="Times New Roman" w:eastAsia="宋体" w:cs="Times New Roman"/>
          <w:b/>
          <w:bCs/>
          <w:kern w:val="0"/>
          <w:szCs w:val="28"/>
        </w:rPr>
        <w:t>落实情况</w:t>
      </w:r>
      <w:bookmarkEnd w:id="103"/>
      <w:bookmarkEnd w:id="104"/>
      <w:bookmarkEnd w:id="105"/>
      <w:bookmarkEnd w:id="106"/>
    </w:p>
    <w:p w14:paraId="7AF1E4BE">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107" w:name="_Toc6300"/>
      <w:r>
        <w:rPr>
          <w:rFonts w:hint="eastAsia" w:ascii="Times New Roman" w:hAnsi="Times New Roman" w:cs="Times New Roman"/>
          <w:b/>
          <w:szCs w:val="28"/>
          <w:lang w:val="en-US" w:eastAsia="zh-CN"/>
        </w:rPr>
        <w:t>4.3.1事故整改和防范措施</w:t>
      </w:r>
      <w:bookmarkEnd w:id="107"/>
    </w:p>
    <w:p w14:paraId="453248F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527D31C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eastAsia" w:ascii="Times New Roman" w:hAnsi="Times New Roman" w:eastAsia="宋体" w:cs="Times New Roman"/>
          <w:lang w:val="en-US" w:eastAsia="zh-CN"/>
        </w:rPr>
        <w:t>严格落实</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党政同责、一岗双责</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针对超极合生汇百家门店同时装修，且安全管理能力弱的情况，要联合区相关行业部门，制定切实可行的安全监管方案，在提高监督管理人员的安全生产执法水平的同时，加强建筑施工及限额以下工程安全巡查执法力度，严格落实监管制度、监管流程，压紧压实属地监管和企业主体责任，重点检查企业落实安全生产责任制情况、制定安全生产管理制度情况、对从业人员的安全生产教育培训、安全技术交底情况、劳动防护用品的发放等情况，发现违法违规行为，及时制止并督促整改，杜绝此类事故的发生。</w:t>
      </w:r>
    </w:p>
    <w:p w14:paraId="3AEA1661">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lang w:val="en-US" w:eastAsia="zh-CN"/>
        </w:rPr>
      </w:pPr>
      <w:bookmarkStart w:id="108" w:name="_Toc23784"/>
      <w:r>
        <w:rPr>
          <w:rFonts w:hint="eastAsia" w:ascii="Times New Roman" w:hAnsi="Times New Roman" w:cs="Times New Roman"/>
          <w:b/>
          <w:szCs w:val="28"/>
          <w:lang w:val="en-US" w:eastAsia="zh-CN"/>
        </w:rPr>
        <w:t>4.3.2具体落实情况</w:t>
      </w:r>
      <w:bookmarkEnd w:id="108"/>
    </w:p>
    <w:p w14:paraId="387C2368">
      <w:pPr>
        <w:pStyle w:val="27"/>
        <w:spacing w:line="360" w:lineRule="auto"/>
        <w:ind w:firstLine="480"/>
        <w:rPr>
          <w:rFonts w:hint="default" w:ascii="Times New Roman" w:hAnsi="Times New Roman" w:cs="Times New Roman"/>
          <w:lang w:val="en-US" w:eastAsia="zh-CN"/>
        </w:rPr>
      </w:pPr>
      <w:r>
        <w:rPr>
          <w:rFonts w:hint="eastAsia" w:ascii="Times New Roman" w:hAnsi="Times New Roman" w:cs="Times New Roman"/>
          <w:lang w:val="en-US" w:eastAsia="zh-CN"/>
        </w:rPr>
        <w:t>史各庄街道工委、办事处高度重视，先后联合应急、消防等部门多次召开超极合生汇“项目安全约谈会”“安全生产专题调度会”“建筑施工安全生产工作部署”等会议，结合安全事故暴露出的问题，深入剖析原因，全面查摆风险隐患，全面开展隐患排查整治，确保有效遏制安全事故的发生。主要落实的工作如下：</w:t>
      </w:r>
    </w:p>
    <w:p w14:paraId="6CD06EE2">
      <w:pPr>
        <w:pStyle w:val="27"/>
        <w:spacing w:line="360" w:lineRule="auto"/>
        <w:ind w:firstLine="480"/>
        <w:rPr>
          <w:rFonts w:hint="default" w:ascii="Times New Roman" w:hAnsi="Times New Roman" w:cs="Times New Roman"/>
          <w:lang w:val="en-US" w:eastAsia="zh-CN"/>
        </w:rPr>
      </w:pPr>
      <w:r>
        <w:rPr>
          <w:rFonts w:hint="eastAsia" w:ascii="Times New Roman" w:hAnsi="Times New Roman" w:cs="Times New Roman"/>
          <w:lang w:val="zh-CN" w:eastAsia="zh-CN"/>
        </w:rPr>
        <w:t>一是</w:t>
      </w:r>
      <w:r>
        <w:rPr>
          <w:rFonts w:hint="eastAsia" w:ascii="Times New Roman" w:hAnsi="Times New Roman" w:cs="Times New Roman"/>
          <w:lang w:val="en-US" w:eastAsia="zh-CN"/>
        </w:rPr>
        <w:t>召开项目安全约谈会。2024年3月25日街道会同区应急局、消防救援支队等部门，联合约谈项目建设主体及总包、物业等相关单位负责人。会议强调，压紧压实安全主体责任，开展全员安全教育，提高员工安全防范意识；全面开展隐患排查，重点围绕限额以下工程安全管理制度落实，针对动火作业报备、高空作业、用电安全等重点领域开展隐患排查，各部门要履职尽责，对违法违规行为及未按期整改的安全隐患问题进行严厉处罚；完善安全管理体系建设，强化安全监管，加强巡查队伍培训，切实发现并整改安全隐患问题，坚决杜绝安全事故发生。</w:t>
      </w:r>
    </w:p>
    <w:p w14:paraId="1C922A72">
      <w:pPr>
        <w:pStyle w:val="27"/>
        <w:spacing w:line="360" w:lineRule="auto"/>
        <w:ind w:firstLine="480"/>
        <w:rPr>
          <w:rFonts w:hint="default" w:ascii="Times New Roman" w:hAnsi="Times New Roman" w:cs="Times New Roman"/>
          <w:lang w:val="en-US" w:eastAsia="zh-CN"/>
        </w:rPr>
      </w:pPr>
      <w:r>
        <w:rPr>
          <w:rFonts w:hint="eastAsia" w:ascii="Times New Roman" w:hAnsi="Times New Roman" w:cs="Times New Roman"/>
          <w:lang w:val="en-US" w:eastAsia="zh-CN"/>
        </w:rPr>
        <w:t>二是召开安全生产工作部署会及专题调度会。强化单位主体责任落实，健全组织机构、规章制度、资金保障、教育培训、日常管理、风险管控和应急救援等方面主体责任体系，压紧压实各层级安全生产责任；强化安全教育培训，严格落实安全教育培训制度，增强员工的安全意识；严格落实安全管理制度，加强施工现场安全管理，落实各项安全防范措施，强化重点领域风险隐患排查；加大安全监管力度。相关职能部门要认真履行安全监管职责，加大执法检查力度，严厉打击违法违规行为等。</w:t>
      </w:r>
    </w:p>
    <w:p w14:paraId="1621E115">
      <w:pPr>
        <w:pStyle w:val="27"/>
        <w:spacing w:line="360" w:lineRule="auto"/>
        <w:ind w:firstLine="480"/>
        <w:rPr>
          <w:rFonts w:hint="default" w:ascii="Times New Roman" w:hAnsi="Times New Roman" w:cs="Times New Roman"/>
          <w:lang w:val="en-US" w:eastAsia="zh-CN"/>
        </w:rPr>
      </w:pPr>
      <w:r>
        <w:rPr>
          <w:rFonts w:hint="eastAsia" w:ascii="Times New Roman" w:hAnsi="Times New Roman" w:cs="Times New Roman"/>
          <w:lang w:val="en-US" w:eastAsia="zh-CN"/>
        </w:rPr>
        <w:t>三</w:t>
      </w:r>
      <w:r>
        <w:rPr>
          <w:rFonts w:hint="eastAsia" w:ascii="Times New Roman" w:hAnsi="Times New Roman" w:cs="Times New Roman"/>
          <w:lang w:val="zh-CN" w:eastAsia="zh-CN"/>
        </w:rPr>
        <w:t>是</w:t>
      </w:r>
      <w:r>
        <w:rPr>
          <w:rFonts w:hint="eastAsia" w:ascii="Times New Roman" w:hAnsi="Times New Roman" w:cs="Times New Roman"/>
          <w:lang w:val="en-US" w:eastAsia="zh-CN"/>
        </w:rPr>
        <w:t>强化限额以下工程安全监管。史各庄街道成立由办事处主管领导为组长，相关科队站所负责人为成员的超级合生汇工作专班，进一步强化超级合生汇安全监督。截至目前，街道共出动安全检查人员459人次，检查超极合生汇项目工程及限额以下工程507家次，发现并整改安全隐患563条。三是加强联合执法检查。街道利用“吹哨报道”机制，每周联合区级相关部门至少开展一次执法检查。一季度以来，联合区应急局、消防救援支队，住建委、商务局等部门检查超级合生汇项目19次，发现并整改安全隐患195条。针对检查发现重点隐患问题，由执法部门依法进行处罚，并要求工程各参建单位举一反三，全面自查并整改安全隐患问题。</w:t>
      </w:r>
    </w:p>
    <w:p w14:paraId="7B4CBB11">
      <w:pPr>
        <w:pStyle w:val="2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四</w:t>
      </w:r>
      <w:r>
        <w:rPr>
          <w:rFonts w:hint="eastAsia" w:ascii="Times New Roman" w:hAnsi="Times New Roman" w:cs="Times New Roman"/>
          <w:lang w:val="zh-CN" w:eastAsia="zh-CN"/>
        </w:rPr>
        <w:t>是约谈提醒</w:t>
      </w:r>
      <w:r>
        <w:rPr>
          <w:rFonts w:hint="eastAsia" w:ascii="Times New Roman" w:hAnsi="Times New Roman" w:cs="Times New Roman"/>
          <w:lang w:val="en-US" w:eastAsia="zh-CN"/>
        </w:rPr>
        <w:t>相关负责人。街道主要领导就未严格履行安全生产职责、监督企业落实主体责任不力等问题，对办事处副主任、平安建设办负责人进行约谈提醒，并提出了具体要求，包括压紧压实企业主体责任和部门监管责任；加大重点行业领域监管力度；加强联合执法检查，严肃查处违法违规行为等。与此同时，街道纪工委针对3.23安全事故对相关职能科室制发了监督检查提示函，并提出了具体要求，包括督促各职能科室要高度重视建筑施工安全，加强对建筑工地及限额以下工程安全监管；要求涉事工地立即整改，职能科室要对建筑工地相关负责人进行约谈和处理，深入查摆问题，加强隐患排查整治；深刻吸取事故教训，深入剖析事故原因，切实研究有效举措，申请行业主管部门现场检查指导，做到引以为戒、严肃对待，坚决杜绝此类事故再次发生。</w:t>
      </w:r>
    </w:p>
    <w:p w14:paraId="784C7CE3">
      <w:pPr>
        <w:pStyle w:val="27"/>
        <w:spacing w:line="360" w:lineRule="auto"/>
        <w:ind w:firstLine="480"/>
        <w:rPr>
          <w:rFonts w:hint="default" w:ascii="Times New Roman" w:hAnsi="Times New Roman" w:cs="Times New Roman"/>
          <w:lang w:val="en-US" w:eastAsia="zh-CN"/>
        </w:rPr>
      </w:pPr>
      <w:r>
        <w:rPr>
          <w:rFonts w:hint="eastAsia" w:ascii="Times New Roman" w:hAnsi="Times New Roman" w:cs="Times New Roman"/>
          <w:lang w:val="en-US" w:eastAsia="zh-CN"/>
        </w:rPr>
        <w:t>史各庄街道自事故发生后，严格落实“党政同责、一岗双责”和“三管三必须”的要求，确保压紧压实领导责任、部门监管责任和企业主体责任，加强建筑施工及限额以下工程安全监管，加强重点领域的隐患排查治理，落实各项安全防范措施，</w:t>
      </w:r>
    </w:p>
    <w:p w14:paraId="180D7CE7">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highlight w:val="none"/>
          <w:lang w:val="zh-CN"/>
        </w:rPr>
      </w:pPr>
      <w:bookmarkStart w:id="109" w:name="_Toc9618"/>
      <w:bookmarkStart w:id="110" w:name="_Toc25265"/>
      <w:bookmarkStart w:id="111" w:name="_Toc10306"/>
      <w:bookmarkStart w:id="112" w:name="_Toc14842"/>
      <w:r>
        <w:rPr>
          <w:rFonts w:hint="default" w:ascii="Times New Roman" w:hAnsi="Times New Roman" w:eastAsia="宋体" w:cs="Times New Roman"/>
          <w:b/>
          <w:kern w:val="0"/>
          <w:sz w:val="32"/>
          <w:szCs w:val="44"/>
          <w:highlight w:val="none"/>
          <w:lang w:val="zh-CN"/>
        </w:rPr>
        <w:t>第</w:t>
      </w:r>
      <w:r>
        <w:rPr>
          <w:rFonts w:hint="eastAsia" w:ascii="Times New Roman" w:hAnsi="Times New Roman" w:cs="Times New Roman"/>
          <w:b/>
          <w:kern w:val="0"/>
          <w:sz w:val="32"/>
          <w:szCs w:val="44"/>
          <w:highlight w:val="none"/>
          <w:lang w:val="en-US" w:eastAsia="zh-CN"/>
        </w:rPr>
        <w:t>5</w:t>
      </w:r>
      <w:r>
        <w:rPr>
          <w:rFonts w:hint="default" w:ascii="Times New Roman" w:hAnsi="Times New Roman" w:eastAsia="宋体" w:cs="Times New Roman"/>
          <w:b/>
          <w:kern w:val="0"/>
          <w:sz w:val="32"/>
          <w:szCs w:val="44"/>
          <w:highlight w:val="none"/>
          <w:lang w:val="zh-CN"/>
        </w:rPr>
        <w:t>章</w:t>
      </w:r>
      <w:r>
        <w:rPr>
          <w:rFonts w:hint="eastAsia" w:ascii="Times New Roman" w:hAnsi="Times New Roman" w:cs="Times New Roman"/>
          <w:b/>
          <w:kern w:val="0"/>
          <w:sz w:val="32"/>
          <w:szCs w:val="44"/>
          <w:highlight w:val="none"/>
          <w:lang w:val="en-US" w:eastAsia="zh-CN"/>
        </w:rPr>
        <w:t xml:space="preserve"> </w:t>
      </w:r>
      <w:r>
        <w:rPr>
          <w:rFonts w:hint="default" w:ascii="Times New Roman" w:hAnsi="Times New Roman" w:eastAsia="宋体" w:cs="Times New Roman"/>
          <w:b/>
          <w:kern w:val="0"/>
          <w:sz w:val="32"/>
          <w:szCs w:val="44"/>
          <w:highlight w:val="none"/>
          <w:lang w:val="zh-CN"/>
        </w:rPr>
        <w:t>评估</w:t>
      </w:r>
      <w:bookmarkEnd w:id="100"/>
      <w:r>
        <w:rPr>
          <w:rFonts w:hint="default" w:ascii="Times New Roman" w:hAnsi="Times New Roman" w:eastAsia="宋体" w:cs="Times New Roman"/>
          <w:b/>
          <w:kern w:val="0"/>
          <w:sz w:val="32"/>
          <w:szCs w:val="44"/>
          <w:highlight w:val="none"/>
          <w:lang w:val="zh-CN"/>
        </w:rPr>
        <w:t>结论</w:t>
      </w:r>
      <w:bookmarkEnd w:id="101"/>
      <w:bookmarkEnd w:id="102"/>
      <w:bookmarkEnd w:id="109"/>
      <w:bookmarkEnd w:id="110"/>
      <w:bookmarkEnd w:id="111"/>
      <w:bookmarkEnd w:id="112"/>
    </w:p>
    <w:p w14:paraId="06F4E8F5">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highlight w:val="none"/>
          <w:lang w:val="zh-CN"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w:t>
      </w:r>
      <w:r>
        <w:rPr>
          <w:rFonts w:hint="eastAsia" w:ascii="Times New Roman" w:hAnsi="Times New Roman" w:cs="宋体"/>
          <w:kern w:val="2"/>
          <w:sz w:val="28"/>
          <w:szCs w:val="22"/>
          <w:lang w:val="en-US" w:eastAsia="zh-CN" w:bidi="ar"/>
        </w:rPr>
        <w:t>各相关部门、单位</w:t>
      </w:r>
      <w:r>
        <w:rPr>
          <w:rFonts w:hint="eastAsia" w:ascii="Times New Roman" w:hAnsi="Times New Roman" w:cs="Times New Roman"/>
          <w:lang w:val="en-US" w:eastAsia="zh-CN"/>
        </w:rPr>
        <w:t>已依据</w:t>
      </w:r>
      <w:r>
        <w:rPr>
          <w:rFonts w:hint="eastAsia" w:ascii="Times New Roman" w:hAnsi="Times New Roman" w:eastAsia="宋体" w:cs="宋体"/>
          <w:b/>
          <w:bCs/>
          <w:kern w:val="2"/>
          <w:sz w:val="28"/>
          <w:szCs w:val="22"/>
          <w:lang w:val="en-US" w:eastAsia="zh-CN" w:bidi="ar"/>
        </w:rPr>
        <w:t>《事故调查报告》</w:t>
      </w:r>
      <w:r>
        <w:rPr>
          <w:rFonts w:hint="eastAsia" w:ascii="Times New Roman" w:hAnsi="Times New Roman" w:cs="宋体"/>
          <w:b/>
          <w:bCs/>
          <w:kern w:val="2"/>
          <w:sz w:val="28"/>
          <w:szCs w:val="22"/>
          <w:lang w:val="en-US" w:eastAsia="zh-CN" w:bidi="ar"/>
        </w:rPr>
        <w:t>追究江苏中南建筑公司、中星联丰建设公司刑事责任及行政责任。</w:t>
      </w:r>
      <w:r>
        <w:rPr>
          <w:rFonts w:hint="eastAsia" w:ascii="Times New Roman" w:hAnsi="Times New Roman" w:eastAsia="宋体" w:cs="宋体"/>
          <w:kern w:val="2"/>
          <w:sz w:val="28"/>
          <w:szCs w:val="22"/>
          <w:lang w:val="en-US" w:eastAsia="zh-CN" w:bidi="ar"/>
        </w:rPr>
        <w:t>因</w:t>
      </w:r>
      <w:r>
        <w:rPr>
          <w:rFonts w:hint="eastAsia" w:ascii="Times New Roman" w:hAnsi="Times New Roman" w:cs="宋体"/>
          <w:kern w:val="2"/>
          <w:sz w:val="28"/>
          <w:szCs w:val="22"/>
          <w:lang w:val="en-US" w:eastAsia="zh-CN" w:bidi="ar"/>
        </w:rPr>
        <w:t>两家单位经营情况问题，暂无法评估企业安全管理情况，若后续恢复运营，应严格落实北京市及行业监管部门要求，认真执行《安全现状评估报告》的建议，不断完善本单位各项工作的安全责任制度</w:t>
      </w:r>
      <w:r>
        <w:rPr>
          <w:rFonts w:hint="default" w:ascii="Times New Roman" w:hAnsi="Times New Roman" w:eastAsia="宋体" w:cs="Times New Roman"/>
          <w:highlight w:val="none"/>
          <w:lang w:val="zh-CN" w:eastAsia="zh-CN"/>
        </w:rPr>
        <w:t>。</w:t>
      </w:r>
    </w:p>
    <w:sectPr>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2152D">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ED445">
    <w:pPr>
      <w:pStyle w:val="12"/>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A3D43">
    <w:pPr>
      <w:pStyle w:val="13"/>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3C7C8"/>
    <w:multiLevelType w:val="singleLevel"/>
    <w:tmpl w:val="9A13C7C8"/>
    <w:lvl w:ilvl="0" w:tentative="0">
      <w:start w:val="1"/>
      <w:numFmt w:val="decimal"/>
      <w:lvlText w:val="%1."/>
      <w:lvlJc w:val="left"/>
      <w:pPr>
        <w:tabs>
          <w:tab w:val="left" w:pos="312"/>
        </w:tabs>
      </w:pPr>
    </w:lvl>
  </w:abstractNum>
  <w:abstractNum w:abstractNumId="1">
    <w:nsid w:val="A7080C6B"/>
    <w:multiLevelType w:val="singleLevel"/>
    <w:tmpl w:val="A7080C6B"/>
    <w:lvl w:ilvl="0" w:tentative="0">
      <w:start w:val="1"/>
      <w:numFmt w:val="decimal"/>
      <w:lvlText w:val="%1."/>
      <w:lvlJc w:val="left"/>
      <w:pPr>
        <w:tabs>
          <w:tab w:val="left" w:pos="312"/>
        </w:tabs>
      </w:pPr>
    </w:lvl>
  </w:abstractNum>
  <w:abstractNum w:abstractNumId="2">
    <w:nsid w:val="FB75C209"/>
    <w:multiLevelType w:val="singleLevel"/>
    <w:tmpl w:val="FB75C209"/>
    <w:lvl w:ilvl="0" w:tentative="0">
      <w:start w:val="1"/>
      <w:numFmt w:val="decimal"/>
      <w:lvlText w:val="%1."/>
      <w:lvlJc w:val="left"/>
      <w:pPr>
        <w:ind w:left="425" w:hanging="425"/>
      </w:pPr>
      <w:rPr>
        <w:rFonts w:hint="default"/>
      </w:rPr>
    </w:lvl>
  </w:abstractNum>
  <w:abstractNum w:abstractNumId="3">
    <w:nsid w:val="43B9DD26"/>
    <w:multiLevelType w:val="singleLevel"/>
    <w:tmpl w:val="43B9DD26"/>
    <w:lvl w:ilvl="0" w:tentative="0">
      <w:start w:val="1"/>
      <w:numFmt w:val="decimal"/>
      <w:lvlText w:val="%1."/>
      <w:lvlJc w:val="left"/>
      <w:pPr>
        <w:tabs>
          <w:tab w:val="left" w:pos="312"/>
        </w:tabs>
      </w:pPr>
    </w:lvl>
  </w:abstractNum>
  <w:abstractNum w:abstractNumId="4">
    <w:nsid w:val="6F6A6C61"/>
    <w:multiLevelType w:val="singleLevel"/>
    <w:tmpl w:val="6F6A6C61"/>
    <w:lvl w:ilvl="0" w:tentative="0">
      <w:start w:val="1"/>
      <w:numFmt w:val="decimal"/>
      <w:lvlText w:val="%1."/>
      <w:lvlJc w:val="left"/>
      <w:pPr>
        <w:tabs>
          <w:tab w:val="left" w:pos="312"/>
        </w:tabs>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EA0118"/>
    <w:rsid w:val="01F023FB"/>
    <w:rsid w:val="023B17BB"/>
    <w:rsid w:val="02634F08"/>
    <w:rsid w:val="02830CB2"/>
    <w:rsid w:val="028F164E"/>
    <w:rsid w:val="02E4394F"/>
    <w:rsid w:val="02FE2D03"/>
    <w:rsid w:val="033D2835"/>
    <w:rsid w:val="03D14498"/>
    <w:rsid w:val="04032409"/>
    <w:rsid w:val="042F1525"/>
    <w:rsid w:val="043B5C5B"/>
    <w:rsid w:val="04E3495F"/>
    <w:rsid w:val="04F80D9E"/>
    <w:rsid w:val="054A0C72"/>
    <w:rsid w:val="05AB5F79"/>
    <w:rsid w:val="05B13705"/>
    <w:rsid w:val="064A040C"/>
    <w:rsid w:val="06DB7924"/>
    <w:rsid w:val="072C31D4"/>
    <w:rsid w:val="075E2AC9"/>
    <w:rsid w:val="07745547"/>
    <w:rsid w:val="07CD2E3F"/>
    <w:rsid w:val="07CD6C29"/>
    <w:rsid w:val="07DB4317"/>
    <w:rsid w:val="08065975"/>
    <w:rsid w:val="0821435B"/>
    <w:rsid w:val="0846719C"/>
    <w:rsid w:val="085E6B79"/>
    <w:rsid w:val="089009F9"/>
    <w:rsid w:val="08A50678"/>
    <w:rsid w:val="08BD6586"/>
    <w:rsid w:val="08EE7CFD"/>
    <w:rsid w:val="08F01E35"/>
    <w:rsid w:val="08F53CE4"/>
    <w:rsid w:val="09363C55"/>
    <w:rsid w:val="09554D92"/>
    <w:rsid w:val="099A0675"/>
    <w:rsid w:val="09A37980"/>
    <w:rsid w:val="0A1D3958"/>
    <w:rsid w:val="0A5371A2"/>
    <w:rsid w:val="0AE6694A"/>
    <w:rsid w:val="0B15159D"/>
    <w:rsid w:val="0B240821"/>
    <w:rsid w:val="0BB4276F"/>
    <w:rsid w:val="0C32300E"/>
    <w:rsid w:val="0C512413"/>
    <w:rsid w:val="0C677741"/>
    <w:rsid w:val="0CA06454"/>
    <w:rsid w:val="0CC671CF"/>
    <w:rsid w:val="0D043696"/>
    <w:rsid w:val="0D2B5BA2"/>
    <w:rsid w:val="0D7C1890"/>
    <w:rsid w:val="0DAC149F"/>
    <w:rsid w:val="0DAD7F6B"/>
    <w:rsid w:val="0DE2778F"/>
    <w:rsid w:val="0DED130A"/>
    <w:rsid w:val="0E063D4D"/>
    <w:rsid w:val="0E3176E7"/>
    <w:rsid w:val="0E615075"/>
    <w:rsid w:val="0E7877FA"/>
    <w:rsid w:val="0E9F4B70"/>
    <w:rsid w:val="0F1E59D8"/>
    <w:rsid w:val="0F267075"/>
    <w:rsid w:val="0F2A14B2"/>
    <w:rsid w:val="0F344BCF"/>
    <w:rsid w:val="0F5A5835"/>
    <w:rsid w:val="0F6C4862"/>
    <w:rsid w:val="0F793477"/>
    <w:rsid w:val="0F7B5EC2"/>
    <w:rsid w:val="0F992DEB"/>
    <w:rsid w:val="0F9B0B28"/>
    <w:rsid w:val="0FA37CB2"/>
    <w:rsid w:val="0FA813C0"/>
    <w:rsid w:val="0FAB538A"/>
    <w:rsid w:val="0FB35FED"/>
    <w:rsid w:val="0FB63AEA"/>
    <w:rsid w:val="0FE4089C"/>
    <w:rsid w:val="1002294A"/>
    <w:rsid w:val="10715AE1"/>
    <w:rsid w:val="10B71725"/>
    <w:rsid w:val="10B965D8"/>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6042D5"/>
    <w:rsid w:val="137B2552"/>
    <w:rsid w:val="13F82B68"/>
    <w:rsid w:val="13FD017F"/>
    <w:rsid w:val="1418439F"/>
    <w:rsid w:val="145B78AB"/>
    <w:rsid w:val="1478304D"/>
    <w:rsid w:val="148F1443"/>
    <w:rsid w:val="14CD5DA3"/>
    <w:rsid w:val="15340055"/>
    <w:rsid w:val="154C767D"/>
    <w:rsid w:val="15C522C1"/>
    <w:rsid w:val="15F23975"/>
    <w:rsid w:val="16295769"/>
    <w:rsid w:val="163C7690"/>
    <w:rsid w:val="166B4554"/>
    <w:rsid w:val="16C75A96"/>
    <w:rsid w:val="16EF1DD3"/>
    <w:rsid w:val="16F37C8D"/>
    <w:rsid w:val="16F53E41"/>
    <w:rsid w:val="171516A8"/>
    <w:rsid w:val="171E4694"/>
    <w:rsid w:val="17547626"/>
    <w:rsid w:val="17551109"/>
    <w:rsid w:val="17873A2A"/>
    <w:rsid w:val="17C541BC"/>
    <w:rsid w:val="17E93A69"/>
    <w:rsid w:val="18081B79"/>
    <w:rsid w:val="182628FB"/>
    <w:rsid w:val="18713AF8"/>
    <w:rsid w:val="189F0166"/>
    <w:rsid w:val="189F21AE"/>
    <w:rsid w:val="18F77CFC"/>
    <w:rsid w:val="18FF7B47"/>
    <w:rsid w:val="19086FD4"/>
    <w:rsid w:val="19372E89"/>
    <w:rsid w:val="19BC4D29"/>
    <w:rsid w:val="1A1143AD"/>
    <w:rsid w:val="1A1C2159"/>
    <w:rsid w:val="1A1E27C1"/>
    <w:rsid w:val="1A416932"/>
    <w:rsid w:val="1A440B89"/>
    <w:rsid w:val="1A534654"/>
    <w:rsid w:val="1A5F0986"/>
    <w:rsid w:val="1AC059F4"/>
    <w:rsid w:val="1AD82233"/>
    <w:rsid w:val="1ADB2279"/>
    <w:rsid w:val="1B066454"/>
    <w:rsid w:val="1B2C21E2"/>
    <w:rsid w:val="1B4604AE"/>
    <w:rsid w:val="1B5A2AA1"/>
    <w:rsid w:val="1B5E1B3C"/>
    <w:rsid w:val="1B974A15"/>
    <w:rsid w:val="1BDE43F2"/>
    <w:rsid w:val="1BE872A1"/>
    <w:rsid w:val="1BEE5136"/>
    <w:rsid w:val="1BEF1AFD"/>
    <w:rsid w:val="1C1213A6"/>
    <w:rsid w:val="1C303B0A"/>
    <w:rsid w:val="1C4046E7"/>
    <w:rsid w:val="1C46750E"/>
    <w:rsid w:val="1C750DB5"/>
    <w:rsid w:val="1C902B00"/>
    <w:rsid w:val="1CA4563B"/>
    <w:rsid w:val="1CAD776B"/>
    <w:rsid w:val="1CE8321A"/>
    <w:rsid w:val="1D3B0F3F"/>
    <w:rsid w:val="1D440BCC"/>
    <w:rsid w:val="1D441357"/>
    <w:rsid w:val="1D633B13"/>
    <w:rsid w:val="1D691195"/>
    <w:rsid w:val="1DA33D00"/>
    <w:rsid w:val="1E2D4FF5"/>
    <w:rsid w:val="1E3058DA"/>
    <w:rsid w:val="1E5700C2"/>
    <w:rsid w:val="1E682ED0"/>
    <w:rsid w:val="1E851BB1"/>
    <w:rsid w:val="1E8B471F"/>
    <w:rsid w:val="1EABC87E"/>
    <w:rsid w:val="1EB3490B"/>
    <w:rsid w:val="1EF63CFA"/>
    <w:rsid w:val="1EFB5B41"/>
    <w:rsid w:val="1F071E17"/>
    <w:rsid w:val="1F5B7EF1"/>
    <w:rsid w:val="1F783003"/>
    <w:rsid w:val="1F8B358A"/>
    <w:rsid w:val="1F8D239D"/>
    <w:rsid w:val="1FB27F1C"/>
    <w:rsid w:val="1FBF3343"/>
    <w:rsid w:val="1FE36696"/>
    <w:rsid w:val="1FE61C1C"/>
    <w:rsid w:val="203305D5"/>
    <w:rsid w:val="206E6FE7"/>
    <w:rsid w:val="20AD03D6"/>
    <w:rsid w:val="213A5777"/>
    <w:rsid w:val="215B3474"/>
    <w:rsid w:val="21B60FA8"/>
    <w:rsid w:val="21C22EA6"/>
    <w:rsid w:val="21E94640"/>
    <w:rsid w:val="221062D6"/>
    <w:rsid w:val="22476287"/>
    <w:rsid w:val="229819FD"/>
    <w:rsid w:val="22CB26FC"/>
    <w:rsid w:val="2323536A"/>
    <w:rsid w:val="23307129"/>
    <w:rsid w:val="23E22FB8"/>
    <w:rsid w:val="23E853E1"/>
    <w:rsid w:val="23EF0F1F"/>
    <w:rsid w:val="24AA0DEA"/>
    <w:rsid w:val="24C130F1"/>
    <w:rsid w:val="24EA28E9"/>
    <w:rsid w:val="259D5696"/>
    <w:rsid w:val="25DE0A93"/>
    <w:rsid w:val="25E243B5"/>
    <w:rsid w:val="25EE7945"/>
    <w:rsid w:val="25F520D3"/>
    <w:rsid w:val="262C741A"/>
    <w:rsid w:val="26383FBF"/>
    <w:rsid w:val="265F24C5"/>
    <w:rsid w:val="268362A8"/>
    <w:rsid w:val="26B16828"/>
    <w:rsid w:val="26E6622F"/>
    <w:rsid w:val="26E97644"/>
    <w:rsid w:val="26FA619B"/>
    <w:rsid w:val="27016CC3"/>
    <w:rsid w:val="271D264E"/>
    <w:rsid w:val="27253599"/>
    <w:rsid w:val="2751016E"/>
    <w:rsid w:val="276261A7"/>
    <w:rsid w:val="27660D3A"/>
    <w:rsid w:val="276B7809"/>
    <w:rsid w:val="27BD29B1"/>
    <w:rsid w:val="27E47531"/>
    <w:rsid w:val="27F1661D"/>
    <w:rsid w:val="2803116A"/>
    <w:rsid w:val="287E4F92"/>
    <w:rsid w:val="28B81505"/>
    <w:rsid w:val="28E86EA3"/>
    <w:rsid w:val="295D5E79"/>
    <w:rsid w:val="29645DE5"/>
    <w:rsid w:val="29BE0B81"/>
    <w:rsid w:val="2A082236"/>
    <w:rsid w:val="2A9F35C0"/>
    <w:rsid w:val="2AA11EC3"/>
    <w:rsid w:val="2AA57072"/>
    <w:rsid w:val="2ADA512F"/>
    <w:rsid w:val="2B2B6F28"/>
    <w:rsid w:val="2B346A24"/>
    <w:rsid w:val="2B471AA0"/>
    <w:rsid w:val="2B4E3AAD"/>
    <w:rsid w:val="2BF63632"/>
    <w:rsid w:val="2C1A76C8"/>
    <w:rsid w:val="2C251BC9"/>
    <w:rsid w:val="2C2B00C8"/>
    <w:rsid w:val="2C4527B2"/>
    <w:rsid w:val="2C571C40"/>
    <w:rsid w:val="2CBB4EED"/>
    <w:rsid w:val="2CE437E9"/>
    <w:rsid w:val="2CE44027"/>
    <w:rsid w:val="2CED0939"/>
    <w:rsid w:val="2D047CD5"/>
    <w:rsid w:val="2D141EED"/>
    <w:rsid w:val="2D252D10"/>
    <w:rsid w:val="2D6B14FA"/>
    <w:rsid w:val="2D8668CD"/>
    <w:rsid w:val="2DAE631A"/>
    <w:rsid w:val="2E732A21"/>
    <w:rsid w:val="2E837570"/>
    <w:rsid w:val="2E866557"/>
    <w:rsid w:val="2E8F4E79"/>
    <w:rsid w:val="2EA01FD8"/>
    <w:rsid w:val="2EBF6126"/>
    <w:rsid w:val="2EED2E72"/>
    <w:rsid w:val="2F586E52"/>
    <w:rsid w:val="2F5F04B7"/>
    <w:rsid w:val="2FAA78D7"/>
    <w:rsid w:val="2FCC03C4"/>
    <w:rsid w:val="2FD06C0B"/>
    <w:rsid w:val="2FDA2E69"/>
    <w:rsid w:val="2FF26266"/>
    <w:rsid w:val="304720AE"/>
    <w:rsid w:val="30A041A8"/>
    <w:rsid w:val="30AC12AC"/>
    <w:rsid w:val="30B129B4"/>
    <w:rsid w:val="30FF6785"/>
    <w:rsid w:val="3134401F"/>
    <w:rsid w:val="318C720A"/>
    <w:rsid w:val="31CC5A81"/>
    <w:rsid w:val="31E51A96"/>
    <w:rsid w:val="31F80D01"/>
    <w:rsid w:val="32640B74"/>
    <w:rsid w:val="328679CC"/>
    <w:rsid w:val="32904E7F"/>
    <w:rsid w:val="32C56DD8"/>
    <w:rsid w:val="32D01D72"/>
    <w:rsid w:val="33DA426B"/>
    <w:rsid w:val="34341772"/>
    <w:rsid w:val="3441254B"/>
    <w:rsid w:val="34541E69"/>
    <w:rsid w:val="347C1DF8"/>
    <w:rsid w:val="34AA1DEA"/>
    <w:rsid w:val="34B7692C"/>
    <w:rsid w:val="34CB7535"/>
    <w:rsid w:val="34DC5294"/>
    <w:rsid w:val="35771D72"/>
    <w:rsid w:val="3581411C"/>
    <w:rsid w:val="35BC7782"/>
    <w:rsid w:val="35DF0739"/>
    <w:rsid w:val="35EA13E0"/>
    <w:rsid w:val="36321A2F"/>
    <w:rsid w:val="36E5790E"/>
    <w:rsid w:val="37271E19"/>
    <w:rsid w:val="376D1723"/>
    <w:rsid w:val="378A2CBF"/>
    <w:rsid w:val="385E26EA"/>
    <w:rsid w:val="387C665F"/>
    <w:rsid w:val="38961E84"/>
    <w:rsid w:val="38A04AB1"/>
    <w:rsid w:val="39041E4B"/>
    <w:rsid w:val="39525C37"/>
    <w:rsid w:val="39721E8D"/>
    <w:rsid w:val="39DC721F"/>
    <w:rsid w:val="39E976D1"/>
    <w:rsid w:val="39EF63D2"/>
    <w:rsid w:val="3A150FD2"/>
    <w:rsid w:val="3A162EBF"/>
    <w:rsid w:val="3A244A07"/>
    <w:rsid w:val="3A6F0557"/>
    <w:rsid w:val="3A8C5CDC"/>
    <w:rsid w:val="3ADF3168"/>
    <w:rsid w:val="3AEE1C00"/>
    <w:rsid w:val="3AF410E4"/>
    <w:rsid w:val="3B377F42"/>
    <w:rsid w:val="3B9304D8"/>
    <w:rsid w:val="3B9D5C20"/>
    <w:rsid w:val="3BB37007"/>
    <w:rsid w:val="3BBB2A6F"/>
    <w:rsid w:val="3BD8264A"/>
    <w:rsid w:val="3BF43785"/>
    <w:rsid w:val="3C273D54"/>
    <w:rsid w:val="3D3E2911"/>
    <w:rsid w:val="3D4E0BE9"/>
    <w:rsid w:val="3D62504C"/>
    <w:rsid w:val="3D9F4B59"/>
    <w:rsid w:val="3DA70A62"/>
    <w:rsid w:val="3DE47B36"/>
    <w:rsid w:val="3DF00466"/>
    <w:rsid w:val="3E154391"/>
    <w:rsid w:val="3E1F5922"/>
    <w:rsid w:val="3E5D2649"/>
    <w:rsid w:val="3E5E3444"/>
    <w:rsid w:val="3E813453"/>
    <w:rsid w:val="3E9C52E0"/>
    <w:rsid w:val="3EA4054C"/>
    <w:rsid w:val="3EA6693C"/>
    <w:rsid w:val="3EC3693C"/>
    <w:rsid w:val="3EE64451"/>
    <w:rsid w:val="3EF50067"/>
    <w:rsid w:val="3EF953E1"/>
    <w:rsid w:val="3F21577B"/>
    <w:rsid w:val="3F41255C"/>
    <w:rsid w:val="3F531A03"/>
    <w:rsid w:val="3F585B79"/>
    <w:rsid w:val="3F682BC0"/>
    <w:rsid w:val="3F8829A2"/>
    <w:rsid w:val="404C3770"/>
    <w:rsid w:val="40655647"/>
    <w:rsid w:val="40AB2501"/>
    <w:rsid w:val="40AE0AF1"/>
    <w:rsid w:val="40FE2CBD"/>
    <w:rsid w:val="41086C4F"/>
    <w:rsid w:val="410A1DB4"/>
    <w:rsid w:val="415E375B"/>
    <w:rsid w:val="416C0ADB"/>
    <w:rsid w:val="417E6617"/>
    <w:rsid w:val="41A55771"/>
    <w:rsid w:val="41D1711A"/>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A53B9"/>
    <w:rsid w:val="450B0773"/>
    <w:rsid w:val="456B6556"/>
    <w:rsid w:val="45B47338"/>
    <w:rsid w:val="45C04592"/>
    <w:rsid w:val="45D27793"/>
    <w:rsid w:val="460102A4"/>
    <w:rsid w:val="46034CE7"/>
    <w:rsid w:val="46090D30"/>
    <w:rsid w:val="467E4117"/>
    <w:rsid w:val="46B8390E"/>
    <w:rsid w:val="4749198E"/>
    <w:rsid w:val="478900F9"/>
    <w:rsid w:val="481B7FE6"/>
    <w:rsid w:val="481E0BD6"/>
    <w:rsid w:val="48434E5F"/>
    <w:rsid w:val="48523EE0"/>
    <w:rsid w:val="48855A71"/>
    <w:rsid w:val="48D315C6"/>
    <w:rsid w:val="48DF5182"/>
    <w:rsid w:val="49007B4D"/>
    <w:rsid w:val="4957088C"/>
    <w:rsid w:val="49710B3D"/>
    <w:rsid w:val="49B707B4"/>
    <w:rsid w:val="4A303CCC"/>
    <w:rsid w:val="4A35676F"/>
    <w:rsid w:val="4A513EF3"/>
    <w:rsid w:val="4A6056D7"/>
    <w:rsid w:val="4A873CE7"/>
    <w:rsid w:val="4A8E048D"/>
    <w:rsid w:val="4AA0121F"/>
    <w:rsid w:val="4ABB6AB5"/>
    <w:rsid w:val="4B030956"/>
    <w:rsid w:val="4B4C255F"/>
    <w:rsid w:val="4B4C5979"/>
    <w:rsid w:val="4B5E64EA"/>
    <w:rsid w:val="4B862AAF"/>
    <w:rsid w:val="4BBE5A6C"/>
    <w:rsid w:val="4BCD1C09"/>
    <w:rsid w:val="4BD439BB"/>
    <w:rsid w:val="4BFC3701"/>
    <w:rsid w:val="4C8329C5"/>
    <w:rsid w:val="4C8C5620"/>
    <w:rsid w:val="4CB75AA4"/>
    <w:rsid w:val="4DC02FAC"/>
    <w:rsid w:val="4DE255B8"/>
    <w:rsid w:val="4E032789"/>
    <w:rsid w:val="4E072871"/>
    <w:rsid w:val="4E5F56E4"/>
    <w:rsid w:val="4E7342B8"/>
    <w:rsid w:val="4E806CFE"/>
    <w:rsid w:val="4EC81C02"/>
    <w:rsid w:val="4EE304E9"/>
    <w:rsid w:val="4F0139D7"/>
    <w:rsid w:val="4F0B329F"/>
    <w:rsid w:val="4F1A33B7"/>
    <w:rsid w:val="4F8D00AC"/>
    <w:rsid w:val="4FA65C1D"/>
    <w:rsid w:val="4FDD4E14"/>
    <w:rsid w:val="504D0699"/>
    <w:rsid w:val="508C1FFF"/>
    <w:rsid w:val="509A1168"/>
    <w:rsid w:val="50AD5AE5"/>
    <w:rsid w:val="50E262F6"/>
    <w:rsid w:val="50E44D74"/>
    <w:rsid w:val="51163349"/>
    <w:rsid w:val="519F096B"/>
    <w:rsid w:val="51A2093E"/>
    <w:rsid w:val="51D03206"/>
    <w:rsid w:val="525766D1"/>
    <w:rsid w:val="52744039"/>
    <w:rsid w:val="52796F72"/>
    <w:rsid w:val="52846D9A"/>
    <w:rsid w:val="52A404E8"/>
    <w:rsid w:val="52CD2D77"/>
    <w:rsid w:val="531F28A7"/>
    <w:rsid w:val="5340134F"/>
    <w:rsid w:val="53973B91"/>
    <w:rsid w:val="53A17A79"/>
    <w:rsid w:val="53E77AC8"/>
    <w:rsid w:val="53FB2343"/>
    <w:rsid w:val="53FD42F8"/>
    <w:rsid w:val="54031992"/>
    <w:rsid w:val="542F26FF"/>
    <w:rsid w:val="543633EF"/>
    <w:rsid w:val="5486329D"/>
    <w:rsid w:val="54E53761"/>
    <w:rsid w:val="550B381F"/>
    <w:rsid w:val="558B219B"/>
    <w:rsid w:val="55B22614"/>
    <w:rsid w:val="560B3A5A"/>
    <w:rsid w:val="56692432"/>
    <w:rsid w:val="56692879"/>
    <w:rsid w:val="567E25C8"/>
    <w:rsid w:val="56D025AE"/>
    <w:rsid w:val="56EB6721"/>
    <w:rsid w:val="572B509F"/>
    <w:rsid w:val="576D731E"/>
    <w:rsid w:val="57786BA3"/>
    <w:rsid w:val="577916DC"/>
    <w:rsid w:val="57996BBA"/>
    <w:rsid w:val="57D646F7"/>
    <w:rsid w:val="57F65623"/>
    <w:rsid w:val="58104301"/>
    <w:rsid w:val="58151B95"/>
    <w:rsid w:val="582A3F3F"/>
    <w:rsid w:val="58775D62"/>
    <w:rsid w:val="58877908"/>
    <w:rsid w:val="58D72DAC"/>
    <w:rsid w:val="592F7A5F"/>
    <w:rsid w:val="598D64A1"/>
    <w:rsid w:val="59B144D1"/>
    <w:rsid w:val="59CE58A0"/>
    <w:rsid w:val="59D56086"/>
    <w:rsid w:val="59E80F44"/>
    <w:rsid w:val="59F9006D"/>
    <w:rsid w:val="5A027399"/>
    <w:rsid w:val="5A164737"/>
    <w:rsid w:val="5A945E32"/>
    <w:rsid w:val="5A9540CD"/>
    <w:rsid w:val="5A9C6233"/>
    <w:rsid w:val="5AEB63D3"/>
    <w:rsid w:val="5B0D1BB6"/>
    <w:rsid w:val="5B2B3E43"/>
    <w:rsid w:val="5B3A093D"/>
    <w:rsid w:val="5B3C0F82"/>
    <w:rsid w:val="5BEE49F2"/>
    <w:rsid w:val="5C8838A1"/>
    <w:rsid w:val="5CD13F27"/>
    <w:rsid w:val="5D4D35C0"/>
    <w:rsid w:val="5D5572EA"/>
    <w:rsid w:val="5D6C1C85"/>
    <w:rsid w:val="5DA9270F"/>
    <w:rsid w:val="5DB956AB"/>
    <w:rsid w:val="5DBF0E76"/>
    <w:rsid w:val="5DE86F97"/>
    <w:rsid w:val="5DE90723"/>
    <w:rsid w:val="5E025797"/>
    <w:rsid w:val="5E263388"/>
    <w:rsid w:val="5E3774A1"/>
    <w:rsid w:val="5E3C677A"/>
    <w:rsid w:val="5E943343"/>
    <w:rsid w:val="5EC15A76"/>
    <w:rsid w:val="5EDA1234"/>
    <w:rsid w:val="5EF9570B"/>
    <w:rsid w:val="5F733CAB"/>
    <w:rsid w:val="5F7E4FBB"/>
    <w:rsid w:val="5FA7591C"/>
    <w:rsid w:val="5FE76B43"/>
    <w:rsid w:val="600F6454"/>
    <w:rsid w:val="607B1E49"/>
    <w:rsid w:val="60B568AB"/>
    <w:rsid w:val="60E9272A"/>
    <w:rsid w:val="612C6D8A"/>
    <w:rsid w:val="613233CF"/>
    <w:rsid w:val="617B35E6"/>
    <w:rsid w:val="61975355"/>
    <w:rsid w:val="61BB11C2"/>
    <w:rsid w:val="61BE185E"/>
    <w:rsid w:val="61DC43F4"/>
    <w:rsid w:val="622435F8"/>
    <w:rsid w:val="624330B6"/>
    <w:rsid w:val="627E6FBF"/>
    <w:rsid w:val="62AE04EE"/>
    <w:rsid w:val="63047B36"/>
    <w:rsid w:val="63095813"/>
    <w:rsid w:val="636527D4"/>
    <w:rsid w:val="639420F8"/>
    <w:rsid w:val="63994E45"/>
    <w:rsid w:val="63F30067"/>
    <w:rsid w:val="641307EF"/>
    <w:rsid w:val="641A3F63"/>
    <w:rsid w:val="64305F64"/>
    <w:rsid w:val="65544D07"/>
    <w:rsid w:val="6569254B"/>
    <w:rsid w:val="658F2506"/>
    <w:rsid w:val="65E32CEC"/>
    <w:rsid w:val="65EE62B1"/>
    <w:rsid w:val="665E40FC"/>
    <w:rsid w:val="66D755DB"/>
    <w:rsid w:val="6701356D"/>
    <w:rsid w:val="67193AFD"/>
    <w:rsid w:val="67765691"/>
    <w:rsid w:val="67856378"/>
    <w:rsid w:val="67BF7384"/>
    <w:rsid w:val="67C52E61"/>
    <w:rsid w:val="67D51E56"/>
    <w:rsid w:val="67EF3B0B"/>
    <w:rsid w:val="67F83872"/>
    <w:rsid w:val="680402E9"/>
    <w:rsid w:val="682C29C8"/>
    <w:rsid w:val="689B5649"/>
    <w:rsid w:val="68A85F1A"/>
    <w:rsid w:val="68C27C0F"/>
    <w:rsid w:val="68DB1025"/>
    <w:rsid w:val="6906701D"/>
    <w:rsid w:val="69187348"/>
    <w:rsid w:val="69381295"/>
    <w:rsid w:val="69450F0B"/>
    <w:rsid w:val="6952065E"/>
    <w:rsid w:val="695B3166"/>
    <w:rsid w:val="695F214E"/>
    <w:rsid w:val="69B42DF2"/>
    <w:rsid w:val="69D306F9"/>
    <w:rsid w:val="6A3F00F3"/>
    <w:rsid w:val="6A435E2C"/>
    <w:rsid w:val="6A490A43"/>
    <w:rsid w:val="6A4B39C5"/>
    <w:rsid w:val="6A9E7245"/>
    <w:rsid w:val="6AC07333"/>
    <w:rsid w:val="6AC32999"/>
    <w:rsid w:val="6AE12B83"/>
    <w:rsid w:val="6AFD2C2C"/>
    <w:rsid w:val="6B012A74"/>
    <w:rsid w:val="6B977F64"/>
    <w:rsid w:val="6BAE234B"/>
    <w:rsid w:val="6BB424D9"/>
    <w:rsid w:val="6BBF2220"/>
    <w:rsid w:val="6BC04E8F"/>
    <w:rsid w:val="6BCC703B"/>
    <w:rsid w:val="6BE26586"/>
    <w:rsid w:val="6BE70734"/>
    <w:rsid w:val="6C0148AA"/>
    <w:rsid w:val="6C0459D1"/>
    <w:rsid w:val="6C35307D"/>
    <w:rsid w:val="6C4A5E9F"/>
    <w:rsid w:val="6C994DA2"/>
    <w:rsid w:val="6CED1361"/>
    <w:rsid w:val="6D0B0BF5"/>
    <w:rsid w:val="6D4E6E4E"/>
    <w:rsid w:val="6D7F674C"/>
    <w:rsid w:val="6D9065BF"/>
    <w:rsid w:val="6E0C7F17"/>
    <w:rsid w:val="6E104455"/>
    <w:rsid w:val="6E2750F7"/>
    <w:rsid w:val="6E3827BB"/>
    <w:rsid w:val="6E6C41BE"/>
    <w:rsid w:val="6E8A5A3B"/>
    <w:rsid w:val="6E953A45"/>
    <w:rsid w:val="6EFA4214"/>
    <w:rsid w:val="6F235519"/>
    <w:rsid w:val="6F6B536A"/>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35673A"/>
    <w:rsid w:val="71814168"/>
    <w:rsid w:val="71AF7086"/>
    <w:rsid w:val="71EB477D"/>
    <w:rsid w:val="71F466BE"/>
    <w:rsid w:val="725400CE"/>
    <w:rsid w:val="725C59C0"/>
    <w:rsid w:val="726500C8"/>
    <w:rsid w:val="72E33368"/>
    <w:rsid w:val="72FC0C01"/>
    <w:rsid w:val="73162589"/>
    <w:rsid w:val="73524898"/>
    <w:rsid w:val="736D46B7"/>
    <w:rsid w:val="73763599"/>
    <w:rsid w:val="73A11255"/>
    <w:rsid w:val="73DF0430"/>
    <w:rsid w:val="7409085D"/>
    <w:rsid w:val="7440104C"/>
    <w:rsid w:val="7441504E"/>
    <w:rsid w:val="74C43A90"/>
    <w:rsid w:val="75013C13"/>
    <w:rsid w:val="756A7792"/>
    <w:rsid w:val="75913D16"/>
    <w:rsid w:val="75BF27F5"/>
    <w:rsid w:val="75C22A0D"/>
    <w:rsid w:val="75D24E9F"/>
    <w:rsid w:val="76211BB8"/>
    <w:rsid w:val="769700AB"/>
    <w:rsid w:val="769C41BB"/>
    <w:rsid w:val="76D5448B"/>
    <w:rsid w:val="770964AB"/>
    <w:rsid w:val="770F29AD"/>
    <w:rsid w:val="77453517"/>
    <w:rsid w:val="775C2589"/>
    <w:rsid w:val="776E39F1"/>
    <w:rsid w:val="77D8751D"/>
    <w:rsid w:val="77FB70C4"/>
    <w:rsid w:val="782868C6"/>
    <w:rsid w:val="78311FAC"/>
    <w:rsid w:val="78381EB6"/>
    <w:rsid w:val="7860395B"/>
    <w:rsid w:val="786B510B"/>
    <w:rsid w:val="78767001"/>
    <w:rsid w:val="78C6494A"/>
    <w:rsid w:val="78FB2B7A"/>
    <w:rsid w:val="790025A4"/>
    <w:rsid w:val="79713DDB"/>
    <w:rsid w:val="799107B8"/>
    <w:rsid w:val="7A0348C4"/>
    <w:rsid w:val="7A5C7347"/>
    <w:rsid w:val="7A9C2379"/>
    <w:rsid w:val="7AA650D6"/>
    <w:rsid w:val="7ABE016F"/>
    <w:rsid w:val="7ACD7486"/>
    <w:rsid w:val="7AD37EC0"/>
    <w:rsid w:val="7AD71AB2"/>
    <w:rsid w:val="7B1A0118"/>
    <w:rsid w:val="7B1E4E8C"/>
    <w:rsid w:val="7B553327"/>
    <w:rsid w:val="7B5B24DE"/>
    <w:rsid w:val="7B7E2FB6"/>
    <w:rsid w:val="7BB66AE1"/>
    <w:rsid w:val="7D007E4B"/>
    <w:rsid w:val="7D070C5C"/>
    <w:rsid w:val="7D4E19B2"/>
    <w:rsid w:val="7DFF1847"/>
    <w:rsid w:val="7E3662A9"/>
    <w:rsid w:val="7E390153"/>
    <w:rsid w:val="7E5D5262"/>
    <w:rsid w:val="7E6E3678"/>
    <w:rsid w:val="7E8946C4"/>
    <w:rsid w:val="7E965634"/>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6">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3">
    <w:name w:val="Default Paragraph Font"/>
    <w:unhideWhenUsed/>
    <w:qFormat/>
    <w:uiPriority w:val="1"/>
  </w:style>
  <w:style w:type="table" w:default="1" w:styleId="21">
    <w:name w:val="Normal Table"/>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7">
    <w:name w:val="toa heading"/>
    <w:basedOn w:val="1"/>
    <w:next w:val="1"/>
    <w:unhideWhenUsed/>
    <w:qFormat/>
    <w:uiPriority w:val="99"/>
    <w:pPr>
      <w:spacing w:before="120"/>
    </w:pPr>
    <w:rPr>
      <w:rFonts w:ascii="等线 Light" w:hAnsi="等线 Light" w:cs="Times New Roman"/>
      <w:szCs w:val="24"/>
    </w:rPr>
  </w:style>
  <w:style w:type="paragraph" w:styleId="8">
    <w:name w:val="annotation text"/>
    <w:basedOn w:val="1"/>
    <w:next w:val="1"/>
    <w:link w:val="30"/>
    <w:unhideWhenUsed/>
    <w:qFormat/>
    <w:uiPriority w:val="99"/>
    <w:pPr>
      <w:jc w:val="left"/>
    </w:pPr>
  </w:style>
  <w:style w:type="paragraph" w:styleId="9">
    <w:name w:val="Body Text Indent"/>
    <w:basedOn w:val="1"/>
    <w:next w:val="1"/>
    <w:qFormat/>
    <w:uiPriority w:val="0"/>
    <w:pPr>
      <w:spacing w:after="120"/>
      <w:ind w:left="420" w:leftChars="200"/>
    </w:pPr>
  </w:style>
  <w:style w:type="paragraph" w:styleId="10">
    <w:name w:val="toc 3"/>
    <w:basedOn w:val="1"/>
    <w:next w:val="1"/>
    <w:unhideWhenUsed/>
    <w:qFormat/>
    <w:uiPriority w:val="39"/>
    <w:pPr>
      <w:ind w:left="840" w:leftChars="400"/>
    </w:pPr>
  </w:style>
  <w:style w:type="paragraph" w:styleId="11">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2">
    <w:name w:val="footer"/>
    <w:basedOn w:val="1"/>
    <w:link w:val="31"/>
    <w:unhideWhenUsed/>
    <w:qFormat/>
    <w:uiPriority w:val="99"/>
    <w:pPr>
      <w:tabs>
        <w:tab w:val="center" w:pos="4153"/>
        <w:tab w:val="right" w:pos="8306"/>
      </w:tabs>
      <w:snapToGrid w:val="0"/>
      <w:jc w:val="left"/>
    </w:pPr>
    <w:rPr>
      <w:sz w:val="18"/>
      <w:szCs w:val="18"/>
    </w:rPr>
  </w:style>
  <w:style w:type="paragraph" w:styleId="13">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Body Text Indent 3"/>
    <w:basedOn w:val="1"/>
    <w:qFormat/>
    <w:uiPriority w:val="0"/>
    <w:pPr>
      <w:ind w:firstLine="538" w:firstLineChars="192"/>
    </w:pPr>
    <w:rPr>
      <w:rFonts w:ascii="Times New Roman" w:hAnsi="Times New Roman" w:eastAsia="宋体" w:cs="Times New Roman"/>
      <w:sz w:val="28"/>
      <w:szCs w:val="20"/>
    </w:rPr>
  </w:style>
  <w:style w:type="paragraph" w:styleId="16">
    <w:name w:val="toc 2"/>
    <w:basedOn w:val="1"/>
    <w:next w:val="1"/>
    <w:unhideWhenUsed/>
    <w:qFormat/>
    <w:uiPriority w:val="39"/>
    <w:pPr>
      <w:ind w:left="420" w:leftChars="200"/>
    </w:pPr>
  </w:style>
  <w:style w:type="paragraph" w:styleId="17">
    <w:name w:val="Normal (Web)"/>
    <w:basedOn w:val="1"/>
    <w:qFormat/>
    <w:uiPriority w:val="0"/>
    <w:pPr>
      <w:spacing w:before="100" w:beforeAutospacing="1" w:after="100" w:afterAutospacing="1"/>
      <w:jc w:val="left"/>
    </w:pPr>
    <w:rPr>
      <w:rFonts w:cs="Times New Roman"/>
      <w:kern w:val="0"/>
      <w:sz w:val="24"/>
    </w:rPr>
  </w:style>
  <w:style w:type="paragraph" w:styleId="18">
    <w:name w:val="annotation subject"/>
    <w:basedOn w:val="8"/>
    <w:next w:val="8"/>
    <w:link w:val="33"/>
    <w:unhideWhenUsed/>
    <w:qFormat/>
    <w:uiPriority w:val="99"/>
    <w:rPr>
      <w:b/>
      <w:bCs/>
    </w:rPr>
  </w:style>
  <w:style w:type="paragraph" w:styleId="19">
    <w:name w:val="Body Text First Indent"/>
    <w:basedOn w:val="2"/>
    <w:next w:val="1"/>
    <w:qFormat/>
    <w:uiPriority w:val="0"/>
    <w:pPr>
      <w:spacing w:after="120" w:line="240" w:lineRule="auto"/>
      <w:ind w:firstLine="420" w:firstLineChars="100"/>
    </w:pPr>
    <w:rPr>
      <w:rFonts w:ascii="Times New Roman" w:hAnsi="Times New Roman"/>
      <w:sz w:val="21"/>
    </w:rPr>
  </w:style>
  <w:style w:type="paragraph" w:styleId="20">
    <w:name w:val="Body Text First Indent 2"/>
    <w:basedOn w:val="9"/>
    <w:next w:val="1"/>
    <w:qFormat/>
    <w:uiPriority w:val="0"/>
    <w:pPr>
      <w:ind w:left="420" w:firstLine="210"/>
    </w:pPr>
    <w:rPr>
      <w:sz w:val="21"/>
      <w:szCs w:val="20"/>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Hyperlink"/>
    <w:basedOn w:val="23"/>
    <w:unhideWhenUsed/>
    <w:qFormat/>
    <w:uiPriority w:val="99"/>
    <w:rPr>
      <w:color w:val="0563C1"/>
      <w:u w:val="single"/>
    </w:rPr>
  </w:style>
  <w:style w:type="character" w:styleId="26">
    <w:name w:val="annotation reference"/>
    <w:basedOn w:val="23"/>
    <w:unhideWhenUsed/>
    <w:qFormat/>
    <w:uiPriority w:val="99"/>
    <w:rPr>
      <w:sz w:val="21"/>
      <w:szCs w:val="21"/>
    </w:rPr>
  </w:style>
  <w:style w:type="paragraph" w:styleId="27">
    <w:name w:val="List Paragraph"/>
    <w:basedOn w:val="1"/>
    <w:autoRedefine/>
    <w:qFormat/>
    <w:uiPriority w:val="34"/>
    <w:pPr>
      <w:ind w:firstLine="420" w:firstLineChars="200"/>
    </w:pPr>
  </w:style>
  <w:style w:type="character" w:customStyle="1" w:styleId="28">
    <w:name w:val="标题 1 字符"/>
    <w:basedOn w:val="23"/>
    <w:link w:val="4"/>
    <w:qFormat/>
    <w:uiPriority w:val="9"/>
    <w:rPr>
      <w:rFonts w:eastAsia="宋体"/>
      <w:b/>
      <w:bCs/>
      <w:kern w:val="44"/>
      <w:sz w:val="44"/>
      <w:szCs w:val="44"/>
    </w:rPr>
  </w:style>
  <w:style w:type="character" w:customStyle="1" w:styleId="29">
    <w:name w:val="标题 2 字符"/>
    <w:basedOn w:val="23"/>
    <w:link w:val="5"/>
    <w:semiHidden/>
    <w:qFormat/>
    <w:uiPriority w:val="9"/>
    <w:rPr>
      <w:rFonts w:ascii="等线 Light" w:hAnsi="等线 Light" w:eastAsia="等线 Light" w:cs="Times New Roman"/>
      <w:b/>
      <w:bCs/>
      <w:kern w:val="2"/>
      <w:sz w:val="32"/>
      <w:szCs w:val="32"/>
    </w:rPr>
  </w:style>
  <w:style w:type="character" w:customStyle="1" w:styleId="30">
    <w:name w:val="批注文字 字符"/>
    <w:basedOn w:val="23"/>
    <w:link w:val="8"/>
    <w:semiHidden/>
    <w:qFormat/>
    <w:uiPriority w:val="99"/>
    <w:rPr>
      <w:rFonts w:ascii="等线" w:hAnsi="等线" w:cs="Times New Roman"/>
      <w:kern w:val="2"/>
      <w:sz w:val="28"/>
      <w:szCs w:val="22"/>
    </w:rPr>
  </w:style>
  <w:style w:type="character" w:customStyle="1" w:styleId="31">
    <w:name w:val="页脚 字符"/>
    <w:basedOn w:val="23"/>
    <w:link w:val="12"/>
    <w:qFormat/>
    <w:uiPriority w:val="99"/>
    <w:rPr>
      <w:sz w:val="18"/>
      <w:szCs w:val="18"/>
    </w:rPr>
  </w:style>
  <w:style w:type="character" w:customStyle="1" w:styleId="32">
    <w:name w:val="页眉 字符"/>
    <w:basedOn w:val="23"/>
    <w:link w:val="13"/>
    <w:qFormat/>
    <w:uiPriority w:val="99"/>
    <w:rPr>
      <w:sz w:val="18"/>
      <w:szCs w:val="18"/>
    </w:rPr>
  </w:style>
  <w:style w:type="character" w:customStyle="1" w:styleId="33">
    <w:name w:val="批注主题 字符"/>
    <w:basedOn w:val="30"/>
    <w:link w:val="18"/>
    <w:semiHidden/>
    <w:qFormat/>
    <w:uiPriority w:val="99"/>
    <w:rPr>
      <w:rFonts w:ascii="等线" w:hAnsi="等线" w:cs="Times New Roman"/>
      <w:b/>
      <w:bCs/>
      <w:kern w:val="2"/>
      <w:sz w:val="28"/>
      <w:szCs w:val="22"/>
    </w:rPr>
  </w:style>
  <w:style w:type="paragraph" w:customStyle="1" w:styleId="34">
    <w:name w:val="TOC 标题1"/>
    <w:basedOn w:val="4"/>
    <w:next w:val="1"/>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5">
    <w:name w:val="修订1"/>
    <w:semiHidden/>
    <w:qFormat/>
    <w:uiPriority w:val="99"/>
    <w:rPr>
      <w:rFonts w:ascii="等线" w:hAnsi="等线" w:eastAsia="宋体" w:cs="Times New Roman"/>
      <w:kern w:val="2"/>
      <w:sz w:val="28"/>
      <w:szCs w:val="22"/>
      <w:lang w:val="en-US" w:eastAsia="zh-CN" w:bidi="ar-SA"/>
    </w:rPr>
  </w:style>
  <w:style w:type="paragraph" w:customStyle="1" w:styleId="36">
    <w:name w:val="修订2"/>
    <w:semiHidden/>
    <w:qFormat/>
    <w:uiPriority w:val="99"/>
    <w:rPr>
      <w:rFonts w:ascii="等线" w:hAnsi="等线" w:eastAsia="宋体" w:cs="Times New Roman"/>
      <w:kern w:val="2"/>
      <w:sz w:val="28"/>
      <w:szCs w:val="22"/>
      <w:lang w:val="en-US" w:eastAsia="zh-CN" w:bidi="ar-SA"/>
    </w:rPr>
  </w:style>
  <w:style w:type="paragraph" w:customStyle="1" w:styleId="37">
    <w:name w:val="Revision"/>
    <w:semiHidden/>
    <w:qFormat/>
    <w:uiPriority w:val="99"/>
    <w:rPr>
      <w:rFonts w:ascii="等线" w:hAnsi="等线" w:eastAsia="宋体" w:cs="Times New Roman"/>
      <w:kern w:val="2"/>
      <w:sz w:val="28"/>
      <w:szCs w:val="22"/>
      <w:lang w:val="en-US" w:eastAsia="zh-CN" w:bidi="ar-SA"/>
    </w:rPr>
  </w:style>
  <w:style w:type="paragraph" w:customStyle="1" w:styleId="38">
    <w:name w:val="BodyText1I2"/>
    <w:basedOn w:val="39"/>
    <w:qFormat/>
    <w:uiPriority w:val="0"/>
    <w:pPr>
      <w:ind w:firstLine="420" w:firstLineChars="200"/>
    </w:pPr>
    <w:rPr>
      <w:rFonts w:ascii="Calibri" w:hAnsi="Calibri"/>
      <w:sz w:val="32"/>
      <w:szCs w:val="32"/>
    </w:rPr>
  </w:style>
  <w:style w:type="paragraph" w:customStyle="1" w:styleId="39">
    <w:name w:val="BodyTextIndent"/>
    <w:basedOn w:val="1"/>
    <w:next w:val="40"/>
    <w:qFormat/>
    <w:uiPriority w:val="0"/>
    <w:pPr>
      <w:spacing w:after="120"/>
      <w:ind w:left="420" w:leftChars="200"/>
    </w:pPr>
  </w:style>
  <w:style w:type="paragraph" w:customStyle="1" w:styleId="40">
    <w:name w:val="NormalIndent"/>
    <w:basedOn w:val="1"/>
    <w:qFormat/>
    <w:uiPriority w:val="0"/>
    <w:pPr>
      <w:ind w:firstLine="420" w:firstLineChars="200"/>
    </w:pPr>
    <w:rPr>
      <w:rFonts w:ascii="Calibri" w:hAnsi="Calibri" w:eastAsia="仿宋"/>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7769</Words>
  <Characters>8082</Characters>
  <Lines>163</Lines>
  <Paragraphs>46</Paragraphs>
  <TotalTime>1</TotalTime>
  <ScaleCrop>false</ScaleCrop>
  <LinksUpToDate>false</LinksUpToDate>
  <CharactersWithSpaces>8181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轻描淡写</cp:lastModifiedBy>
  <cp:lastPrinted>2023-05-06T06:49:00Z</cp:lastPrinted>
  <dcterms:modified xsi:type="dcterms:W3CDTF">2025-11-06T01:37:04Z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CDCB9D232F0049F4A81DF6301F42E4DA_13</vt:lpwstr>
  </property>
  <property fmtid="{D5CDD505-2E9C-101B-9397-08002B2CF9AE}" pid="4" name="KSOTemplateDocerSaveRecord">
    <vt:lpwstr>eyJoZGlkIjoiN2UyNGU2YTllM2QyMzdmYjFjOTc2Njc0OWViZDJmMWQiLCJ1c2VySWQiOiI0ODkxMDMzNDYifQ==</vt:lpwstr>
  </property>
</Properties>
</file>