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008DC6">
      <w:pPr>
        <w:spacing w:line="360" w:lineRule="auto"/>
        <w:jc w:val="left"/>
        <w:rPr>
          <w:rFonts w:hint="eastAsia" w:ascii="黑体" w:hAnsi="黑体" w:eastAsia="黑体" w:cs="黑体"/>
          <w:b/>
          <w:sz w:val="48"/>
          <w:szCs w:val="48"/>
        </w:rPr>
      </w:pPr>
    </w:p>
    <w:p w14:paraId="6AEBEE64">
      <w:pPr>
        <w:spacing w:line="360" w:lineRule="auto"/>
        <w:jc w:val="left"/>
        <w:rPr>
          <w:rFonts w:hint="eastAsia" w:ascii="黑体" w:hAnsi="黑体" w:eastAsia="黑体" w:cs="黑体"/>
          <w:sz w:val="48"/>
          <w:szCs w:val="48"/>
        </w:rPr>
      </w:pPr>
      <w:bookmarkStart w:id="0" w:name="_Toc264729017"/>
      <w:bookmarkStart w:id="1" w:name="_Toc264643771"/>
    </w:p>
    <w:p w14:paraId="52FE480B">
      <w:pPr>
        <w:pStyle w:val="18"/>
        <w:ind w:left="0" w:leftChars="0" w:firstLine="0" w:firstLineChars="0"/>
        <w:jc w:val="left"/>
        <w:rPr>
          <w:rFonts w:hint="eastAsia" w:ascii="黑体" w:hAnsi="黑体" w:eastAsia="黑体" w:cs="黑体"/>
          <w:sz w:val="48"/>
          <w:szCs w:val="48"/>
        </w:rPr>
      </w:pPr>
    </w:p>
    <w:p w14:paraId="5166DACE">
      <w:pPr>
        <w:rPr>
          <w:rFonts w:hint="eastAsia"/>
        </w:rPr>
      </w:pPr>
    </w:p>
    <w:p w14:paraId="3111E3B5">
      <w:pPr>
        <w:spacing w:line="360" w:lineRule="auto"/>
        <w:jc w:val="center"/>
        <w:rPr>
          <w:rFonts w:hint="eastAsia" w:ascii="黑体" w:hAnsi="黑体" w:eastAsia="黑体"/>
          <w:sz w:val="48"/>
          <w:szCs w:val="48"/>
        </w:rPr>
      </w:pPr>
      <w:r>
        <w:rPr>
          <w:rFonts w:hint="eastAsia" w:ascii="黑体" w:hAnsi="黑体" w:eastAsia="黑体"/>
          <w:sz w:val="48"/>
          <w:szCs w:val="48"/>
        </w:rPr>
        <w:t>马池口村土地一级开发项目非宅拆除工程</w:t>
      </w:r>
      <w:r>
        <w:rPr>
          <w:rFonts w:hint="eastAsia" w:ascii="黑体" w:hAnsi="黑体" w:eastAsia="黑体"/>
          <w:sz w:val="48"/>
          <w:szCs w:val="48"/>
          <w:lang w:val="en-US" w:eastAsia="zh-CN"/>
        </w:rPr>
        <w:t>(</w:t>
      </w:r>
      <w:r>
        <w:rPr>
          <w:rFonts w:hint="eastAsia" w:ascii="黑体" w:hAnsi="黑体" w:eastAsia="黑体"/>
          <w:sz w:val="48"/>
          <w:szCs w:val="48"/>
        </w:rPr>
        <w:t>一标段</w:t>
      </w:r>
      <w:r>
        <w:rPr>
          <w:rFonts w:hint="eastAsia" w:ascii="黑体" w:hAnsi="黑体" w:eastAsia="黑体"/>
          <w:sz w:val="48"/>
          <w:szCs w:val="48"/>
          <w:lang w:val="en-US" w:eastAsia="zh-CN"/>
        </w:rPr>
        <w:t>)</w:t>
      </w:r>
      <w:r>
        <w:rPr>
          <w:rFonts w:hint="eastAsia" w:ascii="黑体" w:hAnsi="黑体" w:eastAsia="黑体"/>
          <w:sz w:val="48"/>
          <w:szCs w:val="48"/>
        </w:rPr>
        <w:t>“5·4”一般生产安全事故</w:t>
      </w:r>
    </w:p>
    <w:p w14:paraId="1C178FDB">
      <w:pPr>
        <w:spacing w:line="360" w:lineRule="auto"/>
        <w:jc w:val="center"/>
        <w:rPr>
          <w:rFonts w:eastAsia="黑体"/>
          <w:b/>
          <w:sz w:val="48"/>
          <w:szCs w:val="48"/>
        </w:rPr>
      </w:pPr>
      <w:r>
        <w:rPr>
          <w:rFonts w:hint="eastAsia" w:ascii="黑体" w:hAnsi="黑体" w:eastAsia="黑体"/>
          <w:sz w:val="48"/>
          <w:szCs w:val="48"/>
        </w:rPr>
        <w:t>现场安全现状评估报告</w:t>
      </w:r>
    </w:p>
    <w:bookmarkEnd w:id="0"/>
    <w:bookmarkEnd w:id="1"/>
    <w:p w14:paraId="1967A072">
      <w:pPr>
        <w:spacing w:line="360" w:lineRule="auto"/>
        <w:jc w:val="center"/>
        <w:rPr>
          <w:rFonts w:eastAsia="黑体"/>
          <w:b/>
          <w:sz w:val="48"/>
          <w:szCs w:val="48"/>
        </w:rPr>
      </w:pPr>
    </w:p>
    <w:p w14:paraId="76A7BB5B">
      <w:pPr>
        <w:spacing w:line="360" w:lineRule="auto"/>
        <w:jc w:val="center"/>
        <w:rPr>
          <w:rFonts w:eastAsia="黑体"/>
          <w:b/>
          <w:sz w:val="48"/>
          <w:szCs w:val="48"/>
        </w:rPr>
      </w:pPr>
    </w:p>
    <w:p w14:paraId="2185CD20">
      <w:pPr>
        <w:spacing w:line="360" w:lineRule="auto"/>
        <w:jc w:val="center"/>
        <w:rPr>
          <w:rFonts w:eastAsia="黑体"/>
          <w:b/>
          <w:sz w:val="48"/>
          <w:szCs w:val="48"/>
        </w:rPr>
      </w:pPr>
    </w:p>
    <w:p w14:paraId="0049F11F">
      <w:pPr>
        <w:spacing w:line="360" w:lineRule="auto"/>
        <w:jc w:val="center"/>
        <w:rPr>
          <w:rFonts w:eastAsia="黑体"/>
          <w:b/>
          <w:sz w:val="48"/>
          <w:szCs w:val="48"/>
        </w:rPr>
      </w:pPr>
    </w:p>
    <w:p w14:paraId="6B048121">
      <w:pPr>
        <w:spacing w:line="360" w:lineRule="auto"/>
        <w:jc w:val="center"/>
        <w:rPr>
          <w:rFonts w:eastAsia="黑体"/>
          <w:b/>
          <w:sz w:val="48"/>
          <w:szCs w:val="48"/>
        </w:rPr>
      </w:pPr>
    </w:p>
    <w:p w14:paraId="76E48FA7">
      <w:pPr>
        <w:spacing w:line="360" w:lineRule="auto"/>
        <w:jc w:val="center"/>
        <w:rPr>
          <w:rFonts w:eastAsia="黑体"/>
          <w:b/>
          <w:sz w:val="48"/>
          <w:szCs w:val="48"/>
        </w:rPr>
      </w:pPr>
    </w:p>
    <w:p w14:paraId="49743DDB">
      <w:pPr>
        <w:pStyle w:val="18"/>
        <w:rPr>
          <w:sz w:val="48"/>
          <w:szCs w:val="48"/>
        </w:rPr>
      </w:pPr>
    </w:p>
    <w:p w14:paraId="63171053">
      <w:pPr>
        <w:spacing w:line="360" w:lineRule="auto"/>
        <w:jc w:val="center"/>
        <w:rPr>
          <w:rFonts w:ascii="黑体" w:hAnsi="黑体" w:eastAsia="黑体"/>
          <w:sz w:val="48"/>
          <w:szCs w:val="48"/>
        </w:rPr>
      </w:pPr>
      <w:r>
        <w:rPr>
          <w:rFonts w:hint="eastAsia" w:ascii="黑体" w:hAnsi="黑体" w:eastAsia="黑体"/>
          <w:sz w:val="48"/>
          <w:szCs w:val="48"/>
        </w:rPr>
        <w:t>北京市科学技术研究院</w:t>
      </w:r>
    </w:p>
    <w:p w14:paraId="5A3B7C3C">
      <w:pPr>
        <w:spacing w:line="360" w:lineRule="auto"/>
        <w:jc w:val="center"/>
        <w:rPr>
          <w:rFonts w:ascii="黑体" w:hAnsi="黑体" w:eastAsia="黑体"/>
          <w:sz w:val="48"/>
          <w:szCs w:val="48"/>
        </w:rPr>
      </w:pPr>
      <w:r>
        <w:rPr>
          <w:rFonts w:hint="eastAsia" w:ascii="黑体" w:hAnsi="黑体" w:eastAsia="黑体"/>
          <w:sz w:val="48"/>
          <w:szCs w:val="48"/>
        </w:rPr>
        <w:t xml:space="preserve">城市安全与环境科学研究所 </w:t>
      </w:r>
    </w:p>
    <w:p w14:paraId="3426533E">
      <w:pPr>
        <w:pStyle w:val="18"/>
        <w:ind w:left="0" w:leftChars="0" w:firstLine="0" w:firstLineChars="0"/>
        <w:jc w:val="center"/>
        <w:rPr>
          <w:rFonts w:ascii="黑体" w:hAnsi="黑体" w:eastAsia="黑体"/>
          <w:sz w:val="48"/>
          <w:szCs w:val="48"/>
        </w:rPr>
        <w:sectPr>
          <w:pgSz w:w="11906" w:h="16838"/>
          <w:pgMar w:top="1440" w:right="1800" w:bottom="1440" w:left="1800" w:header="851" w:footer="992" w:gutter="0"/>
          <w:cols w:space="425" w:num="1"/>
          <w:docGrid w:type="lines" w:linePitch="312" w:charSpace="0"/>
        </w:sectPr>
      </w:pPr>
      <w:r>
        <w:rPr>
          <w:rFonts w:hint="eastAsia" w:ascii="黑体" w:hAnsi="黑体" w:eastAsia="黑体"/>
          <w:sz w:val="48"/>
          <w:szCs w:val="48"/>
        </w:rPr>
        <w:t>202</w:t>
      </w:r>
      <w:r>
        <w:rPr>
          <w:rFonts w:hint="eastAsia" w:ascii="黑体" w:hAnsi="黑体" w:eastAsia="黑体"/>
          <w:sz w:val="48"/>
          <w:szCs w:val="48"/>
          <w:lang w:val="en-US" w:eastAsia="zh-CN"/>
        </w:rPr>
        <w:t>5</w:t>
      </w:r>
      <w:r>
        <w:rPr>
          <w:rFonts w:ascii="黑体" w:hAnsi="黑体" w:eastAsia="黑体"/>
          <w:sz w:val="48"/>
          <w:szCs w:val="48"/>
        </w:rPr>
        <w:t>年</w:t>
      </w:r>
      <w:r>
        <w:rPr>
          <w:rFonts w:hint="eastAsia" w:ascii="黑体" w:hAnsi="黑体" w:eastAsia="黑体"/>
          <w:sz w:val="48"/>
          <w:szCs w:val="48"/>
          <w:lang w:val="en-US" w:eastAsia="zh-CN"/>
        </w:rPr>
        <w:t>9</w:t>
      </w:r>
      <w:bookmarkStart w:id="23" w:name="_GoBack"/>
      <w:bookmarkEnd w:id="23"/>
      <w:r>
        <w:rPr>
          <w:rFonts w:ascii="黑体" w:hAnsi="黑体" w:eastAsia="黑体"/>
          <w:sz w:val="48"/>
          <w:szCs w:val="48"/>
        </w:rPr>
        <w:t>月</w:t>
      </w:r>
    </w:p>
    <w:p w14:paraId="2152D03B">
      <w:pPr>
        <w:pStyle w:val="2"/>
        <w:sectPr>
          <w:pgSz w:w="11906" w:h="16838"/>
          <w:pgMar w:top="1440" w:right="1800" w:bottom="1440" w:left="1800" w:header="851" w:footer="992" w:gutter="0"/>
          <w:cols w:space="425" w:num="1"/>
          <w:docGrid w:type="lines" w:linePitch="312" w:charSpace="0"/>
        </w:sectPr>
      </w:pPr>
    </w:p>
    <w:p w14:paraId="698B062E">
      <w:pPr>
        <w:jc w:val="center"/>
        <w:rPr>
          <w:rFonts w:ascii="宋体" w:hAnsi="宋体" w:eastAsia="宋体"/>
        </w:rPr>
      </w:pPr>
      <w:bookmarkStart w:id="2" w:name="_Toc4192"/>
    </w:p>
    <w:p w14:paraId="1753A3D1">
      <w:pPr>
        <w:jc w:val="center"/>
        <w:rPr>
          <w:rFonts w:ascii="黑体" w:hAnsi="黑体" w:eastAsia="黑体" w:cs="黑体"/>
          <w:sz w:val="28"/>
          <w:szCs w:val="32"/>
        </w:rPr>
      </w:pPr>
      <w:r>
        <w:rPr>
          <w:rFonts w:hint="eastAsia" w:ascii="黑体" w:hAnsi="黑体" w:eastAsia="黑体" w:cs="黑体"/>
          <w:sz w:val="28"/>
          <w:szCs w:val="32"/>
        </w:rPr>
        <w:t>目</w:t>
      </w:r>
      <w:r>
        <w:rPr>
          <w:rFonts w:hint="eastAsia" w:ascii="黑体" w:hAnsi="黑体" w:eastAsia="黑体" w:cs="黑体"/>
          <w:sz w:val="28"/>
          <w:szCs w:val="32"/>
          <w:lang w:val="en-US" w:eastAsia="zh-CN"/>
        </w:rPr>
        <w:t xml:space="preserve"> </w:t>
      </w:r>
      <w:r>
        <w:rPr>
          <w:rFonts w:hint="eastAsia" w:ascii="黑体" w:hAnsi="黑体" w:eastAsia="黑体" w:cs="黑体"/>
          <w:sz w:val="28"/>
          <w:szCs w:val="32"/>
        </w:rPr>
        <w:t>录</w:t>
      </w:r>
    </w:p>
    <w:p w14:paraId="74544504">
      <w:pPr>
        <w:pStyle w:val="7"/>
      </w:pPr>
    </w:p>
    <w:p w14:paraId="06FA2C56">
      <w:pPr>
        <w:pStyle w:val="13"/>
        <w:tabs>
          <w:tab w:val="right" w:leader="dot" w:pos="8787"/>
        </w:tabs>
        <w:spacing w:line="360" w:lineRule="auto"/>
      </w:pPr>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TOC \o "1-3" \h \u </w:instrText>
      </w:r>
      <w:r>
        <w:rPr>
          <w:rFonts w:hint="default" w:ascii="Times New Roman" w:hAnsi="Times New Roman" w:eastAsia="黑体" w:cs="Times New Roman"/>
          <w:sz w:val="32"/>
          <w:szCs w:val="32"/>
        </w:rPr>
        <w:fldChar w:fldCharType="separate"/>
      </w:r>
      <w:r>
        <w:rPr>
          <w:rFonts w:hint="default" w:ascii="Times New Roman" w:hAnsi="Times New Roman" w:eastAsia="黑体" w:cs="Times New Roman"/>
          <w:szCs w:val="32"/>
        </w:rPr>
        <w:fldChar w:fldCharType="begin"/>
      </w:r>
      <w:r>
        <w:rPr>
          <w:rFonts w:hint="default" w:ascii="Times New Roman" w:hAnsi="Times New Roman" w:eastAsia="黑体" w:cs="Times New Roman"/>
          <w:szCs w:val="32"/>
        </w:rPr>
        <w:instrText xml:space="preserve"> HYPERLINK \l _Toc18875 </w:instrText>
      </w:r>
      <w:r>
        <w:rPr>
          <w:rFonts w:hint="default" w:ascii="Times New Roman" w:hAnsi="Times New Roman" w:eastAsia="黑体" w:cs="Times New Roman"/>
          <w:szCs w:val="32"/>
        </w:rPr>
        <w:fldChar w:fldCharType="separate"/>
      </w:r>
      <w:r>
        <w:rPr>
          <w:rFonts w:hint="eastAsia" w:ascii="黑体" w:hAnsi="黑体" w:eastAsia="黑体" w:cs="黑体"/>
          <w:szCs w:val="28"/>
        </w:rPr>
        <w:t>一、目的依据</w:t>
      </w:r>
      <w:r>
        <w:tab/>
      </w:r>
      <w:r>
        <w:fldChar w:fldCharType="begin"/>
      </w:r>
      <w:r>
        <w:instrText xml:space="preserve"> PAGEREF _Toc18875 \h </w:instrText>
      </w:r>
      <w:r>
        <w:fldChar w:fldCharType="separate"/>
      </w:r>
      <w:r>
        <w:t>1</w:t>
      </w:r>
      <w:r>
        <w:fldChar w:fldCharType="end"/>
      </w:r>
      <w:r>
        <w:rPr>
          <w:rFonts w:hint="default" w:ascii="Times New Roman" w:hAnsi="Times New Roman" w:eastAsia="黑体" w:cs="Times New Roman"/>
          <w:szCs w:val="32"/>
        </w:rPr>
        <w:fldChar w:fldCharType="end"/>
      </w:r>
    </w:p>
    <w:p w14:paraId="638DE801">
      <w:pPr>
        <w:pStyle w:val="13"/>
        <w:tabs>
          <w:tab w:val="right" w:leader="dot" w:pos="8787"/>
        </w:tabs>
        <w:spacing w:line="360" w:lineRule="auto"/>
      </w:pPr>
      <w:r>
        <w:rPr>
          <w:rFonts w:hint="default" w:ascii="Times New Roman" w:hAnsi="Times New Roman" w:eastAsia="黑体" w:cs="Times New Roman"/>
          <w:szCs w:val="32"/>
        </w:rPr>
        <w:fldChar w:fldCharType="begin"/>
      </w:r>
      <w:r>
        <w:rPr>
          <w:rFonts w:hint="default" w:ascii="Times New Roman" w:hAnsi="Times New Roman" w:eastAsia="黑体" w:cs="Times New Roman"/>
          <w:szCs w:val="32"/>
        </w:rPr>
        <w:instrText xml:space="preserve"> HYPERLINK \l _Toc31080 </w:instrText>
      </w:r>
      <w:r>
        <w:rPr>
          <w:rFonts w:hint="default" w:ascii="Times New Roman" w:hAnsi="Times New Roman" w:eastAsia="黑体" w:cs="Times New Roman"/>
          <w:szCs w:val="32"/>
        </w:rPr>
        <w:fldChar w:fldCharType="separate"/>
      </w:r>
      <w:r>
        <w:rPr>
          <w:rFonts w:hint="eastAsia" w:ascii="黑体" w:hAnsi="黑体" w:eastAsia="黑体" w:cs="黑体"/>
          <w:szCs w:val="28"/>
        </w:rPr>
        <w:t>二、工作范围和方式</w:t>
      </w:r>
      <w:r>
        <w:tab/>
      </w:r>
      <w:r>
        <w:fldChar w:fldCharType="begin"/>
      </w:r>
      <w:r>
        <w:instrText xml:space="preserve"> PAGEREF _Toc31080 \h </w:instrText>
      </w:r>
      <w:r>
        <w:fldChar w:fldCharType="separate"/>
      </w:r>
      <w:r>
        <w:t>1</w:t>
      </w:r>
      <w:r>
        <w:fldChar w:fldCharType="end"/>
      </w:r>
      <w:r>
        <w:rPr>
          <w:rFonts w:hint="default" w:ascii="Times New Roman" w:hAnsi="Times New Roman" w:eastAsia="黑体" w:cs="Times New Roman"/>
          <w:szCs w:val="32"/>
        </w:rPr>
        <w:fldChar w:fldCharType="end"/>
      </w:r>
    </w:p>
    <w:p w14:paraId="17A79EEA">
      <w:pPr>
        <w:pStyle w:val="14"/>
        <w:tabs>
          <w:tab w:val="right" w:leader="dot" w:pos="8787"/>
        </w:tabs>
        <w:spacing w:line="360" w:lineRule="auto"/>
      </w:pPr>
      <w:r>
        <w:rPr>
          <w:rFonts w:hint="default" w:ascii="Times New Roman" w:hAnsi="Times New Roman" w:eastAsia="黑体" w:cs="Times New Roman"/>
          <w:szCs w:val="32"/>
        </w:rPr>
        <w:fldChar w:fldCharType="begin"/>
      </w:r>
      <w:r>
        <w:rPr>
          <w:rFonts w:hint="default" w:ascii="Times New Roman" w:hAnsi="Times New Roman" w:eastAsia="黑体" w:cs="Times New Roman"/>
          <w:szCs w:val="32"/>
        </w:rPr>
        <w:instrText xml:space="preserve"> HYPERLINK \l _Toc17814 </w:instrText>
      </w:r>
      <w:r>
        <w:rPr>
          <w:rFonts w:hint="default" w:ascii="Times New Roman" w:hAnsi="Times New Roman" w:eastAsia="黑体" w:cs="Times New Roman"/>
          <w:szCs w:val="32"/>
        </w:rPr>
        <w:fldChar w:fldCharType="separate"/>
      </w:r>
      <w:r>
        <w:rPr>
          <w:rFonts w:hint="eastAsia"/>
          <w:szCs w:val="21"/>
        </w:rPr>
        <w:t>（一）资料查阅</w:t>
      </w:r>
      <w:r>
        <w:tab/>
      </w:r>
      <w:r>
        <w:fldChar w:fldCharType="begin"/>
      </w:r>
      <w:r>
        <w:instrText xml:space="preserve"> PAGEREF _Toc17814 \h </w:instrText>
      </w:r>
      <w:r>
        <w:fldChar w:fldCharType="separate"/>
      </w:r>
      <w:r>
        <w:t>1</w:t>
      </w:r>
      <w:r>
        <w:fldChar w:fldCharType="end"/>
      </w:r>
      <w:r>
        <w:rPr>
          <w:rFonts w:hint="default" w:ascii="Times New Roman" w:hAnsi="Times New Roman" w:eastAsia="黑体" w:cs="Times New Roman"/>
          <w:szCs w:val="32"/>
        </w:rPr>
        <w:fldChar w:fldCharType="end"/>
      </w:r>
    </w:p>
    <w:p w14:paraId="4EEE3AEB">
      <w:pPr>
        <w:pStyle w:val="14"/>
        <w:tabs>
          <w:tab w:val="right" w:leader="dot" w:pos="8787"/>
        </w:tabs>
        <w:spacing w:line="360" w:lineRule="auto"/>
      </w:pPr>
      <w:r>
        <w:rPr>
          <w:rFonts w:hint="default" w:ascii="Times New Roman" w:hAnsi="Times New Roman" w:eastAsia="黑体" w:cs="Times New Roman"/>
          <w:szCs w:val="32"/>
        </w:rPr>
        <w:fldChar w:fldCharType="begin"/>
      </w:r>
      <w:r>
        <w:rPr>
          <w:rFonts w:hint="default" w:ascii="Times New Roman" w:hAnsi="Times New Roman" w:eastAsia="黑体" w:cs="Times New Roman"/>
          <w:szCs w:val="32"/>
        </w:rPr>
        <w:instrText xml:space="preserve"> HYPERLINK \l _Toc8033 </w:instrText>
      </w:r>
      <w:r>
        <w:rPr>
          <w:rFonts w:hint="default" w:ascii="Times New Roman" w:hAnsi="Times New Roman" w:eastAsia="黑体" w:cs="Times New Roman"/>
          <w:szCs w:val="32"/>
        </w:rPr>
        <w:fldChar w:fldCharType="separate"/>
      </w:r>
      <w:r>
        <w:rPr>
          <w:rFonts w:hint="eastAsia"/>
          <w:szCs w:val="21"/>
        </w:rPr>
        <w:t>（</w:t>
      </w:r>
      <w:r>
        <w:rPr>
          <w:rFonts w:hint="eastAsia"/>
          <w:szCs w:val="21"/>
          <w:lang w:val="en-US" w:eastAsia="zh-CN"/>
        </w:rPr>
        <w:t>二</w:t>
      </w:r>
      <w:r>
        <w:rPr>
          <w:rFonts w:hint="eastAsia"/>
          <w:szCs w:val="21"/>
        </w:rPr>
        <w:t>）走访核查</w:t>
      </w:r>
      <w:r>
        <w:tab/>
      </w:r>
      <w:r>
        <w:fldChar w:fldCharType="begin"/>
      </w:r>
      <w:r>
        <w:instrText xml:space="preserve"> PAGEREF _Toc8033 \h </w:instrText>
      </w:r>
      <w:r>
        <w:fldChar w:fldCharType="separate"/>
      </w:r>
      <w:r>
        <w:t>3</w:t>
      </w:r>
      <w:r>
        <w:fldChar w:fldCharType="end"/>
      </w:r>
      <w:r>
        <w:rPr>
          <w:rFonts w:hint="default" w:ascii="Times New Roman" w:hAnsi="Times New Roman" w:eastAsia="黑体" w:cs="Times New Roman"/>
          <w:szCs w:val="32"/>
        </w:rPr>
        <w:fldChar w:fldCharType="end"/>
      </w:r>
    </w:p>
    <w:p w14:paraId="7BA71148">
      <w:pPr>
        <w:pStyle w:val="13"/>
        <w:tabs>
          <w:tab w:val="right" w:leader="dot" w:pos="8787"/>
        </w:tabs>
        <w:spacing w:line="360" w:lineRule="auto"/>
      </w:pPr>
      <w:r>
        <w:rPr>
          <w:rFonts w:hint="default" w:ascii="Times New Roman" w:hAnsi="Times New Roman" w:eastAsia="黑体" w:cs="Times New Roman"/>
          <w:szCs w:val="32"/>
        </w:rPr>
        <w:fldChar w:fldCharType="begin"/>
      </w:r>
      <w:r>
        <w:rPr>
          <w:rFonts w:hint="default" w:ascii="Times New Roman" w:hAnsi="Times New Roman" w:eastAsia="黑体" w:cs="Times New Roman"/>
          <w:szCs w:val="32"/>
        </w:rPr>
        <w:instrText xml:space="preserve"> HYPERLINK \l _Toc10027 </w:instrText>
      </w:r>
      <w:r>
        <w:rPr>
          <w:rFonts w:hint="default" w:ascii="Times New Roman" w:hAnsi="Times New Roman" w:eastAsia="黑体" w:cs="Times New Roman"/>
          <w:szCs w:val="32"/>
        </w:rPr>
        <w:fldChar w:fldCharType="separate"/>
      </w:r>
      <w:r>
        <w:rPr>
          <w:rFonts w:hint="eastAsia" w:ascii="黑体" w:hAnsi="黑体" w:eastAsia="黑体" w:cs="黑体"/>
          <w:szCs w:val="28"/>
        </w:rPr>
        <w:t>三、安全现状评估</w:t>
      </w:r>
      <w:r>
        <w:tab/>
      </w:r>
      <w:r>
        <w:fldChar w:fldCharType="begin"/>
      </w:r>
      <w:r>
        <w:instrText xml:space="preserve"> PAGEREF _Toc10027 \h </w:instrText>
      </w:r>
      <w:r>
        <w:fldChar w:fldCharType="separate"/>
      </w:r>
      <w:r>
        <w:t>3</w:t>
      </w:r>
      <w:r>
        <w:fldChar w:fldCharType="end"/>
      </w:r>
      <w:r>
        <w:rPr>
          <w:rFonts w:hint="default" w:ascii="Times New Roman" w:hAnsi="Times New Roman" w:eastAsia="黑体" w:cs="Times New Roman"/>
          <w:szCs w:val="32"/>
        </w:rPr>
        <w:fldChar w:fldCharType="end"/>
      </w:r>
    </w:p>
    <w:p w14:paraId="46FF42DA">
      <w:pPr>
        <w:pStyle w:val="14"/>
        <w:tabs>
          <w:tab w:val="right" w:leader="dot" w:pos="8787"/>
        </w:tabs>
        <w:spacing w:line="360" w:lineRule="auto"/>
      </w:pPr>
      <w:r>
        <w:rPr>
          <w:rFonts w:hint="default" w:ascii="Times New Roman" w:hAnsi="Times New Roman" w:eastAsia="黑体" w:cs="Times New Roman"/>
          <w:szCs w:val="32"/>
        </w:rPr>
        <w:fldChar w:fldCharType="begin"/>
      </w:r>
      <w:r>
        <w:rPr>
          <w:rFonts w:hint="default" w:ascii="Times New Roman" w:hAnsi="Times New Roman" w:eastAsia="黑体" w:cs="Times New Roman"/>
          <w:szCs w:val="32"/>
        </w:rPr>
        <w:instrText xml:space="preserve"> HYPERLINK \l _Toc8119 </w:instrText>
      </w:r>
      <w:r>
        <w:rPr>
          <w:rFonts w:hint="default" w:ascii="Times New Roman" w:hAnsi="Times New Roman" w:eastAsia="黑体" w:cs="Times New Roman"/>
          <w:szCs w:val="32"/>
        </w:rPr>
        <w:fldChar w:fldCharType="separate"/>
      </w:r>
      <w:r>
        <w:rPr>
          <w:rFonts w:hint="eastAsia"/>
          <w:szCs w:val="21"/>
        </w:rPr>
        <w:t>（一）现行安全管理制度制定及落实情况评估</w:t>
      </w:r>
      <w:r>
        <w:tab/>
      </w:r>
      <w:r>
        <w:fldChar w:fldCharType="begin"/>
      </w:r>
      <w:r>
        <w:instrText xml:space="preserve"> PAGEREF _Toc8119 \h </w:instrText>
      </w:r>
      <w:r>
        <w:fldChar w:fldCharType="separate"/>
      </w:r>
      <w:r>
        <w:t>3</w:t>
      </w:r>
      <w:r>
        <w:fldChar w:fldCharType="end"/>
      </w:r>
      <w:r>
        <w:rPr>
          <w:rFonts w:hint="default" w:ascii="Times New Roman" w:hAnsi="Times New Roman" w:eastAsia="黑体" w:cs="Times New Roman"/>
          <w:szCs w:val="32"/>
        </w:rPr>
        <w:fldChar w:fldCharType="end"/>
      </w:r>
    </w:p>
    <w:p w14:paraId="107B9D4E">
      <w:pPr>
        <w:pStyle w:val="14"/>
        <w:tabs>
          <w:tab w:val="right" w:leader="dot" w:pos="8787"/>
        </w:tabs>
        <w:spacing w:line="360" w:lineRule="auto"/>
      </w:pPr>
      <w:r>
        <w:rPr>
          <w:rFonts w:hint="default" w:ascii="Times New Roman" w:hAnsi="Times New Roman" w:eastAsia="黑体" w:cs="Times New Roman"/>
          <w:szCs w:val="32"/>
        </w:rPr>
        <w:fldChar w:fldCharType="begin"/>
      </w:r>
      <w:r>
        <w:rPr>
          <w:rFonts w:hint="default" w:ascii="Times New Roman" w:hAnsi="Times New Roman" w:eastAsia="黑体" w:cs="Times New Roman"/>
          <w:szCs w:val="32"/>
        </w:rPr>
        <w:instrText xml:space="preserve"> HYPERLINK \l _Toc22538 </w:instrText>
      </w:r>
      <w:r>
        <w:rPr>
          <w:rFonts w:hint="default" w:ascii="Times New Roman" w:hAnsi="Times New Roman" w:eastAsia="黑体" w:cs="Times New Roman"/>
          <w:szCs w:val="32"/>
        </w:rPr>
        <w:fldChar w:fldCharType="separate"/>
      </w:r>
      <w:r>
        <w:rPr>
          <w:rFonts w:hint="eastAsia"/>
          <w:szCs w:val="21"/>
        </w:rPr>
        <w:t>（二）现场施工环境安全评估</w:t>
      </w:r>
      <w:r>
        <w:tab/>
      </w:r>
      <w:r>
        <w:fldChar w:fldCharType="begin"/>
      </w:r>
      <w:r>
        <w:instrText xml:space="preserve"> PAGEREF _Toc22538 \h </w:instrText>
      </w:r>
      <w:r>
        <w:fldChar w:fldCharType="separate"/>
      </w:r>
      <w:r>
        <w:t>27</w:t>
      </w:r>
      <w:r>
        <w:fldChar w:fldCharType="end"/>
      </w:r>
      <w:r>
        <w:rPr>
          <w:rFonts w:hint="default" w:ascii="Times New Roman" w:hAnsi="Times New Roman" w:eastAsia="黑体" w:cs="Times New Roman"/>
          <w:szCs w:val="32"/>
        </w:rPr>
        <w:fldChar w:fldCharType="end"/>
      </w:r>
    </w:p>
    <w:p w14:paraId="099713DC">
      <w:pPr>
        <w:pStyle w:val="13"/>
        <w:tabs>
          <w:tab w:val="right" w:leader="dot" w:pos="8787"/>
        </w:tabs>
        <w:spacing w:line="360" w:lineRule="auto"/>
      </w:pPr>
      <w:r>
        <w:rPr>
          <w:rFonts w:hint="default" w:ascii="Times New Roman" w:hAnsi="Times New Roman" w:eastAsia="黑体" w:cs="Times New Roman"/>
          <w:szCs w:val="32"/>
        </w:rPr>
        <w:fldChar w:fldCharType="begin"/>
      </w:r>
      <w:r>
        <w:rPr>
          <w:rFonts w:hint="default" w:ascii="Times New Roman" w:hAnsi="Times New Roman" w:eastAsia="黑体" w:cs="Times New Roman"/>
          <w:szCs w:val="32"/>
        </w:rPr>
        <w:instrText xml:space="preserve"> HYPERLINK \l _Toc5151 </w:instrText>
      </w:r>
      <w:r>
        <w:rPr>
          <w:rFonts w:hint="default" w:ascii="Times New Roman" w:hAnsi="Times New Roman" w:eastAsia="黑体" w:cs="Times New Roman"/>
          <w:szCs w:val="32"/>
        </w:rPr>
        <w:fldChar w:fldCharType="separate"/>
      </w:r>
      <w:r>
        <w:rPr>
          <w:rFonts w:hint="eastAsia" w:ascii="黑体" w:hAnsi="黑体" w:eastAsia="黑体" w:cs="黑体"/>
          <w:szCs w:val="28"/>
          <w:lang w:val="en-US" w:eastAsia="zh-CN"/>
        </w:rPr>
        <w:t>四</w:t>
      </w:r>
      <w:r>
        <w:rPr>
          <w:rFonts w:hint="eastAsia" w:ascii="黑体" w:hAnsi="黑体" w:eastAsia="黑体" w:cs="黑体"/>
          <w:szCs w:val="28"/>
        </w:rPr>
        <w:t>、</w:t>
      </w:r>
      <w:r>
        <w:rPr>
          <w:rFonts w:hint="eastAsia" w:ascii="黑体" w:hAnsi="黑体" w:eastAsia="黑体" w:cs="黑体"/>
          <w:szCs w:val="28"/>
          <w:lang w:val="en-US" w:eastAsia="zh-CN"/>
        </w:rPr>
        <w:t>安全现状</w:t>
      </w:r>
      <w:r>
        <w:rPr>
          <w:rFonts w:hint="eastAsia" w:ascii="黑体" w:hAnsi="黑体" w:eastAsia="黑体" w:cs="黑体"/>
          <w:szCs w:val="28"/>
        </w:rPr>
        <w:t>评估结论与建议</w:t>
      </w:r>
      <w:r>
        <w:tab/>
      </w:r>
      <w:r>
        <w:fldChar w:fldCharType="begin"/>
      </w:r>
      <w:r>
        <w:instrText xml:space="preserve"> PAGEREF _Toc5151 \h </w:instrText>
      </w:r>
      <w:r>
        <w:fldChar w:fldCharType="separate"/>
      </w:r>
      <w:r>
        <w:t>27</w:t>
      </w:r>
      <w:r>
        <w:fldChar w:fldCharType="end"/>
      </w:r>
      <w:r>
        <w:rPr>
          <w:rFonts w:hint="default" w:ascii="Times New Roman" w:hAnsi="Times New Roman" w:eastAsia="黑体" w:cs="Times New Roman"/>
          <w:szCs w:val="32"/>
        </w:rPr>
        <w:fldChar w:fldCharType="end"/>
      </w:r>
    </w:p>
    <w:p w14:paraId="5358B486">
      <w:pPr>
        <w:pStyle w:val="14"/>
        <w:tabs>
          <w:tab w:val="right" w:leader="dot" w:pos="8787"/>
        </w:tabs>
        <w:spacing w:line="360" w:lineRule="auto"/>
      </w:pPr>
      <w:r>
        <w:rPr>
          <w:rFonts w:hint="default" w:ascii="Times New Roman" w:hAnsi="Times New Roman" w:eastAsia="黑体" w:cs="Times New Roman"/>
          <w:szCs w:val="32"/>
        </w:rPr>
        <w:fldChar w:fldCharType="begin"/>
      </w:r>
      <w:r>
        <w:rPr>
          <w:rFonts w:hint="default" w:ascii="Times New Roman" w:hAnsi="Times New Roman" w:eastAsia="黑体" w:cs="Times New Roman"/>
          <w:szCs w:val="32"/>
        </w:rPr>
        <w:instrText xml:space="preserve"> HYPERLINK \l _Toc4069 </w:instrText>
      </w:r>
      <w:r>
        <w:rPr>
          <w:rFonts w:hint="default" w:ascii="Times New Roman" w:hAnsi="Times New Roman" w:eastAsia="黑体" w:cs="Times New Roman"/>
          <w:szCs w:val="32"/>
        </w:rPr>
        <w:fldChar w:fldCharType="separate"/>
      </w:r>
      <w:r>
        <w:rPr>
          <w:rFonts w:hint="eastAsia"/>
          <w:szCs w:val="21"/>
        </w:rPr>
        <w:t>（一）评估结论</w:t>
      </w:r>
      <w:r>
        <w:tab/>
      </w:r>
      <w:r>
        <w:fldChar w:fldCharType="begin"/>
      </w:r>
      <w:r>
        <w:instrText xml:space="preserve"> PAGEREF _Toc4069 \h </w:instrText>
      </w:r>
      <w:r>
        <w:fldChar w:fldCharType="separate"/>
      </w:r>
      <w:r>
        <w:t>27</w:t>
      </w:r>
      <w:r>
        <w:fldChar w:fldCharType="end"/>
      </w:r>
      <w:r>
        <w:rPr>
          <w:rFonts w:hint="default" w:ascii="Times New Roman" w:hAnsi="Times New Roman" w:eastAsia="黑体" w:cs="Times New Roman"/>
          <w:szCs w:val="32"/>
        </w:rPr>
        <w:fldChar w:fldCharType="end"/>
      </w:r>
    </w:p>
    <w:p w14:paraId="6A0F2E90">
      <w:pPr>
        <w:pStyle w:val="14"/>
        <w:tabs>
          <w:tab w:val="right" w:leader="dot" w:pos="8787"/>
        </w:tabs>
        <w:spacing w:line="360" w:lineRule="auto"/>
      </w:pPr>
      <w:r>
        <w:rPr>
          <w:rFonts w:hint="default" w:ascii="Times New Roman" w:hAnsi="Times New Roman" w:eastAsia="黑体" w:cs="Times New Roman"/>
          <w:szCs w:val="32"/>
        </w:rPr>
        <w:fldChar w:fldCharType="begin"/>
      </w:r>
      <w:r>
        <w:rPr>
          <w:rFonts w:hint="default" w:ascii="Times New Roman" w:hAnsi="Times New Roman" w:eastAsia="黑体" w:cs="Times New Roman"/>
          <w:szCs w:val="32"/>
        </w:rPr>
        <w:instrText xml:space="preserve"> HYPERLINK \l _Toc12017 </w:instrText>
      </w:r>
      <w:r>
        <w:rPr>
          <w:rFonts w:hint="default" w:ascii="Times New Roman" w:hAnsi="Times New Roman" w:eastAsia="黑体" w:cs="Times New Roman"/>
          <w:szCs w:val="32"/>
        </w:rPr>
        <w:fldChar w:fldCharType="separate"/>
      </w:r>
      <w:r>
        <w:rPr>
          <w:rFonts w:hint="eastAsia"/>
          <w:szCs w:val="21"/>
        </w:rPr>
        <w:t>（二）工作提升建议</w:t>
      </w:r>
      <w:r>
        <w:tab/>
      </w:r>
      <w:r>
        <w:fldChar w:fldCharType="begin"/>
      </w:r>
      <w:r>
        <w:instrText xml:space="preserve"> PAGEREF _Toc12017 \h </w:instrText>
      </w:r>
      <w:r>
        <w:fldChar w:fldCharType="separate"/>
      </w:r>
      <w:r>
        <w:t>27</w:t>
      </w:r>
      <w:r>
        <w:fldChar w:fldCharType="end"/>
      </w:r>
      <w:r>
        <w:rPr>
          <w:rFonts w:hint="default" w:ascii="Times New Roman" w:hAnsi="Times New Roman" w:eastAsia="黑体" w:cs="Times New Roman"/>
          <w:szCs w:val="32"/>
        </w:rPr>
        <w:fldChar w:fldCharType="end"/>
      </w:r>
    </w:p>
    <w:p w14:paraId="7DFB983F">
      <w:pPr>
        <w:pStyle w:val="3"/>
        <w:pageBreakBefore w:val="0"/>
        <w:kinsoku/>
        <w:wordWrap/>
        <w:overflowPunct/>
        <w:topLinePunct w:val="0"/>
        <w:autoSpaceDE/>
        <w:autoSpaceDN/>
        <w:bidi w:val="0"/>
        <w:adjustRightInd/>
        <w:snapToGrid/>
        <w:spacing w:before="0" w:after="0" w:line="360" w:lineRule="auto"/>
        <w:textAlignment w:val="auto"/>
        <w:rPr>
          <w:rFonts w:hint="default" w:ascii="Times New Roman" w:hAnsi="Times New Roman" w:eastAsia="黑体" w:cs="Times New Roman"/>
          <w:szCs w:val="32"/>
        </w:rPr>
        <w:sectPr>
          <w:pgSz w:w="11906" w:h="16838"/>
          <w:pgMar w:top="1440" w:right="1800" w:bottom="1440" w:left="1800" w:header="851" w:footer="992" w:gutter="0"/>
          <w:cols w:space="425" w:num="1"/>
          <w:docGrid w:type="lines" w:linePitch="312" w:charSpace="0"/>
        </w:sectPr>
      </w:pPr>
      <w:r>
        <w:rPr>
          <w:rFonts w:hint="default" w:ascii="Times New Roman" w:hAnsi="Times New Roman" w:eastAsia="黑体" w:cs="Times New Roman"/>
          <w:szCs w:val="32"/>
        </w:rPr>
        <w:fldChar w:fldCharType="end"/>
      </w:r>
    </w:p>
    <w:p w14:paraId="0595578E">
      <w:pPr>
        <w:pStyle w:val="2"/>
        <w:rPr>
          <w:rFonts w:hint="default"/>
        </w:rPr>
        <w:sectPr>
          <w:pgSz w:w="11906" w:h="16838"/>
          <w:pgMar w:top="1440" w:right="1800" w:bottom="1440" w:left="1800" w:header="851" w:footer="992" w:gutter="0"/>
          <w:cols w:space="425" w:num="1"/>
          <w:docGrid w:type="lines" w:linePitch="312" w:charSpace="0"/>
        </w:sectPr>
      </w:pPr>
    </w:p>
    <w:p w14:paraId="072955FD">
      <w:pPr>
        <w:pStyle w:val="3"/>
        <w:spacing w:before="240" w:after="240" w:line="360" w:lineRule="auto"/>
        <w:rPr>
          <w:rFonts w:ascii="黑体" w:hAnsi="黑体" w:eastAsia="黑体" w:cs="黑体"/>
          <w:sz w:val="28"/>
          <w:szCs w:val="28"/>
        </w:rPr>
      </w:pPr>
      <w:bookmarkStart w:id="3" w:name="_Toc18875"/>
      <w:r>
        <w:rPr>
          <w:rFonts w:hint="eastAsia" w:ascii="黑体" w:hAnsi="黑体" w:eastAsia="黑体" w:cs="黑体"/>
          <w:sz w:val="28"/>
          <w:szCs w:val="28"/>
        </w:rPr>
        <w:t>一、目的依据</w:t>
      </w:r>
      <w:bookmarkEnd w:id="2"/>
      <w:bookmarkEnd w:id="3"/>
    </w:p>
    <w:p w14:paraId="37014273">
      <w:pPr>
        <w:pStyle w:val="27"/>
        <w:spacing w:line="360" w:lineRule="auto"/>
        <w:ind w:firstLine="560"/>
        <w:rPr>
          <w:rFonts w:ascii="宋体" w:hAnsi="宋体" w:eastAsia="宋体"/>
          <w:sz w:val="28"/>
          <w:szCs w:val="28"/>
        </w:rPr>
      </w:pPr>
      <w:r>
        <w:rPr>
          <w:rFonts w:hint="eastAsia" w:ascii="宋体" w:hAnsi="宋体" w:eastAsia="宋体"/>
          <w:sz w:val="28"/>
          <w:szCs w:val="28"/>
        </w:rPr>
        <w:t>为充分发挥事故调查处理对加强和改进安全生产工作的促进作用，督促落实生产经营单位的安全生产主体责任，防范和减少事故发生，保障人民群众生命财产安全，依据《北京市生产安全事故整改和防范措施落实情况评估办法》</w:t>
      </w:r>
      <w:r>
        <w:rPr>
          <w:rFonts w:ascii="宋体" w:hAnsi="宋体" w:eastAsia="宋体"/>
          <w:sz w:val="28"/>
          <w:szCs w:val="28"/>
        </w:rPr>
        <w:t>等文件要求</w:t>
      </w:r>
      <w:r>
        <w:rPr>
          <w:rFonts w:hint="eastAsia" w:ascii="宋体" w:hAnsi="宋体" w:eastAsia="宋体"/>
          <w:sz w:val="28"/>
          <w:szCs w:val="28"/>
        </w:rPr>
        <w:t>，开展本次一般生产安全事故现场安全现状评估工作。</w:t>
      </w:r>
    </w:p>
    <w:p w14:paraId="205119BD">
      <w:pPr>
        <w:pStyle w:val="3"/>
        <w:spacing w:before="240" w:after="240" w:line="360" w:lineRule="auto"/>
        <w:rPr>
          <w:rFonts w:ascii="黑体" w:hAnsi="黑体" w:eastAsia="黑体" w:cs="黑体"/>
          <w:sz w:val="28"/>
          <w:szCs w:val="28"/>
        </w:rPr>
      </w:pPr>
      <w:bookmarkStart w:id="4" w:name="_Toc26337"/>
      <w:bookmarkStart w:id="5" w:name="_Toc31080"/>
      <w:r>
        <w:rPr>
          <w:rFonts w:hint="eastAsia" w:ascii="黑体" w:hAnsi="黑体" w:eastAsia="黑体" w:cs="黑体"/>
          <w:sz w:val="28"/>
          <w:szCs w:val="28"/>
        </w:rPr>
        <w:t>二、工作</w:t>
      </w:r>
      <w:bookmarkEnd w:id="4"/>
      <w:r>
        <w:rPr>
          <w:rFonts w:hint="eastAsia" w:ascii="黑体" w:hAnsi="黑体" w:eastAsia="黑体" w:cs="黑体"/>
          <w:sz w:val="28"/>
          <w:szCs w:val="28"/>
        </w:rPr>
        <w:t>范围和方式</w:t>
      </w:r>
      <w:bookmarkEnd w:id="5"/>
    </w:p>
    <w:p w14:paraId="0B534E69">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本次现场评估的对象是北京南天汇通科技有限公司（以下简称“南天汇通公司”）。</w:t>
      </w:r>
    </w:p>
    <w:p w14:paraId="34883034">
      <w:pPr>
        <w:pStyle w:val="27"/>
        <w:spacing w:line="360" w:lineRule="auto"/>
        <w:ind w:firstLine="560"/>
        <w:rPr>
          <w:rFonts w:ascii="宋体" w:hAnsi="宋体" w:eastAsia="宋体"/>
          <w:sz w:val="28"/>
          <w:szCs w:val="28"/>
        </w:rPr>
      </w:pPr>
      <w:r>
        <w:rPr>
          <w:rFonts w:hint="eastAsia" w:ascii="宋体" w:hAnsi="宋体" w:eastAsia="宋体"/>
          <w:sz w:val="28"/>
          <w:szCs w:val="28"/>
        </w:rPr>
        <w:t>因昌平区北企公司马池口村土地一级开发项目非宅拆除工程（一标段）已建设完毕，本次评估主要通过内业资料调查，评估企业整改</w:t>
      </w:r>
      <w:r>
        <w:rPr>
          <w:rFonts w:hint="eastAsia" w:ascii="宋体" w:hAnsi="宋体" w:eastAsia="宋体"/>
          <w:sz w:val="28"/>
          <w:szCs w:val="28"/>
          <w:lang w:val="en-US" w:eastAsia="zh-CN"/>
        </w:rPr>
        <w:t>和现状落实</w:t>
      </w:r>
      <w:r>
        <w:rPr>
          <w:rFonts w:hint="eastAsia" w:ascii="宋体" w:hAnsi="宋体" w:eastAsia="宋体"/>
          <w:sz w:val="28"/>
          <w:szCs w:val="28"/>
        </w:rPr>
        <w:t>情况</w:t>
      </w:r>
      <w:r>
        <w:rPr>
          <w:rFonts w:hint="eastAsia" w:ascii="宋体" w:hAnsi="宋体" w:eastAsia="宋体"/>
          <w:sz w:val="28"/>
          <w:szCs w:val="28"/>
          <w:lang w:eastAsia="zh-CN"/>
        </w:rPr>
        <w:t>。</w:t>
      </w:r>
    </w:p>
    <w:p w14:paraId="4E65FFF8">
      <w:pPr>
        <w:pStyle w:val="4"/>
        <w:spacing w:before="120" w:after="120" w:line="360" w:lineRule="auto"/>
        <w:rPr>
          <w:sz w:val="28"/>
          <w:szCs w:val="21"/>
        </w:rPr>
      </w:pPr>
      <w:bookmarkStart w:id="6" w:name="_Toc17814"/>
      <w:r>
        <w:rPr>
          <w:rFonts w:hint="eastAsia"/>
          <w:sz w:val="28"/>
          <w:szCs w:val="21"/>
        </w:rPr>
        <w:t>（一）资料查阅</w:t>
      </w:r>
      <w:bookmarkEnd w:id="6"/>
    </w:p>
    <w:p w14:paraId="13F7DC13">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南天汇通公司提供了事故整改落实报告、安全生产责任制、安全操作规程、安全应急救援预案及演练记录、方案交底及安全技术交底、风险评价及管控资料、各级人员现场检查记录、施工监测和安全巡视记录、施工作业人员登记表、事故相关的培训记录、排查记录、现场负责人履职记录、验收记录、专项施工方案、专项施工方案实施情况说明、专职安全人员监督记录及其他可以证明开展事故整改和防范措施的相关资料。评估组按照安全生产、建筑施工法律法规和《事故调查报告》中的事故间接原因、整改防范措施，对上述资料进行查阅。南天汇通公司的整改措施具体落实情况如下：</w:t>
      </w:r>
    </w:p>
    <w:p w14:paraId="38BD09FE">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1、强化安全管理制度执行</w:t>
      </w:r>
    </w:p>
    <w:p w14:paraId="3E4C3033">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重新梳理并完善公司安全生产管理制度，确保各项制度覆盖全面、操作性强。加强安全生产责任制落实情况的监督检查，对失职行为进行严肃处理。建立安全隐患排查治理长效机制，确保隐患及时发现、及时报告、及时整改。</w:t>
      </w:r>
    </w:p>
    <w:p w14:paraId="0BE1E90D">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2、严格外包项目管理</w:t>
      </w:r>
    </w:p>
    <w:p w14:paraId="09201531">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制定并实施严格的外包项目管理制度，明确发包、承包双方的安全责任。加强对承包单位和个人的资质审核，确保所有参与施工的单位和个人均具备相应的能力和条件。加强对施工过程的监督管理，确保施工活动符合安全规范和技术要求。</w:t>
      </w:r>
    </w:p>
    <w:p w14:paraId="2ED9BFFC">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3、加强教育培训</w:t>
      </w:r>
    </w:p>
    <w:p w14:paraId="04F07651">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组织全体员工进行安全生产知识培训，提高员工的安全意识和自我保护能力。针对特定岗位和工种，开展专项技能培训，确保员工能够熟练掌握安全生产技能。定期组织应急演练活动，提高员工应对突发事件的能力。</w:t>
      </w:r>
    </w:p>
    <w:p w14:paraId="17F7C7B6">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4、严格施工方案执行</w:t>
      </w:r>
    </w:p>
    <w:p w14:paraId="7D8FDF01">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在开展非宅拆除等高风险工程前，必须制定详细的专项施工方案，并经过严格审批。在施工过程中，严格按照专项施工方案进行施工，严禁违规操作行为。加强施工现场的安全管理和监督检查工作，确保施工活动安全有序进行。</w:t>
      </w:r>
    </w:p>
    <w:p w14:paraId="5F955F0D">
      <w:pPr>
        <w:pStyle w:val="4"/>
        <w:spacing w:before="120" w:after="120" w:line="360" w:lineRule="auto"/>
        <w:rPr>
          <w:sz w:val="28"/>
          <w:szCs w:val="21"/>
        </w:rPr>
      </w:pPr>
      <w:bookmarkStart w:id="7" w:name="_Toc8033"/>
      <w:r>
        <w:rPr>
          <w:rFonts w:hint="eastAsia"/>
          <w:sz w:val="28"/>
          <w:szCs w:val="21"/>
        </w:rPr>
        <w:t>（</w:t>
      </w:r>
      <w:r>
        <w:rPr>
          <w:rFonts w:hint="eastAsia"/>
          <w:sz w:val="28"/>
          <w:szCs w:val="21"/>
          <w:lang w:val="en-US" w:eastAsia="zh-CN"/>
        </w:rPr>
        <w:t>二</w:t>
      </w:r>
      <w:r>
        <w:rPr>
          <w:rFonts w:hint="eastAsia"/>
          <w:sz w:val="28"/>
          <w:szCs w:val="21"/>
        </w:rPr>
        <w:t>）走访核查</w:t>
      </w:r>
      <w:bookmarkEnd w:id="7"/>
    </w:p>
    <w:p w14:paraId="183A8830">
      <w:pPr>
        <w:pStyle w:val="27"/>
        <w:spacing w:line="360" w:lineRule="auto"/>
        <w:rPr>
          <w:rFonts w:ascii="宋体" w:hAnsi="宋体" w:eastAsia="宋体"/>
          <w:color w:val="auto"/>
          <w:sz w:val="28"/>
          <w:szCs w:val="28"/>
        </w:rPr>
      </w:pPr>
      <w:r>
        <w:rPr>
          <w:rFonts w:hint="eastAsia" w:ascii="宋体" w:hAnsi="宋体" w:eastAsia="宋体"/>
          <w:color w:val="auto"/>
          <w:sz w:val="28"/>
          <w:szCs w:val="28"/>
        </w:rPr>
        <w:t>因昌平区北企公司马池口村土地一级开发项目非宅拆除工程（一标段）已建设完毕</w:t>
      </w:r>
      <w:r>
        <w:rPr>
          <w:rFonts w:hint="eastAsia" w:ascii="宋体" w:hAnsi="宋体" w:eastAsia="宋体"/>
          <w:color w:val="auto"/>
          <w:sz w:val="28"/>
          <w:szCs w:val="28"/>
          <w:lang w:eastAsia="zh-CN"/>
        </w:rPr>
        <w:t>，</w:t>
      </w:r>
      <w:r>
        <w:rPr>
          <w:rFonts w:hint="eastAsia" w:ascii="宋体" w:hAnsi="宋体" w:eastAsia="宋体"/>
          <w:color w:val="auto"/>
          <w:sz w:val="28"/>
          <w:szCs w:val="28"/>
        </w:rPr>
        <w:t>本次评估主要通过内业资料调查，评估企业整改</w:t>
      </w:r>
      <w:r>
        <w:rPr>
          <w:rFonts w:hint="eastAsia" w:ascii="宋体" w:hAnsi="宋体" w:eastAsia="宋体"/>
          <w:color w:val="auto"/>
          <w:sz w:val="28"/>
          <w:szCs w:val="28"/>
          <w:lang w:val="en-US" w:eastAsia="zh-CN"/>
        </w:rPr>
        <w:t>和现状落实</w:t>
      </w:r>
      <w:r>
        <w:rPr>
          <w:rFonts w:hint="eastAsia" w:ascii="宋体" w:hAnsi="宋体" w:eastAsia="宋体"/>
          <w:color w:val="auto"/>
          <w:sz w:val="28"/>
          <w:szCs w:val="28"/>
        </w:rPr>
        <w:t>情况</w:t>
      </w:r>
      <w:r>
        <w:rPr>
          <w:rFonts w:hint="eastAsia" w:ascii="宋体" w:hAnsi="宋体" w:eastAsia="宋体"/>
          <w:color w:val="auto"/>
          <w:sz w:val="28"/>
          <w:szCs w:val="28"/>
          <w:lang w:eastAsia="zh-CN"/>
        </w:rPr>
        <w:t>。</w:t>
      </w:r>
    </w:p>
    <w:p w14:paraId="0D8A2431">
      <w:pPr>
        <w:pStyle w:val="3"/>
        <w:spacing w:before="240" w:after="240" w:line="360" w:lineRule="auto"/>
        <w:rPr>
          <w:rFonts w:ascii="黑体" w:hAnsi="黑体" w:eastAsia="黑体" w:cs="黑体"/>
          <w:sz w:val="28"/>
          <w:szCs w:val="28"/>
        </w:rPr>
      </w:pPr>
      <w:bookmarkStart w:id="8" w:name="_Toc10027"/>
      <w:r>
        <w:rPr>
          <w:rFonts w:hint="eastAsia" w:ascii="黑体" w:hAnsi="黑体" w:eastAsia="黑体" w:cs="黑体"/>
          <w:sz w:val="28"/>
          <w:szCs w:val="28"/>
        </w:rPr>
        <w:t>三、安全现状评估</w:t>
      </w:r>
      <w:bookmarkEnd w:id="8"/>
    </w:p>
    <w:p w14:paraId="4A0B9C63">
      <w:pPr>
        <w:pStyle w:val="4"/>
        <w:spacing w:before="120" w:after="120" w:line="360" w:lineRule="auto"/>
        <w:rPr>
          <w:sz w:val="28"/>
          <w:szCs w:val="21"/>
        </w:rPr>
      </w:pPr>
      <w:bookmarkStart w:id="9" w:name="_Toc8119"/>
      <w:r>
        <w:rPr>
          <w:rFonts w:hint="eastAsia"/>
          <w:sz w:val="28"/>
          <w:szCs w:val="21"/>
        </w:rPr>
        <w:t>（一）现行安全管理制度制定及落实情况评估</w:t>
      </w:r>
      <w:bookmarkEnd w:id="9"/>
    </w:p>
    <w:p w14:paraId="57593F15">
      <w:pPr>
        <w:pStyle w:val="27"/>
        <w:spacing w:line="360" w:lineRule="auto"/>
        <w:ind w:firstLine="560"/>
        <w:rPr>
          <w:rFonts w:hint="eastAsia" w:ascii="宋体" w:hAnsi="宋体" w:eastAsia="宋体"/>
          <w:sz w:val="28"/>
          <w:szCs w:val="28"/>
        </w:rPr>
      </w:pPr>
      <w:r>
        <w:rPr>
          <w:rFonts w:hint="eastAsia" w:ascii="宋体" w:hAnsi="宋体" w:eastAsia="宋体"/>
          <w:sz w:val="28"/>
          <w:szCs w:val="28"/>
          <w:lang w:eastAsia="zh-CN"/>
        </w:rPr>
        <w:t>评估组</w:t>
      </w:r>
      <w:r>
        <w:rPr>
          <w:rFonts w:hint="eastAsia" w:ascii="宋体" w:hAnsi="宋体" w:eastAsia="宋体"/>
          <w:sz w:val="28"/>
          <w:szCs w:val="28"/>
        </w:rPr>
        <w:t>对</w:t>
      </w:r>
      <w:r>
        <w:rPr>
          <w:rFonts w:hint="eastAsia" w:ascii="宋体" w:hAnsi="宋体" w:eastAsia="宋体"/>
          <w:sz w:val="28"/>
          <w:szCs w:val="28"/>
          <w:lang w:val="en-US" w:eastAsia="zh-CN"/>
        </w:rPr>
        <w:t>南天汇通</w:t>
      </w:r>
      <w:r>
        <w:rPr>
          <w:rFonts w:hint="eastAsia" w:ascii="宋体" w:hAnsi="宋体" w:eastAsia="宋体"/>
          <w:sz w:val="28"/>
          <w:szCs w:val="28"/>
        </w:rPr>
        <w:t>公司提供的制度文件、</w:t>
      </w:r>
      <w:r>
        <w:rPr>
          <w:rFonts w:hint="eastAsia" w:ascii="宋体" w:hAnsi="宋体" w:eastAsia="宋体"/>
          <w:sz w:val="28"/>
          <w:szCs w:val="28"/>
          <w:lang w:eastAsia="zh-CN"/>
        </w:rPr>
        <w:t>台账</w:t>
      </w:r>
      <w:r>
        <w:rPr>
          <w:rFonts w:hint="eastAsia" w:ascii="宋体" w:hAnsi="宋体" w:eastAsia="宋体"/>
          <w:sz w:val="28"/>
          <w:szCs w:val="28"/>
        </w:rPr>
        <w:t>、记录、档案等资料进行了评估，该单位现行安全管理制度基本</w:t>
      </w:r>
      <w:r>
        <w:rPr>
          <w:rFonts w:hint="eastAsia" w:ascii="宋体" w:hAnsi="宋体" w:eastAsia="宋体"/>
          <w:sz w:val="28"/>
          <w:szCs w:val="28"/>
          <w:lang w:eastAsia="zh-CN"/>
        </w:rPr>
        <w:t>符合</w:t>
      </w:r>
      <w:r>
        <w:rPr>
          <w:rFonts w:hint="eastAsia" w:ascii="宋体" w:hAnsi="宋体" w:eastAsia="宋体"/>
          <w:sz w:val="28"/>
          <w:szCs w:val="28"/>
        </w:rPr>
        <w:t>《中华人民共和国安全生产法》《建设工程安全生产</w:t>
      </w:r>
      <w:r>
        <w:rPr>
          <w:rFonts w:hint="eastAsia" w:ascii="宋体" w:hAnsi="宋体" w:eastAsia="宋体"/>
          <w:sz w:val="28"/>
          <w:szCs w:val="28"/>
          <w:lang w:val="en-US" w:eastAsia="zh-CN"/>
        </w:rPr>
        <w:t>管理</w:t>
      </w:r>
      <w:r>
        <w:rPr>
          <w:rFonts w:hint="eastAsia" w:ascii="宋体" w:hAnsi="宋体" w:eastAsia="宋体"/>
          <w:sz w:val="28"/>
          <w:szCs w:val="28"/>
        </w:rPr>
        <w:t>条例》</w:t>
      </w:r>
      <w:r>
        <w:rPr>
          <w:rFonts w:hint="eastAsia" w:ascii="宋体" w:hAnsi="宋体" w:eastAsia="宋体"/>
          <w:sz w:val="28"/>
          <w:szCs w:val="28"/>
          <w:lang w:val="en-US" w:eastAsia="zh-CN"/>
        </w:rPr>
        <w:t>相关规定，但具体落实工作还需按照</w:t>
      </w:r>
      <w:r>
        <w:rPr>
          <w:rFonts w:hint="eastAsia" w:ascii="宋体" w:hAnsi="宋体" w:eastAsia="宋体"/>
          <w:sz w:val="28"/>
          <w:szCs w:val="28"/>
        </w:rPr>
        <w:t>安全生产</w:t>
      </w:r>
      <w:r>
        <w:rPr>
          <w:rFonts w:hint="eastAsia" w:ascii="宋体" w:hAnsi="宋体" w:eastAsia="宋体"/>
          <w:sz w:val="28"/>
          <w:szCs w:val="28"/>
          <w:lang w:val="en-US" w:eastAsia="zh-CN"/>
        </w:rPr>
        <w:t>相关</w:t>
      </w:r>
      <w:r>
        <w:rPr>
          <w:rFonts w:hint="eastAsia" w:ascii="宋体" w:hAnsi="宋体" w:eastAsia="宋体"/>
          <w:sz w:val="28"/>
          <w:szCs w:val="28"/>
        </w:rPr>
        <w:t>法律法规</w:t>
      </w:r>
      <w:r>
        <w:rPr>
          <w:rFonts w:hint="eastAsia" w:ascii="宋体" w:hAnsi="宋体" w:eastAsia="宋体"/>
          <w:sz w:val="28"/>
          <w:szCs w:val="28"/>
          <w:lang w:val="en-US" w:eastAsia="zh-CN"/>
        </w:rPr>
        <w:t>进一步提升，</w:t>
      </w:r>
      <w:r>
        <w:rPr>
          <w:rFonts w:hint="eastAsia" w:ascii="宋体" w:hAnsi="宋体" w:eastAsia="宋体"/>
          <w:sz w:val="28"/>
          <w:szCs w:val="28"/>
        </w:rPr>
        <w:t>详见下表。</w:t>
      </w:r>
    </w:p>
    <w:p w14:paraId="16121CF6">
      <w:pPr>
        <w:pStyle w:val="27"/>
        <w:spacing w:line="360" w:lineRule="auto"/>
        <w:ind w:firstLine="560"/>
        <w:rPr>
          <w:rFonts w:hint="eastAsia" w:ascii="宋体" w:hAnsi="宋体" w:eastAsia="宋体"/>
          <w:sz w:val="28"/>
          <w:szCs w:val="28"/>
        </w:rPr>
        <w:sectPr>
          <w:headerReference r:id="rId3" w:type="default"/>
          <w:footerReference r:id="rId4" w:type="default"/>
          <w:pgSz w:w="11906" w:h="16838"/>
          <w:pgMar w:top="1440" w:right="1800" w:bottom="1440" w:left="1800" w:header="851" w:footer="992" w:gutter="0"/>
          <w:pgNumType w:start="1"/>
          <w:cols w:space="425" w:num="1"/>
          <w:docGrid w:type="lines" w:linePitch="312" w:charSpace="0"/>
        </w:sectPr>
      </w:pPr>
    </w:p>
    <w:p w14:paraId="547E24FE">
      <w:pPr>
        <w:pStyle w:val="27"/>
        <w:spacing w:line="360" w:lineRule="auto"/>
        <w:ind w:left="0" w:leftChars="0" w:firstLine="0" w:firstLineChars="0"/>
        <w:jc w:val="center"/>
        <w:rPr>
          <w:rFonts w:ascii="Times New Roman" w:hAnsi="Times New Roman" w:eastAsia="宋体" w:cs="Times New Roman"/>
          <w:bCs/>
          <w:color w:val="auto"/>
          <w:sz w:val="28"/>
          <w:szCs w:val="28"/>
        </w:rPr>
      </w:pPr>
      <w:bookmarkStart w:id="10" w:name="_Toc3770"/>
      <w:bookmarkStart w:id="11" w:name="_Toc27466"/>
      <w:bookmarkStart w:id="12" w:name="_Toc10908"/>
      <w:bookmarkStart w:id="13" w:name="_Toc17894"/>
      <w:bookmarkStart w:id="14" w:name="_Toc107394549"/>
      <w:bookmarkStart w:id="15" w:name="_Toc107394620"/>
      <w:r>
        <w:rPr>
          <w:rFonts w:ascii="Times New Roman" w:hAnsi="Times New Roman" w:eastAsia="宋体" w:cs="Times New Roman"/>
          <w:bCs/>
          <w:color w:val="auto"/>
          <w:sz w:val="28"/>
          <w:szCs w:val="28"/>
        </w:rPr>
        <w:t xml:space="preserve">表1  </w:t>
      </w:r>
      <w:r>
        <w:rPr>
          <w:rFonts w:hint="eastAsia" w:ascii="Times New Roman" w:hAnsi="Times New Roman" w:eastAsia="宋体" w:cs="Times New Roman"/>
          <w:bCs/>
          <w:color w:val="auto"/>
          <w:sz w:val="28"/>
          <w:szCs w:val="28"/>
          <w:lang w:val="en-US" w:eastAsia="zh-CN"/>
        </w:rPr>
        <w:t>南天汇通</w:t>
      </w:r>
      <w:r>
        <w:rPr>
          <w:rFonts w:hint="eastAsia" w:ascii="Times New Roman" w:hAnsi="Times New Roman" w:eastAsia="宋体" w:cs="Times New Roman"/>
          <w:bCs/>
          <w:color w:val="auto"/>
          <w:sz w:val="28"/>
          <w:szCs w:val="28"/>
        </w:rPr>
        <w:t>公司</w:t>
      </w:r>
      <w:r>
        <w:rPr>
          <w:rFonts w:ascii="Times New Roman" w:hAnsi="Times New Roman" w:eastAsia="宋体" w:cs="Times New Roman"/>
          <w:bCs/>
          <w:color w:val="auto"/>
          <w:sz w:val="28"/>
          <w:szCs w:val="28"/>
        </w:rPr>
        <w:t>安全管理制度制定情况评估</w:t>
      </w:r>
      <w:bookmarkEnd w:id="10"/>
      <w:bookmarkEnd w:id="11"/>
      <w:bookmarkEnd w:id="12"/>
      <w:bookmarkEnd w:id="13"/>
    </w:p>
    <w:bookmarkEnd w:id="14"/>
    <w:bookmarkEnd w:id="15"/>
    <w:tbl>
      <w:tblPr>
        <w:tblStyle w:val="19"/>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86"/>
        <w:gridCol w:w="5781"/>
        <w:gridCol w:w="2678"/>
        <w:gridCol w:w="4209"/>
      </w:tblGrid>
      <w:tr w14:paraId="0B838E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4" w:hRule="atLeast"/>
          <w:tblHeader/>
        </w:trPr>
        <w:tc>
          <w:tcPr>
            <w:tcW w:w="292" w:type="pct"/>
            <w:tcBorders>
              <w:top w:val="single" w:color="auto" w:sz="12" w:space="0"/>
            </w:tcBorders>
            <w:vAlign w:val="center"/>
          </w:tcPr>
          <w:p w14:paraId="77BCF341">
            <w:pPr>
              <w:overflowPunct w:val="0"/>
              <w:autoSpaceDE w:val="0"/>
              <w:autoSpaceDN w:val="0"/>
              <w:adjustRightInd w:val="0"/>
              <w:jc w:val="center"/>
              <w:rPr>
                <w:rFonts w:ascii="Times New Roman" w:hAnsi="Times New Roman" w:eastAsia="宋体" w:cs="Times New Roman"/>
                <w:b/>
                <w:color w:val="auto"/>
                <w:sz w:val="28"/>
                <w:szCs w:val="28"/>
                <w:lang w:val="zh-CN"/>
              </w:rPr>
            </w:pPr>
            <w:r>
              <w:rPr>
                <w:rFonts w:ascii="Times New Roman" w:hAnsi="Times New Roman" w:eastAsia="宋体" w:cs="Times New Roman"/>
                <w:b/>
                <w:color w:val="auto"/>
                <w:sz w:val="28"/>
                <w:szCs w:val="28"/>
                <w:lang w:val="zh-CN"/>
              </w:rPr>
              <w:t>序号</w:t>
            </w:r>
          </w:p>
        </w:tc>
        <w:tc>
          <w:tcPr>
            <w:tcW w:w="2148" w:type="pct"/>
            <w:tcBorders>
              <w:top w:val="single" w:color="auto" w:sz="12" w:space="0"/>
            </w:tcBorders>
            <w:vAlign w:val="center"/>
          </w:tcPr>
          <w:p w14:paraId="4EA0AE65">
            <w:pPr>
              <w:overflowPunct w:val="0"/>
              <w:autoSpaceDE w:val="0"/>
              <w:autoSpaceDN w:val="0"/>
              <w:adjustRightInd w:val="0"/>
              <w:jc w:val="center"/>
              <w:rPr>
                <w:rFonts w:ascii="Times New Roman" w:hAnsi="Times New Roman" w:eastAsia="宋体" w:cs="Times New Roman"/>
                <w:b/>
                <w:color w:val="auto"/>
                <w:sz w:val="28"/>
                <w:szCs w:val="28"/>
                <w:lang w:val="zh-CN"/>
              </w:rPr>
            </w:pPr>
            <w:r>
              <w:rPr>
                <w:rFonts w:ascii="Times New Roman" w:hAnsi="Times New Roman" w:eastAsia="宋体" w:cs="Times New Roman"/>
                <w:b/>
                <w:color w:val="auto"/>
                <w:sz w:val="28"/>
                <w:szCs w:val="28"/>
                <w:lang w:val="zh-CN"/>
              </w:rPr>
              <w:t>评估项目</w:t>
            </w:r>
          </w:p>
        </w:tc>
        <w:tc>
          <w:tcPr>
            <w:tcW w:w="995" w:type="pct"/>
            <w:tcBorders>
              <w:top w:val="single" w:color="auto" w:sz="12" w:space="0"/>
            </w:tcBorders>
            <w:vAlign w:val="center"/>
          </w:tcPr>
          <w:p w14:paraId="7F1FF61E">
            <w:pPr>
              <w:overflowPunct w:val="0"/>
              <w:autoSpaceDE w:val="0"/>
              <w:autoSpaceDN w:val="0"/>
              <w:adjustRightInd w:val="0"/>
              <w:jc w:val="center"/>
              <w:rPr>
                <w:rFonts w:ascii="Times New Roman" w:hAnsi="Times New Roman" w:eastAsia="宋体" w:cs="Times New Roman"/>
                <w:b/>
                <w:color w:val="auto"/>
                <w:sz w:val="28"/>
                <w:szCs w:val="28"/>
                <w:lang w:val="zh-CN"/>
              </w:rPr>
            </w:pPr>
            <w:r>
              <w:rPr>
                <w:rFonts w:ascii="Times New Roman" w:hAnsi="Times New Roman" w:eastAsia="宋体" w:cs="Times New Roman"/>
                <w:b/>
                <w:color w:val="auto"/>
                <w:sz w:val="28"/>
                <w:szCs w:val="28"/>
                <w:lang w:val="zh-CN"/>
              </w:rPr>
              <w:t>评估依据</w:t>
            </w:r>
          </w:p>
        </w:tc>
        <w:tc>
          <w:tcPr>
            <w:tcW w:w="1564" w:type="pct"/>
            <w:tcBorders>
              <w:top w:val="single" w:color="auto" w:sz="12" w:space="0"/>
            </w:tcBorders>
            <w:vAlign w:val="center"/>
          </w:tcPr>
          <w:p w14:paraId="7FEEE417">
            <w:pPr>
              <w:overflowPunct w:val="0"/>
              <w:autoSpaceDE w:val="0"/>
              <w:autoSpaceDN w:val="0"/>
              <w:adjustRightInd w:val="0"/>
              <w:jc w:val="center"/>
              <w:rPr>
                <w:rFonts w:ascii="Times New Roman" w:hAnsi="Times New Roman" w:eastAsia="宋体" w:cs="Times New Roman"/>
                <w:b/>
                <w:color w:val="auto"/>
                <w:sz w:val="28"/>
                <w:szCs w:val="28"/>
                <w:lang w:val="zh-CN"/>
              </w:rPr>
            </w:pPr>
            <w:r>
              <w:rPr>
                <w:rFonts w:ascii="Times New Roman" w:hAnsi="Times New Roman" w:eastAsia="宋体" w:cs="Times New Roman"/>
                <w:b/>
                <w:color w:val="auto"/>
                <w:sz w:val="28"/>
                <w:szCs w:val="28"/>
                <w:lang w:val="zh-CN"/>
              </w:rPr>
              <w:t>评估情况</w:t>
            </w:r>
          </w:p>
        </w:tc>
      </w:tr>
      <w:tr w14:paraId="62E6C9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2C65253">
            <w:pPr>
              <w:numPr>
                <w:ilvl w:val="0"/>
                <w:numId w:val="1"/>
              </w:numPr>
              <w:tabs>
                <w:tab w:val="left" w:pos="1260"/>
              </w:tabs>
              <w:overflowPunct w:val="0"/>
              <w:ind w:firstLine="17"/>
              <w:jc w:val="center"/>
              <w:rPr>
                <w:rFonts w:ascii="Times New Roman" w:hAnsi="Times New Roman" w:eastAsia="宋体" w:cs="Times New Roman"/>
                <w:color w:val="auto"/>
                <w:sz w:val="28"/>
                <w:szCs w:val="28"/>
              </w:rPr>
            </w:pPr>
          </w:p>
        </w:tc>
        <w:tc>
          <w:tcPr>
            <w:tcW w:w="2148" w:type="pct"/>
            <w:vAlign w:val="center"/>
          </w:tcPr>
          <w:p w14:paraId="71BC63AB">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tc>
        <w:tc>
          <w:tcPr>
            <w:tcW w:w="995" w:type="pct"/>
            <w:vAlign w:val="center"/>
          </w:tcPr>
          <w:p w14:paraId="6C3E1D07">
            <w:pPr>
              <w:overflowPunct w:val="0"/>
              <w:jc w:val="center"/>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《中华人民共和国安全生产法》第四条</w:t>
            </w:r>
          </w:p>
        </w:tc>
        <w:tc>
          <w:tcPr>
            <w:tcW w:w="1564" w:type="pct"/>
            <w:vAlign w:val="center"/>
          </w:tcPr>
          <w:p w14:paraId="056DF079">
            <w:pPr>
              <w:overflowPunct w:val="0"/>
              <w:rPr>
                <w:rFonts w:ascii="Times New Roman" w:hAnsi="Times New Roman" w:eastAsia="宋体" w:cs="Times New Roman"/>
                <w:color w:val="auto"/>
                <w:sz w:val="28"/>
                <w:szCs w:val="28"/>
              </w:rPr>
            </w:pPr>
            <w:r>
              <w:rPr>
                <w:rFonts w:hint="eastAsia" w:ascii="Times New Roman" w:hAnsi="Times New Roman" w:eastAsia="宋体" w:cs="Times New Roman"/>
                <w:bCs/>
                <w:color w:val="auto"/>
                <w:sz w:val="28"/>
                <w:szCs w:val="28"/>
                <w:lang w:eastAsia="zh-CN"/>
              </w:rPr>
              <w:t>南天汇通公司</w:t>
            </w:r>
            <w:r>
              <w:rPr>
                <w:rFonts w:ascii="Times New Roman" w:hAnsi="Times New Roman" w:eastAsia="宋体" w:cs="Times New Roman"/>
                <w:color w:val="auto"/>
                <w:sz w:val="28"/>
                <w:szCs w:val="28"/>
              </w:rPr>
              <w:t>提供</w:t>
            </w:r>
            <w:r>
              <w:rPr>
                <w:rFonts w:hint="eastAsia" w:ascii="Times New Roman" w:hAnsi="Times New Roman" w:eastAsia="宋体" w:cs="Times New Roman"/>
                <w:color w:val="auto"/>
                <w:sz w:val="28"/>
                <w:szCs w:val="28"/>
              </w:rPr>
              <w:t>了安全生产责任制</w:t>
            </w:r>
            <w:r>
              <w:rPr>
                <w:rFonts w:hint="eastAsia" w:ascii="Times New Roman" w:hAnsi="Times New Roman" w:eastAsia="宋体" w:cs="Times New Roman"/>
                <w:color w:val="auto"/>
                <w:sz w:val="28"/>
                <w:szCs w:val="28"/>
                <w:lang w:val="en-US" w:eastAsia="zh-CN"/>
              </w:rPr>
              <w:t>和各项安全生产管理制度，包括安全生产伤亡事故控制目标、安全指标和文明施工目标、安全管理机构、安全生产管理制度、安全培训及考核、职业病危害防治措施、重大危险源控制措施、高处作业防护措施、非开挖作业控制措施、拆除作业控制措施、生产安全事故应急救援预案等</w:t>
            </w:r>
            <w:r>
              <w:rPr>
                <w:rFonts w:ascii="Times New Roman" w:hAnsi="Times New Roman" w:eastAsia="宋体" w:cs="Times New Roman"/>
                <w:color w:val="auto"/>
                <w:sz w:val="28"/>
                <w:szCs w:val="28"/>
              </w:rPr>
              <w:t>，</w:t>
            </w:r>
            <w:r>
              <w:rPr>
                <w:rFonts w:hint="eastAsia" w:ascii="Times New Roman" w:hAnsi="Times New Roman" w:eastAsia="宋体" w:cs="Times New Roman"/>
                <w:color w:val="auto"/>
                <w:sz w:val="28"/>
                <w:szCs w:val="28"/>
                <w:lang w:val="en-US" w:eastAsia="zh-CN"/>
              </w:rPr>
              <w:t>基本</w:t>
            </w:r>
            <w:r>
              <w:rPr>
                <w:rFonts w:ascii="Times New Roman" w:hAnsi="Times New Roman" w:eastAsia="宋体" w:cs="Times New Roman"/>
                <w:color w:val="auto"/>
                <w:sz w:val="28"/>
                <w:szCs w:val="28"/>
              </w:rPr>
              <w:t>落实了相关要求。</w:t>
            </w:r>
          </w:p>
        </w:tc>
      </w:tr>
      <w:tr w14:paraId="73C9EF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DDE9112">
            <w:pPr>
              <w:numPr>
                <w:ilvl w:val="0"/>
                <w:numId w:val="1"/>
              </w:numPr>
              <w:tabs>
                <w:tab w:val="left" w:pos="1260"/>
              </w:tabs>
              <w:overflowPunct w:val="0"/>
              <w:ind w:firstLine="17"/>
              <w:jc w:val="center"/>
              <w:rPr>
                <w:rFonts w:ascii="Times New Roman" w:hAnsi="Times New Roman" w:eastAsia="宋体" w:cs="Times New Roman"/>
                <w:color w:val="auto"/>
                <w:sz w:val="28"/>
                <w:szCs w:val="28"/>
              </w:rPr>
            </w:pPr>
          </w:p>
        </w:tc>
        <w:tc>
          <w:tcPr>
            <w:tcW w:w="2148" w:type="pct"/>
            <w:vAlign w:val="center"/>
          </w:tcPr>
          <w:p w14:paraId="62BE0C68">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生产经营单位的全员安全生产责任制应当明确各岗位的责任人员、责任范围和考核标准等内容。</w:t>
            </w:r>
          </w:p>
        </w:tc>
        <w:tc>
          <w:tcPr>
            <w:tcW w:w="995" w:type="pct"/>
            <w:vAlign w:val="center"/>
          </w:tcPr>
          <w:p w14:paraId="47B18077">
            <w:pPr>
              <w:overflowPunct w:val="0"/>
              <w:jc w:val="center"/>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《中华人民共和国安全生产法》第二十二条</w:t>
            </w:r>
          </w:p>
        </w:tc>
        <w:tc>
          <w:tcPr>
            <w:tcW w:w="1564" w:type="pct"/>
            <w:vAlign w:val="center"/>
          </w:tcPr>
          <w:p w14:paraId="0CED174E">
            <w:pPr>
              <w:overflowPunct w:val="0"/>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lang w:eastAsia="zh-CN"/>
              </w:rPr>
              <w:t>南天汇通公司</w:t>
            </w:r>
            <w:r>
              <w:rPr>
                <w:rFonts w:ascii="Times New Roman" w:hAnsi="Times New Roman" w:eastAsia="宋体" w:cs="Times New Roman"/>
                <w:color w:val="auto"/>
                <w:sz w:val="28"/>
                <w:szCs w:val="28"/>
              </w:rPr>
              <w:t>提供</w:t>
            </w:r>
            <w:r>
              <w:rPr>
                <w:rFonts w:hint="eastAsia" w:ascii="Times New Roman" w:hAnsi="Times New Roman" w:eastAsia="宋体" w:cs="Times New Roman"/>
                <w:color w:val="auto"/>
                <w:sz w:val="28"/>
                <w:szCs w:val="28"/>
              </w:rPr>
              <w:t>了</w:t>
            </w:r>
            <w:r>
              <w:rPr>
                <w:rFonts w:hint="eastAsia" w:ascii="宋体" w:hAnsi="宋体" w:eastAsia="宋体"/>
                <w:color w:val="auto"/>
                <w:sz w:val="28"/>
                <w:szCs w:val="32"/>
                <w:lang w:val="en-US" w:eastAsia="zh-CN"/>
              </w:rPr>
              <w:t>各专项负责人安全生产责任制</w:t>
            </w:r>
            <w:r>
              <w:rPr>
                <w:rFonts w:ascii="Times New Roman" w:hAnsi="Times New Roman" w:eastAsia="宋体" w:cs="Times New Roman"/>
                <w:color w:val="auto"/>
                <w:sz w:val="28"/>
                <w:szCs w:val="28"/>
              </w:rPr>
              <w:t>，落实了相关要求。</w:t>
            </w:r>
          </w:p>
        </w:tc>
      </w:tr>
      <w:tr w14:paraId="2F71E9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3DEC5AFF">
            <w:pPr>
              <w:numPr>
                <w:ilvl w:val="0"/>
                <w:numId w:val="1"/>
              </w:numPr>
              <w:tabs>
                <w:tab w:val="left" w:pos="1260"/>
              </w:tabs>
              <w:overflowPunct w:val="0"/>
              <w:ind w:firstLine="17"/>
              <w:jc w:val="center"/>
              <w:rPr>
                <w:rFonts w:ascii="Times New Roman" w:hAnsi="Times New Roman" w:eastAsia="宋体" w:cs="Times New Roman"/>
                <w:color w:val="auto"/>
                <w:sz w:val="28"/>
                <w:szCs w:val="28"/>
              </w:rPr>
            </w:pPr>
          </w:p>
        </w:tc>
        <w:tc>
          <w:tcPr>
            <w:tcW w:w="2148" w:type="pct"/>
            <w:vAlign w:val="center"/>
          </w:tcPr>
          <w:p w14:paraId="1BF4EACD">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shd w:val="clear" w:color="auto" w:fill="FFFFFF"/>
              </w:rPr>
              <w:t>生产经营单位应当具备的安全生产条件所必需的资金投入，由生产经营单位的决策机构、主要负责人或者个人经营的投资人予以保证，并对由于安全生产所必需的资金投入不足导致的后果承担责任。</w:t>
            </w:r>
          </w:p>
        </w:tc>
        <w:tc>
          <w:tcPr>
            <w:tcW w:w="995" w:type="pct"/>
            <w:vAlign w:val="center"/>
          </w:tcPr>
          <w:p w14:paraId="00C63502">
            <w:pPr>
              <w:overflowPunct w:val="0"/>
              <w:jc w:val="center"/>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《中华人民共和国安全生产法》第二十三条</w:t>
            </w:r>
          </w:p>
        </w:tc>
        <w:tc>
          <w:tcPr>
            <w:tcW w:w="1564" w:type="pct"/>
            <w:vAlign w:val="center"/>
          </w:tcPr>
          <w:p w14:paraId="6ED940B2">
            <w:pPr>
              <w:overflowPunct w:val="0"/>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lang w:eastAsia="zh-CN"/>
              </w:rPr>
              <w:t>南天汇通公司</w:t>
            </w:r>
            <w:r>
              <w:rPr>
                <w:rFonts w:hint="eastAsia" w:ascii="Times New Roman" w:hAnsi="Times New Roman" w:eastAsia="宋体" w:cs="Times New Roman"/>
                <w:color w:val="auto"/>
                <w:sz w:val="28"/>
                <w:szCs w:val="28"/>
                <w:lang w:val="en-US" w:eastAsia="zh-CN"/>
              </w:rPr>
              <w:t>仅提供了劳动保护用品发放管理制度和</w:t>
            </w:r>
            <w:r>
              <w:rPr>
                <w:rFonts w:hint="eastAsia" w:ascii="Times New Roman" w:hAnsi="Times New Roman" w:eastAsia="宋体" w:cs="Times New Roman"/>
                <w:color w:val="auto"/>
                <w:sz w:val="28"/>
                <w:szCs w:val="28"/>
              </w:rPr>
              <w:t>劳保用品</w:t>
            </w:r>
            <w:r>
              <w:rPr>
                <w:rFonts w:hint="eastAsia" w:ascii="Times New Roman" w:hAnsi="Times New Roman" w:eastAsia="宋体" w:cs="Times New Roman"/>
                <w:color w:val="auto"/>
                <w:sz w:val="28"/>
                <w:szCs w:val="28"/>
                <w:lang w:val="en-US" w:eastAsia="zh-CN"/>
              </w:rPr>
              <w:t>发放记录，基本落实了相关要求</w:t>
            </w:r>
            <w:r>
              <w:rPr>
                <w:rFonts w:hint="eastAsia" w:ascii="Times New Roman" w:hAnsi="Times New Roman" w:eastAsia="宋体" w:cs="Times New Roman"/>
                <w:color w:val="auto"/>
                <w:sz w:val="28"/>
                <w:szCs w:val="28"/>
              </w:rPr>
              <w:t>。</w:t>
            </w:r>
          </w:p>
        </w:tc>
      </w:tr>
      <w:tr w14:paraId="18BF68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0D638A29">
            <w:pPr>
              <w:numPr>
                <w:ilvl w:val="0"/>
                <w:numId w:val="1"/>
              </w:numPr>
              <w:tabs>
                <w:tab w:val="left" w:pos="1260"/>
              </w:tabs>
              <w:overflowPunct w:val="0"/>
              <w:ind w:firstLine="17"/>
              <w:jc w:val="center"/>
              <w:rPr>
                <w:rFonts w:ascii="Times New Roman" w:hAnsi="Times New Roman" w:eastAsia="宋体" w:cs="Times New Roman"/>
                <w:color w:val="auto"/>
                <w:sz w:val="28"/>
                <w:szCs w:val="28"/>
              </w:rPr>
            </w:pPr>
          </w:p>
        </w:tc>
        <w:tc>
          <w:tcPr>
            <w:tcW w:w="2148" w:type="pct"/>
            <w:vAlign w:val="center"/>
          </w:tcPr>
          <w:p w14:paraId="4BADF7ED">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矿山、金属冶炼、建筑施工、运输单位和危险物品的生产、经营、储存、装卸单位，应当设置安全生产管理机构或者配备专职安全生产管理人员。</w:t>
            </w:r>
          </w:p>
        </w:tc>
        <w:tc>
          <w:tcPr>
            <w:tcW w:w="995" w:type="pct"/>
            <w:vAlign w:val="center"/>
          </w:tcPr>
          <w:p w14:paraId="5805F481">
            <w:pPr>
              <w:overflowPunct w:val="0"/>
              <w:jc w:val="center"/>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《中华人民共和国安全生产法》第二十四条</w:t>
            </w:r>
          </w:p>
        </w:tc>
        <w:tc>
          <w:tcPr>
            <w:tcW w:w="1564" w:type="pct"/>
            <w:vAlign w:val="center"/>
          </w:tcPr>
          <w:p w14:paraId="327B4408">
            <w:pPr>
              <w:overflowPunct w:val="0"/>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lang w:eastAsia="zh-CN"/>
              </w:rPr>
              <w:t>南天汇通公司</w:t>
            </w:r>
            <w:r>
              <w:rPr>
                <w:rFonts w:ascii="Times New Roman" w:hAnsi="Times New Roman" w:eastAsia="宋体" w:cs="Times New Roman"/>
                <w:color w:val="auto"/>
                <w:sz w:val="28"/>
                <w:szCs w:val="28"/>
              </w:rPr>
              <w:t>提供</w:t>
            </w:r>
            <w:r>
              <w:rPr>
                <w:rFonts w:hint="eastAsia" w:ascii="Times New Roman" w:hAnsi="Times New Roman" w:eastAsia="宋体" w:cs="Times New Roman"/>
                <w:color w:val="auto"/>
                <w:sz w:val="28"/>
                <w:szCs w:val="28"/>
                <w:lang w:val="en-US" w:eastAsia="zh-CN"/>
              </w:rPr>
              <w:t>了</w:t>
            </w:r>
            <w:r>
              <w:rPr>
                <w:rFonts w:hint="eastAsia" w:ascii="Times New Roman" w:hAnsi="Times New Roman" w:eastAsia="宋体" w:cs="Times New Roman"/>
                <w:color w:val="auto"/>
                <w:sz w:val="28"/>
                <w:szCs w:val="28"/>
              </w:rPr>
              <w:t>专职安全管理人员证书，</w:t>
            </w:r>
            <w:r>
              <w:rPr>
                <w:rFonts w:hint="eastAsia" w:ascii="Times New Roman" w:hAnsi="Times New Roman" w:eastAsia="宋体" w:cs="Times New Roman"/>
                <w:color w:val="auto"/>
                <w:sz w:val="28"/>
                <w:szCs w:val="28"/>
                <w:lang w:val="en-US" w:eastAsia="zh-CN"/>
              </w:rPr>
              <w:t>基本</w:t>
            </w:r>
            <w:r>
              <w:rPr>
                <w:rFonts w:ascii="Times New Roman" w:hAnsi="Times New Roman" w:eastAsia="宋体" w:cs="Times New Roman"/>
                <w:color w:val="auto"/>
                <w:sz w:val="28"/>
                <w:szCs w:val="28"/>
              </w:rPr>
              <w:t>落实了相关要求。</w:t>
            </w:r>
          </w:p>
        </w:tc>
      </w:tr>
      <w:tr w14:paraId="586805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2C6C0F71">
            <w:pPr>
              <w:numPr>
                <w:ilvl w:val="0"/>
                <w:numId w:val="1"/>
              </w:numPr>
              <w:tabs>
                <w:tab w:val="left" w:pos="1260"/>
              </w:tabs>
              <w:overflowPunct w:val="0"/>
              <w:ind w:firstLine="17"/>
              <w:jc w:val="center"/>
              <w:rPr>
                <w:rFonts w:ascii="Times New Roman" w:hAnsi="Times New Roman" w:eastAsia="宋体" w:cs="Times New Roman"/>
                <w:color w:val="auto"/>
                <w:sz w:val="28"/>
                <w:szCs w:val="28"/>
              </w:rPr>
            </w:pPr>
          </w:p>
        </w:tc>
        <w:tc>
          <w:tcPr>
            <w:tcW w:w="2148" w:type="pct"/>
            <w:vAlign w:val="center"/>
          </w:tcPr>
          <w:p w14:paraId="7A288AD7">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生产经营单位的安全生产管理机构以及安全生产管理人员履行下列职责：</w:t>
            </w:r>
          </w:p>
          <w:p w14:paraId="60988588">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（一）组织或者参与拟订本单位安全生产规章制度、操作规程和生产安全事故应急救援预案；</w:t>
            </w:r>
          </w:p>
          <w:p w14:paraId="24371CD2">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（二）组织或者参与本单位安全生产教育和培训，如实记录安全生产教育和培训情况；</w:t>
            </w:r>
          </w:p>
          <w:p w14:paraId="3223C9F5">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（三）组织开展危险源辨识和评估，督促落实本单位重大危险源的安全管理措施；</w:t>
            </w:r>
          </w:p>
          <w:p w14:paraId="66643438">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（四）组织或者参与本单位应急救援演练；</w:t>
            </w:r>
          </w:p>
          <w:p w14:paraId="78AFC4FC">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（五）检查本单位的安全生产状况，及时排查生产安全事故隐患，提出改进安全生产管理的建议；</w:t>
            </w:r>
          </w:p>
          <w:p w14:paraId="502EA66C">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（六）制止和纠正违章指挥、强令冒险作业、违反操作规程的行为；</w:t>
            </w:r>
          </w:p>
          <w:p w14:paraId="14963D20">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（七）督促落实本单位安全生产整改措施。</w:t>
            </w:r>
          </w:p>
        </w:tc>
        <w:tc>
          <w:tcPr>
            <w:tcW w:w="995" w:type="pct"/>
            <w:vAlign w:val="center"/>
          </w:tcPr>
          <w:p w14:paraId="75CCA2CA">
            <w:pPr>
              <w:overflowPunct w:val="0"/>
              <w:jc w:val="center"/>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《中华人民共和国安全生产法》第二十五条</w:t>
            </w:r>
          </w:p>
        </w:tc>
        <w:tc>
          <w:tcPr>
            <w:tcW w:w="1564" w:type="pct"/>
            <w:vAlign w:val="center"/>
          </w:tcPr>
          <w:p w14:paraId="29A751B0">
            <w:pPr>
              <w:overflowPunct w:val="0"/>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lang w:eastAsia="zh-CN"/>
              </w:rPr>
              <w:t>南天汇通公司</w:t>
            </w:r>
            <w:r>
              <w:rPr>
                <w:rFonts w:ascii="Times New Roman" w:hAnsi="Times New Roman" w:eastAsia="宋体" w:cs="Times New Roman"/>
                <w:color w:val="auto"/>
                <w:sz w:val="28"/>
                <w:szCs w:val="28"/>
              </w:rPr>
              <w:t>提供</w:t>
            </w:r>
            <w:r>
              <w:rPr>
                <w:rFonts w:hint="eastAsia" w:ascii="Times New Roman" w:hAnsi="Times New Roman" w:eastAsia="宋体" w:cs="Times New Roman"/>
                <w:color w:val="auto"/>
                <w:sz w:val="28"/>
                <w:szCs w:val="28"/>
              </w:rPr>
              <w:t>了</w:t>
            </w:r>
            <w:r>
              <w:rPr>
                <w:rFonts w:ascii="Times New Roman" w:hAnsi="Times New Roman" w:eastAsia="宋体" w:cs="Times New Roman"/>
                <w:color w:val="auto"/>
                <w:sz w:val="28"/>
                <w:szCs w:val="28"/>
              </w:rPr>
              <w:t>安全生产规章制度、操作规程和生产安全事故应急救援预案，</w:t>
            </w:r>
            <w:r>
              <w:rPr>
                <w:rFonts w:hint="eastAsia" w:ascii="Times New Roman" w:hAnsi="Times New Roman" w:eastAsia="宋体" w:cs="Times New Roman"/>
                <w:color w:val="auto"/>
                <w:sz w:val="28"/>
                <w:szCs w:val="28"/>
                <w:lang w:val="en-US" w:eastAsia="zh-CN"/>
              </w:rPr>
              <w:t>教育培训记录、重大危险源控制措施、高处作业防护措施、非开挖作业控制措施、拆除作业控制措施和事故整改落实报告，基本</w:t>
            </w:r>
            <w:r>
              <w:rPr>
                <w:rFonts w:ascii="Times New Roman" w:hAnsi="Times New Roman" w:eastAsia="宋体" w:cs="Times New Roman"/>
                <w:color w:val="auto"/>
                <w:sz w:val="28"/>
                <w:szCs w:val="28"/>
              </w:rPr>
              <w:t>落实了相关要求。</w:t>
            </w:r>
          </w:p>
        </w:tc>
      </w:tr>
      <w:tr w14:paraId="334168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0F8E2CDD">
            <w:pPr>
              <w:numPr>
                <w:ilvl w:val="0"/>
                <w:numId w:val="1"/>
              </w:numPr>
              <w:tabs>
                <w:tab w:val="left" w:pos="1260"/>
              </w:tabs>
              <w:overflowPunct w:val="0"/>
              <w:ind w:firstLine="17"/>
              <w:jc w:val="center"/>
              <w:rPr>
                <w:rFonts w:ascii="Times New Roman" w:hAnsi="Times New Roman" w:eastAsia="宋体" w:cs="Times New Roman"/>
                <w:color w:val="auto"/>
                <w:sz w:val="28"/>
                <w:szCs w:val="28"/>
              </w:rPr>
            </w:pPr>
          </w:p>
        </w:tc>
        <w:tc>
          <w:tcPr>
            <w:tcW w:w="2148" w:type="pct"/>
            <w:vAlign w:val="center"/>
          </w:tcPr>
          <w:p w14:paraId="68B27BD0">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生产经营单位的主要负责人和安全生产管理人员必须具备与本单位所从事的生产经营活动相应的安全生产知识和管理能力。</w:t>
            </w:r>
          </w:p>
          <w:p w14:paraId="106CB042">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危险物品的生产、经营、储存、装卸单位以及矿山、金属冶炼、建筑施工、运输单位的主要负责人和安全生产管理人员，应当由主管的负有安全生产监督管理职责的部门对其安全生产知识和管理能力考核合格。</w:t>
            </w:r>
          </w:p>
        </w:tc>
        <w:tc>
          <w:tcPr>
            <w:tcW w:w="995" w:type="pct"/>
            <w:vAlign w:val="center"/>
          </w:tcPr>
          <w:p w14:paraId="513D08FE">
            <w:pPr>
              <w:overflowPunct w:val="0"/>
              <w:jc w:val="center"/>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《中华人民共和国安全生产法》第二十七条</w:t>
            </w:r>
          </w:p>
        </w:tc>
        <w:tc>
          <w:tcPr>
            <w:tcW w:w="1564" w:type="pct"/>
            <w:vAlign w:val="center"/>
          </w:tcPr>
          <w:p w14:paraId="0BE4FF9C">
            <w:pPr>
              <w:overflowPunct w:val="0"/>
              <w:rPr>
                <w:rFonts w:ascii="Times New Roman" w:hAnsi="Times New Roman" w:eastAsia="宋体" w:cs="Times New Roman"/>
                <w:color w:val="FF0000"/>
                <w:sz w:val="28"/>
                <w:szCs w:val="28"/>
              </w:rPr>
            </w:pPr>
            <w:r>
              <w:rPr>
                <w:rFonts w:hint="eastAsia" w:ascii="Times New Roman" w:hAnsi="Times New Roman" w:eastAsia="宋体" w:cs="Times New Roman"/>
                <w:color w:val="auto"/>
                <w:sz w:val="28"/>
                <w:szCs w:val="28"/>
                <w:lang w:eastAsia="zh-CN"/>
              </w:rPr>
              <w:t>南天汇通公司</w:t>
            </w:r>
            <w:r>
              <w:rPr>
                <w:rFonts w:ascii="Times New Roman" w:hAnsi="Times New Roman" w:eastAsia="宋体" w:cs="Times New Roman"/>
                <w:color w:val="auto"/>
                <w:sz w:val="28"/>
                <w:szCs w:val="28"/>
              </w:rPr>
              <w:t>提供</w:t>
            </w:r>
            <w:r>
              <w:rPr>
                <w:rFonts w:hint="eastAsia" w:ascii="Times New Roman" w:hAnsi="Times New Roman" w:eastAsia="宋体" w:cs="Times New Roman"/>
                <w:color w:val="auto"/>
                <w:sz w:val="28"/>
                <w:szCs w:val="28"/>
              </w:rPr>
              <w:t>了</w:t>
            </w:r>
            <w:r>
              <w:rPr>
                <w:rFonts w:hint="eastAsia" w:ascii="Times New Roman" w:hAnsi="Times New Roman" w:eastAsia="宋体" w:cs="Times New Roman"/>
                <w:color w:val="auto"/>
                <w:sz w:val="28"/>
                <w:szCs w:val="28"/>
                <w:lang w:val="en-US" w:eastAsia="zh-CN"/>
              </w:rPr>
              <w:t>1</w:t>
            </w:r>
            <w:r>
              <w:rPr>
                <w:rFonts w:hint="eastAsia" w:ascii="Times New Roman" w:hAnsi="Times New Roman" w:eastAsia="宋体" w:cs="Times New Roman"/>
                <w:color w:val="auto"/>
                <w:sz w:val="28"/>
                <w:szCs w:val="28"/>
              </w:rPr>
              <w:t>名专职安全管理人员证书，</w:t>
            </w:r>
            <w:r>
              <w:rPr>
                <w:rFonts w:ascii="Times New Roman" w:hAnsi="Times New Roman" w:eastAsia="宋体" w:cs="Times New Roman"/>
                <w:color w:val="auto"/>
                <w:sz w:val="28"/>
                <w:szCs w:val="28"/>
              </w:rPr>
              <w:t>落实了相关要求。</w:t>
            </w:r>
          </w:p>
        </w:tc>
      </w:tr>
      <w:tr w14:paraId="11AF8A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11D31FFF">
            <w:pPr>
              <w:numPr>
                <w:ilvl w:val="0"/>
                <w:numId w:val="1"/>
              </w:numPr>
              <w:tabs>
                <w:tab w:val="left" w:pos="1260"/>
              </w:tabs>
              <w:overflowPunct w:val="0"/>
              <w:ind w:firstLine="17"/>
              <w:jc w:val="center"/>
              <w:rPr>
                <w:rFonts w:ascii="Times New Roman" w:hAnsi="Times New Roman" w:eastAsia="宋体" w:cs="Times New Roman"/>
                <w:color w:val="auto"/>
                <w:sz w:val="28"/>
                <w:szCs w:val="28"/>
              </w:rPr>
            </w:pPr>
          </w:p>
        </w:tc>
        <w:tc>
          <w:tcPr>
            <w:tcW w:w="2148" w:type="pct"/>
            <w:vAlign w:val="center"/>
          </w:tcPr>
          <w:p w14:paraId="041C0E31">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tc>
        <w:tc>
          <w:tcPr>
            <w:tcW w:w="995" w:type="pct"/>
            <w:vAlign w:val="center"/>
          </w:tcPr>
          <w:p w14:paraId="669FB0FD">
            <w:pPr>
              <w:overflowPunct w:val="0"/>
              <w:jc w:val="center"/>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《中华人民共和国安全生产法》第二十八条</w:t>
            </w:r>
          </w:p>
        </w:tc>
        <w:tc>
          <w:tcPr>
            <w:tcW w:w="1564" w:type="pct"/>
            <w:vAlign w:val="center"/>
          </w:tcPr>
          <w:p w14:paraId="638CC428">
            <w:pPr>
              <w:overflowPunct w:val="0"/>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lang w:eastAsia="zh-CN"/>
              </w:rPr>
              <w:t>南天汇通公司</w:t>
            </w:r>
            <w:r>
              <w:rPr>
                <w:rFonts w:ascii="Times New Roman" w:hAnsi="Times New Roman" w:eastAsia="宋体" w:cs="Times New Roman"/>
                <w:color w:val="auto"/>
                <w:sz w:val="28"/>
                <w:szCs w:val="28"/>
              </w:rPr>
              <w:t>提供</w:t>
            </w:r>
            <w:r>
              <w:rPr>
                <w:rFonts w:hint="eastAsia" w:ascii="Times New Roman" w:hAnsi="Times New Roman" w:eastAsia="宋体" w:cs="Times New Roman"/>
                <w:color w:val="auto"/>
                <w:sz w:val="28"/>
                <w:szCs w:val="28"/>
              </w:rPr>
              <w:t>了</w:t>
            </w:r>
            <w:r>
              <w:rPr>
                <w:rFonts w:hint="eastAsia" w:ascii="宋体" w:hAnsi="宋体" w:eastAsia="宋体"/>
                <w:color w:val="auto"/>
                <w:sz w:val="28"/>
                <w:szCs w:val="32"/>
                <w:lang w:val="en-US" w:eastAsia="zh-CN"/>
              </w:rPr>
              <w:t>安全教育培训制度、项目</w:t>
            </w:r>
            <w:r>
              <w:rPr>
                <w:rFonts w:hint="eastAsia" w:ascii="宋体" w:hAnsi="宋体" w:eastAsia="宋体"/>
                <w:color w:val="auto"/>
                <w:sz w:val="28"/>
                <w:szCs w:val="32"/>
                <w:lang w:eastAsia="zh-CN"/>
              </w:rPr>
              <w:t>管理人员和施工作业人员</w:t>
            </w:r>
            <w:r>
              <w:rPr>
                <w:rFonts w:hint="eastAsia" w:ascii="宋体" w:hAnsi="宋体" w:eastAsia="宋体"/>
                <w:color w:val="auto"/>
                <w:sz w:val="28"/>
                <w:szCs w:val="32"/>
                <w:lang w:val="en-US" w:eastAsia="zh-CN"/>
              </w:rPr>
              <w:t>的安全教育培训情况</w:t>
            </w:r>
            <w:r>
              <w:rPr>
                <w:rFonts w:ascii="Times New Roman" w:hAnsi="Times New Roman" w:eastAsia="宋体" w:cs="Times New Roman"/>
                <w:color w:val="auto"/>
                <w:sz w:val="28"/>
                <w:szCs w:val="28"/>
              </w:rPr>
              <w:t>，落实了相关要求。</w:t>
            </w:r>
          </w:p>
        </w:tc>
      </w:tr>
      <w:tr w14:paraId="59ACCD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0BBDF401">
            <w:pPr>
              <w:numPr>
                <w:ilvl w:val="0"/>
                <w:numId w:val="1"/>
              </w:numPr>
              <w:tabs>
                <w:tab w:val="left" w:pos="1260"/>
              </w:tabs>
              <w:overflowPunct w:val="0"/>
              <w:ind w:firstLine="17"/>
              <w:jc w:val="center"/>
              <w:rPr>
                <w:rFonts w:ascii="Times New Roman" w:hAnsi="Times New Roman" w:eastAsia="宋体" w:cs="Times New Roman"/>
                <w:color w:val="auto"/>
                <w:sz w:val="28"/>
                <w:szCs w:val="28"/>
              </w:rPr>
            </w:pPr>
          </w:p>
        </w:tc>
        <w:tc>
          <w:tcPr>
            <w:tcW w:w="2148" w:type="pct"/>
            <w:vAlign w:val="center"/>
          </w:tcPr>
          <w:p w14:paraId="1568295C">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生产经营单位应当建立安全风险分级管控制度，按照安全风险分级采取相应的管控措施。</w:t>
            </w:r>
          </w:p>
          <w:p w14:paraId="38A7CE75">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生产经营单位应当建立健全并落实生产安全事故隐患排查治理制度，采取技术、管理措施，及时发现并消除事故隐患。</w:t>
            </w:r>
          </w:p>
        </w:tc>
        <w:tc>
          <w:tcPr>
            <w:tcW w:w="995" w:type="pct"/>
            <w:vAlign w:val="center"/>
          </w:tcPr>
          <w:p w14:paraId="5DA4294F">
            <w:pPr>
              <w:overflowPunct w:val="0"/>
              <w:jc w:val="center"/>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《中华人民共和国安全生产法》第四十一条</w:t>
            </w:r>
          </w:p>
        </w:tc>
        <w:tc>
          <w:tcPr>
            <w:tcW w:w="1564" w:type="pct"/>
            <w:vAlign w:val="center"/>
          </w:tcPr>
          <w:p w14:paraId="65AEAE2A">
            <w:pPr>
              <w:overflowPunct w:val="0"/>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lang w:eastAsia="zh-CN"/>
              </w:rPr>
              <w:t>南天汇通公司</w:t>
            </w:r>
            <w:r>
              <w:rPr>
                <w:rFonts w:ascii="Times New Roman" w:hAnsi="Times New Roman" w:eastAsia="宋体" w:cs="Times New Roman"/>
                <w:color w:val="auto"/>
                <w:sz w:val="28"/>
                <w:szCs w:val="28"/>
              </w:rPr>
              <w:t>提供</w:t>
            </w:r>
            <w:r>
              <w:rPr>
                <w:rFonts w:hint="eastAsia" w:ascii="Times New Roman" w:hAnsi="Times New Roman" w:eastAsia="宋体" w:cs="Times New Roman"/>
                <w:color w:val="auto"/>
                <w:sz w:val="28"/>
                <w:szCs w:val="28"/>
              </w:rPr>
              <w:t>了</w:t>
            </w:r>
            <w:r>
              <w:rPr>
                <w:rFonts w:hint="eastAsia" w:ascii="宋体" w:hAnsi="宋体" w:eastAsia="宋体"/>
                <w:color w:val="auto"/>
                <w:sz w:val="28"/>
                <w:szCs w:val="32"/>
                <w:lang w:val="en-US" w:eastAsia="zh-CN"/>
              </w:rPr>
              <w:t>安全生产定期检查制度，未见风险分级管控制度</w:t>
            </w:r>
            <w:r>
              <w:rPr>
                <w:rFonts w:ascii="Times New Roman" w:hAnsi="Times New Roman" w:eastAsia="宋体" w:cs="Times New Roman"/>
                <w:color w:val="auto"/>
                <w:sz w:val="28"/>
                <w:szCs w:val="28"/>
              </w:rPr>
              <w:t>。</w:t>
            </w:r>
          </w:p>
        </w:tc>
      </w:tr>
      <w:tr w14:paraId="3C86BB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46740A4C">
            <w:pPr>
              <w:numPr>
                <w:ilvl w:val="0"/>
                <w:numId w:val="1"/>
              </w:numPr>
              <w:tabs>
                <w:tab w:val="left" w:pos="1260"/>
              </w:tabs>
              <w:overflowPunct w:val="0"/>
              <w:ind w:firstLine="17"/>
              <w:jc w:val="center"/>
              <w:rPr>
                <w:rFonts w:ascii="Times New Roman" w:hAnsi="Times New Roman" w:eastAsia="宋体" w:cs="Times New Roman"/>
                <w:color w:val="auto"/>
                <w:sz w:val="28"/>
                <w:szCs w:val="28"/>
              </w:rPr>
            </w:pPr>
          </w:p>
        </w:tc>
        <w:tc>
          <w:tcPr>
            <w:tcW w:w="2148" w:type="pct"/>
            <w:vAlign w:val="center"/>
          </w:tcPr>
          <w:p w14:paraId="52FD3CCF">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生产经营单位进行爆破、吊装、动火、临时用电以及国务院应急管理部门会同国务院有关部门规定的其他危险作业，应当安排专门人员进行现场安全管理，确保操作规程的遵守和安全措施的落实。</w:t>
            </w:r>
          </w:p>
        </w:tc>
        <w:tc>
          <w:tcPr>
            <w:tcW w:w="995" w:type="pct"/>
            <w:vAlign w:val="center"/>
          </w:tcPr>
          <w:p w14:paraId="63F54459">
            <w:pPr>
              <w:overflowPunct w:val="0"/>
              <w:jc w:val="center"/>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《中华人民共和国安全生产法》第四十三条</w:t>
            </w:r>
          </w:p>
        </w:tc>
        <w:tc>
          <w:tcPr>
            <w:tcW w:w="1564" w:type="pct"/>
            <w:vAlign w:val="center"/>
          </w:tcPr>
          <w:p w14:paraId="3921C796">
            <w:pPr>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lang w:eastAsia="zh-CN"/>
              </w:rPr>
              <w:t>南天汇通公司</w:t>
            </w:r>
            <w:r>
              <w:rPr>
                <w:rFonts w:ascii="Times New Roman" w:hAnsi="Times New Roman" w:eastAsia="宋体" w:cs="Times New Roman"/>
                <w:color w:val="auto"/>
                <w:sz w:val="28"/>
                <w:szCs w:val="28"/>
              </w:rPr>
              <w:t>提供</w:t>
            </w:r>
            <w:r>
              <w:rPr>
                <w:rFonts w:hint="eastAsia" w:ascii="Times New Roman" w:hAnsi="Times New Roman" w:eastAsia="宋体" w:cs="Times New Roman"/>
                <w:color w:val="auto"/>
                <w:sz w:val="28"/>
                <w:szCs w:val="28"/>
              </w:rPr>
              <w:t>了</w:t>
            </w:r>
            <w:r>
              <w:rPr>
                <w:rFonts w:hint="eastAsia" w:ascii="Times New Roman" w:hAnsi="Times New Roman" w:eastAsia="宋体" w:cs="Times New Roman"/>
                <w:color w:val="auto"/>
                <w:sz w:val="28"/>
                <w:szCs w:val="28"/>
                <w:lang w:val="en-US" w:eastAsia="zh-CN"/>
              </w:rPr>
              <w:t>重大危险源控制措施、高处作业防护措施、非开挖作业控制措施、拆除作业控制措施</w:t>
            </w:r>
            <w:r>
              <w:rPr>
                <w:rFonts w:ascii="Times New Roman" w:hAnsi="Times New Roman" w:eastAsia="宋体" w:cs="Times New Roman"/>
                <w:color w:val="auto"/>
                <w:sz w:val="28"/>
                <w:szCs w:val="28"/>
              </w:rPr>
              <w:t>，</w:t>
            </w:r>
            <w:r>
              <w:rPr>
                <w:rFonts w:hint="eastAsia" w:ascii="Times New Roman" w:hAnsi="Times New Roman" w:eastAsia="宋体" w:cs="Times New Roman"/>
                <w:color w:val="auto"/>
                <w:sz w:val="28"/>
                <w:szCs w:val="28"/>
                <w:lang w:val="en-US" w:eastAsia="zh-CN"/>
              </w:rPr>
              <w:t>基本</w:t>
            </w:r>
            <w:r>
              <w:rPr>
                <w:rFonts w:ascii="Times New Roman" w:hAnsi="Times New Roman" w:eastAsia="宋体" w:cs="Times New Roman"/>
                <w:color w:val="auto"/>
                <w:sz w:val="28"/>
                <w:szCs w:val="28"/>
              </w:rPr>
              <w:t>落实了相关要求。</w:t>
            </w:r>
          </w:p>
        </w:tc>
      </w:tr>
      <w:tr w14:paraId="4E3A28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3BE67C76">
            <w:pPr>
              <w:numPr>
                <w:ilvl w:val="0"/>
                <w:numId w:val="1"/>
              </w:numPr>
              <w:tabs>
                <w:tab w:val="left" w:pos="1260"/>
              </w:tabs>
              <w:overflowPunct w:val="0"/>
              <w:ind w:firstLine="17"/>
              <w:jc w:val="center"/>
              <w:rPr>
                <w:rFonts w:ascii="Times New Roman" w:hAnsi="Times New Roman" w:eastAsia="宋体" w:cs="Times New Roman"/>
                <w:color w:val="auto"/>
                <w:sz w:val="28"/>
                <w:szCs w:val="28"/>
              </w:rPr>
            </w:pPr>
          </w:p>
        </w:tc>
        <w:tc>
          <w:tcPr>
            <w:tcW w:w="2148" w:type="pct"/>
            <w:vAlign w:val="center"/>
          </w:tcPr>
          <w:p w14:paraId="146EC5B4">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生产经营单位应当教育和督促从业人员严格执行本单位的安全生产规章制度和安全操作规程；并向从业人员如实告知作业场所和工作岗位存在的危险因素、防范措施以及事故应急措施。</w:t>
            </w:r>
          </w:p>
        </w:tc>
        <w:tc>
          <w:tcPr>
            <w:tcW w:w="995" w:type="pct"/>
            <w:vAlign w:val="center"/>
          </w:tcPr>
          <w:p w14:paraId="0F7F6F64">
            <w:pPr>
              <w:overflowPunct w:val="0"/>
              <w:jc w:val="center"/>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《中华人民共和国安全生产法》第四十四条</w:t>
            </w:r>
          </w:p>
        </w:tc>
        <w:tc>
          <w:tcPr>
            <w:tcW w:w="1564" w:type="pct"/>
            <w:vAlign w:val="center"/>
          </w:tcPr>
          <w:p w14:paraId="0CF247EE">
            <w:pPr>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lang w:eastAsia="zh-CN"/>
              </w:rPr>
              <w:t>南天汇通公司</w:t>
            </w:r>
            <w:r>
              <w:rPr>
                <w:rFonts w:ascii="Times New Roman" w:hAnsi="Times New Roman" w:eastAsia="宋体" w:cs="Times New Roman"/>
                <w:color w:val="auto"/>
                <w:sz w:val="28"/>
                <w:szCs w:val="28"/>
              </w:rPr>
              <w:t>提供</w:t>
            </w:r>
            <w:r>
              <w:rPr>
                <w:rFonts w:hint="eastAsia" w:ascii="Times New Roman" w:hAnsi="Times New Roman" w:eastAsia="宋体" w:cs="Times New Roman"/>
                <w:color w:val="auto"/>
                <w:sz w:val="28"/>
                <w:szCs w:val="28"/>
              </w:rPr>
              <w:t>了</w:t>
            </w:r>
            <w:r>
              <w:rPr>
                <w:rFonts w:hint="eastAsia" w:ascii="Times New Roman" w:hAnsi="Times New Roman" w:eastAsia="宋体" w:cs="Times New Roman"/>
                <w:color w:val="auto"/>
                <w:sz w:val="28"/>
                <w:szCs w:val="28"/>
                <w:lang w:val="en-US" w:eastAsia="zh-CN"/>
              </w:rPr>
              <w:t>各项生产安全制度、安全操作规程</w:t>
            </w:r>
            <w:r>
              <w:rPr>
                <w:rFonts w:hint="eastAsia" w:ascii="Times New Roman" w:hAnsi="Times New Roman" w:eastAsia="宋体" w:cs="Times New Roman"/>
                <w:color w:val="auto"/>
                <w:sz w:val="28"/>
                <w:szCs w:val="28"/>
              </w:rPr>
              <w:t>和</w:t>
            </w:r>
            <w:r>
              <w:rPr>
                <w:rFonts w:hint="eastAsia" w:ascii="宋体" w:hAnsi="宋体" w:eastAsia="宋体"/>
                <w:color w:val="auto"/>
                <w:sz w:val="28"/>
                <w:szCs w:val="32"/>
                <w:lang w:val="en-US" w:eastAsia="zh-CN"/>
              </w:rPr>
              <w:t>职业病危害防治措施、</w:t>
            </w:r>
            <w:r>
              <w:rPr>
                <w:rFonts w:hint="eastAsia" w:ascii="Times New Roman" w:hAnsi="Times New Roman" w:eastAsia="宋体" w:cs="Times New Roman"/>
                <w:color w:val="auto"/>
                <w:sz w:val="28"/>
                <w:szCs w:val="28"/>
                <w:lang w:val="en-US" w:eastAsia="zh-CN"/>
              </w:rPr>
              <w:t>职业病危害防治措施、重大危险源控制措施、高处作业防护措施、非开挖作业控制措施、拆除作业控制措施和应急预案</w:t>
            </w:r>
            <w:r>
              <w:rPr>
                <w:rFonts w:ascii="Times New Roman" w:hAnsi="Times New Roman" w:eastAsia="宋体" w:cs="Times New Roman"/>
                <w:color w:val="auto"/>
                <w:sz w:val="28"/>
                <w:szCs w:val="28"/>
              </w:rPr>
              <w:t>，</w:t>
            </w:r>
            <w:r>
              <w:rPr>
                <w:rFonts w:hint="eastAsia" w:ascii="Times New Roman" w:hAnsi="Times New Roman" w:eastAsia="宋体" w:cs="Times New Roman"/>
                <w:color w:val="auto"/>
                <w:sz w:val="28"/>
                <w:szCs w:val="28"/>
                <w:lang w:val="en-US" w:eastAsia="zh-CN"/>
              </w:rPr>
              <w:t>基本</w:t>
            </w:r>
            <w:r>
              <w:rPr>
                <w:rFonts w:ascii="Times New Roman" w:hAnsi="Times New Roman" w:eastAsia="宋体" w:cs="Times New Roman"/>
                <w:color w:val="auto"/>
                <w:sz w:val="28"/>
                <w:szCs w:val="28"/>
              </w:rPr>
              <w:t>落实了相关要求。</w:t>
            </w:r>
          </w:p>
        </w:tc>
      </w:tr>
      <w:tr w14:paraId="54120B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28ED4DF9">
            <w:pPr>
              <w:numPr>
                <w:ilvl w:val="0"/>
                <w:numId w:val="1"/>
              </w:numPr>
              <w:tabs>
                <w:tab w:val="left" w:pos="1260"/>
              </w:tabs>
              <w:overflowPunct w:val="0"/>
              <w:ind w:firstLine="17"/>
              <w:jc w:val="center"/>
              <w:rPr>
                <w:rFonts w:ascii="Times New Roman" w:hAnsi="Times New Roman" w:eastAsia="宋体" w:cs="Times New Roman"/>
                <w:color w:val="auto"/>
                <w:sz w:val="28"/>
                <w:szCs w:val="28"/>
              </w:rPr>
            </w:pPr>
          </w:p>
        </w:tc>
        <w:tc>
          <w:tcPr>
            <w:tcW w:w="2148" w:type="pct"/>
            <w:vAlign w:val="center"/>
          </w:tcPr>
          <w:p w14:paraId="14DF790A">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生产经营单位必须为从业人员提供符合国家标准或者行业标准的劳动防护用品，并监督、教育从业人员按照使用规则佩戴、使用。</w:t>
            </w:r>
          </w:p>
        </w:tc>
        <w:tc>
          <w:tcPr>
            <w:tcW w:w="995" w:type="pct"/>
            <w:vAlign w:val="center"/>
          </w:tcPr>
          <w:p w14:paraId="163C2ED5">
            <w:pPr>
              <w:overflowPunct w:val="0"/>
              <w:jc w:val="center"/>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《中华人民共和国安全生产法》第四十五条</w:t>
            </w:r>
          </w:p>
        </w:tc>
        <w:tc>
          <w:tcPr>
            <w:tcW w:w="1564" w:type="pct"/>
            <w:vAlign w:val="center"/>
          </w:tcPr>
          <w:p w14:paraId="4D153670">
            <w:pPr>
              <w:overflowPunct w:val="0"/>
              <w:rPr>
                <w:rFonts w:ascii="Times New Roman" w:hAnsi="Times New Roman" w:eastAsia="宋体" w:cs="Times New Roman"/>
                <w:color w:val="FF0000"/>
                <w:sz w:val="28"/>
                <w:szCs w:val="28"/>
              </w:rPr>
            </w:pPr>
            <w:r>
              <w:rPr>
                <w:rFonts w:hint="eastAsia" w:ascii="Times New Roman" w:hAnsi="Times New Roman" w:eastAsia="宋体" w:cs="Times New Roman"/>
                <w:color w:val="auto"/>
                <w:sz w:val="28"/>
                <w:szCs w:val="28"/>
                <w:lang w:eastAsia="zh-CN"/>
              </w:rPr>
              <w:t>南天汇通公司</w:t>
            </w:r>
            <w:r>
              <w:rPr>
                <w:rFonts w:ascii="Times New Roman" w:hAnsi="Times New Roman" w:eastAsia="宋体" w:cs="Times New Roman"/>
                <w:color w:val="auto"/>
                <w:sz w:val="28"/>
                <w:szCs w:val="28"/>
              </w:rPr>
              <w:t>提供</w:t>
            </w:r>
            <w:r>
              <w:rPr>
                <w:rFonts w:hint="eastAsia" w:ascii="Times New Roman" w:hAnsi="Times New Roman" w:eastAsia="宋体" w:cs="Times New Roman"/>
                <w:color w:val="auto"/>
                <w:sz w:val="28"/>
                <w:szCs w:val="28"/>
              </w:rPr>
              <w:t>了劳保用品发放记录</w:t>
            </w:r>
            <w:r>
              <w:rPr>
                <w:rFonts w:ascii="Times New Roman" w:hAnsi="Times New Roman" w:eastAsia="宋体" w:cs="Times New Roman"/>
                <w:color w:val="auto"/>
                <w:sz w:val="28"/>
                <w:szCs w:val="28"/>
              </w:rPr>
              <w:t>，</w:t>
            </w:r>
            <w:r>
              <w:rPr>
                <w:rFonts w:hint="eastAsia" w:ascii="Times New Roman" w:hAnsi="Times New Roman" w:eastAsia="宋体" w:cs="Times New Roman"/>
                <w:color w:val="auto"/>
                <w:sz w:val="28"/>
                <w:szCs w:val="28"/>
                <w:lang w:val="en-US" w:eastAsia="zh-CN"/>
              </w:rPr>
              <w:t>基本</w:t>
            </w:r>
            <w:r>
              <w:rPr>
                <w:rFonts w:ascii="Times New Roman" w:hAnsi="Times New Roman" w:eastAsia="宋体" w:cs="Times New Roman"/>
                <w:color w:val="auto"/>
                <w:sz w:val="28"/>
                <w:szCs w:val="28"/>
              </w:rPr>
              <w:t>落实了相关要求。</w:t>
            </w:r>
          </w:p>
        </w:tc>
      </w:tr>
      <w:tr w14:paraId="06BA85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7A156AD0">
            <w:pPr>
              <w:numPr>
                <w:ilvl w:val="0"/>
                <w:numId w:val="1"/>
              </w:numPr>
              <w:tabs>
                <w:tab w:val="left" w:pos="1260"/>
              </w:tabs>
              <w:overflowPunct w:val="0"/>
              <w:ind w:firstLine="17"/>
              <w:jc w:val="center"/>
              <w:rPr>
                <w:rFonts w:ascii="Times New Roman" w:hAnsi="Times New Roman" w:eastAsia="宋体" w:cs="Times New Roman"/>
                <w:color w:val="auto"/>
                <w:sz w:val="28"/>
                <w:szCs w:val="28"/>
              </w:rPr>
            </w:pPr>
          </w:p>
        </w:tc>
        <w:tc>
          <w:tcPr>
            <w:tcW w:w="2148" w:type="pct"/>
            <w:vAlign w:val="center"/>
          </w:tcPr>
          <w:p w14:paraId="0A83496D">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tc>
        <w:tc>
          <w:tcPr>
            <w:tcW w:w="995" w:type="pct"/>
            <w:vAlign w:val="center"/>
          </w:tcPr>
          <w:p w14:paraId="06EF6017">
            <w:pPr>
              <w:overflowPunct w:val="0"/>
              <w:jc w:val="center"/>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《中华人民共和国安全生产法》第四十六条</w:t>
            </w:r>
          </w:p>
        </w:tc>
        <w:tc>
          <w:tcPr>
            <w:tcW w:w="1564" w:type="pct"/>
            <w:vAlign w:val="center"/>
          </w:tcPr>
          <w:p w14:paraId="4B3BA976">
            <w:pPr>
              <w:overflowPunct w:val="0"/>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lang w:eastAsia="zh-CN"/>
              </w:rPr>
              <w:t>南天汇通公司</w:t>
            </w:r>
            <w:r>
              <w:rPr>
                <w:rFonts w:ascii="Times New Roman" w:hAnsi="Times New Roman" w:eastAsia="宋体" w:cs="Times New Roman"/>
                <w:color w:val="auto"/>
                <w:sz w:val="28"/>
                <w:szCs w:val="28"/>
              </w:rPr>
              <w:t>提供</w:t>
            </w:r>
            <w:r>
              <w:rPr>
                <w:rFonts w:hint="eastAsia" w:ascii="Times New Roman" w:hAnsi="Times New Roman" w:eastAsia="宋体" w:cs="Times New Roman"/>
                <w:color w:val="auto"/>
                <w:sz w:val="28"/>
                <w:szCs w:val="28"/>
              </w:rPr>
              <w:t>了项目</w:t>
            </w:r>
            <w:r>
              <w:rPr>
                <w:rFonts w:hint="eastAsia" w:ascii="宋体" w:hAnsi="宋体" w:eastAsia="宋体"/>
                <w:color w:val="auto"/>
                <w:sz w:val="28"/>
                <w:szCs w:val="32"/>
                <w:lang w:val="en-US" w:eastAsia="zh-CN"/>
              </w:rPr>
              <w:t>安全生产定期检查制度、现场检查情况等</w:t>
            </w:r>
            <w:r>
              <w:rPr>
                <w:rFonts w:ascii="Times New Roman" w:hAnsi="Times New Roman" w:eastAsia="宋体" w:cs="Times New Roman"/>
                <w:color w:val="auto"/>
                <w:sz w:val="28"/>
                <w:szCs w:val="28"/>
              </w:rPr>
              <w:t>，</w:t>
            </w:r>
            <w:r>
              <w:rPr>
                <w:rFonts w:hint="eastAsia" w:ascii="Times New Roman" w:hAnsi="Times New Roman" w:eastAsia="宋体" w:cs="Times New Roman"/>
                <w:color w:val="auto"/>
                <w:sz w:val="28"/>
                <w:szCs w:val="28"/>
                <w:lang w:val="en-US" w:eastAsia="zh-CN"/>
              </w:rPr>
              <w:t>基本</w:t>
            </w:r>
            <w:r>
              <w:rPr>
                <w:rFonts w:ascii="Times New Roman" w:hAnsi="Times New Roman" w:eastAsia="宋体" w:cs="Times New Roman"/>
                <w:color w:val="auto"/>
                <w:sz w:val="28"/>
                <w:szCs w:val="28"/>
              </w:rPr>
              <w:t>落实了相关要求。</w:t>
            </w:r>
          </w:p>
        </w:tc>
      </w:tr>
      <w:tr w14:paraId="0DA206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1F0FDE55">
            <w:pPr>
              <w:numPr>
                <w:ilvl w:val="0"/>
                <w:numId w:val="1"/>
              </w:numPr>
              <w:tabs>
                <w:tab w:val="left" w:pos="1260"/>
              </w:tabs>
              <w:overflowPunct w:val="0"/>
              <w:ind w:firstLine="17"/>
              <w:jc w:val="center"/>
              <w:rPr>
                <w:rFonts w:ascii="Times New Roman" w:hAnsi="Times New Roman" w:eastAsia="宋体" w:cs="Times New Roman"/>
                <w:color w:val="auto"/>
                <w:sz w:val="28"/>
                <w:szCs w:val="28"/>
              </w:rPr>
            </w:pPr>
          </w:p>
        </w:tc>
        <w:tc>
          <w:tcPr>
            <w:tcW w:w="2148" w:type="pct"/>
            <w:vAlign w:val="center"/>
          </w:tcPr>
          <w:p w14:paraId="562263DB">
            <w:pPr>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生产经营单位应当安排用于配备劳动防护用品、进行安全生产培训的经费。</w:t>
            </w:r>
          </w:p>
        </w:tc>
        <w:tc>
          <w:tcPr>
            <w:tcW w:w="995" w:type="pct"/>
            <w:vAlign w:val="center"/>
          </w:tcPr>
          <w:p w14:paraId="4784426A">
            <w:pPr>
              <w:jc w:val="center"/>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《中华人民共和国安全生产法》第四十七条</w:t>
            </w:r>
          </w:p>
        </w:tc>
        <w:tc>
          <w:tcPr>
            <w:tcW w:w="1564" w:type="pct"/>
            <w:vAlign w:val="center"/>
          </w:tcPr>
          <w:p w14:paraId="25146595">
            <w:pPr>
              <w:overflowPunct w:val="0"/>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lang w:eastAsia="zh-CN"/>
              </w:rPr>
              <w:t>南天汇通公司</w:t>
            </w:r>
            <w:r>
              <w:rPr>
                <w:rFonts w:ascii="Times New Roman" w:hAnsi="Times New Roman" w:eastAsia="宋体" w:cs="Times New Roman"/>
                <w:color w:val="auto"/>
                <w:sz w:val="28"/>
                <w:szCs w:val="28"/>
              </w:rPr>
              <w:t>提供</w:t>
            </w:r>
            <w:r>
              <w:rPr>
                <w:rFonts w:hint="eastAsia" w:ascii="Times New Roman" w:hAnsi="Times New Roman" w:eastAsia="宋体" w:cs="Times New Roman"/>
                <w:color w:val="auto"/>
                <w:sz w:val="28"/>
                <w:szCs w:val="28"/>
              </w:rPr>
              <w:t>了劳保用品发放记录</w:t>
            </w:r>
            <w:r>
              <w:rPr>
                <w:rFonts w:ascii="Times New Roman" w:hAnsi="Times New Roman" w:eastAsia="宋体" w:cs="Times New Roman"/>
                <w:color w:val="auto"/>
                <w:sz w:val="28"/>
                <w:szCs w:val="28"/>
              </w:rPr>
              <w:t>，</w:t>
            </w:r>
            <w:r>
              <w:rPr>
                <w:rFonts w:hint="eastAsia" w:ascii="Times New Roman" w:hAnsi="Times New Roman" w:eastAsia="宋体" w:cs="Times New Roman"/>
                <w:color w:val="auto"/>
                <w:sz w:val="28"/>
                <w:szCs w:val="28"/>
                <w:lang w:val="en-US" w:eastAsia="zh-CN"/>
              </w:rPr>
              <w:t>基本</w:t>
            </w:r>
            <w:r>
              <w:rPr>
                <w:rFonts w:ascii="Times New Roman" w:hAnsi="Times New Roman" w:eastAsia="宋体" w:cs="Times New Roman"/>
                <w:color w:val="auto"/>
                <w:sz w:val="28"/>
                <w:szCs w:val="28"/>
              </w:rPr>
              <w:t>落实了相关要求。</w:t>
            </w:r>
          </w:p>
        </w:tc>
      </w:tr>
      <w:tr w14:paraId="76DDAC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58" w:hRule="atLeast"/>
        </w:trPr>
        <w:tc>
          <w:tcPr>
            <w:tcW w:w="292" w:type="pct"/>
            <w:vAlign w:val="center"/>
          </w:tcPr>
          <w:p w14:paraId="48EEA111">
            <w:pPr>
              <w:numPr>
                <w:ilvl w:val="0"/>
                <w:numId w:val="1"/>
              </w:numPr>
              <w:tabs>
                <w:tab w:val="left" w:pos="1260"/>
              </w:tabs>
              <w:overflowPunct w:val="0"/>
              <w:ind w:firstLine="17"/>
              <w:jc w:val="center"/>
              <w:rPr>
                <w:rFonts w:ascii="Times New Roman" w:hAnsi="Times New Roman" w:eastAsia="宋体" w:cs="Times New Roman"/>
                <w:color w:val="auto"/>
                <w:sz w:val="28"/>
                <w:szCs w:val="28"/>
              </w:rPr>
            </w:pPr>
          </w:p>
        </w:tc>
        <w:tc>
          <w:tcPr>
            <w:tcW w:w="2148" w:type="pct"/>
            <w:vAlign w:val="center"/>
          </w:tcPr>
          <w:p w14:paraId="741B4331">
            <w:pPr>
              <w:overflowPunct w:val="0"/>
              <w:rPr>
                <w:rFonts w:hint="default" w:ascii="Times New Roman" w:hAnsi="Times New Roman" w:eastAsia="宋体" w:cs="Times New Roman"/>
                <w:color w:val="FF0000"/>
                <w:sz w:val="28"/>
                <w:szCs w:val="28"/>
                <w:lang w:val="en-US" w:eastAsia="zh-CN"/>
              </w:rPr>
            </w:pPr>
            <w:r>
              <w:rPr>
                <w:rFonts w:ascii="Times New Roman" w:hAnsi="Times New Roman" w:eastAsia="宋体" w:cs="Times New Roman"/>
                <w:sz w:val="28"/>
                <w:szCs w:val="28"/>
              </w:rPr>
              <w:t>两个以上生产经营单位在同一作业区域内进行生产经营活动，可能危及对方生产安全的，应当签订安全生产管理协议，明确各自的安全生产管理职责和应当采取的安全措施，并指定专职安全生产管理人员进行安全检查与协调。</w:t>
            </w:r>
          </w:p>
        </w:tc>
        <w:tc>
          <w:tcPr>
            <w:tcW w:w="995" w:type="pct"/>
            <w:shd w:val="clear" w:color="auto" w:fill="auto"/>
            <w:vAlign w:val="center"/>
          </w:tcPr>
          <w:p w14:paraId="747AA6FE">
            <w:pPr>
              <w:overflowPunct w:val="0"/>
              <w:jc w:val="center"/>
              <w:rPr>
                <w:rFonts w:ascii="Times New Roman" w:hAnsi="Times New Roman" w:eastAsia="宋体" w:cs="Times New Roman"/>
                <w:kern w:val="2"/>
                <w:sz w:val="28"/>
                <w:szCs w:val="28"/>
                <w:lang w:val="en-US" w:eastAsia="zh-CN" w:bidi="ar-SA"/>
              </w:rPr>
            </w:pPr>
            <w:r>
              <w:rPr>
                <w:rFonts w:ascii="Times New Roman" w:hAnsi="Times New Roman" w:eastAsia="宋体" w:cs="Times New Roman"/>
                <w:sz w:val="28"/>
                <w:szCs w:val="28"/>
              </w:rPr>
              <w:t>《中华人民共和国安全生产法》第四十八条</w:t>
            </w:r>
          </w:p>
        </w:tc>
        <w:tc>
          <w:tcPr>
            <w:tcW w:w="1564" w:type="pct"/>
            <w:shd w:val="clear" w:color="auto" w:fill="auto"/>
            <w:vAlign w:val="center"/>
          </w:tcPr>
          <w:p w14:paraId="75437106">
            <w:pPr>
              <w:rPr>
                <w:rFonts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sz w:val="28"/>
                <w:szCs w:val="28"/>
                <w:lang w:eastAsia="zh-CN"/>
              </w:rPr>
              <w:t>南天汇通公司</w:t>
            </w:r>
            <w:r>
              <w:rPr>
                <w:rFonts w:ascii="Times New Roman" w:hAnsi="Times New Roman" w:eastAsia="宋体" w:cs="Times New Roman"/>
                <w:color w:val="auto"/>
                <w:sz w:val="28"/>
                <w:szCs w:val="28"/>
              </w:rPr>
              <w:t>提供</w:t>
            </w:r>
            <w:r>
              <w:rPr>
                <w:rFonts w:hint="eastAsia" w:ascii="Times New Roman" w:hAnsi="Times New Roman" w:eastAsia="宋体" w:cs="Times New Roman"/>
                <w:color w:val="auto"/>
                <w:sz w:val="28"/>
                <w:szCs w:val="28"/>
              </w:rPr>
              <w:t>了</w:t>
            </w:r>
            <w:r>
              <w:rPr>
                <w:rFonts w:hint="eastAsia" w:ascii="宋体" w:hAnsi="宋体" w:eastAsia="宋体"/>
                <w:color w:val="auto"/>
                <w:sz w:val="28"/>
                <w:szCs w:val="28"/>
                <w:lang w:eastAsia="zh-CN"/>
              </w:rPr>
              <w:t>施工作业现场安全管理</w:t>
            </w:r>
            <w:r>
              <w:rPr>
                <w:rFonts w:hint="eastAsia" w:ascii="宋体" w:hAnsi="宋体" w:eastAsia="宋体"/>
                <w:color w:val="auto"/>
                <w:sz w:val="28"/>
                <w:szCs w:val="28"/>
                <w:lang w:val="en-US" w:eastAsia="zh-CN"/>
              </w:rPr>
              <w:t>制度、</w:t>
            </w:r>
            <w:r>
              <w:rPr>
                <w:rFonts w:hint="eastAsia" w:ascii="宋体" w:hAnsi="宋体" w:eastAsia="宋体"/>
                <w:color w:val="auto"/>
                <w:sz w:val="28"/>
                <w:szCs w:val="28"/>
                <w:lang w:eastAsia="zh-CN"/>
              </w:rPr>
              <w:t>施工项目安全监督管理、</w:t>
            </w:r>
            <w:r>
              <w:rPr>
                <w:rFonts w:hint="eastAsia" w:ascii="宋体" w:hAnsi="宋体" w:eastAsia="宋体"/>
                <w:color w:val="auto"/>
                <w:sz w:val="28"/>
                <w:szCs w:val="28"/>
                <w:lang w:val="en-US" w:eastAsia="zh-CN"/>
              </w:rPr>
              <w:t>与甲方签订的安全生产协议和专职安全生产管理人员证书，</w:t>
            </w:r>
            <w:r>
              <w:rPr>
                <w:rFonts w:hint="eastAsia" w:ascii="Times New Roman" w:hAnsi="Times New Roman" w:eastAsia="宋体" w:cs="Times New Roman"/>
                <w:color w:val="auto"/>
                <w:sz w:val="28"/>
                <w:szCs w:val="28"/>
                <w:lang w:val="en-US" w:eastAsia="zh-CN"/>
              </w:rPr>
              <w:t>基本</w:t>
            </w:r>
            <w:r>
              <w:rPr>
                <w:rFonts w:ascii="Times New Roman" w:hAnsi="Times New Roman" w:eastAsia="宋体" w:cs="Times New Roman"/>
                <w:color w:val="auto"/>
                <w:sz w:val="28"/>
                <w:szCs w:val="28"/>
              </w:rPr>
              <w:t>落实了相关要求。</w:t>
            </w:r>
          </w:p>
        </w:tc>
      </w:tr>
      <w:tr w14:paraId="0E1265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1168846">
            <w:pPr>
              <w:numPr>
                <w:ilvl w:val="0"/>
                <w:numId w:val="1"/>
              </w:numPr>
              <w:tabs>
                <w:tab w:val="left" w:pos="1260"/>
              </w:tabs>
              <w:overflowPunct w:val="0"/>
              <w:ind w:firstLine="17"/>
              <w:jc w:val="center"/>
              <w:rPr>
                <w:rFonts w:ascii="Times New Roman" w:hAnsi="Times New Roman" w:eastAsia="宋体" w:cs="Times New Roman"/>
                <w:color w:val="auto"/>
                <w:sz w:val="28"/>
                <w:szCs w:val="28"/>
              </w:rPr>
            </w:pPr>
          </w:p>
        </w:tc>
        <w:tc>
          <w:tcPr>
            <w:tcW w:w="2148" w:type="pct"/>
            <w:vAlign w:val="center"/>
          </w:tcPr>
          <w:p w14:paraId="31793567">
            <w:pPr>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生产经营单位发生生产安全事故时，单位的主要负责人应当立即组织抢救，并不得在事故调查处理期间擅离职守。</w:t>
            </w:r>
          </w:p>
        </w:tc>
        <w:tc>
          <w:tcPr>
            <w:tcW w:w="995" w:type="pct"/>
            <w:vAlign w:val="center"/>
          </w:tcPr>
          <w:p w14:paraId="25C869FB">
            <w:pPr>
              <w:jc w:val="center"/>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《中华人民共和国安全生产法》第五十条</w:t>
            </w:r>
          </w:p>
        </w:tc>
        <w:tc>
          <w:tcPr>
            <w:tcW w:w="1564" w:type="pct"/>
            <w:vAlign w:val="center"/>
          </w:tcPr>
          <w:p w14:paraId="0CE4D3D0">
            <w:pPr>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lang w:eastAsia="zh-CN"/>
              </w:rPr>
              <w:t>南天汇通公司</w:t>
            </w:r>
            <w:r>
              <w:rPr>
                <w:rFonts w:ascii="Times New Roman" w:hAnsi="Times New Roman" w:eastAsia="宋体" w:cs="Times New Roman"/>
                <w:color w:val="auto"/>
                <w:sz w:val="28"/>
                <w:szCs w:val="28"/>
              </w:rPr>
              <w:t>提供</w:t>
            </w:r>
            <w:r>
              <w:rPr>
                <w:rFonts w:hint="eastAsia" w:ascii="Times New Roman" w:hAnsi="Times New Roman" w:eastAsia="宋体" w:cs="Times New Roman"/>
                <w:color w:val="auto"/>
                <w:sz w:val="28"/>
                <w:szCs w:val="28"/>
              </w:rPr>
              <w:t>安全生产事故报告及处理制度</w:t>
            </w:r>
            <w:r>
              <w:rPr>
                <w:rFonts w:hint="eastAsia" w:ascii="Times New Roman" w:hAnsi="Times New Roman" w:eastAsia="宋体" w:cs="Times New Roman"/>
                <w:color w:val="auto"/>
                <w:sz w:val="28"/>
                <w:szCs w:val="28"/>
                <w:lang w:val="en-US" w:eastAsia="zh-CN"/>
              </w:rPr>
              <w:t>和</w:t>
            </w:r>
            <w:r>
              <w:rPr>
                <w:rFonts w:hint="eastAsia" w:ascii="Times New Roman" w:hAnsi="Times New Roman" w:eastAsia="宋体" w:cs="Times New Roman"/>
                <w:color w:val="auto"/>
                <w:sz w:val="28"/>
                <w:szCs w:val="28"/>
              </w:rPr>
              <w:t>生产安全事故应急救援预案</w:t>
            </w:r>
            <w:r>
              <w:rPr>
                <w:rFonts w:hint="eastAsia" w:ascii="Times New Roman" w:hAnsi="Times New Roman" w:eastAsia="宋体" w:cs="Times New Roman"/>
                <w:color w:val="auto"/>
                <w:sz w:val="28"/>
                <w:szCs w:val="28"/>
                <w:lang w:val="en-US" w:eastAsia="zh-CN"/>
              </w:rPr>
              <w:t>等文件</w:t>
            </w:r>
            <w:r>
              <w:rPr>
                <w:rFonts w:ascii="Times New Roman" w:hAnsi="Times New Roman" w:eastAsia="宋体" w:cs="Times New Roman"/>
                <w:color w:val="auto"/>
                <w:sz w:val="28"/>
                <w:szCs w:val="28"/>
              </w:rPr>
              <w:t>，</w:t>
            </w:r>
            <w:r>
              <w:rPr>
                <w:rFonts w:hint="eastAsia" w:ascii="Times New Roman" w:hAnsi="Times New Roman" w:eastAsia="宋体" w:cs="Times New Roman"/>
                <w:color w:val="auto"/>
                <w:sz w:val="28"/>
                <w:szCs w:val="28"/>
                <w:lang w:val="en-US" w:eastAsia="zh-CN"/>
              </w:rPr>
              <w:t>基本</w:t>
            </w:r>
            <w:r>
              <w:rPr>
                <w:rFonts w:ascii="Times New Roman" w:hAnsi="Times New Roman" w:eastAsia="宋体" w:cs="Times New Roman"/>
                <w:color w:val="auto"/>
                <w:sz w:val="28"/>
                <w:szCs w:val="28"/>
              </w:rPr>
              <w:t>落实了相关要求。</w:t>
            </w:r>
          </w:p>
        </w:tc>
      </w:tr>
      <w:tr w14:paraId="79FB9B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493DD335">
            <w:pPr>
              <w:numPr>
                <w:ilvl w:val="0"/>
                <w:numId w:val="1"/>
              </w:numPr>
              <w:tabs>
                <w:tab w:val="left" w:pos="1260"/>
              </w:tabs>
              <w:overflowPunct w:val="0"/>
              <w:ind w:firstLine="17"/>
              <w:jc w:val="center"/>
              <w:rPr>
                <w:rFonts w:ascii="Times New Roman" w:hAnsi="Times New Roman" w:eastAsia="宋体" w:cs="Times New Roman"/>
                <w:color w:val="auto"/>
                <w:sz w:val="28"/>
                <w:szCs w:val="28"/>
              </w:rPr>
            </w:pPr>
          </w:p>
        </w:tc>
        <w:tc>
          <w:tcPr>
            <w:tcW w:w="2148" w:type="pct"/>
            <w:vAlign w:val="center"/>
          </w:tcPr>
          <w:p w14:paraId="5BE14B54">
            <w:pPr>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生产经营单位必须依法参加工伤保险，为从业人员缴纳保险费。</w:t>
            </w:r>
          </w:p>
        </w:tc>
        <w:tc>
          <w:tcPr>
            <w:tcW w:w="995" w:type="pct"/>
            <w:vAlign w:val="center"/>
          </w:tcPr>
          <w:p w14:paraId="610D54F2">
            <w:pPr>
              <w:jc w:val="center"/>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《中华人民共和国安全生产法》第五十一条</w:t>
            </w:r>
          </w:p>
        </w:tc>
        <w:tc>
          <w:tcPr>
            <w:tcW w:w="1564" w:type="pct"/>
            <w:vAlign w:val="center"/>
          </w:tcPr>
          <w:p w14:paraId="16027314">
            <w:pPr>
              <w:overflowPunct w:val="0"/>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lang w:eastAsia="zh-CN"/>
              </w:rPr>
              <w:t>南天汇通公司</w:t>
            </w:r>
            <w:r>
              <w:rPr>
                <w:rFonts w:hint="eastAsia" w:ascii="Times New Roman" w:hAnsi="Times New Roman" w:eastAsia="宋体" w:cs="Times New Roman"/>
                <w:color w:val="auto"/>
                <w:sz w:val="28"/>
                <w:szCs w:val="28"/>
                <w:lang w:val="en-US" w:eastAsia="zh-CN"/>
              </w:rPr>
              <w:t>未提供相关资料</w:t>
            </w:r>
            <w:r>
              <w:rPr>
                <w:rFonts w:ascii="Times New Roman" w:hAnsi="Times New Roman" w:eastAsia="宋体" w:cs="Times New Roman"/>
                <w:color w:val="auto"/>
                <w:sz w:val="28"/>
                <w:szCs w:val="28"/>
              </w:rPr>
              <w:t>。</w:t>
            </w:r>
          </w:p>
        </w:tc>
      </w:tr>
      <w:tr w14:paraId="647164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74E91D1B">
            <w:pPr>
              <w:numPr>
                <w:ilvl w:val="0"/>
                <w:numId w:val="1"/>
              </w:numPr>
              <w:tabs>
                <w:tab w:val="left" w:pos="1260"/>
              </w:tabs>
              <w:overflowPunct w:val="0"/>
              <w:ind w:firstLine="17"/>
              <w:jc w:val="center"/>
              <w:rPr>
                <w:rFonts w:ascii="Times New Roman" w:hAnsi="Times New Roman" w:eastAsia="宋体" w:cs="Times New Roman"/>
                <w:color w:val="auto"/>
                <w:sz w:val="28"/>
                <w:szCs w:val="28"/>
              </w:rPr>
            </w:pPr>
          </w:p>
        </w:tc>
        <w:tc>
          <w:tcPr>
            <w:tcW w:w="2148" w:type="pct"/>
            <w:vAlign w:val="center"/>
          </w:tcPr>
          <w:p w14:paraId="00AD46F2">
            <w:pPr>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生产经营单位应当制定本单位生产安全事故应急救援预案，与所在地县级以上地方人民政府组织制定的生产安全事故应急救援预案相衔接，并定期组织演练。</w:t>
            </w:r>
          </w:p>
        </w:tc>
        <w:tc>
          <w:tcPr>
            <w:tcW w:w="995" w:type="pct"/>
            <w:vAlign w:val="center"/>
          </w:tcPr>
          <w:p w14:paraId="2601C80A">
            <w:pPr>
              <w:jc w:val="center"/>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《中华人民共和国安全生产法》第八十一条</w:t>
            </w:r>
          </w:p>
        </w:tc>
        <w:tc>
          <w:tcPr>
            <w:tcW w:w="1564" w:type="pct"/>
            <w:shd w:val="clear" w:color="auto" w:fill="auto"/>
            <w:vAlign w:val="center"/>
          </w:tcPr>
          <w:p w14:paraId="43C083FD">
            <w:pPr>
              <w:rPr>
                <w:rFonts w:hint="default"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sz w:val="28"/>
                <w:szCs w:val="28"/>
                <w:lang w:eastAsia="zh-CN"/>
              </w:rPr>
              <w:t>南天汇通公司</w:t>
            </w:r>
            <w:r>
              <w:rPr>
                <w:rFonts w:ascii="Times New Roman" w:hAnsi="Times New Roman" w:eastAsia="宋体" w:cs="Times New Roman"/>
                <w:color w:val="auto"/>
                <w:sz w:val="28"/>
                <w:szCs w:val="28"/>
              </w:rPr>
              <w:t>提供</w:t>
            </w:r>
            <w:r>
              <w:rPr>
                <w:rFonts w:hint="eastAsia" w:ascii="宋体" w:hAnsi="宋体" w:eastAsia="宋体"/>
                <w:color w:val="auto"/>
                <w:sz w:val="28"/>
                <w:szCs w:val="32"/>
                <w:lang w:val="en-US" w:eastAsia="zh-CN"/>
              </w:rPr>
              <w:t>生产安全事故报告调查处理制度、安全事故的预防监控措施和应急预案、</w:t>
            </w:r>
            <w:r>
              <w:rPr>
                <w:rFonts w:hint="eastAsia" w:ascii="宋体" w:hAnsi="宋体" w:eastAsia="宋体"/>
                <w:color w:val="auto"/>
                <w:sz w:val="28"/>
                <w:szCs w:val="28"/>
                <w:lang w:val="en-US" w:eastAsia="zh-CN"/>
              </w:rPr>
              <w:t>分包工程</w:t>
            </w:r>
            <w:r>
              <w:rPr>
                <w:rFonts w:hint="eastAsia" w:ascii="宋体" w:hAnsi="宋体" w:eastAsia="宋体"/>
                <w:color w:val="auto"/>
                <w:sz w:val="28"/>
                <w:szCs w:val="28"/>
                <w:lang w:eastAsia="zh-CN"/>
              </w:rPr>
              <w:t>事故处理应急预案及响应组织措施、项目现场各类事故处置措施</w:t>
            </w:r>
            <w:r>
              <w:rPr>
                <w:rFonts w:hint="eastAsia" w:ascii="Times New Roman" w:hAnsi="Times New Roman" w:eastAsia="宋体" w:cs="Times New Roman"/>
                <w:color w:val="auto"/>
                <w:sz w:val="28"/>
                <w:szCs w:val="28"/>
                <w:lang w:val="en-US" w:eastAsia="zh-CN"/>
              </w:rPr>
              <w:t>等文件</w:t>
            </w:r>
            <w:r>
              <w:rPr>
                <w:rFonts w:ascii="Times New Roman" w:hAnsi="Times New Roman" w:eastAsia="宋体" w:cs="Times New Roman"/>
                <w:color w:val="auto"/>
                <w:sz w:val="28"/>
                <w:szCs w:val="28"/>
              </w:rPr>
              <w:t>，</w:t>
            </w:r>
            <w:r>
              <w:rPr>
                <w:rFonts w:hint="eastAsia" w:ascii="Times New Roman" w:hAnsi="Times New Roman" w:eastAsia="宋体" w:cs="Times New Roman"/>
                <w:color w:val="auto"/>
                <w:sz w:val="28"/>
                <w:szCs w:val="28"/>
                <w:lang w:val="en-US" w:eastAsia="zh-CN"/>
              </w:rPr>
              <w:t>提供了一份演练方案但未见相关演练记录。</w:t>
            </w:r>
          </w:p>
        </w:tc>
      </w:tr>
      <w:tr w14:paraId="635495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2DDDA9FC">
            <w:pPr>
              <w:numPr>
                <w:ilvl w:val="0"/>
                <w:numId w:val="1"/>
              </w:numPr>
              <w:tabs>
                <w:tab w:val="left" w:pos="1260"/>
              </w:tabs>
              <w:overflowPunct w:val="0"/>
              <w:ind w:firstLine="17"/>
              <w:jc w:val="center"/>
              <w:rPr>
                <w:rFonts w:ascii="Times New Roman" w:hAnsi="Times New Roman" w:eastAsia="宋体" w:cs="Times New Roman"/>
                <w:color w:val="auto"/>
                <w:sz w:val="28"/>
                <w:szCs w:val="28"/>
              </w:rPr>
            </w:pPr>
          </w:p>
        </w:tc>
        <w:tc>
          <w:tcPr>
            <w:tcW w:w="2148" w:type="pct"/>
            <w:vAlign w:val="center"/>
          </w:tcPr>
          <w:p w14:paraId="57C4BE5A">
            <w:pPr>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生产经营单位发生生产安全事故后，事故现场有关人员应当立即报告本单位负责人。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w:t>
            </w:r>
          </w:p>
        </w:tc>
        <w:tc>
          <w:tcPr>
            <w:tcW w:w="995" w:type="pct"/>
            <w:vAlign w:val="center"/>
          </w:tcPr>
          <w:p w14:paraId="26207FD1">
            <w:pPr>
              <w:jc w:val="center"/>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《中华人民共和国安全生产法》第八十三条</w:t>
            </w:r>
          </w:p>
        </w:tc>
        <w:tc>
          <w:tcPr>
            <w:tcW w:w="1564" w:type="pct"/>
            <w:vAlign w:val="center"/>
          </w:tcPr>
          <w:p w14:paraId="224DCACB">
            <w:pPr>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lang w:eastAsia="zh-CN"/>
              </w:rPr>
              <w:t>南天汇通公司</w:t>
            </w:r>
            <w:r>
              <w:rPr>
                <w:rFonts w:ascii="Times New Roman" w:hAnsi="Times New Roman" w:eastAsia="宋体" w:cs="Times New Roman"/>
                <w:color w:val="auto"/>
                <w:sz w:val="28"/>
                <w:szCs w:val="28"/>
              </w:rPr>
              <w:t>提供</w:t>
            </w:r>
            <w:r>
              <w:rPr>
                <w:rFonts w:hint="eastAsia" w:ascii="Times New Roman" w:hAnsi="Times New Roman" w:eastAsia="宋体" w:cs="Times New Roman"/>
                <w:color w:val="auto"/>
                <w:sz w:val="28"/>
                <w:szCs w:val="28"/>
              </w:rPr>
              <w:t>安全生产事故报告及处理制度</w:t>
            </w:r>
            <w:r>
              <w:rPr>
                <w:rFonts w:hint="eastAsia" w:ascii="Times New Roman" w:hAnsi="Times New Roman" w:eastAsia="宋体" w:cs="Times New Roman"/>
                <w:color w:val="auto"/>
                <w:sz w:val="28"/>
                <w:szCs w:val="28"/>
                <w:lang w:val="en-US" w:eastAsia="zh-CN"/>
              </w:rPr>
              <w:t>和</w:t>
            </w:r>
            <w:r>
              <w:rPr>
                <w:rFonts w:hint="eastAsia" w:ascii="Times New Roman" w:hAnsi="Times New Roman" w:eastAsia="宋体" w:cs="Times New Roman"/>
                <w:color w:val="auto"/>
                <w:sz w:val="28"/>
                <w:szCs w:val="28"/>
              </w:rPr>
              <w:t>生产安全事故应急救援预案</w:t>
            </w:r>
            <w:r>
              <w:rPr>
                <w:rFonts w:hint="eastAsia" w:ascii="Times New Roman" w:hAnsi="Times New Roman" w:eastAsia="宋体" w:cs="Times New Roman"/>
                <w:color w:val="auto"/>
                <w:sz w:val="28"/>
                <w:szCs w:val="28"/>
                <w:lang w:val="en-US" w:eastAsia="zh-CN"/>
              </w:rPr>
              <w:t>等文件</w:t>
            </w:r>
            <w:r>
              <w:rPr>
                <w:rFonts w:ascii="Times New Roman" w:hAnsi="Times New Roman" w:eastAsia="宋体" w:cs="Times New Roman"/>
                <w:color w:val="auto"/>
                <w:sz w:val="28"/>
                <w:szCs w:val="28"/>
              </w:rPr>
              <w:t>，</w:t>
            </w:r>
            <w:r>
              <w:rPr>
                <w:rFonts w:hint="eastAsia" w:ascii="Times New Roman" w:hAnsi="Times New Roman" w:eastAsia="宋体" w:cs="Times New Roman"/>
                <w:color w:val="auto"/>
                <w:sz w:val="28"/>
                <w:szCs w:val="28"/>
                <w:lang w:val="en-US" w:eastAsia="zh-CN"/>
              </w:rPr>
              <w:t>基本</w:t>
            </w:r>
            <w:r>
              <w:rPr>
                <w:rFonts w:ascii="Times New Roman" w:hAnsi="Times New Roman" w:eastAsia="宋体" w:cs="Times New Roman"/>
                <w:color w:val="auto"/>
                <w:sz w:val="28"/>
                <w:szCs w:val="28"/>
              </w:rPr>
              <w:t>落实了相关要求。</w:t>
            </w:r>
          </w:p>
        </w:tc>
      </w:tr>
      <w:tr w14:paraId="35D6CE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BC5E538">
            <w:pPr>
              <w:numPr>
                <w:ilvl w:val="0"/>
                <w:numId w:val="1"/>
              </w:numPr>
              <w:tabs>
                <w:tab w:val="left" w:pos="1260"/>
              </w:tabs>
              <w:overflowPunct w:val="0"/>
              <w:ind w:firstLine="17"/>
              <w:jc w:val="center"/>
              <w:rPr>
                <w:rFonts w:ascii="Times New Roman" w:hAnsi="Times New Roman" w:eastAsia="宋体" w:cs="Times New Roman"/>
                <w:color w:val="auto"/>
                <w:sz w:val="28"/>
                <w:szCs w:val="28"/>
              </w:rPr>
            </w:pPr>
          </w:p>
        </w:tc>
        <w:tc>
          <w:tcPr>
            <w:tcW w:w="2148" w:type="pct"/>
            <w:vAlign w:val="center"/>
          </w:tcPr>
          <w:p w14:paraId="02F888AD">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施工单位从事建设工程的新建、扩建、改建和拆除等活动，应当具备国家规定的注册资本、专业技术人员、技术装备和安全生产等条件，依法取得相应等级的资质证书，并在其资质等级许可的范围内承揽工程。</w:t>
            </w:r>
          </w:p>
        </w:tc>
        <w:tc>
          <w:tcPr>
            <w:tcW w:w="995" w:type="pct"/>
            <w:vAlign w:val="center"/>
          </w:tcPr>
          <w:p w14:paraId="4CA2862B">
            <w:pPr>
              <w:overflowPunct w:val="0"/>
              <w:jc w:val="center"/>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《建设工程安全生产管理条例》第二十条</w:t>
            </w:r>
          </w:p>
        </w:tc>
        <w:tc>
          <w:tcPr>
            <w:tcW w:w="1564" w:type="pct"/>
            <w:vAlign w:val="center"/>
          </w:tcPr>
          <w:p w14:paraId="01B15141">
            <w:pPr>
              <w:overflowPunct w:val="0"/>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lang w:eastAsia="zh-CN"/>
              </w:rPr>
              <w:t>南天汇通公司</w:t>
            </w:r>
            <w:r>
              <w:rPr>
                <w:rFonts w:ascii="Times New Roman" w:hAnsi="Times New Roman" w:eastAsia="宋体" w:cs="Times New Roman"/>
                <w:color w:val="auto"/>
                <w:sz w:val="28"/>
                <w:szCs w:val="28"/>
              </w:rPr>
              <w:t>提供</w:t>
            </w:r>
            <w:r>
              <w:rPr>
                <w:rFonts w:hint="eastAsia" w:ascii="Times New Roman" w:hAnsi="Times New Roman" w:eastAsia="宋体" w:cs="Times New Roman"/>
                <w:color w:val="auto"/>
                <w:sz w:val="28"/>
                <w:szCs w:val="28"/>
              </w:rPr>
              <w:t>了建筑企业资质证书和安全生产许可证</w:t>
            </w:r>
            <w:r>
              <w:rPr>
                <w:rFonts w:hint="eastAsia" w:ascii="Times New Roman" w:hAnsi="Times New Roman" w:eastAsia="宋体" w:cs="Times New Roman"/>
                <w:color w:val="auto"/>
                <w:sz w:val="28"/>
                <w:szCs w:val="28"/>
                <w:lang w:eastAsia="zh-CN"/>
              </w:rPr>
              <w:t>，</w:t>
            </w:r>
            <w:r>
              <w:rPr>
                <w:rFonts w:ascii="Times New Roman" w:hAnsi="Times New Roman" w:eastAsia="宋体" w:cs="Times New Roman"/>
                <w:color w:val="auto"/>
                <w:sz w:val="28"/>
                <w:szCs w:val="28"/>
              </w:rPr>
              <w:t>落实了相关要求。</w:t>
            </w:r>
          </w:p>
        </w:tc>
      </w:tr>
      <w:tr w14:paraId="373BFB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3E3850E0">
            <w:pPr>
              <w:numPr>
                <w:ilvl w:val="0"/>
                <w:numId w:val="1"/>
              </w:numPr>
              <w:tabs>
                <w:tab w:val="left" w:pos="1260"/>
              </w:tabs>
              <w:overflowPunct w:val="0"/>
              <w:ind w:firstLine="17"/>
              <w:jc w:val="center"/>
              <w:rPr>
                <w:rFonts w:ascii="Times New Roman" w:hAnsi="Times New Roman" w:eastAsia="宋体" w:cs="Times New Roman"/>
                <w:color w:val="auto"/>
                <w:sz w:val="28"/>
                <w:szCs w:val="28"/>
              </w:rPr>
            </w:pPr>
          </w:p>
        </w:tc>
        <w:tc>
          <w:tcPr>
            <w:tcW w:w="2148" w:type="pct"/>
            <w:vAlign w:val="center"/>
          </w:tcPr>
          <w:p w14:paraId="2E2558E5">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施工单位主要负责人依法对本单位的安全生产工作全面负责。施工单位应当建立健全安全生产责任制度和安全生产教育培训制度，制定安全生产规章制度和操作规程，保证本单位安全生产条件所需资金的投入，对所承担的建设工程进行定期和专项安全检查，并做好安全检查记录。</w:t>
            </w:r>
          </w:p>
          <w:p w14:paraId="12FB22F1">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施工单位的项目负责人应当由取得相应执业资格的人员担任，对建设工程项目的安全施工负责，落实安全生产责任制度、安全生产规章制度和操作规程，确保安全生产费用的有效使用，并根据工程的特点组织制定安全施工措施，消除安全事故隐患，及时、如实报告生产安全事故。</w:t>
            </w:r>
          </w:p>
        </w:tc>
        <w:tc>
          <w:tcPr>
            <w:tcW w:w="995" w:type="pct"/>
            <w:vAlign w:val="center"/>
          </w:tcPr>
          <w:p w14:paraId="69929C07">
            <w:pPr>
              <w:overflowPunct w:val="0"/>
              <w:jc w:val="center"/>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《建设工程安全生产管理条例》第二十一条</w:t>
            </w:r>
          </w:p>
        </w:tc>
        <w:tc>
          <w:tcPr>
            <w:tcW w:w="1564" w:type="pct"/>
            <w:vAlign w:val="center"/>
          </w:tcPr>
          <w:p w14:paraId="630AE96D">
            <w:pPr>
              <w:overflowPunct w:val="0"/>
            </w:pPr>
            <w:r>
              <w:rPr>
                <w:rFonts w:hint="eastAsia" w:ascii="Times New Roman" w:hAnsi="Times New Roman" w:eastAsia="宋体" w:cs="Times New Roman"/>
                <w:color w:val="auto"/>
                <w:sz w:val="28"/>
                <w:szCs w:val="28"/>
                <w:lang w:eastAsia="zh-CN"/>
              </w:rPr>
              <w:t>南天汇通公司</w:t>
            </w:r>
            <w:r>
              <w:rPr>
                <w:rFonts w:ascii="Times New Roman" w:hAnsi="Times New Roman" w:eastAsia="宋体" w:cs="Times New Roman"/>
                <w:color w:val="auto"/>
                <w:sz w:val="28"/>
                <w:szCs w:val="28"/>
              </w:rPr>
              <w:t>提供</w:t>
            </w:r>
            <w:r>
              <w:rPr>
                <w:rFonts w:hint="eastAsia" w:ascii="Times New Roman" w:hAnsi="Times New Roman" w:eastAsia="宋体" w:cs="Times New Roman"/>
                <w:color w:val="auto"/>
                <w:sz w:val="28"/>
                <w:szCs w:val="28"/>
              </w:rPr>
              <w:t>了</w:t>
            </w:r>
            <w:r>
              <w:rPr>
                <w:rFonts w:hint="eastAsia" w:ascii="Times New Roman" w:hAnsi="Times New Roman" w:eastAsia="宋体" w:cs="Times New Roman"/>
                <w:color w:val="auto"/>
                <w:sz w:val="28"/>
                <w:szCs w:val="28"/>
                <w:lang w:val="en-US" w:eastAsia="zh-CN"/>
              </w:rPr>
              <w:t>各项生产安全制度、安全操作规程</w:t>
            </w:r>
            <w:r>
              <w:rPr>
                <w:rFonts w:hint="eastAsia" w:ascii="Times New Roman" w:hAnsi="Times New Roman" w:eastAsia="宋体" w:cs="Times New Roman"/>
                <w:color w:val="auto"/>
                <w:sz w:val="28"/>
                <w:szCs w:val="28"/>
              </w:rPr>
              <w:t>和</w:t>
            </w:r>
            <w:r>
              <w:rPr>
                <w:rFonts w:hint="eastAsia" w:ascii="宋体" w:hAnsi="宋体" w:eastAsia="宋体"/>
                <w:color w:val="auto"/>
                <w:sz w:val="28"/>
                <w:szCs w:val="32"/>
                <w:lang w:val="en-US" w:eastAsia="zh-CN"/>
              </w:rPr>
              <w:t>职业病危害防治措施、</w:t>
            </w:r>
            <w:r>
              <w:rPr>
                <w:rFonts w:hint="eastAsia" w:ascii="Times New Roman" w:hAnsi="Times New Roman" w:eastAsia="宋体" w:cs="Times New Roman"/>
                <w:color w:val="auto"/>
                <w:sz w:val="28"/>
                <w:szCs w:val="28"/>
                <w:lang w:val="en-US" w:eastAsia="zh-CN"/>
              </w:rPr>
              <w:t>职业病危害防治措施、重大危险源控制措施、高处作业防护措施、非开挖作业控制措施、拆除作业控制措施和应急预案</w:t>
            </w:r>
            <w:r>
              <w:rPr>
                <w:rFonts w:ascii="Times New Roman" w:hAnsi="Times New Roman" w:eastAsia="宋体" w:cs="Times New Roman"/>
                <w:color w:val="auto"/>
                <w:sz w:val="28"/>
                <w:szCs w:val="28"/>
              </w:rPr>
              <w:t>，</w:t>
            </w:r>
            <w:r>
              <w:rPr>
                <w:rFonts w:hint="eastAsia" w:ascii="宋体" w:hAnsi="宋体" w:eastAsia="宋体"/>
                <w:color w:val="auto"/>
                <w:sz w:val="28"/>
                <w:szCs w:val="28"/>
                <w:lang w:eastAsia="zh-CN"/>
              </w:rPr>
              <w:t>劳保用品发放记录、安全管理人员证书、项目现场各类事故处置措施</w:t>
            </w:r>
            <w:r>
              <w:rPr>
                <w:rFonts w:hint="eastAsia" w:ascii="Times New Roman" w:hAnsi="Times New Roman" w:eastAsia="宋体" w:cs="Times New Roman"/>
                <w:color w:val="auto"/>
                <w:sz w:val="28"/>
                <w:szCs w:val="28"/>
                <w:lang w:val="en-US" w:eastAsia="zh-CN"/>
              </w:rPr>
              <w:t>等文件记录，基本</w:t>
            </w:r>
            <w:r>
              <w:rPr>
                <w:rFonts w:ascii="Times New Roman" w:hAnsi="Times New Roman" w:eastAsia="宋体" w:cs="Times New Roman"/>
                <w:color w:val="auto"/>
                <w:sz w:val="28"/>
                <w:szCs w:val="28"/>
              </w:rPr>
              <w:t>落实了相关要求。</w:t>
            </w:r>
          </w:p>
        </w:tc>
      </w:tr>
      <w:tr w14:paraId="1F33BF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2BCD3C8E">
            <w:pPr>
              <w:numPr>
                <w:ilvl w:val="0"/>
                <w:numId w:val="1"/>
              </w:numPr>
              <w:tabs>
                <w:tab w:val="left" w:pos="1260"/>
              </w:tabs>
              <w:overflowPunct w:val="0"/>
              <w:ind w:firstLine="17"/>
              <w:jc w:val="center"/>
              <w:rPr>
                <w:rFonts w:ascii="Times New Roman" w:hAnsi="Times New Roman" w:eastAsia="宋体" w:cs="Times New Roman"/>
                <w:color w:val="auto"/>
                <w:sz w:val="28"/>
                <w:szCs w:val="28"/>
              </w:rPr>
            </w:pPr>
          </w:p>
        </w:tc>
        <w:tc>
          <w:tcPr>
            <w:tcW w:w="2148" w:type="pct"/>
            <w:vAlign w:val="center"/>
          </w:tcPr>
          <w:p w14:paraId="365F2652">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施工单位对列入建设工程概算的安全作业环境及安全施工措施所需费用，应当用于施工安全防护用具及设施的采购和更新、安全施工措施的落实、安全生产条件的改善，不得挪作他用。</w:t>
            </w:r>
          </w:p>
        </w:tc>
        <w:tc>
          <w:tcPr>
            <w:tcW w:w="995" w:type="pct"/>
            <w:vAlign w:val="center"/>
          </w:tcPr>
          <w:p w14:paraId="14E5325F">
            <w:pPr>
              <w:overflowPunct w:val="0"/>
              <w:jc w:val="center"/>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《建设工程安全生产管理条例》第二十二条</w:t>
            </w:r>
          </w:p>
        </w:tc>
        <w:tc>
          <w:tcPr>
            <w:tcW w:w="1564" w:type="pct"/>
            <w:vAlign w:val="center"/>
          </w:tcPr>
          <w:p w14:paraId="64A7997A">
            <w:pPr>
              <w:overflowPunct w:val="0"/>
              <w:rPr>
                <w:rFonts w:ascii="Times New Roman" w:hAnsi="Times New Roman" w:eastAsia="宋体" w:cs="Times New Roman"/>
                <w:color w:val="FF0000"/>
                <w:sz w:val="28"/>
                <w:szCs w:val="28"/>
              </w:rPr>
            </w:pPr>
            <w:r>
              <w:rPr>
                <w:rFonts w:hint="eastAsia" w:ascii="Times New Roman" w:hAnsi="Times New Roman" w:eastAsia="宋体" w:cs="Times New Roman"/>
                <w:color w:val="auto"/>
                <w:sz w:val="28"/>
                <w:szCs w:val="28"/>
                <w:lang w:eastAsia="zh-CN"/>
              </w:rPr>
              <w:t>南天汇通公司</w:t>
            </w:r>
            <w:r>
              <w:rPr>
                <w:rFonts w:hint="eastAsia" w:ascii="Times New Roman" w:hAnsi="Times New Roman" w:eastAsia="宋体" w:cs="Times New Roman"/>
                <w:color w:val="auto"/>
                <w:sz w:val="28"/>
                <w:szCs w:val="28"/>
              </w:rPr>
              <w:t>提供了劳保用品发放记录</w:t>
            </w:r>
            <w:r>
              <w:rPr>
                <w:rFonts w:ascii="Times New Roman" w:hAnsi="Times New Roman" w:eastAsia="宋体" w:cs="Times New Roman"/>
                <w:color w:val="auto"/>
                <w:sz w:val="28"/>
                <w:szCs w:val="28"/>
              </w:rPr>
              <w:t>，</w:t>
            </w:r>
            <w:r>
              <w:rPr>
                <w:rFonts w:hint="eastAsia" w:ascii="Times New Roman" w:hAnsi="Times New Roman" w:eastAsia="宋体" w:cs="Times New Roman"/>
                <w:color w:val="auto"/>
                <w:sz w:val="28"/>
                <w:szCs w:val="28"/>
              </w:rPr>
              <w:t>其他支出未统一列明。</w:t>
            </w:r>
          </w:p>
        </w:tc>
      </w:tr>
      <w:tr w14:paraId="2716EA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2C467714">
            <w:pPr>
              <w:numPr>
                <w:ilvl w:val="0"/>
                <w:numId w:val="1"/>
              </w:numPr>
              <w:tabs>
                <w:tab w:val="left" w:pos="1260"/>
              </w:tabs>
              <w:overflowPunct w:val="0"/>
              <w:ind w:firstLine="17"/>
              <w:jc w:val="center"/>
              <w:rPr>
                <w:rFonts w:ascii="Times New Roman" w:hAnsi="Times New Roman" w:eastAsia="宋体" w:cs="Times New Roman"/>
                <w:color w:val="auto"/>
                <w:sz w:val="28"/>
                <w:szCs w:val="28"/>
              </w:rPr>
            </w:pPr>
          </w:p>
        </w:tc>
        <w:tc>
          <w:tcPr>
            <w:tcW w:w="2148" w:type="pct"/>
            <w:vAlign w:val="center"/>
          </w:tcPr>
          <w:p w14:paraId="77E52F11">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施工单位应当设立安全生产管理机构，配备专职安全生产管理人员。</w:t>
            </w:r>
          </w:p>
        </w:tc>
        <w:tc>
          <w:tcPr>
            <w:tcW w:w="995" w:type="pct"/>
            <w:vAlign w:val="center"/>
          </w:tcPr>
          <w:p w14:paraId="63C37606">
            <w:pPr>
              <w:overflowPunct w:val="0"/>
              <w:jc w:val="center"/>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《建设工程安全生产管理条例》第二十三条</w:t>
            </w:r>
          </w:p>
        </w:tc>
        <w:tc>
          <w:tcPr>
            <w:tcW w:w="1564" w:type="pct"/>
            <w:vAlign w:val="center"/>
          </w:tcPr>
          <w:p w14:paraId="567C74C2">
            <w:pPr>
              <w:overflowPunct w:val="0"/>
              <w:rPr>
                <w:rFonts w:ascii="Times New Roman" w:hAnsi="Times New Roman" w:eastAsia="宋体" w:cs="Times New Roman"/>
                <w:color w:val="FF0000"/>
                <w:sz w:val="28"/>
                <w:szCs w:val="28"/>
              </w:rPr>
            </w:pPr>
            <w:r>
              <w:rPr>
                <w:rFonts w:hint="eastAsia" w:ascii="Times New Roman" w:hAnsi="Times New Roman" w:eastAsia="宋体" w:cs="Times New Roman"/>
                <w:color w:val="auto"/>
                <w:sz w:val="28"/>
                <w:szCs w:val="28"/>
                <w:lang w:eastAsia="zh-CN"/>
              </w:rPr>
              <w:t>南天汇通公司</w:t>
            </w:r>
            <w:r>
              <w:rPr>
                <w:rFonts w:ascii="Times New Roman" w:hAnsi="Times New Roman" w:eastAsia="宋体" w:cs="Times New Roman"/>
                <w:color w:val="auto"/>
                <w:sz w:val="28"/>
                <w:szCs w:val="28"/>
              </w:rPr>
              <w:t>提供</w:t>
            </w:r>
            <w:r>
              <w:rPr>
                <w:rFonts w:hint="eastAsia" w:ascii="Times New Roman" w:hAnsi="Times New Roman" w:eastAsia="宋体" w:cs="Times New Roman"/>
                <w:color w:val="auto"/>
                <w:sz w:val="28"/>
                <w:szCs w:val="28"/>
              </w:rPr>
              <w:t>了项目的</w:t>
            </w:r>
            <w:r>
              <w:rPr>
                <w:rFonts w:hint="eastAsia" w:ascii="Times New Roman" w:hAnsi="Times New Roman" w:eastAsia="宋体" w:cs="Times New Roman"/>
                <w:color w:val="auto"/>
                <w:sz w:val="28"/>
                <w:szCs w:val="28"/>
                <w:lang w:val="en-US" w:eastAsia="zh-CN"/>
              </w:rPr>
              <w:t>1</w:t>
            </w:r>
            <w:r>
              <w:rPr>
                <w:rFonts w:hint="eastAsia" w:ascii="Times New Roman" w:hAnsi="Times New Roman" w:eastAsia="宋体" w:cs="Times New Roman"/>
                <w:color w:val="auto"/>
                <w:sz w:val="28"/>
                <w:szCs w:val="28"/>
              </w:rPr>
              <w:t>名专职安全管理人员证书</w:t>
            </w:r>
            <w:r>
              <w:rPr>
                <w:rFonts w:ascii="Times New Roman" w:hAnsi="Times New Roman" w:eastAsia="宋体" w:cs="Times New Roman"/>
                <w:color w:val="auto"/>
                <w:sz w:val="28"/>
                <w:szCs w:val="28"/>
              </w:rPr>
              <w:t>，落实了相关要求。</w:t>
            </w:r>
          </w:p>
        </w:tc>
      </w:tr>
      <w:tr w14:paraId="1770FA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765D5949">
            <w:pPr>
              <w:numPr>
                <w:ilvl w:val="0"/>
                <w:numId w:val="1"/>
              </w:numPr>
              <w:tabs>
                <w:tab w:val="left" w:pos="1260"/>
              </w:tabs>
              <w:overflowPunct w:val="0"/>
              <w:ind w:firstLine="17"/>
              <w:jc w:val="center"/>
              <w:rPr>
                <w:rFonts w:ascii="Times New Roman" w:hAnsi="Times New Roman" w:eastAsia="宋体" w:cs="Times New Roman"/>
                <w:color w:val="auto"/>
                <w:sz w:val="28"/>
                <w:szCs w:val="28"/>
              </w:rPr>
            </w:pPr>
          </w:p>
        </w:tc>
        <w:tc>
          <w:tcPr>
            <w:tcW w:w="2148" w:type="pct"/>
            <w:vAlign w:val="center"/>
          </w:tcPr>
          <w:p w14:paraId="3CFF36C9">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建设工程实行施工总承包的，由总承包单位对施工现场的安全生产负总责。</w:t>
            </w:r>
          </w:p>
          <w:p w14:paraId="32A487FD">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总承包单位依法将建设工程分包给其他单位的，分包合同中应当明确各自的安全生产方面的权利、义务。</w:t>
            </w:r>
          </w:p>
          <w:p w14:paraId="6B13849B">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总承包单位和分包单位对分包工程的安全生产。</w:t>
            </w:r>
          </w:p>
        </w:tc>
        <w:tc>
          <w:tcPr>
            <w:tcW w:w="995" w:type="pct"/>
            <w:vAlign w:val="center"/>
          </w:tcPr>
          <w:p w14:paraId="4364F067">
            <w:pPr>
              <w:overflowPunct w:val="0"/>
              <w:jc w:val="center"/>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《建设工程安全生产管理条例》第二十四条</w:t>
            </w:r>
          </w:p>
        </w:tc>
        <w:tc>
          <w:tcPr>
            <w:tcW w:w="1564" w:type="pct"/>
            <w:vAlign w:val="center"/>
          </w:tcPr>
          <w:p w14:paraId="0640BACD">
            <w:pPr>
              <w:overflowPunct w:val="0"/>
              <w:rPr>
                <w:rFonts w:hint="default"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8"/>
                <w:lang w:eastAsia="zh-CN"/>
              </w:rPr>
              <w:t>南天汇通公司</w:t>
            </w:r>
            <w:r>
              <w:rPr>
                <w:rFonts w:hint="eastAsia" w:ascii="Times New Roman" w:hAnsi="Times New Roman" w:eastAsia="宋体" w:cs="Times New Roman"/>
                <w:color w:val="auto"/>
                <w:sz w:val="28"/>
                <w:szCs w:val="28"/>
                <w:lang w:val="en-US" w:eastAsia="zh-CN"/>
              </w:rPr>
              <w:t>提供了相关协议，基本落实了相关要求。</w:t>
            </w:r>
          </w:p>
        </w:tc>
      </w:tr>
      <w:tr w14:paraId="2ADB79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71A03D62">
            <w:pPr>
              <w:numPr>
                <w:ilvl w:val="0"/>
                <w:numId w:val="1"/>
              </w:numPr>
              <w:tabs>
                <w:tab w:val="left" w:pos="1260"/>
              </w:tabs>
              <w:overflowPunct w:val="0"/>
              <w:ind w:firstLine="17"/>
              <w:jc w:val="center"/>
              <w:rPr>
                <w:rFonts w:ascii="Times New Roman" w:hAnsi="Times New Roman" w:eastAsia="宋体" w:cs="Times New Roman"/>
                <w:color w:val="auto"/>
                <w:sz w:val="28"/>
                <w:szCs w:val="28"/>
              </w:rPr>
            </w:pPr>
          </w:p>
        </w:tc>
        <w:tc>
          <w:tcPr>
            <w:tcW w:w="2148" w:type="pct"/>
            <w:vAlign w:val="center"/>
          </w:tcPr>
          <w:p w14:paraId="00FC814E">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垂直运输机械作业人员、安装拆卸工、爆破作业人员、起重信号工、登高架设作业人员等特种作业人员，必须按照国家有关规定经过专门的安全作业培训，并取得特种作业操作资格证书后，方可上岗作业。</w:t>
            </w:r>
          </w:p>
        </w:tc>
        <w:tc>
          <w:tcPr>
            <w:tcW w:w="995" w:type="pct"/>
            <w:vAlign w:val="center"/>
          </w:tcPr>
          <w:p w14:paraId="7D986FB8">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《建设工程安全生产管理条例》第二十五条</w:t>
            </w:r>
          </w:p>
        </w:tc>
        <w:tc>
          <w:tcPr>
            <w:tcW w:w="1564" w:type="pct"/>
            <w:vAlign w:val="center"/>
          </w:tcPr>
          <w:p w14:paraId="5FC81A99">
            <w:pPr>
              <w:overflowPunct w:val="0"/>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lang w:eastAsia="zh-CN"/>
              </w:rPr>
              <w:t>南天汇通公司</w:t>
            </w:r>
            <w:r>
              <w:rPr>
                <w:rFonts w:hint="eastAsia" w:ascii="Times New Roman" w:hAnsi="Times New Roman" w:eastAsia="宋体" w:cs="Times New Roman"/>
                <w:color w:val="auto"/>
                <w:sz w:val="28"/>
                <w:szCs w:val="28"/>
                <w:lang w:val="en-US" w:eastAsia="zh-CN"/>
              </w:rPr>
              <w:t>提供了</w:t>
            </w:r>
            <w:r>
              <w:rPr>
                <w:rFonts w:hint="eastAsia" w:ascii="Times New Roman" w:hAnsi="Times New Roman" w:eastAsia="宋体" w:cs="Times New Roman"/>
                <w:color w:val="auto"/>
                <w:sz w:val="28"/>
                <w:szCs w:val="28"/>
                <w:lang w:eastAsia="zh-CN"/>
              </w:rPr>
              <w:t>人员资质管理制度</w:t>
            </w:r>
            <w:r>
              <w:rPr>
                <w:rFonts w:hint="eastAsia" w:ascii="Times New Roman" w:hAnsi="Times New Roman" w:eastAsia="宋体" w:cs="Times New Roman"/>
                <w:color w:val="auto"/>
                <w:sz w:val="28"/>
                <w:szCs w:val="28"/>
                <w:lang w:val="en-US" w:eastAsia="zh-CN"/>
              </w:rPr>
              <w:t>和1份专职安全管理人员证书，但未见及人员清单</w:t>
            </w:r>
            <w:r>
              <w:rPr>
                <w:rFonts w:hint="eastAsia" w:ascii="Times New Roman" w:hAnsi="Times New Roman" w:eastAsia="宋体" w:cs="Times New Roman"/>
                <w:color w:val="auto"/>
                <w:sz w:val="28"/>
                <w:szCs w:val="28"/>
              </w:rPr>
              <w:t>。</w:t>
            </w:r>
          </w:p>
        </w:tc>
      </w:tr>
      <w:tr w14:paraId="380B17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C5230EE">
            <w:pPr>
              <w:numPr>
                <w:ilvl w:val="0"/>
                <w:numId w:val="1"/>
              </w:numPr>
              <w:tabs>
                <w:tab w:val="left" w:pos="1260"/>
              </w:tabs>
              <w:overflowPunct w:val="0"/>
              <w:ind w:firstLine="17"/>
              <w:jc w:val="center"/>
              <w:rPr>
                <w:rFonts w:ascii="Times New Roman" w:hAnsi="Times New Roman" w:eastAsia="宋体" w:cs="Times New Roman"/>
                <w:color w:val="auto"/>
                <w:sz w:val="28"/>
                <w:szCs w:val="28"/>
              </w:rPr>
            </w:pPr>
          </w:p>
        </w:tc>
        <w:tc>
          <w:tcPr>
            <w:tcW w:w="2148" w:type="pct"/>
            <w:vAlign w:val="center"/>
          </w:tcPr>
          <w:p w14:paraId="43167D33">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施工单位应当在施工组织设计中编制安全技术措施和施工现场临时用电方案，对下列达到一定规模的危险性较大的分部分项工程编制专项施工方案，并附具安全验算结果，经施工单位技术负责人、总监理工程师签字后实施，由专职安全生产管理人员进行现场监督：</w:t>
            </w:r>
          </w:p>
          <w:p w14:paraId="56843E53">
            <w:pPr>
              <w:overflowPunct w:val="0"/>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lang w:eastAsia="zh-CN"/>
              </w:rPr>
              <w:t>（</w:t>
            </w:r>
            <w:r>
              <w:rPr>
                <w:rFonts w:ascii="Times New Roman" w:hAnsi="Times New Roman" w:eastAsia="宋体" w:cs="Times New Roman"/>
                <w:color w:val="auto"/>
                <w:sz w:val="28"/>
                <w:szCs w:val="28"/>
              </w:rPr>
              <w:t>一</w:t>
            </w:r>
            <w:r>
              <w:rPr>
                <w:rFonts w:hint="eastAsia" w:ascii="Times New Roman" w:hAnsi="Times New Roman" w:eastAsia="宋体" w:cs="Times New Roman"/>
                <w:color w:val="auto"/>
                <w:sz w:val="28"/>
                <w:szCs w:val="28"/>
                <w:lang w:eastAsia="zh-CN"/>
              </w:rPr>
              <w:t>）</w:t>
            </w:r>
            <w:r>
              <w:rPr>
                <w:rFonts w:ascii="Times New Roman" w:hAnsi="Times New Roman" w:eastAsia="宋体" w:cs="Times New Roman"/>
                <w:color w:val="auto"/>
                <w:sz w:val="28"/>
                <w:szCs w:val="28"/>
              </w:rPr>
              <w:t>基坑支护与降水工程；</w:t>
            </w:r>
          </w:p>
          <w:p w14:paraId="45E99C69">
            <w:pPr>
              <w:overflowPunct w:val="0"/>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lang w:eastAsia="zh-CN"/>
              </w:rPr>
              <w:t>（</w:t>
            </w:r>
            <w:r>
              <w:rPr>
                <w:rFonts w:ascii="Times New Roman" w:hAnsi="Times New Roman" w:eastAsia="宋体" w:cs="Times New Roman"/>
                <w:color w:val="auto"/>
                <w:sz w:val="28"/>
                <w:szCs w:val="28"/>
              </w:rPr>
              <w:t>二</w:t>
            </w:r>
            <w:r>
              <w:rPr>
                <w:rFonts w:hint="eastAsia" w:ascii="Times New Roman" w:hAnsi="Times New Roman" w:eastAsia="宋体" w:cs="Times New Roman"/>
                <w:color w:val="auto"/>
                <w:sz w:val="28"/>
                <w:szCs w:val="28"/>
                <w:lang w:eastAsia="zh-CN"/>
              </w:rPr>
              <w:t>）</w:t>
            </w:r>
            <w:r>
              <w:rPr>
                <w:rFonts w:ascii="Times New Roman" w:hAnsi="Times New Roman" w:eastAsia="宋体" w:cs="Times New Roman"/>
                <w:color w:val="auto"/>
                <w:sz w:val="28"/>
                <w:szCs w:val="28"/>
              </w:rPr>
              <w:t>土方开挖工程；</w:t>
            </w:r>
          </w:p>
          <w:p w14:paraId="3E944054">
            <w:pPr>
              <w:overflowPunct w:val="0"/>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lang w:eastAsia="zh-CN"/>
              </w:rPr>
              <w:t>（</w:t>
            </w:r>
            <w:r>
              <w:rPr>
                <w:rFonts w:ascii="Times New Roman" w:hAnsi="Times New Roman" w:eastAsia="宋体" w:cs="Times New Roman"/>
                <w:color w:val="auto"/>
                <w:sz w:val="28"/>
                <w:szCs w:val="28"/>
              </w:rPr>
              <w:t>三</w:t>
            </w:r>
            <w:r>
              <w:rPr>
                <w:rFonts w:hint="eastAsia" w:ascii="Times New Roman" w:hAnsi="Times New Roman" w:eastAsia="宋体" w:cs="Times New Roman"/>
                <w:color w:val="auto"/>
                <w:sz w:val="28"/>
                <w:szCs w:val="28"/>
                <w:lang w:eastAsia="zh-CN"/>
              </w:rPr>
              <w:t>）</w:t>
            </w:r>
            <w:r>
              <w:rPr>
                <w:rFonts w:ascii="Times New Roman" w:hAnsi="Times New Roman" w:eastAsia="宋体" w:cs="Times New Roman"/>
                <w:color w:val="auto"/>
                <w:sz w:val="28"/>
                <w:szCs w:val="28"/>
              </w:rPr>
              <w:t>模板工程；</w:t>
            </w:r>
          </w:p>
          <w:p w14:paraId="02BCB30B">
            <w:pPr>
              <w:overflowPunct w:val="0"/>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lang w:eastAsia="zh-CN"/>
              </w:rPr>
              <w:t>（</w:t>
            </w:r>
            <w:r>
              <w:rPr>
                <w:rFonts w:ascii="Times New Roman" w:hAnsi="Times New Roman" w:eastAsia="宋体" w:cs="Times New Roman"/>
                <w:color w:val="auto"/>
                <w:sz w:val="28"/>
                <w:szCs w:val="28"/>
              </w:rPr>
              <w:t>四</w:t>
            </w:r>
            <w:r>
              <w:rPr>
                <w:rFonts w:hint="eastAsia" w:ascii="Times New Roman" w:hAnsi="Times New Roman" w:eastAsia="宋体" w:cs="Times New Roman"/>
                <w:color w:val="auto"/>
                <w:sz w:val="28"/>
                <w:szCs w:val="28"/>
                <w:lang w:eastAsia="zh-CN"/>
              </w:rPr>
              <w:t>）</w:t>
            </w:r>
            <w:r>
              <w:rPr>
                <w:rFonts w:ascii="Times New Roman" w:hAnsi="Times New Roman" w:eastAsia="宋体" w:cs="Times New Roman"/>
                <w:color w:val="auto"/>
                <w:sz w:val="28"/>
                <w:szCs w:val="28"/>
              </w:rPr>
              <w:t>起重吊装工程；</w:t>
            </w:r>
          </w:p>
          <w:p w14:paraId="6A56C209">
            <w:pPr>
              <w:overflowPunct w:val="0"/>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lang w:eastAsia="zh-CN"/>
              </w:rPr>
              <w:t>（</w:t>
            </w:r>
            <w:r>
              <w:rPr>
                <w:rFonts w:ascii="Times New Roman" w:hAnsi="Times New Roman" w:eastAsia="宋体" w:cs="Times New Roman"/>
                <w:color w:val="auto"/>
                <w:sz w:val="28"/>
                <w:szCs w:val="28"/>
              </w:rPr>
              <w:t>五</w:t>
            </w:r>
            <w:r>
              <w:rPr>
                <w:rFonts w:hint="eastAsia" w:ascii="Times New Roman" w:hAnsi="Times New Roman" w:eastAsia="宋体" w:cs="Times New Roman"/>
                <w:color w:val="auto"/>
                <w:sz w:val="28"/>
                <w:szCs w:val="28"/>
                <w:lang w:eastAsia="zh-CN"/>
              </w:rPr>
              <w:t>）</w:t>
            </w:r>
            <w:r>
              <w:rPr>
                <w:rFonts w:ascii="Times New Roman" w:hAnsi="Times New Roman" w:eastAsia="宋体" w:cs="Times New Roman"/>
                <w:color w:val="auto"/>
                <w:sz w:val="28"/>
                <w:szCs w:val="28"/>
              </w:rPr>
              <w:t>脚手架工程；</w:t>
            </w:r>
          </w:p>
          <w:p w14:paraId="21CE40E8">
            <w:pPr>
              <w:overflowPunct w:val="0"/>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lang w:eastAsia="zh-CN"/>
              </w:rPr>
              <w:t>（</w:t>
            </w:r>
            <w:r>
              <w:rPr>
                <w:rFonts w:ascii="Times New Roman" w:hAnsi="Times New Roman" w:eastAsia="宋体" w:cs="Times New Roman"/>
                <w:color w:val="auto"/>
                <w:sz w:val="28"/>
                <w:szCs w:val="28"/>
              </w:rPr>
              <w:t>六</w:t>
            </w:r>
            <w:r>
              <w:rPr>
                <w:rFonts w:hint="eastAsia" w:ascii="Times New Roman" w:hAnsi="Times New Roman" w:eastAsia="宋体" w:cs="Times New Roman"/>
                <w:color w:val="auto"/>
                <w:sz w:val="28"/>
                <w:szCs w:val="28"/>
                <w:lang w:eastAsia="zh-CN"/>
              </w:rPr>
              <w:t>）</w:t>
            </w:r>
            <w:r>
              <w:rPr>
                <w:rFonts w:ascii="Times New Roman" w:hAnsi="Times New Roman" w:eastAsia="宋体" w:cs="Times New Roman"/>
                <w:color w:val="auto"/>
                <w:sz w:val="28"/>
                <w:szCs w:val="28"/>
              </w:rPr>
              <w:t>拆除、爆破工程；</w:t>
            </w:r>
          </w:p>
          <w:p w14:paraId="433952AC">
            <w:pPr>
              <w:overflowPunct w:val="0"/>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lang w:eastAsia="zh-CN"/>
              </w:rPr>
              <w:t>（</w:t>
            </w:r>
            <w:r>
              <w:rPr>
                <w:rFonts w:ascii="Times New Roman" w:hAnsi="Times New Roman" w:eastAsia="宋体" w:cs="Times New Roman"/>
                <w:color w:val="auto"/>
                <w:sz w:val="28"/>
                <w:szCs w:val="28"/>
              </w:rPr>
              <w:t>七</w:t>
            </w:r>
            <w:r>
              <w:rPr>
                <w:rFonts w:hint="eastAsia" w:ascii="Times New Roman" w:hAnsi="Times New Roman" w:eastAsia="宋体" w:cs="Times New Roman"/>
                <w:color w:val="auto"/>
                <w:sz w:val="28"/>
                <w:szCs w:val="28"/>
                <w:lang w:eastAsia="zh-CN"/>
              </w:rPr>
              <w:t>）</w:t>
            </w:r>
            <w:r>
              <w:rPr>
                <w:rFonts w:ascii="Times New Roman" w:hAnsi="Times New Roman" w:eastAsia="宋体" w:cs="Times New Roman"/>
                <w:color w:val="auto"/>
                <w:sz w:val="28"/>
                <w:szCs w:val="28"/>
              </w:rPr>
              <w:t>国务院建设行政主管部门或者其他有关部门规定的其他危险性较大的工程。</w:t>
            </w:r>
          </w:p>
          <w:p w14:paraId="767A87AE">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对前款所列工程中涉及深基坑、地下暗挖工程、高大模板工程的专项施工方案，施工单位还应当组织专家进行论证、审查。本条第一款规定的达到一定规模的危险性较大工程的标准，由国务院建设行政主管部门会同国务院其他有关部门制定。</w:t>
            </w:r>
          </w:p>
        </w:tc>
        <w:tc>
          <w:tcPr>
            <w:tcW w:w="995" w:type="pct"/>
            <w:vAlign w:val="center"/>
          </w:tcPr>
          <w:p w14:paraId="765A7D43">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《建设工程安全生产管理条例》第二十六条</w:t>
            </w:r>
          </w:p>
        </w:tc>
        <w:tc>
          <w:tcPr>
            <w:tcW w:w="1564" w:type="pct"/>
            <w:vAlign w:val="center"/>
          </w:tcPr>
          <w:p w14:paraId="5F411054">
            <w:pPr>
              <w:overflowPunct w:val="0"/>
              <w:rPr>
                <w:rFonts w:hint="default"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8"/>
                <w:lang w:eastAsia="zh-CN"/>
              </w:rPr>
              <w:t>南天汇通公司</w:t>
            </w:r>
            <w:r>
              <w:rPr>
                <w:rFonts w:hint="eastAsia" w:ascii="Times New Roman" w:hAnsi="Times New Roman" w:eastAsia="宋体" w:cs="Times New Roman"/>
                <w:color w:val="auto"/>
                <w:sz w:val="28"/>
                <w:szCs w:val="28"/>
                <w:lang w:val="en-US" w:eastAsia="zh-CN"/>
              </w:rPr>
              <w:t>专项施工方案电子版，未见签字版本。</w:t>
            </w:r>
          </w:p>
        </w:tc>
      </w:tr>
      <w:tr w14:paraId="09BA26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69DF5F8A">
            <w:pPr>
              <w:numPr>
                <w:ilvl w:val="0"/>
                <w:numId w:val="1"/>
              </w:numPr>
              <w:tabs>
                <w:tab w:val="left" w:pos="1260"/>
              </w:tabs>
              <w:overflowPunct w:val="0"/>
              <w:ind w:firstLine="17"/>
              <w:jc w:val="center"/>
              <w:rPr>
                <w:rFonts w:ascii="Times New Roman" w:hAnsi="Times New Roman" w:eastAsia="宋体" w:cs="Times New Roman"/>
                <w:color w:val="auto"/>
                <w:sz w:val="28"/>
                <w:szCs w:val="28"/>
              </w:rPr>
            </w:pPr>
          </w:p>
        </w:tc>
        <w:tc>
          <w:tcPr>
            <w:tcW w:w="2148" w:type="pct"/>
            <w:vAlign w:val="center"/>
          </w:tcPr>
          <w:p w14:paraId="17C874DD">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建设工程施工前，施工单位负责项目管理的技术人员应当对有关安全施工的技术要求向施工作业班组、作业人员作出详细说明，并由双方签字确认。</w:t>
            </w:r>
          </w:p>
        </w:tc>
        <w:tc>
          <w:tcPr>
            <w:tcW w:w="995" w:type="pct"/>
            <w:vAlign w:val="center"/>
          </w:tcPr>
          <w:p w14:paraId="6696F45A">
            <w:pPr>
              <w:overflowPunct w:val="0"/>
              <w:jc w:val="center"/>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《建设工程安全生产管理条例》第二十七条</w:t>
            </w:r>
          </w:p>
        </w:tc>
        <w:tc>
          <w:tcPr>
            <w:tcW w:w="1564" w:type="pct"/>
            <w:vAlign w:val="center"/>
          </w:tcPr>
          <w:p w14:paraId="38DB70F1">
            <w:pPr>
              <w:overflowPunct w:val="0"/>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lang w:eastAsia="zh-CN"/>
              </w:rPr>
              <w:t>南天汇通公司</w:t>
            </w:r>
            <w:r>
              <w:rPr>
                <w:rFonts w:ascii="Times New Roman" w:hAnsi="Times New Roman" w:eastAsia="宋体" w:cs="Times New Roman"/>
                <w:color w:val="auto"/>
                <w:sz w:val="28"/>
                <w:szCs w:val="28"/>
              </w:rPr>
              <w:t>提供</w:t>
            </w:r>
            <w:r>
              <w:rPr>
                <w:rFonts w:hint="eastAsia" w:ascii="Times New Roman" w:hAnsi="Times New Roman" w:eastAsia="宋体" w:cs="Times New Roman"/>
                <w:color w:val="auto"/>
                <w:sz w:val="28"/>
                <w:szCs w:val="28"/>
              </w:rPr>
              <w:t>了</w:t>
            </w:r>
            <w:r>
              <w:rPr>
                <w:rFonts w:hint="eastAsia" w:ascii="Times New Roman" w:hAnsi="Times New Roman" w:eastAsia="宋体" w:cs="Times New Roman"/>
                <w:color w:val="auto"/>
                <w:sz w:val="28"/>
                <w:szCs w:val="28"/>
                <w:lang w:val="en-US" w:eastAsia="zh-CN"/>
              </w:rPr>
              <w:t>各项安全制度及安全操作规程，未见具体记录</w:t>
            </w:r>
            <w:r>
              <w:rPr>
                <w:rFonts w:ascii="Times New Roman" w:hAnsi="Times New Roman" w:eastAsia="宋体" w:cs="Times New Roman"/>
                <w:color w:val="auto"/>
                <w:sz w:val="28"/>
                <w:szCs w:val="28"/>
              </w:rPr>
              <w:t>。</w:t>
            </w:r>
          </w:p>
        </w:tc>
      </w:tr>
      <w:tr w14:paraId="7C6B5A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472750B4">
            <w:pPr>
              <w:numPr>
                <w:ilvl w:val="0"/>
                <w:numId w:val="1"/>
              </w:numPr>
              <w:tabs>
                <w:tab w:val="left" w:pos="1260"/>
              </w:tabs>
              <w:overflowPunct w:val="0"/>
              <w:ind w:firstLine="17"/>
              <w:jc w:val="center"/>
              <w:rPr>
                <w:rFonts w:ascii="Times New Roman" w:hAnsi="Times New Roman" w:eastAsia="宋体" w:cs="Times New Roman"/>
                <w:color w:val="auto"/>
                <w:sz w:val="28"/>
                <w:szCs w:val="28"/>
              </w:rPr>
            </w:pPr>
          </w:p>
        </w:tc>
        <w:tc>
          <w:tcPr>
            <w:tcW w:w="2148" w:type="pct"/>
            <w:vAlign w:val="center"/>
          </w:tcPr>
          <w:p w14:paraId="47255EC5">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施工单位应当在施工现场入口处、施工起重机械、临时用电设施、脚手架、出入通道口、楼梯口、电梯井口、孔洞口、桥梁口、隧道口、基坑边沿、爆破物及有害危险气体和液体存放处等危险部位，设置明显的安全警示标志。安全警示标志必须符合国家标准。</w:t>
            </w:r>
          </w:p>
          <w:p w14:paraId="29F8ABF3">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施工单位应当根据不同施工阶段和周围环境及季节、气候的变化，在施工现场采取相应的安全施工措施。施工现场暂时停止施工的，施工单位应当做好现场防护，所需费用由责任方承担，或者按照合同约定执行。</w:t>
            </w:r>
          </w:p>
        </w:tc>
        <w:tc>
          <w:tcPr>
            <w:tcW w:w="995" w:type="pct"/>
            <w:vAlign w:val="center"/>
          </w:tcPr>
          <w:p w14:paraId="23ACA584">
            <w:pPr>
              <w:overflowPunct w:val="0"/>
              <w:jc w:val="center"/>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《建设工程安全生产管理条例》第二十八条</w:t>
            </w:r>
          </w:p>
        </w:tc>
        <w:tc>
          <w:tcPr>
            <w:tcW w:w="1564" w:type="pct"/>
            <w:vAlign w:val="center"/>
          </w:tcPr>
          <w:p w14:paraId="3F7BC28A">
            <w:pPr>
              <w:overflowPunct w:val="0"/>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lang w:eastAsia="zh-CN"/>
              </w:rPr>
              <w:t>南天汇通公司</w:t>
            </w:r>
            <w:r>
              <w:rPr>
                <w:rFonts w:hint="eastAsia" w:ascii="Times New Roman" w:hAnsi="Times New Roman" w:eastAsia="宋体" w:cs="Times New Roman"/>
                <w:color w:val="auto"/>
                <w:sz w:val="28"/>
                <w:szCs w:val="28"/>
                <w:lang w:val="en-US" w:eastAsia="zh-CN"/>
              </w:rPr>
              <w:t>未提供相关记录</w:t>
            </w:r>
            <w:r>
              <w:rPr>
                <w:rFonts w:hint="eastAsia" w:ascii="Times New Roman" w:hAnsi="Times New Roman" w:eastAsia="宋体" w:cs="Times New Roman"/>
                <w:color w:val="auto"/>
                <w:sz w:val="28"/>
                <w:szCs w:val="28"/>
              </w:rPr>
              <w:t>。</w:t>
            </w:r>
          </w:p>
        </w:tc>
      </w:tr>
      <w:tr w14:paraId="5CEFE2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72C7DAB1">
            <w:pPr>
              <w:numPr>
                <w:ilvl w:val="0"/>
                <w:numId w:val="1"/>
              </w:numPr>
              <w:tabs>
                <w:tab w:val="left" w:pos="1260"/>
              </w:tabs>
              <w:overflowPunct w:val="0"/>
              <w:ind w:firstLine="17"/>
              <w:jc w:val="center"/>
              <w:rPr>
                <w:rFonts w:ascii="Times New Roman" w:hAnsi="Times New Roman" w:eastAsia="宋体" w:cs="Times New Roman"/>
                <w:color w:val="auto"/>
                <w:sz w:val="28"/>
                <w:szCs w:val="28"/>
              </w:rPr>
            </w:pPr>
          </w:p>
        </w:tc>
        <w:tc>
          <w:tcPr>
            <w:tcW w:w="2148" w:type="pct"/>
            <w:vAlign w:val="center"/>
          </w:tcPr>
          <w:p w14:paraId="0B58049A">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施工单位对因建设工程施工可能造成损害的毗邻建筑物、构筑物和地下管线等，应当采取专项防护措施。</w:t>
            </w:r>
          </w:p>
          <w:p w14:paraId="615D97DB">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施工单位应当遵守有关环境保护法律、法规的规定，在施工现场采取措施，防止或者减少粉尘、废气、废水、固体废物、噪声、振动和施工照明对人和环境的危害和污染。</w:t>
            </w:r>
          </w:p>
          <w:p w14:paraId="2DE6CB8E">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在城市市区内的建设工程，施工单位应当对施工现场实行封闭围挡。</w:t>
            </w:r>
          </w:p>
        </w:tc>
        <w:tc>
          <w:tcPr>
            <w:tcW w:w="995" w:type="pct"/>
            <w:vAlign w:val="center"/>
          </w:tcPr>
          <w:p w14:paraId="1012DE45">
            <w:pPr>
              <w:overflowPunct w:val="0"/>
              <w:jc w:val="center"/>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《建设工程安全生产管理条例》第三十条</w:t>
            </w:r>
          </w:p>
        </w:tc>
        <w:tc>
          <w:tcPr>
            <w:tcW w:w="1564" w:type="pct"/>
            <w:vAlign w:val="center"/>
          </w:tcPr>
          <w:p w14:paraId="11017C89">
            <w:pPr>
              <w:overflowPunct w:val="0"/>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lang w:eastAsia="zh-CN"/>
              </w:rPr>
              <w:t>南天汇通公司</w:t>
            </w:r>
            <w:r>
              <w:rPr>
                <w:rFonts w:hint="eastAsia" w:ascii="Times New Roman" w:hAnsi="Times New Roman" w:eastAsia="宋体" w:cs="Times New Roman"/>
                <w:color w:val="auto"/>
                <w:sz w:val="28"/>
                <w:szCs w:val="28"/>
                <w:lang w:val="en-US" w:eastAsia="zh-CN"/>
              </w:rPr>
              <w:t>施工专项方案中涵盖此部分内容，基本落实了相关要求</w:t>
            </w:r>
            <w:r>
              <w:rPr>
                <w:rFonts w:hint="eastAsia" w:ascii="Times New Roman" w:hAnsi="Times New Roman" w:eastAsia="宋体" w:cs="Times New Roman"/>
                <w:color w:val="auto"/>
                <w:sz w:val="28"/>
                <w:szCs w:val="28"/>
              </w:rPr>
              <w:t>。</w:t>
            </w:r>
          </w:p>
        </w:tc>
      </w:tr>
      <w:tr w14:paraId="452DDD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3CF70D83">
            <w:pPr>
              <w:numPr>
                <w:ilvl w:val="0"/>
                <w:numId w:val="1"/>
              </w:numPr>
              <w:tabs>
                <w:tab w:val="left" w:pos="1260"/>
              </w:tabs>
              <w:overflowPunct w:val="0"/>
              <w:ind w:firstLine="17"/>
              <w:jc w:val="center"/>
              <w:rPr>
                <w:rFonts w:ascii="Times New Roman" w:hAnsi="Times New Roman" w:eastAsia="宋体" w:cs="Times New Roman"/>
                <w:color w:val="auto"/>
                <w:sz w:val="28"/>
                <w:szCs w:val="28"/>
              </w:rPr>
            </w:pPr>
          </w:p>
        </w:tc>
        <w:tc>
          <w:tcPr>
            <w:tcW w:w="2148" w:type="pct"/>
            <w:vAlign w:val="center"/>
          </w:tcPr>
          <w:p w14:paraId="7A51913C">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施工单位应当在施工现场建立消防安全责任制度，确定消防安全责任人，制定用火、用电、使用易燃易爆材料等各项消防安全管理制度和操作规程，设置消防通道、消防水源，配备消防设施和灭火器材，并在施工现场入口处设置明显标志。</w:t>
            </w:r>
          </w:p>
        </w:tc>
        <w:tc>
          <w:tcPr>
            <w:tcW w:w="995" w:type="pct"/>
            <w:vAlign w:val="center"/>
          </w:tcPr>
          <w:p w14:paraId="7C76730E">
            <w:pPr>
              <w:overflowPunct w:val="0"/>
              <w:jc w:val="center"/>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《建设工程安全生产管理条例》第三十一条</w:t>
            </w:r>
          </w:p>
        </w:tc>
        <w:tc>
          <w:tcPr>
            <w:tcW w:w="1564" w:type="pct"/>
            <w:vAlign w:val="center"/>
          </w:tcPr>
          <w:p w14:paraId="7549AD5D">
            <w:pPr>
              <w:overflowPunct w:val="0"/>
              <w:rPr>
                <w:rFonts w:hint="default" w:ascii="Times New Roman" w:hAnsi="Times New Roman" w:eastAsia="宋体" w:cs="Times New Roman"/>
                <w:color w:val="FF0000"/>
                <w:sz w:val="28"/>
                <w:szCs w:val="28"/>
                <w:lang w:val="en-US"/>
              </w:rPr>
            </w:pPr>
            <w:r>
              <w:rPr>
                <w:rFonts w:hint="eastAsia" w:ascii="Times New Roman" w:hAnsi="Times New Roman" w:eastAsia="宋体" w:cs="Times New Roman"/>
                <w:color w:val="auto"/>
                <w:sz w:val="28"/>
                <w:szCs w:val="28"/>
                <w:lang w:eastAsia="zh-CN"/>
              </w:rPr>
              <w:t>南天汇通公司</w:t>
            </w:r>
            <w:r>
              <w:rPr>
                <w:rFonts w:hint="eastAsia" w:ascii="Times New Roman" w:hAnsi="Times New Roman" w:eastAsia="宋体" w:cs="Times New Roman"/>
                <w:color w:val="auto"/>
                <w:sz w:val="28"/>
                <w:szCs w:val="28"/>
                <w:lang w:val="en-US" w:eastAsia="zh-CN"/>
              </w:rPr>
              <w:t>提供了施工现场消防保卫管理制度和消防安全管理制度和1份现场检查记录，基本落实了相关要求</w:t>
            </w:r>
            <w:r>
              <w:rPr>
                <w:rFonts w:hint="eastAsia" w:ascii="Times New Roman" w:hAnsi="Times New Roman" w:eastAsia="宋体" w:cs="Times New Roman"/>
                <w:color w:val="auto"/>
                <w:sz w:val="28"/>
                <w:szCs w:val="28"/>
              </w:rPr>
              <w:t>。</w:t>
            </w:r>
          </w:p>
        </w:tc>
      </w:tr>
      <w:tr w14:paraId="0EAE82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23CED97E">
            <w:pPr>
              <w:numPr>
                <w:ilvl w:val="0"/>
                <w:numId w:val="1"/>
              </w:numPr>
              <w:tabs>
                <w:tab w:val="left" w:pos="1260"/>
              </w:tabs>
              <w:overflowPunct w:val="0"/>
              <w:ind w:firstLine="17"/>
              <w:jc w:val="center"/>
              <w:rPr>
                <w:rFonts w:ascii="Times New Roman" w:hAnsi="Times New Roman" w:eastAsia="宋体" w:cs="Times New Roman"/>
                <w:color w:val="auto"/>
                <w:sz w:val="28"/>
                <w:szCs w:val="28"/>
              </w:rPr>
            </w:pPr>
          </w:p>
        </w:tc>
        <w:tc>
          <w:tcPr>
            <w:tcW w:w="2148" w:type="pct"/>
            <w:vAlign w:val="center"/>
          </w:tcPr>
          <w:p w14:paraId="7E85340D">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施工单位应当向作业人员提供安全防护用具和安全防护服装，并书面告知危险岗位的操作规程和违章操作的危害。</w:t>
            </w:r>
          </w:p>
        </w:tc>
        <w:tc>
          <w:tcPr>
            <w:tcW w:w="995" w:type="pct"/>
            <w:vAlign w:val="center"/>
          </w:tcPr>
          <w:p w14:paraId="13A32F9F">
            <w:pPr>
              <w:overflowPunct w:val="0"/>
              <w:jc w:val="center"/>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《建设工程安全生产管理条例》第三十二条</w:t>
            </w:r>
          </w:p>
        </w:tc>
        <w:tc>
          <w:tcPr>
            <w:tcW w:w="1564" w:type="pct"/>
            <w:vAlign w:val="center"/>
          </w:tcPr>
          <w:p w14:paraId="23FEF496">
            <w:pPr>
              <w:overflowPunct w:val="0"/>
              <w:rPr>
                <w:rFonts w:hint="default"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8"/>
                <w:lang w:eastAsia="zh-CN"/>
              </w:rPr>
              <w:t>南天汇通公司</w:t>
            </w:r>
            <w:r>
              <w:rPr>
                <w:rFonts w:hint="eastAsia" w:ascii="Times New Roman" w:hAnsi="Times New Roman" w:eastAsia="宋体" w:cs="Times New Roman"/>
                <w:color w:val="auto"/>
                <w:sz w:val="28"/>
                <w:szCs w:val="28"/>
              </w:rPr>
              <w:t>提供了</w:t>
            </w:r>
            <w:r>
              <w:rPr>
                <w:rFonts w:hint="eastAsia" w:ascii="Times New Roman" w:hAnsi="Times New Roman" w:eastAsia="宋体" w:cs="Times New Roman"/>
                <w:color w:val="auto"/>
                <w:sz w:val="28"/>
                <w:szCs w:val="28"/>
                <w:lang w:val="en-US" w:eastAsia="zh-CN"/>
              </w:rPr>
              <w:t>安全操作规程、安全生产技术交底制度、专项施工方案、安全教育培训制度、劳动用品发放记录，基本落实了相关要求</w:t>
            </w:r>
            <w:r>
              <w:rPr>
                <w:rFonts w:hint="eastAsia" w:ascii="Times New Roman" w:hAnsi="Times New Roman" w:eastAsia="宋体" w:cs="Times New Roman"/>
                <w:color w:val="auto"/>
                <w:sz w:val="28"/>
                <w:szCs w:val="28"/>
              </w:rPr>
              <w:t>。</w:t>
            </w:r>
          </w:p>
        </w:tc>
      </w:tr>
      <w:tr w14:paraId="69E7FA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5B9CE4D">
            <w:pPr>
              <w:numPr>
                <w:ilvl w:val="0"/>
                <w:numId w:val="1"/>
              </w:numPr>
              <w:tabs>
                <w:tab w:val="left" w:pos="1260"/>
              </w:tabs>
              <w:overflowPunct w:val="0"/>
              <w:ind w:firstLine="17"/>
              <w:jc w:val="center"/>
              <w:rPr>
                <w:rFonts w:ascii="Times New Roman" w:hAnsi="Times New Roman" w:eastAsia="宋体" w:cs="Times New Roman"/>
                <w:color w:val="auto"/>
                <w:sz w:val="28"/>
                <w:szCs w:val="28"/>
              </w:rPr>
            </w:pPr>
          </w:p>
        </w:tc>
        <w:tc>
          <w:tcPr>
            <w:tcW w:w="2148" w:type="pct"/>
            <w:vAlign w:val="center"/>
          </w:tcPr>
          <w:p w14:paraId="56C86A76">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施工单位采购、租赁的安全防护用具、机械设备、施工机具及配件，应当具有生产</w:t>
            </w:r>
            <w:r>
              <w:rPr>
                <w:rFonts w:hint="eastAsia" w:ascii="Times New Roman" w:hAnsi="Times New Roman" w:eastAsia="宋体" w:cs="Times New Roman"/>
                <w:color w:val="auto"/>
                <w:sz w:val="28"/>
                <w:szCs w:val="28"/>
                <w:lang w:eastAsia="zh-CN"/>
              </w:rPr>
              <w:t>（</w:t>
            </w:r>
            <w:r>
              <w:rPr>
                <w:rFonts w:ascii="Times New Roman" w:hAnsi="Times New Roman" w:eastAsia="宋体" w:cs="Times New Roman"/>
                <w:color w:val="auto"/>
                <w:sz w:val="28"/>
                <w:szCs w:val="28"/>
              </w:rPr>
              <w:t>制造</w:t>
            </w:r>
            <w:r>
              <w:rPr>
                <w:rFonts w:hint="eastAsia" w:ascii="Times New Roman" w:hAnsi="Times New Roman" w:eastAsia="宋体" w:cs="Times New Roman"/>
                <w:color w:val="auto"/>
                <w:sz w:val="28"/>
                <w:szCs w:val="28"/>
                <w:lang w:eastAsia="zh-CN"/>
              </w:rPr>
              <w:t>）</w:t>
            </w:r>
            <w:r>
              <w:rPr>
                <w:rFonts w:ascii="Times New Roman" w:hAnsi="Times New Roman" w:eastAsia="宋体" w:cs="Times New Roman"/>
                <w:color w:val="auto"/>
                <w:sz w:val="28"/>
                <w:szCs w:val="28"/>
              </w:rPr>
              <w:t>许可证、产品合格证，并在进入施工现场前进行查验。</w:t>
            </w:r>
          </w:p>
          <w:p w14:paraId="5DFE7FEA">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施工现场的安全防护用具、机械设备、施工机具及配件必须由专人管理，定期进行检查、维修和保养，建立相应的资料档案，并按照国家有关规定及时报废。</w:t>
            </w:r>
          </w:p>
        </w:tc>
        <w:tc>
          <w:tcPr>
            <w:tcW w:w="995" w:type="pct"/>
            <w:vAlign w:val="center"/>
          </w:tcPr>
          <w:p w14:paraId="059B6A69">
            <w:pPr>
              <w:overflowPunct w:val="0"/>
              <w:jc w:val="center"/>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《建设工程安全生产管理条例》第三十四条</w:t>
            </w:r>
          </w:p>
        </w:tc>
        <w:tc>
          <w:tcPr>
            <w:tcW w:w="1564" w:type="pct"/>
            <w:vAlign w:val="center"/>
          </w:tcPr>
          <w:p w14:paraId="5327AB27">
            <w:pPr>
              <w:overflowPunct w:val="0"/>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lang w:eastAsia="zh-CN"/>
              </w:rPr>
              <w:t>南天汇通公司</w:t>
            </w:r>
            <w:r>
              <w:rPr>
                <w:rFonts w:hint="eastAsia" w:ascii="Times New Roman" w:hAnsi="Times New Roman" w:eastAsia="宋体" w:cs="Times New Roman"/>
                <w:color w:val="auto"/>
                <w:sz w:val="28"/>
                <w:szCs w:val="28"/>
                <w:lang w:val="en-US" w:eastAsia="zh-CN"/>
              </w:rPr>
              <w:t>提供了</w:t>
            </w:r>
            <w:r>
              <w:rPr>
                <w:rFonts w:hint="eastAsia" w:ascii="宋体" w:hAnsi="宋体" w:eastAsia="宋体"/>
                <w:color w:val="auto"/>
                <w:sz w:val="28"/>
                <w:szCs w:val="32"/>
                <w:lang w:val="en-US" w:eastAsia="zh-CN"/>
              </w:rPr>
              <w:t>各项安全操作规程，基本落实了相关要求</w:t>
            </w:r>
            <w:r>
              <w:rPr>
                <w:rFonts w:hint="eastAsia" w:ascii="Times New Roman" w:hAnsi="Times New Roman" w:eastAsia="宋体" w:cs="Times New Roman"/>
                <w:color w:val="auto"/>
                <w:sz w:val="28"/>
                <w:szCs w:val="28"/>
              </w:rPr>
              <w:t>。</w:t>
            </w:r>
          </w:p>
        </w:tc>
      </w:tr>
      <w:tr w14:paraId="3910DF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1F983E28">
            <w:pPr>
              <w:numPr>
                <w:ilvl w:val="0"/>
                <w:numId w:val="1"/>
              </w:numPr>
              <w:tabs>
                <w:tab w:val="left" w:pos="1260"/>
              </w:tabs>
              <w:overflowPunct w:val="0"/>
              <w:ind w:firstLine="17"/>
              <w:jc w:val="center"/>
              <w:rPr>
                <w:rFonts w:ascii="Times New Roman" w:hAnsi="Times New Roman" w:eastAsia="宋体" w:cs="Times New Roman"/>
                <w:color w:val="auto"/>
                <w:sz w:val="28"/>
                <w:szCs w:val="28"/>
              </w:rPr>
            </w:pPr>
          </w:p>
        </w:tc>
        <w:tc>
          <w:tcPr>
            <w:tcW w:w="2148" w:type="pct"/>
            <w:vAlign w:val="center"/>
          </w:tcPr>
          <w:p w14:paraId="437B281B">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施工单位在使用施工起重机械和整体提升脚手架、模板等自升式架设设施前，应当组织有关单位进行验收，也可以委托具有相应资质的检验检测机构进行验收；使用承租的机械设备和施工机具及配件的，由施工总承包单位、分包单位、出租单位和安装单位共同进行验收。验收合格的方可使用。</w:t>
            </w:r>
          </w:p>
          <w:p w14:paraId="6AA867C6">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《特种设备安全监察条例》规定的施工起重机械，在验收前应当经有相应资质的检验检测机构监督检验合格。</w:t>
            </w:r>
          </w:p>
          <w:p w14:paraId="12FC322B">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施工单位应当自施工起重机械和整体提升脚手架、模板等自升式架设设施验收合格之日起30日内，向建设行政主管部门或者其他有关部门登记。登记标志应当置于或者附着于该设备的显著位置。</w:t>
            </w:r>
          </w:p>
        </w:tc>
        <w:tc>
          <w:tcPr>
            <w:tcW w:w="995" w:type="pct"/>
            <w:vAlign w:val="center"/>
          </w:tcPr>
          <w:p w14:paraId="30BF2709">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《建设工程安全生产管理条例》第</w:t>
            </w:r>
            <w:r>
              <w:rPr>
                <w:rFonts w:hint="eastAsia" w:ascii="Times New Roman" w:hAnsi="Times New Roman" w:eastAsia="宋体" w:cs="Times New Roman"/>
                <w:color w:val="auto"/>
                <w:sz w:val="28"/>
                <w:szCs w:val="28"/>
              </w:rPr>
              <w:t>三十五</w:t>
            </w:r>
            <w:r>
              <w:rPr>
                <w:rFonts w:ascii="Times New Roman" w:hAnsi="Times New Roman" w:eastAsia="宋体" w:cs="Times New Roman"/>
                <w:color w:val="auto"/>
                <w:sz w:val="28"/>
                <w:szCs w:val="28"/>
              </w:rPr>
              <w:t>条</w:t>
            </w:r>
          </w:p>
        </w:tc>
        <w:tc>
          <w:tcPr>
            <w:tcW w:w="1564" w:type="pct"/>
            <w:vAlign w:val="center"/>
          </w:tcPr>
          <w:p w14:paraId="48FAE077">
            <w:pPr>
              <w:overflowPunct w:val="0"/>
              <w:rPr>
                <w:rFonts w:hint="default" w:ascii="Times New Roman" w:hAnsi="Times New Roman" w:eastAsia="宋体" w:cs="Times New Roman"/>
                <w:color w:val="auto"/>
                <w:sz w:val="28"/>
                <w:szCs w:val="28"/>
                <w:lang w:val="en-US"/>
              </w:rPr>
            </w:pPr>
            <w:r>
              <w:rPr>
                <w:rFonts w:hint="eastAsia" w:ascii="Times New Roman" w:hAnsi="Times New Roman" w:eastAsia="宋体" w:cs="Times New Roman"/>
                <w:color w:val="auto"/>
                <w:sz w:val="28"/>
                <w:szCs w:val="28"/>
                <w:lang w:eastAsia="zh-CN"/>
              </w:rPr>
              <w:t>南天汇通公司</w:t>
            </w:r>
            <w:r>
              <w:rPr>
                <w:rFonts w:hint="eastAsia" w:ascii="Times New Roman" w:hAnsi="Times New Roman" w:eastAsia="宋体" w:cs="Times New Roman"/>
                <w:color w:val="auto"/>
                <w:sz w:val="28"/>
                <w:szCs w:val="28"/>
                <w:lang w:val="en-US" w:eastAsia="zh-CN"/>
              </w:rPr>
              <w:t>提供了</w:t>
            </w:r>
            <w:r>
              <w:rPr>
                <w:rFonts w:hint="eastAsia" w:ascii="宋体" w:hAnsi="宋体" w:eastAsia="宋体"/>
                <w:color w:val="auto"/>
                <w:sz w:val="28"/>
                <w:szCs w:val="32"/>
                <w:lang w:val="en-US" w:eastAsia="zh-CN"/>
              </w:rPr>
              <w:t>特种设备管理制度、施工机械安全防护措施等文件，未见验收报告、检验检测报告等相关记录。</w:t>
            </w:r>
          </w:p>
        </w:tc>
      </w:tr>
      <w:tr w14:paraId="2E1A33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C70D29D">
            <w:pPr>
              <w:numPr>
                <w:ilvl w:val="0"/>
                <w:numId w:val="1"/>
              </w:numPr>
              <w:tabs>
                <w:tab w:val="left" w:pos="1260"/>
              </w:tabs>
              <w:overflowPunct w:val="0"/>
              <w:ind w:firstLine="17"/>
              <w:jc w:val="center"/>
              <w:rPr>
                <w:rFonts w:ascii="Times New Roman" w:hAnsi="Times New Roman" w:eastAsia="宋体" w:cs="Times New Roman"/>
                <w:color w:val="auto"/>
                <w:sz w:val="28"/>
                <w:szCs w:val="28"/>
              </w:rPr>
            </w:pPr>
          </w:p>
        </w:tc>
        <w:tc>
          <w:tcPr>
            <w:tcW w:w="2148" w:type="pct"/>
            <w:vAlign w:val="center"/>
          </w:tcPr>
          <w:p w14:paraId="00DD8051">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施工单位的主要负责人、项目负责人、专职安全生产管理人员应当经建设行政主管部门或者其他有关部门考核合格后方可任职。</w:t>
            </w:r>
          </w:p>
          <w:p w14:paraId="5D39B294">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施工单位应当对管理人员和作业人员每年至少进行一次安全生产教育培训，其教育培训情况记入个人工作档案。安全生产教育培训考核不合格的人员，不得上岗。</w:t>
            </w:r>
          </w:p>
        </w:tc>
        <w:tc>
          <w:tcPr>
            <w:tcW w:w="995" w:type="pct"/>
            <w:vAlign w:val="center"/>
          </w:tcPr>
          <w:p w14:paraId="1BF6D9BC">
            <w:pPr>
              <w:overflowPunct w:val="0"/>
              <w:jc w:val="center"/>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《建设工程安全生产管理条例》第三十六条</w:t>
            </w:r>
          </w:p>
        </w:tc>
        <w:tc>
          <w:tcPr>
            <w:tcW w:w="1564" w:type="pct"/>
            <w:vAlign w:val="center"/>
          </w:tcPr>
          <w:p w14:paraId="038C1F09">
            <w:pPr>
              <w:overflowPunct w:val="0"/>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lang w:eastAsia="zh-CN"/>
              </w:rPr>
              <w:t>南天汇通公司</w:t>
            </w:r>
            <w:r>
              <w:rPr>
                <w:rFonts w:ascii="Times New Roman" w:hAnsi="Times New Roman" w:eastAsia="宋体" w:cs="Times New Roman"/>
                <w:color w:val="auto"/>
                <w:sz w:val="28"/>
                <w:szCs w:val="28"/>
              </w:rPr>
              <w:t>提供</w:t>
            </w:r>
            <w:r>
              <w:rPr>
                <w:rFonts w:hint="eastAsia" w:ascii="Times New Roman" w:hAnsi="Times New Roman" w:eastAsia="宋体" w:cs="Times New Roman"/>
                <w:color w:val="auto"/>
                <w:sz w:val="28"/>
                <w:szCs w:val="28"/>
              </w:rPr>
              <w:t>了安全培训及考核</w:t>
            </w:r>
            <w:r>
              <w:rPr>
                <w:rFonts w:hint="eastAsia" w:ascii="宋体" w:hAnsi="宋体" w:eastAsia="宋体"/>
                <w:color w:val="auto"/>
                <w:sz w:val="28"/>
                <w:szCs w:val="32"/>
                <w:lang w:val="en-US" w:eastAsia="zh-CN"/>
              </w:rPr>
              <w:t>制度</w:t>
            </w:r>
            <w:r>
              <w:rPr>
                <w:rFonts w:hint="eastAsia" w:ascii="Times New Roman" w:hAnsi="Times New Roman" w:eastAsia="宋体" w:cs="Times New Roman"/>
                <w:color w:val="auto"/>
                <w:sz w:val="28"/>
                <w:szCs w:val="28"/>
                <w:lang w:eastAsia="zh-CN"/>
              </w:rPr>
              <w:t>、</w:t>
            </w:r>
            <w:r>
              <w:rPr>
                <w:rFonts w:hint="eastAsia" w:ascii="Times New Roman" w:hAnsi="Times New Roman" w:eastAsia="宋体" w:cs="Times New Roman"/>
                <w:color w:val="auto"/>
                <w:sz w:val="28"/>
                <w:szCs w:val="28"/>
                <w:lang w:val="en-US" w:eastAsia="zh-CN"/>
              </w:rPr>
              <w:t>1</w:t>
            </w:r>
            <w:r>
              <w:rPr>
                <w:rFonts w:hint="eastAsia" w:ascii="Times New Roman" w:hAnsi="Times New Roman" w:eastAsia="宋体" w:cs="Times New Roman"/>
                <w:color w:val="auto"/>
                <w:sz w:val="28"/>
                <w:szCs w:val="28"/>
              </w:rPr>
              <w:t>名专职安全管理人员证书</w:t>
            </w:r>
            <w:r>
              <w:rPr>
                <w:rFonts w:hint="eastAsia" w:ascii="Times New Roman" w:hAnsi="Times New Roman" w:eastAsia="宋体" w:cs="Times New Roman"/>
                <w:color w:val="auto"/>
                <w:sz w:val="28"/>
                <w:szCs w:val="28"/>
                <w:lang w:val="en-US" w:eastAsia="zh-CN"/>
              </w:rPr>
              <w:t>，基本落实了相关要求</w:t>
            </w:r>
            <w:r>
              <w:rPr>
                <w:rFonts w:hint="eastAsia" w:ascii="Times New Roman" w:hAnsi="Times New Roman" w:eastAsia="宋体" w:cs="Times New Roman"/>
                <w:color w:val="auto"/>
                <w:sz w:val="28"/>
                <w:szCs w:val="28"/>
              </w:rPr>
              <w:t>。</w:t>
            </w:r>
          </w:p>
        </w:tc>
      </w:tr>
      <w:tr w14:paraId="2DE4CD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4D1BDA79">
            <w:pPr>
              <w:numPr>
                <w:ilvl w:val="0"/>
                <w:numId w:val="1"/>
              </w:numPr>
              <w:tabs>
                <w:tab w:val="left" w:pos="1260"/>
              </w:tabs>
              <w:overflowPunct w:val="0"/>
              <w:ind w:firstLine="17"/>
              <w:jc w:val="center"/>
              <w:rPr>
                <w:rFonts w:ascii="Times New Roman" w:hAnsi="Times New Roman" w:eastAsia="宋体" w:cs="Times New Roman"/>
                <w:color w:val="auto"/>
                <w:sz w:val="28"/>
                <w:szCs w:val="28"/>
              </w:rPr>
            </w:pPr>
          </w:p>
        </w:tc>
        <w:tc>
          <w:tcPr>
            <w:tcW w:w="2148" w:type="pct"/>
            <w:vAlign w:val="center"/>
          </w:tcPr>
          <w:p w14:paraId="6447E899">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施工单位应当为施工现场从事危险作业的人员办理意外伤害保险。</w:t>
            </w:r>
          </w:p>
          <w:p w14:paraId="39A86AE0">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意外伤害保险费由施工单位支付。实行施工总承包的，由总承包单位支付意外伤害保险费。意外伤害保险期限自建设工程开工之日起至竣工验收合格止。</w:t>
            </w:r>
          </w:p>
        </w:tc>
        <w:tc>
          <w:tcPr>
            <w:tcW w:w="995" w:type="pct"/>
            <w:vAlign w:val="center"/>
          </w:tcPr>
          <w:p w14:paraId="0BC157B0">
            <w:pPr>
              <w:overflowPunct w:val="0"/>
              <w:jc w:val="center"/>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《建设工程安全生产管理条例》第三十八条</w:t>
            </w:r>
          </w:p>
        </w:tc>
        <w:tc>
          <w:tcPr>
            <w:tcW w:w="1564" w:type="pct"/>
            <w:vAlign w:val="center"/>
          </w:tcPr>
          <w:p w14:paraId="194D8F06">
            <w:pPr>
              <w:overflowPunct w:val="0"/>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lang w:eastAsia="zh-CN"/>
              </w:rPr>
              <w:t>南天汇通公司</w:t>
            </w:r>
            <w:r>
              <w:rPr>
                <w:rFonts w:hint="eastAsia" w:ascii="Times New Roman" w:hAnsi="Times New Roman" w:eastAsia="宋体" w:cs="Times New Roman"/>
                <w:color w:val="auto"/>
                <w:sz w:val="28"/>
                <w:szCs w:val="28"/>
                <w:lang w:val="en-US" w:eastAsia="zh-CN"/>
              </w:rPr>
              <w:t>未提供意外保险相关资料</w:t>
            </w:r>
            <w:r>
              <w:rPr>
                <w:rFonts w:hint="eastAsia" w:ascii="Times New Roman" w:hAnsi="Times New Roman" w:eastAsia="宋体" w:cs="Times New Roman"/>
                <w:color w:val="auto"/>
                <w:sz w:val="28"/>
                <w:szCs w:val="28"/>
              </w:rPr>
              <w:t>。</w:t>
            </w:r>
          </w:p>
        </w:tc>
      </w:tr>
      <w:tr w14:paraId="37B0DD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60CE1AFB">
            <w:pPr>
              <w:numPr>
                <w:ilvl w:val="0"/>
                <w:numId w:val="1"/>
              </w:numPr>
              <w:tabs>
                <w:tab w:val="left" w:pos="1260"/>
              </w:tabs>
              <w:overflowPunct w:val="0"/>
              <w:ind w:firstLine="17"/>
              <w:jc w:val="center"/>
              <w:rPr>
                <w:rFonts w:ascii="Times New Roman" w:hAnsi="Times New Roman" w:eastAsia="宋体" w:cs="Times New Roman"/>
                <w:color w:val="auto"/>
                <w:sz w:val="28"/>
                <w:szCs w:val="28"/>
              </w:rPr>
            </w:pPr>
          </w:p>
        </w:tc>
        <w:tc>
          <w:tcPr>
            <w:tcW w:w="2148" w:type="pct"/>
            <w:vAlign w:val="center"/>
          </w:tcPr>
          <w:p w14:paraId="5A4C3576">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施工单位应当制定本单位生产安全事故应急救援预案，建立应急救援组织或者配备应急救援人员，配备必要的应急救援器材、设备，并定期组织演练。</w:t>
            </w:r>
          </w:p>
        </w:tc>
        <w:tc>
          <w:tcPr>
            <w:tcW w:w="995" w:type="pct"/>
            <w:vAlign w:val="center"/>
          </w:tcPr>
          <w:p w14:paraId="53257234">
            <w:pPr>
              <w:overflowPunct w:val="0"/>
              <w:jc w:val="center"/>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《建设工程安全生产管理条例》第四十八条</w:t>
            </w:r>
          </w:p>
        </w:tc>
        <w:tc>
          <w:tcPr>
            <w:tcW w:w="1564" w:type="pct"/>
            <w:vAlign w:val="center"/>
          </w:tcPr>
          <w:p w14:paraId="08094BFB">
            <w:pPr>
              <w:overflowPunct w:val="0"/>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lang w:eastAsia="zh-CN"/>
              </w:rPr>
              <w:t>南天汇通公司</w:t>
            </w:r>
            <w:r>
              <w:rPr>
                <w:rFonts w:ascii="Times New Roman" w:hAnsi="Times New Roman" w:eastAsia="宋体" w:cs="Times New Roman"/>
                <w:color w:val="auto"/>
                <w:sz w:val="28"/>
                <w:szCs w:val="28"/>
              </w:rPr>
              <w:t>提供</w:t>
            </w:r>
            <w:r>
              <w:rPr>
                <w:rFonts w:hint="eastAsia" w:ascii="Times New Roman" w:hAnsi="Times New Roman" w:eastAsia="宋体" w:cs="Times New Roman"/>
                <w:color w:val="auto"/>
                <w:sz w:val="28"/>
                <w:szCs w:val="28"/>
              </w:rPr>
              <w:t>了安全生产事故报告及处理制度</w:t>
            </w:r>
            <w:r>
              <w:rPr>
                <w:rFonts w:hint="eastAsia" w:ascii="Times New Roman" w:hAnsi="Times New Roman" w:eastAsia="宋体" w:cs="Times New Roman"/>
                <w:color w:val="auto"/>
                <w:sz w:val="28"/>
                <w:szCs w:val="28"/>
                <w:lang w:eastAsia="zh-CN"/>
              </w:rPr>
              <w:t>、</w:t>
            </w:r>
            <w:r>
              <w:rPr>
                <w:rFonts w:hint="eastAsia" w:ascii="Times New Roman" w:hAnsi="Times New Roman" w:eastAsia="宋体" w:cs="Times New Roman"/>
                <w:color w:val="auto"/>
                <w:sz w:val="28"/>
                <w:szCs w:val="28"/>
              </w:rPr>
              <w:t>生产安全事故应急救援预案</w:t>
            </w:r>
            <w:r>
              <w:rPr>
                <w:rFonts w:hint="eastAsia" w:ascii="Times New Roman" w:hAnsi="Times New Roman" w:eastAsia="宋体" w:cs="Times New Roman"/>
                <w:color w:val="auto"/>
                <w:sz w:val="28"/>
                <w:szCs w:val="28"/>
                <w:lang w:val="en-US" w:eastAsia="zh-CN"/>
              </w:rPr>
              <w:t>和应急演练方案</w:t>
            </w:r>
            <w:r>
              <w:rPr>
                <w:rFonts w:hint="eastAsia" w:ascii="Times New Roman" w:hAnsi="Times New Roman" w:eastAsia="宋体" w:cs="Times New Roman"/>
                <w:color w:val="auto"/>
                <w:sz w:val="28"/>
                <w:szCs w:val="28"/>
              </w:rPr>
              <w:t>，未见</w:t>
            </w:r>
            <w:r>
              <w:rPr>
                <w:rFonts w:hint="eastAsia" w:ascii="Times New Roman" w:hAnsi="Times New Roman" w:eastAsia="宋体" w:cs="Times New Roman"/>
                <w:color w:val="auto"/>
                <w:sz w:val="28"/>
                <w:szCs w:val="28"/>
                <w:lang w:val="en-US" w:eastAsia="zh-CN"/>
              </w:rPr>
              <w:t>应急救援</w:t>
            </w:r>
            <w:r>
              <w:rPr>
                <w:rFonts w:hint="eastAsia" w:ascii="Times New Roman" w:hAnsi="Times New Roman" w:eastAsia="宋体" w:cs="Times New Roman"/>
                <w:color w:val="auto"/>
                <w:sz w:val="28"/>
                <w:szCs w:val="28"/>
              </w:rPr>
              <w:t>演练和人员队伍相关记录。</w:t>
            </w:r>
          </w:p>
        </w:tc>
      </w:tr>
      <w:tr w14:paraId="63E366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699D6031">
            <w:pPr>
              <w:numPr>
                <w:ilvl w:val="0"/>
                <w:numId w:val="1"/>
              </w:numPr>
              <w:tabs>
                <w:tab w:val="left" w:pos="1260"/>
              </w:tabs>
              <w:overflowPunct w:val="0"/>
              <w:ind w:firstLine="17"/>
              <w:jc w:val="center"/>
              <w:rPr>
                <w:rFonts w:ascii="Times New Roman" w:hAnsi="Times New Roman" w:eastAsia="宋体" w:cs="Times New Roman"/>
                <w:color w:val="auto"/>
                <w:sz w:val="28"/>
                <w:szCs w:val="28"/>
              </w:rPr>
            </w:pPr>
          </w:p>
        </w:tc>
        <w:tc>
          <w:tcPr>
            <w:tcW w:w="2148" w:type="pct"/>
            <w:vAlign w:val="center"/>
          </w:tcPr>
          <w:p w14:paraId="2384EDD3">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施工单位应当根据建设工程施工的特点、范围，对施工现场易发生重大事故的部位、环节进行监控，</w:t>
            </w:r>
            <w:r>
              <w:rPr>
                <w:rFonts w:hint="eastAsia" w:ascii="Times New Roman" w:hAnsi="Times New Roman" w:eastAsia="宋体" w:cs="Times New Roman"/>
                <w:color w:val="auto"/>
                <w:sz w:val="28"/>
                <w:szCs w:val="28"/>
              </w:rPr>
              <w:t>制定施工现场生产安全事故应急救援预案。实行施工总承包的，</w:t>
            </w:r>
            <w:r>
              <w:rPr>
                <w:rFonts w:ascii="Times New Roman" w:hAnsi="Times New Roman" w:eastAsia="宋体" w:cs="Times New Roman"/>
                <w:color w:val="auto"/>
                <w:sz w:val="28"/>
                <w:szCs w:val="28"/>
              </w:rPr>
              <w:t>由总承包单位统一组织编制建设工程生产安全事故应急救援预案，工程总承包单位和分包单位按照应急救援预案，各自建立应急救援组织救援人员，配备救援器材、设备，并定期组织演练。</w:t>
            </w:r>
          </w:p>
        </w:tc>
        <w:tc>
          <w:tcPr>
            <w:tcW w:w="995" w:type="pct"/>
            <w:vAlign w:val="center"/>
          </w:tcPr>
          <w:p w14:paraId="181876ED">
            <w:pPr>
              <w:overflowPunct w:val="0"/>
              <w:jc w:val="center"/>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《建设工程安全生产管理条例》第四十九条</w:t>
            </w:r>
          </w:p>
        </w:tc>
        <w:tc>
          <w:tcPr>
            <w:tcW w:w="1564" w:type="pct"/>
            <w:vAlign w:val="center"/>
          </w:tcPr>
          <w:p w14:paraId="776D18BC">
            <w:pPr>
              <w:overflowPunct w:val="0"/>
              <w:rPr>
                <w:rFonts w:ascii="Times New Roman" w:hAnsi="Times New Roman" w:eastAsia="宋体" w:cs="Times New Roman"/>
                <w:color w:val="FF0000"/>
                <w:sz w:val="28"/>
                <w:szCs w:val="28"/>
              </w:rPr>
            </w:pPr>
            <w:r>
              <w:rPr>
                <w:rFonts w:hint="eastAsia" w:ascii="Times New Roman" w:hAnsi="Times New Roman" w:eastAsia="宋体" w:cs="Times New Roman"/>
                <w:color w:val="auto"/>
                <w:sz w:val="28"/>
                <w:szCs w:val="28"/>
                <w:lang w:eastAsia="zh-CN"/>
              </w:rPr>
              <w:t>南天汇通公司</w:t>
            </w:r>
            <w:r>
              <w:rPr>
                <w:rFonts w:ascii="Times New Roman" w:hAnsi="Times New Roman" w:eastAsia="宋体" w:cs="Times New Roman"/>
                <w:color w:val="auto"/>
                <w:sz w:val="28"/>
                <w:szCs w:val="28"/>
              </w:rPr>
              <w:t>提供</w:t>
            </w:r>
            <w:r>
              <w:rPr>
                <w:rFonts w:hint="eastAsia" w:ascii="Times New Roman" w:hAnsi="Times New Roman" w:eastAsia="宋体" w:cs="Times New Roman"/>
                <w:color w:val="auto"/>
                <w:sz w:val="28"/>
                <w:szCs w:val="28"/>
              </w:rPr>
              <w:t>了安全生产事故报告及处理制度</w:t>
            </w:r>
            <w:r>
              <w:rPr>
                <w:rFonts w:hint="eastAsia" w:ascii="Times New Roman" w:hAnsi="Times New Roman" w:eastAsia="宋体" w:cs="Times New Roman"/>
                <w:color w:val="auto"/>
                <w:sz w:val="28"/>
                <w:szCs w:val="28"/>
                <w:lang w:eastAsia="zh-CN"/>
              </w:rPr>
              <w:t>、</w:t>
            </w:r>
            <w:r>
              <w:rPr>
                <w:rFonts w:hint="eastAsia" w:ascii="Times New Roman" w:hAnsi="Times New Roman" w:eastAsia="宋体" w:cs="Times New Roman"/>
                <w:color w:val="auto"/>
                <w:sz w:val="28"/>
                <w:szCs w:val="28"/>
              </w:rPr>
              <w:t>生产安全事故应急救援预案</w:t>
            </w:r>
            <w:r>
              <w:rPr>
                <w:rFonts w:hint="eastAsia" w:ascii="Times New Roman" w:hAnsi="Times New Roman" w:eastAsia="宋体" w:cs="Times New Roman"/>
                <w:color w:val="auto"/>
                <w:sz w:val="28"/>
                <w:szCs w:val="28"/>
                <w:lang w:val="en-US" w:eastAsia="zh-CN"/>
              </w:rPr>
              <w:t>和应急演练方案</w:t>
            </w:r>
            <w:r>
              <w:rPr>
                <w:rFonts w:hint="eastAsia" w:ascii="Times New Roman" w:hAnsi="Times New Roman" w:eastAsia="宋体" w:cs="Times New Roman"/>
                <w:color w:val="auto"/>
                <w:sz w:val="28"/>
                <w:szCs w:val="28"/>
              </w:rPr>
              <w:t>，未见</w:t>
            </w:r>
            <w:r>
              <w:rPr>
                <w:rFonts w:hint="eastAsia" w:ascii="Times New Roman" w:hAnsi="Times New Roman" w:eastAsia="宋体" w:cs="Times New Roman"/>
                <w:color w:val="auto"/>
                <w:sz w:val="28"/>
                <w:szCs w:val="28"/>
                <w:lang w:val="en-US" w:eastAsia="zh-CN"/>
              </w:rPr>
              <w:t>应急救援</w:t>
            </w:r>
            <w:r>
              <w:rPr>
                <w:rFonts w:hint="eastAsia" w:ascii="Times New Roman" w:hAnsi="Times New Roman" w:eastAsia="宋体" w:cs="Times New Roman"/>
                <w:color w:val="auto"/>
                <w:sz w:val="28"/>
                <w:szCs w:val="28"/>
              </w:rPr>
              <w:t>演练和人员队伍相关记录。</w:t>
            </w:r>
          </w:p>
        </w:tc>
      </w:tr>
      <w:tr w14:paraId="781E0F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B33DEAF">
            <w:pPr>
              <w:numPr>
                <w:ilvl w:val="0"/>
                <w:numId w:val="1"/>
              </w:numPr>
              <w:tabs>
                <w:tab w:val="left" w:pos="1260"/>
              </w:tabs>
              <w:overflowPunct w:val="0"/>
              <w:jc w:val="center"/>
              <w:rPr>
                <w:rFonts w:ascii="Times New Roman" w:hAnsi="Times New Roman" w:eastAsia="宋体" w:cs="Times New Roman"/>
                <w:color w:val="auto"/>
                <w:sz w:val="28"/>
                <w:szCs w:val="28"/>
              </w:rPr>
            </w:pPr>
          </w:p>
        </w:tc>
        <w:tc>
          <w:tcPr>
            <w:tcW w:w="2148" w:type="pct"/>
            <w:vAlign w:val="center"/>
          </w:tcPr>
          <w:p w14:paraId="02AB5A80">
            <w:pPr>
              <w:overflowPunct w:val="0"/>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w:t>其他事故的跟踪情况</w:t>
            </w:r>
          </w:p>
        </w:tc>
        <w:tc>
          <w:tcPr>
            <w:tcW w:w="2559" w:type="pct"/>
            <w:gridSpan w:val="2"/>
            <w:vAlign w:val="center"/>
          </w:tcPr>
          <w:p w14:paraId="5CCB8FF5">
            <w:pPr>
              <w:overflowPunct w:val="0"/>
              <w:rPr>
                <w:rFonts w:ascii="Times New Roman" w:hAnsi="Times New Roman" w:eastAsia="宋体" w:cs="Times New Roman"/>
                <w:color w:val="auto"/>
                <w:sz w:val="28"/>
                <w:szCs w:val="28"/>
                <w:shd w:val="clear" w:color="auto" w:fill="FFFFFF"/>
              </w:rPr>
            </w:pPr>
            <w:r>
              <w:rPr>
                <w:rFonts w:hint="eastAsia" w:ascii="Times New Roman" w:hAnsi="Times New Roman" w:eastAsia="宋体" w:cs="Times New Roman"/>
                <w:color w:val="auto"/>
                <w:sz w:val="28"/>
                <w:szCs w:val="28"/>
                <w:shd w:val="clear" w:color="auto" w:fill="FFFFFF"/>
                <w:lang w:val="en-US" w:eastAsia="zh-CN"/>
              </w:rPr>
              <w:t>自事故发生后，</w:t>
            </w:r>
            <w:r>
              <w:rPr>
                <w:rFonts w:ascii="Times New Roman" w:hAnsi="Times New Roman" w:eastAsia="宋体" w:cs="Times New Roman"/>
                <w:color w:val="auto"/>
                <w:sz w:val="28"/>
                <w:szCs w:val="28"/>
                <w:shd w:val="clear" w:color="auto" w:fill="FFFFFF"/>
              </w:rPr>
              <w:t>未有其他一般生产安全事故发生。</w:t>
            </w:r>
          </w:p>
        </w:tc>
      </w:tr>
    </w:tbl>
    <w:p w14:paraId="10673615">
      <w:pPr>
        <w:pStyle w:val="27"/>
        <w:spacing w:line="360" w:lineRule="auto"/>
        <w:ind w:firstLine="560"/>
        <w:rPr>
          <w:rFonts w:hint="eastAsia" w:ascii="宋体" w:hAnsi="宋体" w:eastAsia="宋体"/>
          <w:color w:val="auto"/>
          <w:sz w:val="28"/>
          <w:szCs w:val="28"/>
        </w:rPr>
        <w:sectPr>
          <w:pgSz w:w="16838" w:h="11906" w:orient="landscape"/>
          <w:pgMar w:top="1440" w:right="1800" w:bottom="1440" w:left="1800" w:header="851" w:footer="992" w:gutter="0"/>
          <w:cols w:space="0" w:num="1"/>
          <w:rtlGutter w:val="0"/>
          <w:docGrid w:type="lines" w:linePitch="313" w:charSpace="0"/>
        </w:sectPr>
      </w:pPr>
    </w:p>
    <w:p w14:paraId="62B8ADF4">
      <w:pPr>
        <w:pStyle w:val="27"/>
        <w:spacing w:line="360" w:lineRule="auto"/>
        <w:ind w:firstLine="560"/>
        <w:rPr>
          <w:rFonts w:ascii="宋体" w:hAnsi="宋体" w:eastAsia="宋体"/>
          <w:color w:val="auto"/>
          <w:sz w:val="28"/>
          <w:szCs w:val="28"/>
        </w:rPr>
      </w:pPr>
      <w:r>
        <w:rPr>
          <w:rFonts w:hint="eastAsia" w:ascii="宋体" w:hAnsi="宋体" w:eastAsia="宋体"/>
          <w:color w:val="auto"/>
          <w:sz w:val="28"/>
          <w:szCs w:val="28"/>
        </w:rPr>
        <w:t>按照</w:t>
      </w:r>
      <w:r>
        <w:rPr>
          <w:rFonts w:hint="eastAsia" w:ascii="宋体" w:hAnsi="宋体" w:eastAsia="宋体"/>
          <w:color w:val="auto"/>
          <w:sz w:val="28"/>
          <w:szCs w:val="28"/>
          <w:lang w:val="en-US" w:eastAsia="zh-CN"/>
        </w:rPr>
        <w:t>法律</w:t>
      </w:r>
      <w:r>
        <w:rPr>
          <w:rFonts w:hint="eastAsia" w:ascii="宋体" w:hAnsi="宋体" w:eastAsia="宋体"/>
          <w:color w:val="auto"/>
          <w:sz w:val="28"/>
          <w:szCs w:val="28"/>
        </w:rPr>
        <w:t>法规要求</w:t>
      </w:r>
      <w:r>
        <w:rPr>
          <w:rFonts w:hint="eastAsia" w:ascii="宋体" w:hAnsi="宋体" w:eastAsia="宋体"/>
          <w:color w:val="auto"/>
          <w:sz w:val="28"/>
          <w:szCs w:val="28"/>
          <w:lang w:val="en-US" w:eastAsia="zh-CN"/>
        </w:rPr>
        <w:t>对企业提供材料</w:t>
      </w:r>
      <w:r>
        <w:rPr>
          <w:rFonts w:hint="eastAsia" w:ascii="宋体" w:hAnsi="宋体" w:eastAsia="宋体"/>
          <w:color w:val="auto"/>
          <w:sz w:val="28"/>
          <w:szCs w:val="28"/>
        </w:rPr>
        <w:t>进行评估，发现问题如下：</w:t>
      </w:r>
    </w:p>
    <w:p w14:paraId="6BE2AE8E">
      <w:pPr>
        <w:widowControl/>
        <w:jc w:val="left"/>
        <w:rPr>
          <w:color w:val="auto"/>
        </w:rPr>
      </w:pPr>
      <w:r>
        <w:rPr>
          <w:rFonts w:ascii="仿宋_GB2312" w:hAnsi="宋体" w:eastAsia="仿宋_GB2312" w:cs="仿宋_GB2312"/>
          <w:b/>
          <w:bCs/>
          <w:color w:val="auto"/>
          <w:kern w:val="0"/>
          <w:sz w:val="28"/>
          <w:szCs w:val="28"/>
          <w:lang w:bidi="ar"/>
        </w:rPr>
        <w:t>【</w:t>
      </w:r>
      <w:r>
        <w:rPr>
          <w:rFonts w:hint="eastAsia" w:ascii="仿宋_GB2312" w:hAnsi="宋体" w:eastAsia="仿宋_GB2312" w:cs="仿宋_GB2312"/>
          <w:b/>
          <w:bCs/>
          <w:color w:val="auto"/>
          <w:kern w:val="0"/>
          <w:sz w:val="28"/>
          <w:szCs w:val="28"/>
          <w:lang w:bidi="ar"/>
        </w:rPr>
        <w:t>资料问题</w:t>
      </w:r>
      <w:r>
        <w:rPr>
          <w:rFonts w:hint="eastAsia" w:ascii="仿宋_GB2312" w:hAnsi="宋体" w:eastAsia="仿宋_GB2312" w:cs="仿宋_GB2312"/>
          <w:b/>
          <w:bCs/>
          <w:color w:val="auto"/>
          <w:kern w:val="0"/>
          <w:sz w:val="28"/>
          <w:szCs w:val="28"/>
          <w:lang w:val="en-US" w:eastAsia="zh-CN" w:bidi="ar"/>
        </w:rPr>
        <w:t>1</w:t>
      </w:r>
      <w:r>
        <w:rPr>
          <w:rFonts w:ascii="仿宋_GB2312" w:hAnsi="宋体" w:eastAsia="仿宋_GB2312" w:cs="仿宋_GB2312"/>
          <w:b/>
          <w:bCs/>
          <w:color w:val="auto"/>
          <w:kern w:val="0"/>
          <w:sz w:val="28"/>
          <w:szCs w:val="28"/>
          <w:lang w:bidi="ar"/>
        </w:rPr>
        <w:t>】</w:t>
      </w:r>
      <w:r>
        <w:rPr>
          <w:rFonts w:hint="eastAsia" w:ascii="仿宋_GB2312" w:hAnsi="宋体" w:eastAsia="仿宋_GB2312" w:cs="仿宋_GB2312"/>
          <w:b/>
          <w:bCs/>
          <w:color w:val="auto"/>
          <w:kern w:val="0"/>
          <w:sz w:val="28"/>
          <w:szCs w:val="28"/>
          <w:lang w:bidi="ar"/>
        </w:rPr>
        <w:t>：</w:t>
      </w:r>
    </w:p>
    <w:p w14:paraId="4F0444F6">
      <w:pPr>
        <w:pageBreakBefore w:val="0"/>
        <w:kinsoku/>
        <w:wordWrap/>
        <w:overflowPunct w:val="0"/>
        <w:topLinePunct w:val="0"/>
        <w:autoSpaceDE/>
        <w:autoSpaceDN/>
        <w:bidi w:val="0"/>
        <w:adjustRightInd/>
        <w:snapToGrid/>
        <w:spacing w:line="560" w:lineRule="exact"/>
        <w:ind w:firstLine="560"/>
        <w:textAlignment w:val="auto"/>
        <w:rPr>
          <w:rFonts w:hint="eastAsia" w:ascii="宋体" w:hAnsi="宋体" w:eastAsia="宋体" w:cs="宋体"/>
          <w:color w:val="auto"/>
          <w:sz w:val="28"/>
          <w:szCs w:val="28"/>
          <w:lang w:val="en-US" w:eastAsia="zh-CN"/>
        </w:rPr>
      </w:pPr>
      <w:r>
        <w:rPr>
          <w:rFonts w:hint="default" w:ascii="Times New Roman" w:hAnsi="Times New Roman" w:eastAsia="宋体" w:cs="Times New Roman"/>
          <w:color w:val="auto"/>
          <w:sz w:val="28"/>
          <w:lang w:val="zh-CN" w:eastAsia="zh-CN"/>
        </w:rPr>
        <w:t>目前</w:t>
      </w:r>
      <w:r>
        <w:rPr>
          <w:rFonts w:hint="eastAsia" w:ascii="Times New Roman" w:hAnsi="Times New Roman" w:eastAsia="宋体" w:cs="Times New Roman"/>
          <w:color w:val="auto"/>
          <w:sz w:val="28"/>
          <w:lang w:val="en-US" w:eastAsia="zh-CN"/>
        </w:rPr>
        <w:t>企业</w:t>
      </w:r>
      <w:r>
        <w:rPr>
          <w:rFonts w:hint="default" w:ascii="Times New Roman" w:hAnsi="Times New Roman" w:eastAsia="宋体" w:cs="Times New Roman"/>
          <w:color w:val="auto"/>
          <w:sz w:val="28"/>
          <w:lang w:val="zh-CN" w:eastAsia="zh-CN"/>
        </w:rPr>
        <w:t>制定</w:t>
      </w:r>
      <w:r>
        <w:rPr>
          <w:rFonts w:hint="eastAsia" w:ascii="Times New Roman" w:hAnsi="Times New Roman" w:eastAsia="宋体" w:cs="Times New Roman"/>
          <w:color w:val="auto"/>
          <w:sz w:val="28"/>
          <w:lang w:val="en-US" w:eastAsia="zh-CN"/>
        </w:rPr>
        <w:t>的</w:t>
      </w:r>
      <w:r>
        <w:rPr>
          <w:rFonts w:hint="default" w:ascii="Times New Roman" w:hAnsi="Times New Roman" w:eastAsia="宋体" w:cs="Times New Roman"/>
          <w:color w:val="auto"/>
          <w:sz w:val="28"/>
          <w:lang w:val="zh-CN" w:eastAsia="zh-CN"/>
        </w:rPr>
        <w:t>安全管理制度，总体上相对完善，</w:t>
      </w:r>
      <w:r>
        <w:rPr>
          <w:rFonts w:hint="eastAsia" w:ascii="Times New Roman" w:hAnsi="Times New Roman" w:eastAsia="宋体" w:cs="Times New Roman"/>
          <w:color w:val="auto"/>
          <w:sz w:val="28"/>
          <w:lang w:val="en-US" w:eastAsia="zh-CN"/>
        </w:rPr>
        <w:t>从内容上看也相对全面，基本满足了法律法规的基本要求，但制度执行情况没有形成相应的记录文件。</w:t>
      </w:r>
    </w:p>
    <w:p w14:paraId="33A75E68">
      <w:pPr>
        <w:widowControl/>
        <w:jc w:val="left"/>
        <w:rPr>
          <w:color w:val="auto"/>
        </w:rPr>
      </w:pPr>
      <w:r>
        <w:rPr>
          <w:rFonts w:ascii="仿宋_GB2312" w:hAnsi="宋体" w:eastAsia="仿宋_GB2312" w:cs="仿宋_GB2312"/>
          <w:b/>
          <w:bCs/>
          <w:color w:val="auto"/>
          <w:kern w:val="0"/>
          <w:sz w:val="28"/>
          <w:szCs w:val="28"/>
          <w:lang w:bidi="ar"/>
        </w:rPr>
        <w:t>【</w:t>
      </w:r>
      <w:r>
        <w:rPr>
          <w:rFonts w:hint="eastAsia" w:ascii="仿宋_GB2312" w:hAnsi="宋体" w:eastAsia="仿宋_GB2312" w:cs="仿宋_GB2312"/>
          <w:b/>
          <w:bCs/>
          <w:color w:val="auto"/>
          <w:kern w:val="0"/>
          <w:sz w:val="28"/>
          <w:szCs w:val="28"/>
          <w:lang w:bidi="ar"/>
        </w:rPr>
        <w:t>建议措施</w:t>
      </w:r>
      <w:r>
        <w:rPr>
          <w:rFonts w:hint="eastAsia" w:ascii="仿宋_GB2312" w:hAnsi="宋体" w:eastAsia="仿宋_GB2312" w:cs="仿宋_GB2312"/>
          <w:b/>
          <w:bCs/>
          <w:color w:val="auto"/>
          <w:kern w:val="0"/>
          <w:sz w:val="28"/>
          <w:szCs w:val="28"/>
          <w:lang w:val="en-US" w:eastAsia="zh-CN" w:bidi="ar"/>
        </w:rPr>
        <w:t>1</w:t>
      </w:r>
      <w:r>
        <w:rPr>
          <w:rFonts w:ascii="仿宋_GB2312" w:hAnsi="宋体" w:eastAsia="仿宋_GB2312" w:cs="仿宋_GB2312"/>
          <w:b/>
          <w:bCs/>
          <w:color w:val="auto"/>
          <w:kern w:val="0"/>
          <w:sz w:val="28"/>
          <w:szCs w:val="28"/>
          <w:lang w:bidi="ar"/>
        </w:rPr>
        <w:t>】</w:t>
      </w:r>
      <w:r>
        <w:rPr>
          <w:rFonts w:hint="eastAsia" w:ascii="仿宋_GB2312" w:hAnsi="宋体" w:eastAsia="仿宋_GB2312" w:cs="仿宋_GB2312"/>
          <w:b/>
          <w:bCs/>
          <w:color w:val="auto"/>
          <w:kern w:val="0"/>
          <w:sz w:val="28"/>
          <w:szCs w:val="28"/>
          <w:lang w:bidi="ar"/>
        </w:rPr>
        <w:t>：</w:t>
      </w:r>
    </w:p>
    <w:p w14:paraId="76B2A6B2">
      <w:pPr>
        <w:pageBreakBefore w:val="0"/>
        <w:kinsoku/>
        <w:wordWrap/>
        <w:overflowPunct w:val="0"/>
        <w:topLinePunct w:val="0"/>
        <w:autoSpaceDE/>
        <w:autoSpaceDN/>
        <w:bidi w:val="0"/>
        <w:adjustRightInd/>
        <w:snapToGrid/>
        <w:spacing w:line="560" w:lineRule="exact"/>
        <w:ind w:firstLine="560"/>
        <w:textAlignment w:val="auto"/>
        <w:rPr>
          <w:rFonts w:hint="default" w:ascii="宋体" w:hAnsi="宋体" w:eastAsia="宋体" w:cs="宋体"/>
          <w:color w:val="auto"/>
          <w:sz w:val="28"/>
          <w:szCs w:val="28"/>
          <w:lang w:val="en-US" w:eastAsia="zh-CN"/>
        </w:rPr>
      </w:pPr>
      <w:r>
        <w:rPr>
          <w:rFonts w:hint="eastAsia" w:ascii="Times New Roman" w:hAnsi="Times New Roman" w:eastAsia="宋体" w:cs="Times New Roman"/>
          <w:color w:val="auto"/>
          <w:sz w:val="28"/>
          <w:szCs w:val="28"/>
          <w:lang w:eastAsia="zh-CN"/>
        </w:rPr>
        <w:t>南天汇通公司</w:t>
      </w:r>
      <w:r>
        <w:rPr>
          <w:rFonts w:hint="eastAsia" w:ascii="Times New Roman" w:hAnsi="Times New Roman" w:eastAsia="宋体" w:cs="Times New Roman"/>
          <w:color w:val="auto"/>
          <w:sz w:val="28"/>
          <w:szCs w:val="28"/>
          <w:lang w:val="en-US" w:eastAsia="zh-CN"/>
        </w:rPr>
        <w:t>若后续开展相关施工活动，应将</w:t>
      </w:r>
      <w:r>
        <w:rPr>
          <w:rFonts w:hint="eastAsia" w:ascii="宋体" w:hAnsi="宋体" w:eastAsia="宋体" w:cs="宋体"/>
          <w:color w:val="auto"/>
          <w:sz w:val="28"/>
          <w:szCs w:val="28"/>
          <w:lang w:val="en-US" w:eastAsia="zh-CN"/>
        </w:rPr>
        <w:t>各类检查记录妥善留存；隐患整改报告登记表应下发到各部门，落实到岗到人，及工作计划；对于作业及审批记录应在作业完成后及时归档保存；对于各项培训记录，还应保存好会议纪要及培训考核资料；对于应急演练工作记录，应完整制定演练方案（安全保障措施）、演练脚本、演练照片、演练总结与评估等。</w:t>
      </w:r>
    </w:p>
    <w:p w14:paraId="4890E04A">
      <w:pPr>
        <w:widowControl/>
        <w:jc w:val="left"/>
        <w:rPr>
          <w:color w:val="auto"/>
        </w:rPr>
      </w:pPr>
      <w:r>
        <w:rPr>
          <w:rFonts w:ascii="仿宋_GB2312" w:hAnsi="宋体" w:eastAsia="仿宋_GB2312" w:cs="仿宋_GB2312"/>
          <w:b/>
          <w:bCs/>
          <w:color w:val="auto"/>
          <w:kern w:val="0"/>
          <w:sz w:val="28"/>
          <w:szCs w:val="28"/>
          <w:lang w:bidi="ar"/>
        </w:rPr>
        <w:t>【</w:t>
      </w:r>
      <w:r>
        <w:rPr>
          <w:rFonts w:hint="eastAsia" w:ascii="仿宋_GB2312" w:hAnsi="宋体" w:eastAsia="仿宋_GB2312" w:cs="仿宋_GB2312"/>
          <w:b/>
          <w:bCs/>
          <w:color w:val="auto"/>
          <w:kern w:val="0"/>
          <w:sz w:val="28"/>
          <w:szCs w:val="28"/>
          <w:lang w:bidi="ar"/>
        </w:rPr>
        <w:t>资料问题</w:t>
      </w:r>
      <w:r>
        <w:rPr>
          <w:rFonts w:hint="eastAsia" w:ascii="仿宋_GB2312" w:hAnsi="宋体" w:eastAsia="仿宋_GB2312" w:cs="仿宋_GB2312"/>
          <w:b/>
          <w:bCs/>
          <w:color w:val="auto"/>
          <w:kern w:val="0"/>
          <w:sz w:val="28"/>
          <w:szCs w:val="28"/>
          <w:lang w:val="en-US" w:eastAsia="zh-CN" w:bidi="ar"/>
        </w:rPr>
        <w:t>2</w:t>
      </w:r>
      <w:r>
        <w:rPr>
          <w:rFonts w:ascii="仿宋_GB2312" w:hAnsi="宋体" w:eastAsia="仿宋_GB2312" w:cs="仿宋_GB2312"/>
          <w:b/>
          <w:bCs/>
          <w:color w:val="auto"/>
          <w:kern w:val="0"/>
          <w:sz w:val="28"/>
          <w:szCs w:val="28"/>
          <w:lang w:bidi="ar"/>
        </w:rPr>
        <w:t>】</w:t>
      </w:r>
      <w:r>
        <w:rPr>
          <w:rFonts w:hint="eastAsia" w:ascii="仿宋_GB2312" w:hAnsi="宋体" w:eastAsia="仿宋_GB2312" w:cs="仿宋_GB2312"/>
          <w:b/>
          <w:bCs/>
          <w:color w:val="auto"/>
          <w:kern w:val="0"/>
          <w:sz w:val="28"/>
          <w:szCs w:val="28"/>
          <w:lang w:bidi="ar"/>
        </w:rPr>
        <w:t>：</w:t>
      </w:r>
    </w:p>
    <w:p w14:paraId="4A981F91">
      <w:pPr>
        <w:pStyle w:val="27"/>
        <w:spacing w:line="360" w:lineRule="auto"/>
        <w:ind w:firstLine="560"/>
        <w:rPr>
          <w:rFonts w:ascii="宋体" w:hAnsi="宋体" w:eastAsia="宋体"/>
          <w:color w:val="auto"/>
          <w:sz w:val="28"/>
          <w:szCs w:val="28"/>
        </w:rPr>
      </w:pPr>
      <w:r>
        <w:rPr>
          <w:rFonts w:hint="eastAsia" w:ascii="宋体" w:hAnsi="宋体" w:eastAsia="宋体"/>
          <w:color w:val="auto"/>
          <w:sz w:val="28"/>
          <w:szCs w:val="28"/>
        </w:rPr>
        <w:t>《中华人民共和国安全生产法》第五十一条、《建设工程安全生产管理条例》第三十八条均要求员工、作业人员参保工伤或意外保险。目前</w:t>
      </w:r>
      <w:r>
        <w:rPr>
          <w:rFonts w:hint="eastAsia" w:ascii="宋体" w:hAnsi="宋体" w:eastAsia="宋体"/>
          <w:color w:val="auto"/>
          <w:sz w:val="28"/>
          <w:szCs w:val="28"/>
          <w:lang w:val="en-US" w:eastAsia="zh-CN"/>
        </w:rPr>
        <w:t>未见</w:t>
      </w:r>
      <w:r>
        <w:rPr>
          <w:rFonts w:hint="eastAsia" w:ascii="宋体" w:hAnsi="宋体" w:eastAsia="宋体"/>
          <w:color w:val="auto"/>
          <w:sz w:val="28"/>
          <w:szCs w:val="28"/>
        </w:rPr>
        <w:t>相关</w:t>
      </w:r>
      <w:r>
        <w:rPr>
          <w:rFonts w:hint="eastAsia" w:ascii="宋体" w:hAnsi="宋体" w:eastAsia="宋体"/>
          <w:color w:val="auto"/>
          <w:sz w:val="28"/>
          <w:szCs w:val="28"/>
          <w:lang w:val="en-US" w:eastAsia="zh-CN"/>
        </w:rPr>
        <w:t>制度文件要求</w:t>
      </w:r>
      <w:r>
        <w:rPr>
          <w:rFonts w:hint="eastAsia" w:ascii="宋体" w:hAnsi="宋体" w:eastAsia="宋体"/>
          <w:color w:val="auto"/>
          <w:sz w:val="28"/>
          <w:szCs w:val="28"/>
        </w:rPr>
        <w:t>。</w:t>
      </w:r>
    </w:p>
    <w:p w14:paraId="4399C7C9">
      <w:pPr>
        <w:widowControl/>
        <w:jc w:val="left"/>
        <w:rPr>
          <w:color w:val="auto"/>
        </w:rPr>
      </w:pPr>
      <w:r>
        <w:rPr>
          <w:rFonts w:ascii="仿宋_GB2312" w:hAnsi="宋体" w:eastAsia="仿宋_GB2312" w:cs="仿宋_GB2312"/>
          <w:b/>
          <w:bCs/>
          <w:color w:val="auto"/>
          <w:kern w:val="0"/>
          <w:sz w:val="28"/>
          <w:szCs w:val="28"/>
          <w:lang w:bidi="ar"/>
        </w:rPr>
        <w:t>【</w:t>
      </w:r>
      <w:r>
        <w:rPr>
          <w:rFonts w:hint="eastAsia" w:ascii="仿宋_GB2312" w:hAnsi="宋体" w:eastAsia="仿宋_GB2312" w:cs="仿宋_GB2312"/>
          <w:b/>
          <w:bCs/>
          <w:color w:val="auto"/>
          <w:kern w:val="0"/>
          <w:sz w:val="28"/>
          <w:szCs w:val="28"/>
          <w:lang w:bidi="ar"/>
        </w:rPr>
        <w:t>建议措施</w:t>
      </w:r>
      <w:r>
        <w:rPr>
          <w:rFonts w:hint="eastAsia" w:ascii="仿宋_GB2312" w:hAnsi="宋体" w:eastAsia="仿宋_GB2312" w:cs="仿宋_GB2312"/>
          <w:b/>
          <w:bCs/>
          <w:color w:val="auto"/>
          <w:kern w:val="0"/>
          <w:sz w:val="28"/>
          <w:szCs w:val="28"/>
          <w:lang w:val="en-US" w:eastAsia="zh-CN" w:bidi="ar"/>
        </w:rPr>
        <w:t>2</w:t>
      </w:r>
      <w:r>
        <w:rPr>
          <w:rFonts w:ascii="仿宋_GB2312" w:hAnsi="宋体" w:eastAsia="仿宋_GB2312" w:cs="仿宋_GB2312"/>
          <w:b/>
          <w:bCs/>
          <w:color w:val="auto"/>
          <w:kern w:val="0"/>
          <w:sz w:val="28"/>
          <w:szCs w:val="28"/>
          <w:lang w:bidi="ar"/>
        </w:rPr>
        <w:t>】</w:t>
      </w:r>
      <w:r>
        <w:rPr>
          <w:rFonts w:hint="eastAsia" w:ascii="仿宋_GB2312" w:hAnsi="宋体" w:eastAsia="仿宋_GB2312" w:cs="仿宋_GB2312"/>
          <w:b/>
          <w:bCs/>
          <w:color w:val="auto"/>
          <w:kern w:val="0"/>
          <w:sz w:val="28"/>
          <w:szCs w:val="28"/>
          <w:lang w:bidi="ar"/>
        </w:rPr>
        <w:t>：</w:t>
      </w:r>
    </w:p>
    <w:p w14:paraId="1078D4DF">
      <w:pPr>
        <w:pStyle w:val="27"/>
        <w:spacing w:line="360" w:lineRule="auto"/>
        <w:ind w:firstLine="560"/>
        <w:rPr>
          <w:rFonts w:hint="eastAsia" w:ascii="宋体" w:hAnsi="宋体" w:eastAsia="宋体"/>
          <w:color w:val="auto"/>
          <w:sz w:val="28"/>
          <w:szCs w:val="28"/>
        </w:rPr>
      </w:pPr>
      <w:r>
        <w:rPr>
          <w:rFonts w:hint="eastAsia" w:ascii="宋体" w:hAnsi="宋体" w:eastAsia="宋体"/>
          <w:color w:val="auto"/>
          <w:sz w:val="28"/>
          <w:szCs w:val="28"/>
        </w:rPr>
        <w:t>建筑行业安全风险较高，事故发生频次较高、施工后果也较为严重。建议按照法规要求，施工总包单位要求所有现场施工作业人员参保意外险，其中危险作业人员必须参保；且“</w:t>
      </w:r>
      <w:r>
        <w:rPr>
          <w:rFonts w:ascii="Times New Roman" w:hAnsi="Times New Roman" w:eastAsia="宋体" w:cs="Times New Roman"/>
          <w:color w:val="auto"/>
          <w:sz w:val="28"/>
          <w:szCs w:val="28"/>
        </w:rPr>
        <w:t>意外伤害保险期限自建设工程开工之日起至竣工验收合格止</w:t>
      </w:r>
      <w:r>
        <w:rPr>
          <w:rFonts w:hint="eastAsia" w:ascii="宋体" w:hAnsi="宋体" w:eastAsia="宋体"/>
          <w:color w:val="auto"/>
          <w:sz w:val="28"/>
          <w:szCs w:val="28"/>
        </w:rPr>
        <w:t>”；将参保资料妥善保存至工程安全施工档案中，若发生突发事件，需要启动保障时，可随时查找。</w:t>
      </w:r>
    </w:p>
    <w:p w14:paraId="0C2C09E9">
      <w:pPr>
        <w:pStyle w:val="27"/>
        <w:spacing w:line="360" w:lineRule="auto"/>
        <w:ind w:firstLine="560"/>
        <w:rPr>
          <w:rFonts w:hint="default" w:ascii="宋体" w:hAnsi="宋体" w:eastAsia="宋体"/>
          <w:color w:val="auto"/>
          <w:sz w:val="28"/>
          <w:szCs w:val="28"/>
          <w:lang w:val="en-US" w:eastAsia="zh-CN"/>
        </w:rPr>
      </w:pPr>
      <w:r>
        <w:rPr>
          <w:rFonts w:hint="eastAsia" w:ascii="Times New Roman" w:hAnsi="Times New Roman" w:eastAsia="宋体" w:cs="Times New Roman"/>
          <w:color w:val="auto"/>
          <w:sz w:val="28"/>
          <w:szCs w:val="28"/>
          <w:lang w:eastAsia="zh-CN"/>
        </w:rPr>
        <w:t>南天汇通公司</w:t>
      </w:r>
      <w:r>
        <w:rPr>
          <w:rFonts w:hint="eastAsia" w:ascii="Times New Roman" w:hAnsi="Times New Roman" w:eastAsia="宋体" w:cs="Times New Roman"/>
          <w:color w:val="auto"/>
          <w:sz w:val="28"/>
          <w:szCs w:val="28"/>
          <w:lang w:val="en-US" w:eastAsia="zh-CN"/>
        </w:rPr>
        <w:t>应从公司层面完善相关规定。</w:t>
      </w:r>
    </w:p>
    <w:p w14:paraId="3C36F188">
      <w:pPr>
        <w:widowControl/>
        <w:jc w:val="left"/>
        <w:rPr>
          <w:color w:val="auto"/>
        </w:rPr>
      </w:pPr>
      <w:r>
        <w:rPr>
          <w:rFonts w:ascii="仿宋_GB2312" w:hAnsi="宋体" w:eastAsia="仿宋_GB2312" w:cs="仿宋_GB2312"/>
          <w:b/>
          <w:bCs/>
          <w:color w:val="auto"/>
          <w:kern w:val="0"/>
          <w:sz w:val="28"/>
          <w:szCs w:val="28"/>
          <w:lang w:bidi="ar"/>
        </w:rPr>
        <w:t>【</w:t>
      </w:r>
      <w:r>
        <w:rPr>
          <w:rFonts w:hint="eastAsia" w:ascii="仿宋_GB2312" w:hAnsi="宋体" w:eastAsia="仿宋_GB2312" w:cs="仿宋_GB2312"/>
          <w:b/>
          <w:bCs/>
          <w:color w:val="auto"/>
          <w:kern w:val="0"/>
          <w:sz w:val="28"/>
          <w:szCs w:val="28"/>
          <w:lang w:bidi="ar"/>
        </w:rPr>
        <w:t>资料问题</w:t>
      </w:r>
      <w:r>
        <w:rPr>
          <w:rFonts w:hint="eastAsia" w:ascii="仿宋_GB2312" w:hAnsi="宋体" w:eastAsia="仿宋_GB2312" w:cs="仿宋_GB2312"/>
          <w:b/>
          <w:bCs/>
          <w:color w:val="auto"/>
          <w:kern w:val="0"/>
          <w:sz w:val="28"/>
          <w:szCs w:val="28"/>
          <w:lang w:val="en-US" w:eastAsia="zh-CN" w:bidi="ar"/>
        </w:rPr>
        <w:t>3</w:t>
      </w:r>
      <w:r>
        <w:rPr>
          <w:rFonts w:ascii="仿宋_GB2312" w:hAnsi="宋体" w:eastAsia="仿宋_GB2312" w:cs="仿宋_GB2312"/>
          <w:b/>
          <w:bCs/>
          <w:color w:val="auto"/>
          <w:kern w:val="0"/>
          <w:sz w:val="28"/>
          <w:szCs w:val="28"/>
          <w:lang w:bidi="ar"/>
        </w:rPr>
        <w:t>】</w:t>
      </w:r>
      <w:r>
        <w:rPr>
          <w:rFonts w:hint="eastAsia" w:ascii="仿宋_GB2312" w:hAnsi="宋体" w:eastAsia="仿宋_GB2312" w:cs="仿宋_GB2312"/>
          <w:b/>
          <w:bCs/>
          <w:color w:val="auto"/>
          <w:kern w:val="0"/>
          <w:sz w:val="28"/>
          <w:szCs w:val="28"/>
          <w:lang w:bidi="ar"/>
        </w:rPr>
        <w:t>：</w:t>
      </w:r>
    </w:p>
    <w:p w14:paraId="6B459793">
      <w:pPr>
        <w:pStyle w:val="27"/>
        <w:spacing w:line="360" w:lineRule="auto"/>
        <w:ind w:firstLine="560"/>
        <w:rPr>
          <w:rFonts w:ascii="宋体" w:hAnsi="宋体" w:eastAsia="宋体"/>
          <w:color w:val="auto"/>
          <w:sz w:val="28"/>
          <w:szCs w:val="28"/>
        </w:rPr>
      </w:pPr>
      <w:r>
        <w:rPr>
          <w:rFonts w:hint="eastAsia" w:ascii="宋体" w:hAnsi="宋体" w:eastAsia="宋体"/>
          <w:color w:val="auto"/>
          <w:sz w:val="28"/>
          <w:szCs w:val="28"/>
        </w:rPr>
        <w:t>《中华人民共和国安全生产法》第二十三条、《建设工程安全生产管理条例》第二十二条要求，安全措施费用</w:t>
      </w:r>
      <w:r>
        <w:rPr>
          <w:rFonts w:hint="eastAsia" w:ascii="宋体" w:hAnsi="宋体" w:eastAsia="宋体"/>
          <w:color w:val="auto"/>
          <w:sz w:val="28"/>
          <w:szCs w:val="28"/>
          <w:lang w:eastAsia="zh-CN"/>
        </w:rPr>
        <w:t>专项</w:t>
      </w:r>
      <w:r>
        <w:rPr>
          <w:rFonts w:hint="eastAsia" w:ascii="宋体" w:hAnsi="宋体" w:eastAsia="宋体"/>
          <w:color w:val="auto"/>
          <w:sz w:val="28"/>
          <w:szCs w:val="28"/>
        </w:rPr>
        <w:t>支出。目前</w:t>
      </w:r>
      <w:r>
        <w:rPr>
          <w:rFonts w:hint="eastAsia" w:ascii="宋体" w:hAnsi="宋体" w:eastAsia="宋体"/>
          <w:color w:val="auto"/>
          <w:sz w:val="28"/>
          <w:szCs w:val="28"/>
          <w:lang w:eastAsia="zh-CN"/>
        </w:rPr>
        <w:t>南天汇通公司</w:t>
      </w:r>
      <w:r>
        <w:rPr>
          <w:rFonts w:hint="eastAsia" w:ascii="宋体" w:hAnsi="宋体" w:eastAsia="宋体"/>
          <w:color w:val="auto"/>
          <w:sz w:val="28"/>
          <w:szCs w:val="28"/>
          <w:lang w:val="en-US" w:eastAsia="zh-CN"/>
        </w:rPr>
        <w:t>仅</w:t>
      </w:r>
      <w:r>
        <w:rPr>
          <w:rFonts w:hint="eastAsia" w:ascii="宋体" w:hAnsi="宋体" w:eastAsia="宋体"/>
          <w:color w:val="auto"/>
          <w:sz w:val="28"/>
          <w:szCs w:val="28"/>
        </w:rPr>
        <w:t>提供了劳保用品</w:t>
      </w:r>
      <w:r>
        <w:rPr>
          <w:rFonts w:hint="eastAsia" w:ascii="宋体" w:hAnsi="宋体" w:eastAsia="宋体"/>
          <w:color w:val="auto"/>
          <w:sz w:val="28"/>
          <w:szCs w:val="28"/>
          <w:lang w:val="en-US" w:eastAsia="zh-CN"/>
        </w:rPr>
        <w:t>发</w:t>
      </w:r>
      <w:r>
        <w:rPr>
          <w:rFonts w:hint="eastAsia" w:ascii="宋体" w:hAnsi="宋体" w:eastAsia="宋体"/>
          <w:color w:val="auto"/>
          <w:sz w:val="28"/>
          <w:szCs w:val="28"/>
        </w:rPr>
        <w:t>放记录，其他支出未统一列明。</w:t>
      </w:r>
    </w:p>
    <w:p w14:paraId="36CC74B1">
      <w:pPr>
        <w:widowControl/>
        <w:jc w:val="left"/>
        <w:rPr>
          <w:color w:val="auto"/>
        </w:rPr>
      </w:pPr>
      <w:r>
        <w:rPr>
          <w:rFonts w:ascii="仿宋_GB2312" w:hAnsi="宋体" w:eastAsia="仿宋_GB2312" w:cs="仿宋_GB2312"/>
          <w:b/>
          <w:bCs/>
          <w:color w:val="auto"/>
          <w:kern w:val="0"/>
          <w:sz w:val="28"/>
          <w:szCs w:val="28"/>
          <w:lang w:bidi="ar"/>
        </w:rPr>
        <w:t>【</w:t>
      </w:r>
      <w:r>
        <w:rPr>
          <w:rFonts w:hint="eastAsia" w:ascii="仿宋_GB2312" w:hAnsi="宋体" w:eastAsia="仿宋_GB2312" w:cs="仿宋_GB2312"/>
          <w:b/>
          <w:bCs/>
          <w:color w:val="auto"/>
          <w:kern w:val="0"/>
          <w:sz w:val="28"/>
          <w:szCs w:val="28"/>
          <w:lang w:bidi="ar"/>
        </w:rPr>
        <w:t>建议措施</w:t>
      </w:r>
      <w:r>
        <w:rPr>
          <w:rFonts w:hint="eastAsia" w:ascii="仿宋_GB2312" w:hAnsi="宋体" w:eastAsia="仿宋_GB2312" w:cs="仿宋_GB2312"/>
          <w:b/>
          <w:bCs/>
          <w:color w:val="auto"/>
          <w:kern w:val="0"/>
          <w:sz w:val="28"/>
          <w:szCs w:val="28"/>
          <w:lang w:val="en-US" w:eastAsia="zh-CN" w:bidi="ar"/>
        </w:rPr>
        <w:t>3</w:t>
      </w:r>
      <w:r>
        <w:rPr>
          <w:rFonts w:ascii="仿宋_GB2312" w:hAnsi="宋体" w:eastAsia="仿宋_GB2312" w:cs="仿宋_GB2312"/>
          <w:b/>
          <w:bCs/>
          <w:color w:val="auto"/>
          <w:kern w:val="0"/>
          <w:sz w:val="28"/>
          <w:szCs w:val="28"/>
          <w:lang w:bidi="ar"/>
        </w:rPr>
        <w:t>】</w:t>
      </w:r>
      <w:r>
        <w:rPr>
          <w:rFonts w:hint="eastAsia" w:ascii="仿宋_GB2312" w:hAnsi="宋体" w:eastAsia="仿宋_GB2312" w:cs="仿宋_GB2312"/>
          <w:b/>
          <w:bCs/>
          <w:color w:val="auto"/>
          <w:kern w:val="0"/>
          <w:sz w:val="28"/>
          <w:szCs w:val="28"/>
          <w:lang w:bidi="ar"/>
        </w:rPr>
        <w:t>：</w:t>
      </w:r>
    </w:p>
    <w:p w14:paraId="7CEAF2F8">
      <w:pPr>
        <w:pStyle w:val="27"/>
        <w:spacing w:line="360" w:lineRule="auto"/>
        <w:ind w:firstLine="560"/>
        <w:rPr>
          <w:rFonts w:hint="eastAsia" w:ascii="宋体" w:hAnsi="宋体" w:eastAsia="宋体"/>
          <w:color w:val="auto"/>
          <w:sz w:val="28"/>
          <w:szCs w:val="28"/>
        </w:rPr>
      </w:pPr>
      <w:r>
        <w:rPr>
          <w:rFonts w:hint="eastAsia" w:ascii="Times New Roman" w:hAnsi="Times New Roman" w:eastAsia="宋体" w:cs="Times New Roman"/>
          <w:color w:val="auto"/>
          <w:sz w:val="28"/>
          <w:szCs w:val="28"/>
          <w:lang w:eastAsia="zh-CN"/>
        </w:rPr>
        <w:t>南天汇通公司</w:t>
      </w:r>
      <w:r>
        <w:rPr>
          <w:rFonts w:hint="eastAsia" w:ascii="Times New Roman" w:hAnsi="Times New Roman" w:eastAsia="宋体" w:cs="Times New Roman"/>
          <w:color w:val="auto"/>
          <w:sz w:val="28"/>
          <w:szCs w:val="28"/>
          <w:lang w:val="en-US" w:eastAsia="zh-CN"/>
        </w:rPr>
        <w:t>应从公司层面完善相关规定。</w:t>
      </w:r>
      <w:r>
        <w:rPr>
          <w:rFonts w:hint="eastAsia" w:ascii="宋体" w:hAnsi="宋体" w:eastAsia="宋体"/>
          <w:color w:val="auto"/>
          <w:sz w:val="28"/>
          <w:szCs w:val="28"/>
        </w:rPr>
        <w:t>建立安全生产费用管理台账，列明各项费用支出明细，纳入安全</w:t>
      </w:r>
      <w:r>
        <w:rPr>
          <w:rFonts w:hint="eastAsia" w:ascii="宋体" w:hAnsi="宋体" w:eastAsia="宋体"/>
          <w:color w:val="auto"/>
          <w:sz w:val="28"/>
          <w:szCs w:val="28"/>
          <w:lang w:val="en-US" w:eastAsia="zh-CN"/>
        </w:rPr>
        <w:t>管理</w:t>
      </w:r>
      <w:r>
        <w:rPr>
          <w:rFonts w:hint="eastAsia" w:ascii="宋体" w:hAnsi="宋体" w:eastAsia="宋体"/>
          <w:color w:val="auto"/>
          <w:sz w:val="28"/>
          <w:szCs w:val="28"/>
        </w:rPr>
        <w:t>档案中，务必确保专款专用。</w:t>
      </w:r>
    </w:p>
    <w:p w14:paraId="7559B42F">
      <w:pPr>
        <w:widowControl/>
        <w:jc w:val="left"/>
        <w:rPr>
          <w:color w:val="auto"/>
        </w:rPr>
      </w:pPr>
      <w:r>
        <w:rPr>
          <w:rFonts w:ascii="仿宋_GB2312" w:hAnsi="宋体" w:eastAsia="仿宋_GB2312" w:cs="仿宋_GB2312"/>
          <w:b/>
          <w:bCs/>
          <w:color w:val="auto"/>
          <w:kern w:val="0"/>
          <w:sz w:val="28"/>
          <w:szCs w:val="28"/>
          <w:lang w:bidi="ar"/>
        </w:rPr>
        <w:t>【</w:t>
      </w:r>
      <w:r>
        <w:rPr>
          <w:rFonts w:hint="eastAsia" w:ascii="仿宋_GB2312" w:hAnsi="宋体" w:eastAsia="仿宋_GB2312" w:cs="仿宋_GB2312"/>
          <w:b/>
          <w:bCs/>
          <w:color w:val="auto"/>
          <w:kern w:val="0"/>
          <w:sz w:val="28"/>
          <w:szCs w:val="28"/>
          <w:lang w:bidi="ar"/>
        </w:rPr>
        <w:t>资料问题</w:t>
      </w:r>
      <w:r>
        <w:rPr>
          <w:rFonts w:hint="eastAsia" w:ascii="仿宋_GB2312" w:hAnsi="宋体" w:eastAsia="仿宋_GB2312" w:cs="仿宋_GB2312"/>
          <w:b/>
          <w:bCs/>
          <w:color w:val="auto"/>
          <w:kern w:val="0"/>
          <w:sz w:val="28"/>
          <w:szCs w:val="28"/>
          <w:lang w:val="en-US" w:eastAsia="zh-CN" w:bidi="ar"/>
        </w:rPr>
        <w:t>4</w:t>
      </w:r>
      <w:r>
        <w:rPr>
          <w:rFonts w:ascii="仿宋_GB2312" w:hAnsi="宋体" w:eastAsia="仿宋_GB2312" w:cs="仿宋_GB2312"/>
          <w:b/>
          <w:bCs/>
          <w:color w:val="auto"/>
          <w:kern w:val="0"/>
          <w:sz w:val="28"/>
          <w:szCs w:val="28"/>
          <w:lang w:bidi="ar"/>
        </w:rPr>
        <w:t>】</w:t>
      </w:r>
      <w:r>
        <w:rPr>
          <w:rFonts w:hint="eastAsia" w:ascii="仿宋_GB2312" w:hAnsi="宋体" w:eastAsia="仿宋_GB2312" w:cs="仿宋_GB2312"/>
          <w:b/>
          <w:bCs/>
          <w:color w:val="auto"/>
          <w:kern w:val="0"/>
          <w:sz w:val="28"/>
          <w:szCs w:val="28"/>
          <w:lang w:bidi="ar"/>
        </w:rPr>
        <w:t>：</w:t>
      </w:r>
    </w:p>
    <w:p w14:paraId="3EFB0A54">
      <w:pPr>
        <w:pStyle w:val="27"/>
        <w:spacing w:line="360" w:lineRule="auto"/>
        <w:ind w:firstLine="560"/>
        <w:rPr>
          <w:rFonts w:ascii="宋体" w:hAnsi="宋体" w:eastAsia="宋体"/>
          <w:color w:val="auto"/>
          <w:sz w:val="28"/>
          <w:szCs w:val="28"/>
        </w:rPr>
      </w:pPr>
      <w:r>
        <w:rPr>
          <w:rFonts w:ascii="Times New Roman" w:hAnsi="Times New Roman" w:eastAsia="宋体" w:cs="Times New Roman"/>
          <w:color w:val="auto"/>
          <w:sz w:val="28"/>
          <w:szCs w:val="28"/>
        </w:rPr>
        <w:t>《中华人民共和国安全生产法》第八十一条</w:t>
      </w:r>
      <w:r>
        <w:rPr>
          <w:rFonts w:hint="eastAsia" w:ascii="Times New Roman" w:hAnsi="Times New Roman" w:eastAsia="宋体" w:cs="Times New Roman"/>
          <w:color w:val="auto"/>
          <w:sz w:val="28"/>
          <w:szCs w:val="28"/>
          <w:lang w:eastAsia="zh-CN"/>
        </w:rPr>
        <w:t>，</w:t>
      </w:r>
      <w:r>
        <w:rPr>
          <w:rFonts w:hint="eastAsia" w:ascii="宋体" w:hAnsi="宋体" w:eastAsia="宋体"/>
          <w:color w:val="auto"/>
          <w:sz w:val="28"/>
          <w:szCs w:val="28"/>
        </w:rPr>
        <w:t>《建设工程安全生产管理条例》第四十八条、第四十九条要求，施工单位应根据建设工程施工的特点、范围，制定施工现场生产安全事故应急救援预案，建立应急救援组织救援人员，配备救援器材、设备，并定期组织演练。</w:t>
      </w:r>
      <w:r>
        <w:rPr>
          <w:rFonts w:hint="eastAsia" w:ascii="宋体" w:hAnsi="宋体" w:eastAsia="宋体"/>
          <w:color w:val="auto"/>
          <w:sz w:val="28"/>
          <w:szCs w:val="28"/>
          <w:lang w:eastAsia="zh-CN"/>
        </w:rPr>
        <w:t>南天汇通公司</w:t>
      </w:r>
      <w:r>
        <w:rPr>
          <w:rFonts w:hint="eastAsia" w:ascii="宋体" w:hAnsi="宋体" w:eastAsia="宋体"/>
          <w:color w:val="auto"/>
          <w:sz w:val="28"/>
          <w:szCs w:val="28"/>
        </w:rPr>
        <w:t>提供了</w:t>
      </w:r>
      <w:r>
        <w:rPr>
          <w:rFonts w:hint="eastAsia" w:ascii="宋体" w:hAnsi="宋体" w:eastAsia="宋体"/>
          <w:color w:val="auto"/>
          <w:sz w:val="28"/>
          <w:szCs w:val="28"/>
          <w:lang w:val="en-US" w:eastAsia="zh-CN"/>
        </w:rPr>
        <w:t>应急预案和一份应急演练方案，但未见应急演练、应急队伍、应急物资相关记录文件</w:t>
      </w:r>
      <w:r>
        <w:rPr>
          <w:rFonts w:hint="eastAsia" w:ascii="宋体" w:hAnsi="宋体" w:eastAsia="宋体"/>
          <w:color w:val="auto"/>
          <w:sz w:val="28"/>
          <w:szCs w:val="28"/>
        </w:rPr>
        <w:t>。</w:t>
      </w:r>
    </w:p>
    <w:p w14:paraId="3826466F">
      <w:pPr>
        <w:widowControl/>
        <w:jc w:val="left"/>
        <w:rPr>
          <w:color w:val="auto"/>
        </w:rPr>
      </w:pPr>
      <w:r>
        <w:rPr>
          <w:rFonts w:ascii="仿宋_GB2312" w:hAnsi="宋体" w:eastAsia="仿宋_GB2312" w:cs="仿宋_GB2312"/>
          <w:b/>
          <w:bCs/>
          <w:color w:val="auto"/>
          <w:kern w:val="0"/>
          <w:sz w:val="28"/>
          <w:szCs w:val="28"/>
          <w:lang w:bidi="ar"/>
        </w:rPr>
        <w:t>【</w:t>
      </w:r>
      <w:r>
        <w:rPr>
          <w:rFonts w:hint="eastAsia" w:ascii="仿宋_GB2312" w:hAnsi="宋体" w:eastAsia="仿宋_GB2312" w:cs="仿宋_GB2312"/>
          <w:b/>
          <w:bCs/>
          <w:color w:val="auto"/>
          <w:kern w:val="0"/>
          <w:sz w:val="28"/>
          <w:szCs w:val="28"/>
          <w:lang w:bidi="ar"/>
        </w:rPr>
        <w:t>建议措施</w:t>
      </w:r>
      <w:r>
        <w:rPr>
          <w:rFonts w:hint="eastAsia" w:ascii="仿宋_GB2312" w:hAnsi="宋体" w:eastAsia="仿宋_GB2312" w:cs="仿宋_GB2312"/>
          <w:b/>
          <w:bCs/>
          <w:color w:val="auto"/>
          <w:kern w:val="0"/>
          <w:sz w:val="28"/>
          <w:szCs w:val="28"/>
          <w:lang w:val="en-US" w:eastAsia="zh-CN" w:bidi="ar"/>
        </w:rPr>
        <w:t>4</w:t>
      </w:r>
      <w:r>
        <w:rPr>
          <w:rFonts w:ascii="仿宋_GB2312" w:hAnsi="宋体" w:eastAsia="仿宋_GB2312" w:cs="仿宋_GB2312"/>
          <w:b/>
          <w:bCs/>
          <w:color w:val="auto"/>
          <w:kern w:val="0"/>
          <w:sz w:val="28"/>
          <w:szCs w:val="28"/>
          <w:lang w:bidi="ar"/>
        </w:rPr>
        <w:t>】</w:t>
      </w:r>
      <w:r>
        <w:rPr>
          <w:rFonts w:hint="eastAsia" w:ascii="仿宋_GB2312" w:hAnsi="宋体" w:eastAsia="仿宋_GB2312" w:cs="仿宋_GB2312"/>
          <w:b/>
          <w:bCs/>
          <w:color w:val="auto"/>
          <w:kern w:val="0"/>
          <w:sz w:val="28"/>
          <w:szCs w:val="28"/>
          <w:lang w:bidi="ar"/>
        </w:rPr>
        <w:t>：</w:t>
      </w:r>
    </w:p>
    <w:p w14:paraId="445FF06B">
      <w:pPr>
        <w:pStyle w:val="27"/>
        <w:spacing w:line="360" w:lineRule="auto"/>
        <w:ind w:firstLine="560"/>
        <w:rPr>
          <w:rFonts w:hint="eastAsia" w:ascii="宋体" w:hAnsi="宋体" w:eastAsia="宋体"/>
          <w:color w:val="auto"/>
          <w:sz w:val="28"/>
          <w:szCs w:val="28"/>
        </w:rPr>
      </w:pPr>
      <w:r>
        <w:rPr>
          <w:rFonts w:hint="eastAsia" w:ascii="Times New Roman" w:hAnsi="Times New Roman" w:eastAsia="宋体" w:cs="Times New Roman"/>
          <w:color w:val="auto"/>
          <w:sz w:val="28"/>
          <w:szCs w:val="28"/>
          <w:lang w:eastAsia="zh-CN"/>
        </w:rPr>
        <w:t>南天汇通公司</w:t>
      </w:r>
      <w:r>
        <w:rPr>
          <w:rFonts w:hint="eastAsia" w:ascii="Times New Roman" w:hAnsi="Times New Roman" w:eastAsia="宋体" w:cs="Times New Roman"/>
          <w:color w:val="auto"/>
          <w:sz w:val="28"/>
          <w:szCs w:val="28"/>
          <w:lang w:val="en-US" w:eastAsia="zh-CN"/>
        </w:rPr>
        <w:t>应从公司层面完善相关规定。</w:t>
      </w:r>
      <w:r>
        <w:rPr>
          <w:rFonts w:hint="eastAsia" w:ascii="宋体" w:hAnsi="宋体" w:eastAsia="宋体"/>
          <w:color w:val="auto"/>
          <w:sz w:val="28"/>
          <w:szCs w:val="28"/>
        </w:rPr>
        <w:t>修订完善应急预案，</w:t>
      </w:r>
      <w:r>
        <w:rPr>
          <w:rFonts w:hint="eastAsia" w:ascii="宋体" w:hAnsi="宋体" w:eastAsia="宋体"/>
          <w:color w:val="auto"/>
          <w:sz w:val="28"/>
          <w:szCs w:val="28"/>
          <w:lang w:val="en-US" w:eastAsia="zh-CN"/>
        </w:rPr>
        <w:t>明确</w:t>
      </w:r>
      <w:r>
        <w:rPr>
          <w:rFonts w:hint="eastAsia" w:ascii="宋体" w:hAnsi="宋体" w:eastAsia="宋体"/>
          <w:color w:val="auto"/>
          <w:sz w:val="28"/>
          <w:szCs w:val="28"/>
        </w:rPr>
        <w:t>救援队伍</w:t>
      </w:r>
      <w:r>
        <w:rPr>
          <w:rFonts w:hint="eastAsia" w:ascii="宋体" w:hAnsi="宋体" w:eastAsia="宋体"/>
          <w:color w:val="auto"/>
          <w:sz w:val="28"/>
          <w:szCs w:val="28"/>
          <w:lang w:eastAsia="zh-CN"/>
        </w:rPr>
        <w:t>、</w:t>
      </w:r>
      <w:r>
        <w:rPr>
          <w:rFonts w:hint="eastAsia" w:ascii="宋体" w:hAnsi="宋体" w:eastAsia="宋体"/>
          <w:color w:val="auto"/>
          <w:sz w:val="28"/>
          <w:szCs w:val="28"/>
        </w:rPr>
        <w:t>应急物资台账</w:t>
      </w:r>
      <w:r>
        <w:rPr>
          <w:rFonts w:hint="eastAsia" w:ascii="宋体" w:hAnsi="宋体" w:eastAsia="宋体"/>
          <w:color w:val="auto"/>
          <w:sz w:val="28"/>
          <w:szCs w:val="28"/>
          <w:lang w:val="en-US" w:eastAsia="zh-CN"/>
        </w:rPr>
        <w:t>基本要求，规定应急演练频次和开展方式，并留存执行记录</w:t>
      </w:r>
      <w:r>
        <w:rPr>
          <w:rFonts w:hint="eastAsia" w:ascii="宋体" w:hAnsi="宋体" w:eastAsia="宋体"/>
          <w:color w:val="auto"/>
          <w:sz w:val="28"/>
          <w:szCs w:val="28"/>
        </w:rPr>
        <w:t>。</w:t>
      </w:r>
    </w:p>
    <w:p w14:paraId="0B5AA291">
      <w:pPr>
        <w:widowControl/>
        <w:jc w:val="left"/>
        <w:rPr>
          <w:color w:val="auto"/>
        </w:rPr>
      </w:pPr>
      <w:r>
        <w:rPr>
          <w:rFonts w:ascii="仿宋_GB2312" w:hAnsi="宋体" w:eastAsia="仿宋_GB2312" w:cs="仿宋_GB2312"/>
          <w:b/>
          <w:bCs/>
          <w:color w:val="auto"/>
          <w:kern w:val="0"/>
          <w:sz w:val="28"/>
          <w:szCs w:val="28"/>
          <w:lang w:bidi="ar"/>
        </w:rPr>
        <w:t>【</w:t>
      </w:r>
      <w:r>
        <w:rPr>
          <w:rFonts w:hint="eastAsia" w:ascii="仿宋_GB2312" w:hAnsi="宋体" w:eastAsia="仿宋_GB2312" w:cs="仿宋_GB2312"/>
          <w:b/>
          <w:bCs/>
          <w:color w:val="auto"/>
          <w:kern w:val="0"/>
          <w:sz w:val="28"/>
          <w:szCs w:val="28"/>
          <w:lang w:bidi="ar"/>
        </w:rPr>
        <w:t>资料问题</w:t>
      </w:r>
      <w:r>
        <w:rPr>
          <w:rFonts w:hint="eastAsia" w:ascii="仿宋_GB2312" w:hAnsi="宋体" w:eastAsia="仿宋_GB2312" w:cs="仿宋_GB2312"/>
          <w:b/>
          <w:bCs/>
          <w:color w:val="auto"/>
          <w:kern w:val="0"/>
          <w:sz w:val="28"/>
          <w:szCs w:val="28"/>
          <w:lang w:val="en-US" w:eastAsia="zh-CN" w:bidi="ar"/>
        </w:rPr>
        <w:t>5</w:t>
      </w:r>
      <w:r>
        <w:rPr>
          <w:rFonts w:ascii="仿宋_GB2312" w:hAnsi="宋体" w:eastAsia="仿宋_GB2312" w:cs="仿宋_GB2312"/>
          <w:b/>
          <w:bCs/>
          <w:color w:val="auto"/>
          <w:kern w:val="0"/>
          <w:sz w:val="28"/>
          <w:szCs w:val="28"/>
          <w:lang w:bidi="ar"/>
        </w:rPr>
        <w:t>】</w:t>
      </w:r>
      <w:r>
        <w:rPr>
          <w:rFonts w:hint="eastAsia" w:ascii="仿宋_GB2312" w:hAnsi="宋体" w:eastAsia="仿宋_GB2312" w:cs="仿宋_GB2312"/>
          <w:b/>
          <w:bCs/>
          <w:color w:val="auto"/>
          <w:kern w:val="0"/>
          <w:sz w:val="28"/>
          <w:szCs w:val="28"/>
          <w:lang w:bidi="ar"/>
        </w:rPr>
        <w:t>：</w:t>
      </w:r>
    </w:p>
    <w:p w14:paraId="5251E6B7">
      <w:pPr>
        <w:pStyle w:val="27"/>
        <w:spacing w:line="360" w:lineRule="auto"/>
        <w:ind w:firstLine="560"/>
        <w:rPr>
          <w:rFonts w:hint="eastAsia" w:ascii="宋体" w:hAnsi="宋体" w:eastAsia="宋体"/>
          <w:color w:val="auto"/>
          <w:sz w:val="28"/>
          <w:szCs w:val="28"/>
          <w:lang w:val="en-US" w:eastAsia="zh-CN"/>
        </w:rPr>
      </w:pPr>
      <w:r>
        <w:rPr>
          <w:rFonts w:ascii="Times New Roman" w:hAnsi="Times New Roman" w:eastAsia="宋体" w:cs="Times New Roman"/>
          <w:color w:val="auto"/>
          <w:sz w:val="28"/>
          <w:szCs w:val="28"/>
        </w:rPr>
        <w:t>《中华人民共和国安全生产法》第四十一条</w:t>
      </w:r>
      <w:r>
        <w:rPr>
          <w:rFonts w:hint="eastAsia" w:ascii="Times New Roman" w:hAnsi="Times New Roman" w:eastAsia="宋体" w:cs="Times New Roman"/>
          <w:color w:val="auto"/>
          <w:sz w:val="28"/>
          <w:szCs w:val="28"/>
          <w:lang w:eastAsia="zh-CN"/>
        </w:rPr>
        <w:t>，</w:t>
      </w:r>
      <w:r>
        <w:rPr>
          <w:rFonts w:ascii="Times New Roman" w:hAnsi="Times New Roman" w:eastAsia="宋体" w:cs="Times New Roman"/>
          <w:color w:val="auto"/>
          <w:sz w:val="28"/>
          <w:szCs w:val="28"/>
        </w:rPr>
        <w:t>生产经营单位应当建立安全风险分级管控制度，按照安全风险分级采取相应的管控措施。</w:t>
      </w:r>
      <w:r>
        <w:rPr>
          <w:rFonts w:hint="eastAsia" w:ascii="Times New Roman" w:hAnsi="Times New Roman" w:eastAsia="宋体" w:cs="Times New Roman"/>
          <w:color w:val="auto"/>
          <w:sz w:val="28"/>
          <w:szCs w:val="28"/>
          <w:lang w:val="en-US" w:eastAsia="zh-CN"/>
        </w:rPr>
        <w:t>目前，仅</w:t>
      </w:r>
      <w:r>
        <w:rPr>
          <w:rFonts w:ascii="Times New Roman" w:hAnsi="Times New Roman" w:eastAsia="宋体" w:cs="Times New Roman"/>
          <w:color w:val="auto"/>
          <w:sz w:val="28"/>
          <w:szCs w:val="28"/>
        </w:rPr>
        <w:t>提供</w:t>
      </w:r>
      <w:r>
        <w:rPr>
          <w:rFonts w:hint="eastAsia" w:ascii="Times New Roman" w:hAnsi="Times New Roman" w:eastAsia="宋体" w:cs="Times New Roman"/>
          <w:color w:val="auto"/>
          <w:sz w:val="28"/>
          <w:szCs w:val="28"/>
        </w:rPr>
        <w:t>了</w:t>
      </w:r>
      <w:r>
        <w:rPr>
          <w:rFonts w:hint="eastAsia" w:ascii="宋体" w:hAnsi="宋体" w:eastAsia="宋体"/>
          <w:color w:val="auto"/>
          <w:sz w:val="28"/>
          <w:szCs w:val="32"/>
          <w:lang w:val="en-US" w:eastAsia="zh-CN"/>
        </w:rPr>
        <w:t>安全生产检查制度和1份安全检查记录。</w:t>
      </w:r>
    </w:p>
    <w:p w14:paraId="6E789DC1">
      <w:pPr>
        <w:widowControl/>
        <w:jc w:val="left"/>
        <w:rPr>
          <w:color w:val="auto"/>
        </w:rPr>
      </w:pPr>
      <w:r>
        <w:rPr>
          <w:rFonts w:ascii="仿宋_GB2312" w:hAnsi="宋体" w:eastAsia="仿宋_GB2312" w:cs="仿宋_GB2312"/>
          <w:b/>
          <w:bCs/>
          <w:color w:val="auto"/>
          <w:kern w:val="0"/>
          <w:sz w:val="28"/>
          <w:szCs w:val="28"/>
          <w:lang w:bidi="ar"/>
        </w:rPr>
        <w:t>【</w:t>
      </w:r>
      <w:r>
        <w:rPr>
          <w:rFonts w:hint="eastAsia" w:ascii="仿宋_GB2312" w:hAnsi="宋体" w:eastAsia="仿宋_GB2312" w:cs="仿宋_GB2312"/>
          <w:b/>
          <w:bCs/>
          <w:color w:val="auto"/>
          <w:kern w:val="0"/>
          <w:sz w:val="28"/>
          <w:szCs w:val="28"/>
          <w:lang w:bidi="ar"/>
        </w:rPr>
        <w:t>建议措施</w:t>
      </w:r>
      <w:r>
        <w:rPr>
          <w:rFonts w:hint="eastAsia" w:ascii="仿宋_GB2312" w:hAnsi="宋体" w:eastAsia="仿宋_GB2312" w:cs="仿宋_GB2312"/>
          <w:b/>
          <w:bCs/>
          <w:color w:val="auto"/>
          <w:kern w:val="0"/>
          <w:sz w:val="28"/>
          <w:szCs w:val="28"/>
          <w:lang w:val="en-US" w:eastAsia="zh-CN" w:bidi="ar"/>
        </w:rPr>
        <w:t>5</w:t>
      </w:r>
      <w:r>
        <w:rPr>
          <w:rFonts w:ascii="仿宋_GB2312" w:hAnsi="宋体" w:eastAsia="仿宋_GB2312" w:cs="仿宋_GB2312"/>
          <w:b/>
          <w:bCs/>
          <w:color w:val="auto"/>
          <w:kern w:val="0"/>
          <w:sz w:val="28"/>
          <w:szCs w:val="28"/>
          <w:lang w:bidi="ar"/>
        </w:rPr>
        <w:t>】</w:t>
      </w:r>
      <w:r>
        <w:rPr>
          <w:rFonts w:hint="eastAsia" w:ascii="仿宋_GB2312" w:hAnsi="宋体" w:eastAsia="仿宋_GB2312" w:cs="仿宋_GB2312"/>
          <w:b/>
          <w:bCs/>
          <w:color w:val="auto"/>
          <w:kern w:val="0"/>
          <w:sz w:val="28"/>
          <w:szCs w:val="28"/>
          <w:lang w:bidi="ar"/>
        </w:rPr>
        <w:t>：</w:t>
      </w:r>
    </w:p>
    <w:p w14:paraId="527BFBDA">
      <w:pPr>
        <w:pStyle w:val="27"/>
        <w:spacing w:line="360" w:lineRule="auto"/>
        <w:ind w:firstLine="560"/>
        <w:rPr>
          <w:rFonts w:ascii="宋体" w:hAnsi="宋体" w:eastAsia="宋体"/>
          <w:color w:val="auto"/>
          <w:sz w:val="28"/>
          <w:szCs w:val="28"/>
        </w:rPr>
      </w:pPr>
      <w:r>
        <w:rPr>
          <w:rFonts w:hint="eastAsia" w:ascii="Times New Roman" w:hAnsi="Times New Roman" w:eastAsia="宋体" w:cs="Times New Roman"/>
          <w:color w:val="auto"/>
          <w:sz w:val="28"/>
          <w:szCs w:val="28"/>
          <w:lang w:eastAsia="zh-CN"/>
        </w:rPr>
        <w:t>南天汇通公司</w:t>
      </w:r>
      <w:r>
        <w:rPr>
          <w:rFonts w:hint="eastAsia" w:ascii="Times New Roman" w:hAnsi="Times New Roman" w:eastAsia="宋体" w:cs="Times New Roman"/>
          <w:color w:val="auto"/>
          <w:sz w:val="28"/>
          <w:szCs w:val="28"/>
          <w:lang w:val="en-US" w:eastAsia="zh-CN"/>
        </w:rPr>
        <w:t>应从公司层面完善相关规定。按照北京市住建、应急部门要求，按照有关制度和规范，针对本企业类型和特点，全面开展安全风险辨识，辨识设备设施、作业环境、人员行为和管理体系等方面存在的安全风险；根据风险评估的结果，针对安全风险特点，从组织、制度、技术、应急等方面对安全风险进行有效管控，要通过隔离危险源、采取技术手段、实施个体防护、设置监控设施等措施，达到回避、降低和监测风险的目的；建立完善安全风险公告制度，并加强风险教育和技能培训，确保管理层和每名员工都掌握安全风险的基本情况及防范、应急措施。要在醒目位置和重点区域分别设置安全风险公告栏，制作岗位安全风险告知卡，标明主要安全风险、可能引发事故隐患类别、事故后果、管控措施，应急措施及报告方式等内容。</w:t>
      </w:r>
    </w:p>
    <w:p w14:paraId="58D2E25A">
      <w:pPr>
        <w:pStyle w:val="27"/>
        <w:spacing w:line="360" w:lineRule="auto"/>
        <w:ind w:firstLine="560"/>
        <w:rPr>
          <w:rFonts w:hint="eastAsia" w:ascii="宋体" w:hAnsi="宋体" w:eastAsia="宋体"/>
          <w:sz w:val="28"/>
          <w:szCs w:val="28"/>
        </w:rPr>
        <w:sectPr>
          <w:pgSz w:w="11906" w:h="16838"/>
          <w:pgMar w:top="1800" w:right="1440" w:bottom="1800" w:left="1440" w:header="851" w:footer="992" w:gutter="0"/>
          <w:cols w:space="0" w:num="1"/>
          <w:rtlGutter w:val="0"/>
          <w:docGrid w:type="lines" w:linePitch="313" w:charSpace="0"/>
        </w:sectPr>
      </w:pPr>
    </w:p>
    <w:p w14:paraId="326E405D">
      <w:pPr>
        <w:pStyle w:val="4"/>
        <w:spacing w:before="120" w:after="120" w:line="360" w:lineRule="auto"/>
        <w:rPr>
          <w:sz w:val="28"/>
          <w:szCs w:val="21"/>
        </w:rPr>
      </w:pPr>
      <w:bookmarkStart w:id="16" w:name="_Toc22538"/>
      <w:r>
        <w:rPr>
          <w:rFonts w:hint="eastAsia"/>
          <w:sz w:val="28"/>
          <w:szCs w:val="21"/>
        </w:rPr>
        <w:t>（二）现场施工环境安全评估</w:t>
      </w:r>
      <w:bookmarkEnd w:id="16"/>
    </w:p>
    <w:p w14:paraId="50750530">
      <w:pPr>
        <w:pStyle w:val="27"/>
        <w:spacing w:line="360" w:lineRule="auto"/>
        <w:ind w:firstLine="560"/>
        <w:rPr>
          <w:rFonts w:hint="eastAsia" w:ascii="宋体" w:hAnsi="宋体" w:eastAsia="宋体"/>
          <w:sz w:val="28"/>
          <w:szCs w:val="28"/>
        </w:rPr>
      </w:pPr>
      <w:r>
        <w:rPr>
          <w:rFonts w:hint="eastAsia" w:ascii="宋体" w:hAnsi="宋体" w:eastAsia="宋体"/>
          <w:color w:val="auto"/>
          <w:sz w:val="28"/>
          <w:szCs w:val="28"/>
        </w:rPr>
        <w:t>昌平区北企公司马池口村土地一级开发项目非宅拆除工程（一标段）已建设完毕</w:t>
      </w:r>
      <w:r>
        <w:rPr>
          <w:rFonts w:hint="eastAsia" w:ascii="宋体" w:hAnsi="宋体" w:eastAsia="宋体"/>
          <w:color w:val="auto"/>
          <w:sz w:val="28"/>
          <w:szCs w:val="28"/>
          <w:lang w:eastAsia="zh-CN"/>
        </w:rPr>
        <w:t>，</w:t>
      </w:r>
      <w:r>
        <w:rPr>
          <w:rFonts w:hint="eastAsia" w:ascii="宋体" w:hAnsi="宋体" w:eastAsia="宋体"/>
          <w:sz w:val="28"/>
          <w:szCs w:val="28"/>
          <w:lang w:val="en-US" w:eastAsia="zh-CN"/>
        </w:rPr>
        <w:t>因此，</w:t>
      </w:r>
      <w:r>
        <w:rPr>
          <w:rFonts w:hint="eastAsia" w:ascii="宋体" w:hAnsi="宋体" w:eastAsia="宋体"/>
          <w:sz w:val="28"/>
          <w:szCs w:val="28"/>
        </w:rPr>
        <w:t>评估组在对事故单位整改措施落实情况评估的基础上，按照安全生产法律法规，对企业单位提供的现行制度等资料进行内业评估。</w:t>
      </w:r>
    </w:p>
    <w:p w14:paraId="1643A196">
      <w:pPr>
        <w:pStyle w:val="3"/>
        <w:spacing w:before="240" w:after="240" w:line="360" w:lineRule="auto"/>
        <w:rPr>
          <w:rFonts w:ascii="黑体" w:hAnsi="黑体" w:eastAsia="黑体" w:cs="黑体"/>
          <w:sz w:val="28"/>
          <w:szCs w:val="28"/>
        </w:rPr>
      </w:pPr>
      <w:bookmarkStart w:id="17" w:name="_Toc7490"/>
      <w:bookmarkStart w:id="18" w:name="_Toc5151"/>
      <w:r>
        <w:rPr>
          <w:rFonts w:hint="eastAsia" w:ascii="黑体" w:hAnsi="黑体" w:eastAsia="黑体" w:cs="黑体"/>
          <w:sz w:val="28"/>
          <w:szCs w:val="28"/>
          <w:lang w:val="en-US" w:eastAsia="zh-CN"/>
        </w:rPr>
        <w:t>四</w:t>
      </w:r>
      <w:r>
        <w:rPr>
          <w:rFonts w:hint="eastAsia" w:ascii="黑体" w:hAnsi="黑体" w:eastAsia="黑体" w:cs="黑体"/>
          <w:sz w:val="28"/>
          <w:szCs w:val="28"/>
        </w:rPr>
        <w:t>、</w:t>
      </w:r>
      <w:r>
        <w:rPr>
          <w:rFonts w:hint="eastAsia" w:ascii="黑体" w:hAnsi="黑体" w:eastAsia="黑体" w:cs="黑体"/>
          <w:sz w:val="28"/>
          <w:szCs w:val="28"/>
          <w:lang w:val="en-US" w:eastAsia="zh-CN"/>
        </w:rPr>
        <w:t>安全现状</w:t>
      </w:r>
      <w:r>
        <w:rPr>
          <w:rFonts w:hint="eastAsia" w:ascii="黑体" w:hAnsi="黑体" w:eastAsia="黑体" w:cs="黑体"/>
          <w:sz w:val="28"/>
          <w:szCs w:val="28"/>
        </w:rPr>
        <w:t>评估结论与建议</w:t>
      </w:r>
      <w:bookmarkEnd w:id="17"/>
      <w:bookmarkEnd w:id="18"/>
    </w:p>
    <w:p w14:paraId="6CEF6BC8">
      <w:pPr>
        <w:pStyle w:val="4"/>
        <w:spacing w:before="120" w:after="120" w:line="360" w:lineRule="auto"/>
        <w:rPr>
          <w:color w:val="auto"/>
          <w:sz w:val="28"/>
          <w:szCs w:val="21"/>
        </w:rPr>
      </w:pPr>
      <w:bookmarkStart w:id="19" w:name="_Toc4069"/>
      <w:bookmarkStart w:id="20" w:name="_Toc4980"/>
      <w:r>
        <w:rPr>
          <w:rFonts w:hint="eastAsia"/>
          <w:color w:val="auto"/>
          <w:sz w:val="28"/>
          <w:szCs w:val="21"/>
        </w:rPr>
        <w:t>（一）评估结论</w:t>
      </w:r>
      <w:bookmarkEnd w:id="19"/>
      <w:bookmarkEnd w:id="20"/>
    </w:p>
    <w:p w14:paraId="2D726DCB">
      <w:pPr>
        <w:pStyle w:val="27"/>
        <w:spacing w:line="360" w:lineRule="auto"/>
        <w:ind w:firstLine="560"/>
        <w:rPr>
          <w:rFonts w:ascii="宋体" w:hAnsi="宋体" w:eastAsia="宋体"/>
          <w:color w:val="auto"/>
          <w:sz w:val="24"/>
          <w:szCs w:val="24"/>
        </w:rPr>
      </w:pPr>
      <w:r>
        <w:rPr>
          <w:rFonts w:hint="eastAsia" w:ascii="宋体" w:hAnsi="宋体" w:eastAsia="宋体"/>
          <w:color w:val="auto"/>
          <w:sz w:val="28"/>
          <w:szCs w:val="28"/>
          <w:lang w:eastAsia="zh-CN"/>
        </w:rPr>
        <w:t>评估组</w:t>
      </w:r>
      <w:r>
        <w:rPr>
          <w:rFonts w:hint="eastAsia" w:ascii="宋体" w:hAnsi="宋体" w:eastAsia="宋体"/>
          <w:color w:val="auto"/>
          <w:sz w:val="28"/>
          <w:szCs w:val="28"/>
        </w:rPr>
        <w:t>按照安全生产法律法规和《事故调查报告》中的事故间接原因、整改防范措施，对上述材料进行评估，最终认为</w:t>
      </w:r>
      <w:r>
        <w:rPr>
          <w:rFonts w:hint="eastAsia" w:ascii="宋体" w:hAnsi="宋体" w:eastAsia="宋体"/>
          <w:color w:val="auto"/>
          <w:sz w:val="28"/>
          <w:szCs w:val="28"/>
          <w:lang w:eastAsia="zh-CN"/>
        </w:rPr>
        <w:t>南天汇通公司</w:t>
      </w:r>
      <w:r>
        <w:rPr>
          <w:rFonts w:hint="eastAsia" w:ascii="宋体" w:hAnsi="宋体" w:eastAsia="宋体"/>
          <w:color w:val="auto"/>
          <w:sz w:val="28"/>
          <w:szCs w:val="28"/>
        </w:rPr>
        <w:t>现行制度</w:t>
      </w:r>
      <w:r>
        <w:rPr>
          <w:rFonts w:hint="eastAsia" w:ascii="宋体" w:hAnsi="宋体" w:eastAsia="宋体"/>
          <w:color w:val="auto"/>
          <w:sz w:val="28"/>
          <w:szCs w:val="28"/>
          <w:lang w:val="en-US" w:eastAsia="zh-CN"/>
        </w:rPr>
        <w:t>需按照</w:t>
      </w:r>
      <w:r>
        <w:rPr>
          <w:rFonts w:hint="eastAsia" w:ascii="宋体" w:hAnsi="宋体" w:eastAsia="宋体"/>
          <w:color w:val="auto"/>
          <w:sz w:val="28"/>
          <w:szCs w:val="28"/>
        </w:rPr>
        <w:t>《中华人民共和国安全生产法》相关规定</w:t>
      </w:r>
      <w:r>
        <w:rPr>
          <w:rFonts w:hint="eastAsia" w:ascii="宋体" w:hAnsi="宋体" w:eastAsia="宋体"/>
          <w:color w:val="auto"/>
          <w:sz w:val="28"/>
          <w:szCs w:val="28"/>
          <w:lang w:val="en-US" w:eastAsia="zh-CN"/>
        </w:rPr>
        <w:t>进行落实完善</w:t>
      </w:r>
      <w:r>
        <w:rPr>
          <w:rFonts w:hint="eastAsia" w:ascii="宋体" w:hAnsi="宋体" w:eastAsia="宋体"/>
          <w:color w:val="auto"/>
          <w:sz w:val="28"/>
          <w:szCs w:val="28"/>
        </w:rPr>
        <w:t>。</w:t>
      </w:r>
    </w:p>
    <w:p w14:paraId="67E81540">
      <w:pPr>
        <w:pStyle w:val="4"/>
        <w:spacing w:before="120" w:after="120" w:line="360" w:lineRule="auto"/>
        <w:rPr>
          <w:color w:val="auto"/>
          <w:sz w:val="28"/>
          <w:szCs w:val="21"/>
        </w:rPr>
      </w:pPr>
      <w:bookmarkStart w:id="21" w:name="_Toc12017"/>
      <w:bookmarkStart w:id="22" w:name="_Toc20081"/>
      <w:r>
        <w:rPr>
          <w:rFonts w:hint="eastAsia"/>
          <w:color w:val="auto"/>
          <w:sz w:val="28"/>
          <w:szCs w:val="21"/>
        </w:rPr>
        <w:t>（二）工作提升建议</w:t>
      </w:r>
      <w:bookmarkEnd w:id="21"/>
      <w:bookmarkEnd w:id="22"/>
    </w:p>
    <w:p w14:paraId="3B68DD1A">
      <w:pPr>
        <w:pStyle w:val="27"/>
        <w:spacing w:line="360" w:lineRule="auto"/>
        <w:ind w:firstLine="560"/>
        <w:rPr>
          <w:rFonts w:hint="default" w:ascii="宋体" w:hAnsi="宋体" w:eastAsia="宋体"/>
          <w:color w:val="auto"/>
          <w:sz w:val="28"/>
          <w:szCs w:val="28"/>
          <w:lang w:val="en-US" w:eastAsia="zh-CN"/>
        </w:rPr>
      </w:pPr>
      <w:r>
        <w:rPr>
          <w:rFonts w:ascii="宋体" w:hAnsi="宋体" w:eastAsia="宋体"/>
          <w:color w:val="auto"/>
          <w:sz w:val="28"/>
          <w:szCs w:val="28"/>
          <w:lang w:val="zh-CN"/>
        </w:rPr>
        <w:t>根据本次评估过程及结论，</w:t>
      </w:r>
      <w:r>
        <w:rPr>
          <w:rFonts w:hint="eastAsia" w:ascii="宋体" w:hAnsi="宋体" w:eastAsia="宋体"/>
          <w:color w:val="auto"/>
          <w:sz w:val="28"/>
          <w:szCs w:val="28"/>
          <w:lang w:val="en-US" w:eastAsia="zh-CN"/>
        </w:rPr>
        <w:t>事故单位应针对安全现状评估中发现的问题积极改进落实，无论后续是否继续开展施工作业活动，均应按照相关法律法规要求，履行安全生产主体责任，加强安全生产管理，提高安全生产水平，并对未履行安全生产主体责任导致的后果负责。</w:t>
      </w:r>
    </w:p>
    <w:p w14:paraId="391523EC">
      <w:pPr>
        <w:pStyle w:val="27"/>
        <w:spacing w:line="360" w:lineRule="auto"/>
        <w:ind w:firstLine="560"/>
        <w:rPr>
          <w:rFonts w:ascii="宋体" w:hAnsi="宋体" w:eastAsia="宋体"/>
          <w:color w:val="auto"/>
          <w:sz w:val="28"/>
          <w:szCs w:val="28"/>
          <w:lang w:val="zh-CN"/>
        </w:rPr>
      </w:pPr>
      <w:r>
        <w:rPr>
          <w:rFonts w:hint="eastAsia" w:ascii="宋体" w:hAnsi="宋体" w:eastAsia="宋体"/>
          <w:color w:val="auto"/>
          <w:sz w:val="28"/>
          <w:szCs w:val="28"/>
          <w:lang w:val="en-US" w:eastAsia="zh-CN"/>
        </w:rPr>
        <w:t>此外，评估组还对限额以下小型工程安全管理的重点问题，</w:t>
      </w:r>
      <w:r>
        <w:rPr>
          <w:rFonts w:ascii="宋体" w:hAnsi="宋体" w:eastAsia="宋体"/>
          <w:color w:val="auto"/>
          <w:sz w:val="28"/>
          <w:szCs w:val="28"/>
          <w:lang w:val="zh-CN"/>
        </w:rPr>
        <w:t>提出以下</w:t>
      </w:r>
      <w:r>
        <w:rPr>
          <w:rFonts w:hint="eastAsia" w:ascii="宋体" w:hAnsi="宋体" w:eastAsia="宋体"/>
          <w:color w:val="auto"/>
          <w:sz w:val="28"/>
          <w:szCs w:val="28"/>
        </w:rPr>
        <w:t>安全工作</w:t>
      </w:r>
      <w:r>
        <w:rPr>
          <w:rFonts w:ascii="宋体" w:hAnsi="宋体" w:eastAsia="宋体"/>
          <w:color w:val="auto"/>
          <w:sz w:val="28"/>
          <w:szCs w:val="28"/>
          <w:lang w:val="zh-CN"/>
        </w:rPr>
        <w:t>建议措施</w:t>
      </w:r>
      <w:r>
        <w:rPr>
          <w:rFonts w:hint="eastAsia" w:ascii="宋体" w:hAnsi="宋体" w:eastAsia="宋体"/>
          <w:color w:val="auto"/>
          <w:sz w:val="28"/>
          <w:szCs w:val="28"/>
          <w:lang w:val="zh-CN"/>
        </w:rPr>
        <w:t>（</w:t>
      </w:r>
      <w:r>
        <w:rPr>
          <w:rFonts w:hint="eastAsia" w:ascii="宋体" w:hAnsi="宋体" w:eastAsia="宋体"/>
          <w:color w:val="auto"/>
          <w:sz w:val="28"/>
          <w:szCs w:val="28"/>
        </w:rPr>
        <w:t>不局限于本次事故</w:t>
      </w:r>
      <w:r>
        <w:rPr>
          <w:rFonts w:hint="eastAsia" w:ascii="宋体" w:hAnsi="宋体" w:eastAsia="宋体"/>
          <w:color w:val="auto"/>
          <w:sz w:val="28"/>
          <w:szCs w:val="28"/>
          <w:lang w:val="zh-CN"/>
        </w:rPr>
        <w:t>）</w:t>
      </w:r>
      <w:r>
        <w:rPr>
          <w:rFonts w:ascii="宋体" w:hAnsi="宋体" w:eastAsia="宋体"/>
          <w:color w:val="auto"/>
          <w:sz w:val="28"/>
          <w:szCs w:val="28"/>
          <w:lang w:val="zh-CN"/>
        </w:rPr>
        <w:t>：</w:t>
      </w:r>
    </w:p>
    <w:p w14:paraId="5D27289B">
      <w:pPr>
        <w:pStyle w:val="27"/>
        <w:spacing w:line="360" w:lineRule="auto"/>
        <w:ind w:firstLine="560"/>
        <w:rPr>
          <w:rFonts w:hint="eastAsia" w:ascii="宋体" w:hAnsi="宋体" w:eastAsia="宋体"/>
          <w:color w:val="auto"/>
          <w:sz w:val="28"/>
          <w:szCs w:val="28"/>
          <w:lang w:val="zh-CN"/>
        </w:rPr>
      </w:pPr>
      <w:r>
        <w:rPr>
          <w:rFonts w:hint="eastAsia" w:ascii="仿宋_GB2312" w:eastAsia="仿宋_GB2312"/>
          <w:color w:val="auto"/>
          <w:sz w:val="32"/>
          <w:szCs w:val="32"/>
        </w:rPr>
        <w:t>【</w:t>
      </w:r>
      <w:r>
        <w:rPr>
          <w:rFonts w:hint="eastAsia" w:ascii="宋体" w:hAnsi="宋体" w:eastAsia="宋体"/>
          <w:color w:val="auto"/>
          <w:sz w:val="28"/>
          <w:szCs w:val="28"/>
          <w:lang w:val="en-US" w:eastAsia="zh-CN"/>
        </w:rPr>
        <w:t>施工单位</w:t>
      </w:r>
      <w:r>
        <w:rPr>
          <w:rFonts w:hint="eastAsia" w:ascii="仿宋_GB2312" w:eastAsia="仿宋_GB2312"/>
          <w:color w:val="auto"/>
          <w:sz w:val="32"/>
          <w:szCs w:val="32"/>
        </w:rPr>
        <w:t>】</w:t>
      </w:r>
    </w:p>
    <w:p w14:paraId="31586F2E">
      <w:pPr>
        <w:pStyle w:val="27"/>
        <w:spacing w:line="360" w:lineRule="auto"/>
        <w:ind w:firstLine="560"/>
        <w:rPr>
          <w:rFonts w:hint="eastAsia" w:ascii="宋体" w:hAnsi="宋体" w:eastAsia="宋体"/>
          <w:color w:val="auto"/>
          <w:sz w:val="28"/>
          <w:szCs w:val="28"/>
          <w:lang w:val="zh-CN"/>
        </w:rPr>
      </w:pPr>
      <w:r>
        <w:rPr>
          <w:rFonts w:hint="eastAsia" w:ascii="宋体" w:hAnsi="宋体" w:eastAsia="宋体"/>
          <w:color w:val="auto"/>
          <w:sz w:val="28"/>
          <w:szCs w:val="28"/>
          <w:lang w:val="zh-CN"/>
        </w:rPr>
        <w:t>市住房城乡建设委、市应急管理局等17部门研究制定了《限额以下小型工程施工安全管理办法（试行）（2023年修订）》，管理办法中明确了各企业首先要落实安全生产主体责任，各单位要委托具备相应资质或条件的生产经营单位进行施工，合同中明确各方安全生产及消防安全管理责任；其次，组织对本单位相关人员及施工人员开展进场前安全培训，施工单位项目负责人必须签署《施工安全管理承诺书》《安全责任清单》，在现场应配备不少于1名安全生产管理人员，安全生产管理人员负责对施工现场的施工作业、使用材料、进场人员等进行管理；最后在施工过程中加大巡查力度，及时消除不符合安全生产条件或者存在安全隐患的行为，及时支付安全防护相关费用，并督促落实施工安全防护措施。</w:t>
      </w:r>
    </w:p>
    <w:p w14:paraId="203BAE67">
      <w:pPr>
        <w:pStyle w:val="27"/>
        <w:spacing w:line="360" w:lineRule="auto"/>
        <w:ind w:firstLine="560"/>
        <w:rPr>
          <w:rFonts w:hint="eastAsia" w:ascii="宋体" w:hAnsi="宋体" w:eastAsia="宋体"/>
          <w:color w:val="auto"/>
          <w:sz w:val="28"/>
          <w:szCs w:val="28"/>
          <w:lang w:val="zh-CN"/>
        </w:rPr>
      </w:pPr>
      <w:r>
        <w:rPr>
          <w:rFonts w:hint="eastAsia" w:ascii="宋体" w:hAnsi="宋体" w:eastAsia="宋体"/>
          <w:color w:val="auto"/>
          <w:sz w:val="28"/>
          <w:szCs w:val="28"/>
          <w:lang w:val="zh-CN"/>
        </w:rPr>
        <w:t>在整体施工阶段中，均有做好相应的安全记录与施工其他记录一起，形成档案，由专人管理、妥善保存，可以真实记录项目施工过程中所有的信息资料，还原全程，同时也是有效的工作落实凭证。</w:t>
      </w:r>
    </w:p>
    <w:p w14:paraId="49C69B70">
      <w:pPr>
        <w:pStyle w:val="27"/>
        <w:spacing w:line="360" w:lineRule="auto"/>
        <w:ind w:firstLine="560"/>
        <w:rPr>
          <w:rFonts w:hint="eastAsia" w:ascii="仿宋_GB2312" w:eastAsia="仿宋_GB2312"/>
          <w:color w:val="auto"/>
          <w:sz w:val="32"/>
          <w:szCs w:val="32"/>
        </w:rPr>
      </w:pPr>
      <w:r>
        <w:rPr>
          <w:rFonts w:hint="eastAsia" w:ascii="仿宋_GB2312" w:eastAsia="仿宋_GB2312"/>
          <w:color w:val="auto"/>
          <w:sz w:val="32"/>
          <w:szCs w:val="32"/>
        </w:rPr>
        <w:t>【</w:t>
      </w:r>
      <w:r>
        <w:rPr>
          <w:rFonts w:hint="eastAsia" w:ascii="宋体" w:hAnsi="宋体" w:eastAsia="宋体"/>
          <w:color w:val="auto"/>
          <w:sz w:val="28"/>
          <w:szCs w:val="28"/>
          <w:lang w:val="en-US" w:eastAsia="zh-CN"/>
        </w:rPr>
        <w:t>属地街镇</w:t>
      </w:r>
      <w:r>
        <w:rPr>
          <w:rFonts w:hint="eastAsia" w:ascii="仿宋_GB2312" w:eastAsia="仿宋_GB2312"/>
          <w:color w:val="auto"/>
          <w:sz w:val="32"/>
          <w:szCs w:val="32"/>
        </w:rPr>
        <w:t>】</w:t>
      </w:r>
    </w:p>
    <w:p w14:paraId="04F39360">
      <w:pPr>
        <w:pStyle w:val="27"/>
        <w:spacing w:line="360" w:lineRule="auto"/>
        <w:ind w:firstLine="560"/>
        <w:rPr>
          <w:rFonts w:hint="default" w:ascii="宋体" w:hAnsi="宋体" w:eastAsia="宋体"/>
          <w:color w:val="auto"/>
          <w:sz w:val="28"/>
          <w:szCs w:val="28"/>
          <w:lang w:val="en-US" w:eastAsia="zh-CN"/>
        </w:rPr>
      </w:pPr>
      <w:r>
        <w:rPr>
          <w:rFonts w:hint="eastAsia" w:ascii="宋体" w:hAnsi="宋体" w:eastAsia="宋体"/>
          <w:color w:val="auto"/>
          <w:sz w:val="28"/>
          <w:szCs w:val="28"/>
          <w:lang w:val="en-US" w:eastAsia="zh-CN"/>
        </w:rPr>
        <w:t>属地街镇做好高风险限额以下小型工程的安全生产信息登记确认，建立监管台账，全面掌握辖区内高风险限额以下小型工程基本情况，加大日常巡查，按照“街乡吹哨，部门报到”机制，及时组织相关部门开展联合执法。发现违法建设行为，依法查处或移交规自、住建、城市管理等部门。</w:t>
      </w:r>
    </w:p>
    <w:sectPr>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rPr>
      <w:id w:val="147477456"/>
    </w:sdtPr>
    <w:sdtEndPr>
      <w:rPr>
        <w:rFonts w:ascii="Times New Roman" w:hAnsi="Times New Roman" w:cs="Times New Roman"/>
      </w:rPr>
    </w:sdtEndPr>
    <w:sdtContent>
      <w:p w14:paraId="65CD252E">
        <w:pPr>
          <w:pStyle w:val="11"/>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7</w:t>
        </w:r>
        <w:r>
          <w:rPr>
            <w:rFonts w:ascii="Times New Roman" w:hAnsi="Times New Roman" w:cs="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rPr>
      <w:id w:val="-13686837"/>
    </w:sdtPr>
    <w:sdtEndPr>
      <w:rPr>
        <w:rFonts w:ascii="Times New Roman" w:hAnsi="Times New Roman" w:cs="Times New Roman"/>
      </w:rPr>
    </w:sdtEndPr>
    <w:sdtContent>
      <w:p w14:paraId="31921252">
        <w:pPr>
          <w:pStyle w:val="11"/>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7</w:t>
        </w:r>
        <w:r>
          <w:rPr>
            <w:rFonts w:ascii="Times New Roman" w:hAnsi="Times New Roman" w:cs="Times New Roman"/>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FC3F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0B0173"/>
    <w:multiLevelType w:val="multilevel"/>
    <w:tmpl w:val="0E0B0173"/>
    <w:lvl w:ilvl="0" w:tentative="0">
      <w:start w:val="1"/>
      <w:numFmt w:val="decimal"/>
      <w:suff w:val="nothing"/>
      <w:lvlText w:val="%1"/>
      <w:lvlJc w:val="center"/>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hideSpellingErrors/>
  <w:documentProtection w:enforcement="0"/>
  <w:defaultTabStop w:val="420"/>
  <w:drawingGridVerticalSpacing w:val="156"/>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JiMGFmMGEzYWQ0ZTkzYjc2NjIzMmZkMWQ5NzU3N2YifQ=="/>
  </w:docVars>
  <w:rsids>
    <w:rsidRoot w:val="00172A27"/>
    <w:rsid w:val="00033FC3"/>
    <w:rsid w:val="00035633"/>
    <w:rsid w:val="0004493C"/>
    <w:rsid w:val="000661DA"/>
    <w:rsid w:val="0007127B"/>
    <w:rsid w:val="000D68EE"/>
    <w:rsid w:val="000F5A8B"/>
    <w:rsid w:val="00100F64"/>
    <w:rsid w:val="0010441E"/>
    <w:rsid w:val="00124065"/>
    <w:rsid w:val="00172A27"/>
    <w:rsid w:val="001918DD"/>
    <w:rsid w:val="001A4E27"/>
    <w:rsid w:val="001D73DD"/>
    <w:rsid w:val="001F11A0"/>
    <w:rsid w:val="001F5F52"/>
    <w:rsid w:val="0020432B"/>
    <w:rsid w:val="00206050"/>
    <w:rsid w:val="00216BDE"/>
    <w:rsid w:val="0024609C"/>
    <w:rsid w:val="002525EF"/>
    <w:rsid w:val="00265D8A"/>
    <w:rsid w:val="00276841"/>
    <w:rsid w:val="00285FDF"/>
    <w:rsid w:val="00293808"/>
    <w:rsid w:val="002E54FA"/>
    <w:rsid w:val="002F42B3"/>
    <w:rsid w:val="00312755"/>
    <w:rsid w:val="003652DC"/>
    <w:rsid w:val="00392D5E"/>
    <w:rsid w:val="00394E2E"/>
    <w:rsid w:val="003A5EF0"/>
    <w:rsid w:val="00421CD2"/>
    <w:rsid w:val="00427EC7"/>
    <w:rsid w:val="004335F3"/>
    <w:rsid w:val="0046075B"/>
    <w:rsid w:val="004B45DB"/>
    <w:rsid w:val="004C14AE"/>
    <w:rsid w:val="004F3DD5"/>
    <w:rsid w:val="00500508"/>
    <w:rsid w:val="00516A53"/>
    <w:rsid w:val="00525288"/>
    <w:rsid w:val="00526DFE"/>
    <w:rsid w:val="00560B1C"/>
    <w:rsid w:val="005735B4"/>
    <w:rsid w:val="0059462D"/>
    <w:rsid w:val="005A7985"/>
    <w:rsid w:val="005C7C6E"/>
    <w:rsid w:val="00602FA4"/>
    <w:rsid w:val="00612973"/>
    <w:rsid w:val="00621377"/>
    <w:rsid w:val="00621BC5"/>
    <w:rsid w:val="00622D25"/>
    <w:rsid w:val="00623CA5"/>
    <w:rsid w:val="0064528A"/>
    <w:rsid w:val="00657D5D"/>
    <w:rsid w:val="00664357"/>
    <w:rsid w:val="0067215B"/>
    <w:rsid w:val="00685AE8"/>
    <w:rsid w:val="0068657E"/>
    <w:rsid w:val="006A48DC"/>
    <w:rsid w:val="006A7018"/>
    <w:rsid w:val="006F5C9D"/>
    <w:rsid w:val="006F623D"/>
    <w:rsid w:val="00704DA4"/>
    <w:rsid w:val="00722B11"/>
    <w:rsid w:val="007231B2"/>
    <w:rsid w:val="00740EDE"/>
    <w:rsid w:val="007457D2"/>
    <w:rsid w:val="007504CD"/>
    <w:rsid w:val="00751E0C"/>
    <w:rsid w:val="00756B9D"/>
    <w:rsid w:val="0079226E"/>
    <w:rsid w:val="007B185F"/>
    <w:rsid w:val="007D0737"/>
    <w:rsid w:val="007D7F25"/>
    <w:rsid w:val="007E7BED"/>
    <w:rsid w:val="007F21CF"/>
    <w:rsid w:val="007F5965"/>
    <w:rsid w:val="007F62C7"/>
    <w:rsid w:val="00804A15"/>
    <w:rsid w:val="00827BA8"/>
    <w:rsid w:val="00835E4B"/>
    <w:rsid w:val="00860D5D"/>
    <w:rsid w:val="00860D77"/>
    <w:rsid w:val="00860F0F"/>
    <w:rsid w:val="008A7E92"/>
    <w:rsid w:val="008B6603"/>
    <w:rsid w:val="008D096F"/>
    <w:rsid w:val="008D39F0"/>
    <w:rsid w:val="008F2364"/>
    <w:rsid w:val="008F79A1"/>
    <w:rsid w:val="009010E1"/>
    <w:rsid w:val="00905FCF"/>
    <w:rsid w:val="00921852"/>
    <w:rsid w:val="00977D59"/>
    <w:rsid w:val="00982048"/>
    <w:rsid w:val="00986675"/>
    <w:rsid w:val="00996894"/>
    <w:rsid w:val="009A0772"/>
    <w:rsid w:val="009A492D"/>
    <w:rsid w:val="009B19DD"/>
    <w:rsid w:val="009E52CD"/>
    <w:rsid w:val="009E588A"/>
    <w:rsid w:val="009F3D38"/>
    <w:rsid w:val="00A43CA0"/>
    <w:rsid w:val="00A43CE8"/>
    <w:rsid w:val="00A52C59"/>
    <w:rsid w:val="00A64E51"/>
    <w:rsid w:val="00A826B8"/>
    <w:rsid w:val="00AA16EA"/>
    <w:rsid w:val="00AA34A4"/>
    <w:rsid w:val="00AA454F"/>
    <w:rsid w:val="00AB0554"/>
    <w:rsid w:val="00AB39CE"/>
    <w:rsid w:val="00AD1929"/>
    <w:rsid w:val="00AE0F20"/>
    <w:rsid w:val="00AE2E97"/>
    <w:rsid w:val="00AF6861"/>
    <w:rsid w:val="00B0045A"/>
    <w:rsid w:val="00B145E9"/>
    <w:rsid w:val="00B33A8F"/>
    <w:rsid w:val="00B54F6F"/>
    <w:rsid w:val="00B754B8"/>
    <w:rsid w:val="00BA6F2E"/>
    <w:rsid w:val="00BA719E"/>
    <w:rsid w:val="00BC07F9"/>
    <w:rsid w:val="00BF3D4E"/>
    <w:rsid w:val="00BF3E7A"/>
    <w:rsid w:val="00BF4191"/>
    <w:rsid w:val="00C13A45"/>
    <w:rsid w:val="00C2450C"/>
    <w:rsid w:val="00C47644"/>
    <w:rsid w:val="00C6109B"/>
    <w:rsid w:val="00C6750F"/>
    <w:rsid w:val="00C90AE7"/>
    <w:rsid w:val="00CA64A8"/>
    <w:rsid w:val="00CA6FC6"/>
    <w:rsid w:val="00CA7CD9"/>
    <w:rsid w:val="00CE2B07"/>
    <w:rsid w:val="00CE5D44"/>
    <w:rsid w:val="00D05A8E"/>
    <w:rsid w:val="00D05F1E"/>
    <w:rsid w:val="00D1095E"/>
    <w:rsid w:val="00D24999"/>
    <w:rsid w:val="00D40F88"/>
    <w:rsid w:val="00D63D4F"/>
    <w:rsid w:val="00D83316"/>
    <w:rsid w:val="00D93ECE"/>
    <w:rsid w:val="00D962D4"/>
    <w:rsid w:val="00DB74D4"/>
    <w:rsid w:val="00DC2FAA"/>
    <w:rsid w:val="00DF1CA1"/>
    <w:rsid w:val="00E46AA2"/>
    <w:rsid w:val="00E52B35"/>
    <w:rsid w:val="00E8104B"/>
    <w:rsid w:val="00E81FE2"/>
    <w:rsid w:val="00EA6877"/>
    <w:rsid w:val="00ED2273"/>
    <w:rsid w:val="00ED79DA"/>
    <w:rsid w:val="00EF37D2"/>
    <w:rsid w:val="00F0015F"/>
    <w:rsid w:val="00F0390F"/>
    <w:rsid w:val="00F26953"/>
    <w:rsid w:val="00F34F30"/>
    <w:rsid w:val="00F36DE9"/>
    <w:rsid w:val="00F42427"/>
    <w:rsid w:val="00F53279"/>
    <w:rsid w:val="00FA7A84"/>
    <w:rsid w:val="00FC5229"/>
    <w:rsid w:val="00FD1A37"/>
    <w:rsid w:val="00FE172C"/>
    <w:rsid w:val="00FF0A5A"/>
    <w:rsid w:val="021311B0"/>
    <w:rsid w:val="039A5E4D"/>
    <w:rsid w:val="03F50402"/>
    <w:rsid w:val="042B35C9"/>
    <w:rsid w:val="04E26BB1"/>
    <w:rsid w:val="06EA3FC1"/>
    <w:rsid w:val="071F6E1C"/>
    <w:rsid w:val="08A01F6E"/>
    <w:rsid w:val="097C7C49"/>
    <w:rsid w:val="0A5F7565"/>
    <w:rsid w:val="0B8E5EBB"/>
    <w:rsid w:val="0E71037E"/>
    <w:rsid w:val="100C51FC"/>
    <w:rsid w:val="11820013"/>
    <w:rsid w:val="118B5DC3"/>
    <w:rsid w:val="11EC38A5"/>
    <w:rsid w:val="1416698A"/>
    <w:rsid w:val="163221D0"/>
    <w:rsid w:val="180D715A"/>
    <w:rsid w:val="194859F8"/>
    <w:rsid w:val="19CA4A8E"/>
    <w:rsid w:val="1B467B77"/>
    <w:rsid w:val="1C38602F"/>
    <w:rsid w:val="1D13560D"/>
    <w:rsid w:val="1EAD3489"/>
    <w:rsid w:val="218A4E78"/>
    <w:rsid w:val="225F2E68"/>
    <w:rsid w:val="229D0DE7"/>
    <w:rsid w:val="243F2B28"/>
    <w:rsid w:val="267F7489"/>
    <w:rsid w:val="2758784D"/>
    <w:rsid w:val="27697D30"/>
    <w:rsid w:val="2878627F"/>
    <w:rsid w:val="28C03753"/>
    <w:rsid w:val="29BD5C6D"/>
    <w:rsid w:val="2A7D3A65"/>
    <w:rsid w:val="2AAF7569"/>
    <w:rsid w:val="2BF125E1"/>
    <w:rsid w:val="2E976DAE"/>
    <w:rsid w:val="32F86C10"/>
    <w:rsid w:val="341A1D21"/>
    <w:rsid w:val="35BE3446"/>
    <w:rsid w:val="36B158FD"/>
    <w:rsid w:val="3729169F"/>
    <w:rsid w:val="3A330AC8"/>
    <w:rsid w:val="3BB6283D"/>
    <w:rsid w:val="3C146687"/>
    <w:rsid w:val="3D0743EB"/>
    <w:rsid w:val="3D1B79C1"/>
    <w:rsid w:val="3DB94D57"/>
    <w:rsid w:val="3DE003F4"/>
    <w:rsid w:val="3DFA0B12"/>
    <w:rsid w:val="3F4C7D8D"/>
    <w:rsid w:val="3F921404"/>
    <w:rsid w:val="4465587E"/>
    <w:rsid w:val="46B45C34"/>
    <w:rsid w:val="49820821"/>
    <w:rsid w:val="49FE7B06"/>
    <w:rsid w:val="4D2E0486"/>
    <w:rsid w:val="4ECA1194"/>
    <w:rsid w:val="52903990"/>
    <w:rsid w:val="53F31DDA"/>
    <w:rsid w:val="555B55F4"/>
    <w:rsid w:val="556E38DA"/>
    <w:rsid w:val="557850E0"/>
    <w:rsid w:val="55882F61"/>
    <w:rsid w:val="55AC1F4E"/>
    <w:rsid w:val="56420F92"/>
    <w:rsid w:val="57890AF4"/>
    <w:rsid w:val="59324BF8"/>
    <w:rsid w:val="5976568E"/>
    <w:rsid w:val="5B4052B6"/>
    <w:rsid w:val="5E4946D1"/>
    <w:rsid w:val="5F5F2947"/>
    <w:rsid w:val="620D4CAB"/>
    <w:rsid w:val="6A732C5E"/>
    <w:rsid w:val="6ACB7672"/>
    <w:rsid w:val="6B8C1AB4"/>
    <w:rsid w:val="6C0E2107"/>
    <w:rsid w:val="6C3B077B"/>
    <w:rsid w:val="6C3D126A"/>
    <w:rsid w:val="6DB1063B"/>
    <w:rsid w:val="6F404BAF"/>
    <w:rsid w:val="6F52337F"/>
    <w:rsid w:val="6F68734C"/>
    <w:rsid w:val="729B63C0"/>
    <w:rsid w:val="751F3C9D"/>
    <w:rsid w:val="753260FA"/>
    <w:rsid w:val="78272E45"/>
    <w:rsid w:val="79E729F7"/>
    <w:rsid w:val="79EB3BD1"/>
    <w:rsid w:val="7C072619"/>
    <w:rsid w:val="7C6A0859"/>
    <w:rsid w:val="7D793C8A"/>
    <w:rsid w:val="7E4A0E42"/>
    <w:rsid w:val="7ED46F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6"/>
    <w:qFormat/>
    <w:uiPriority w:val="9"/>
    <w:pPr>
      <w:keepNext/>
      <w:keepLines/>
      <w:spacing w:before="340" w:after="330" w:line="578" w:lineRule="auto"/>
      <w:outlineLvl w:val="0"/>
    </w:pPr>
    <w:rPr>
      <w:b/>
      <w:bCs/>
      <w:kern w:val="44"/>
      <w:sz w:val="44"/>
      <w:szCs w:val="44"/>
    </w:rPr>
  </w:style>
  <w:style w:type="paragraph" w:styleId="4">
    <w:name w:val="heading 2"/>
    <w:basedOn w:val="1"/>
    <w:next w:val="1"/>
    <w:unhideWhenUsed/>
    <w:qFormat/>
    <w:uiPriority w:val="9"/>
    <w:pPr>
      <w:keepNext/>
      <w:keepLines/>
      <w:spacing w:before="260" w:after="260" w:line="413" w:lineRule="auto"/>
      <w:outlineLvl w:val="1"/>
    </w:pPr>
    <w:rPr>
      <w:rFonts w:ascii="Arial" w:hAnsi="Arial" w:eastAsia="黑体"/>
      <w:b/>
      <w:sz w:val="32"/>
    </w:rPr>
  </w:style>
  <w:style w:type="paragraph" w:styleId="5">
    <w:name w:val="heading 3"/>
    <w:basedOn w:val="1"/>
    <w:next w:val="1"/>
    <w:qFormat/>
    <w:uiPriority w:val="9"/>
    <w:pPr>
      <w:keepNext/>
      <w:keepLines/>
      <w:spacing w:after="50" w:afterLines="50" w:line="480" w:lineRule="exact"/>
      <w:outlineLvl w:val="2"/>
    </w:pPr>
    <w:rPr>
      <w:rFonts w:ascii="仿宋" w:hAnsi="仿宋"/>
      <w:b/>
      <w:sz w:val="28"/>
      <w:szCs w:val="24"/>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宋体"/>
    </w:rPr>
  </w:style>
  <w:style w:type="paragraph" w:styleId="6">
    <w:name w:val="annotation text"/>
    <w:basedOn w:val="1"/>
    <w:link w:val="83"/>
    <w:unhideWhenUsed/>
    <w:qFormat/>
    <w:uiPriority w:val="99"/>
    <w:pPr>
      <w:jc w:val="left"/>
    </w:pPr>
  </w:style>
  <w:style w:type="paragraph" w:styleId="7">
    <w:name w:val="Body Text"/>
    <w:basedOn w:val="1"/>
    <w:next w:val="1"/>
    <w:unhideWhenUsed/>
    <w:qFormat/>
    <w:uiPriority w:val="99"/>
    <w:pPr>
      <w:spacing w:after="120"/>
    </w:pPr>
  </w:style>
  <w:style w:type="paragraph" w:styleId="8">
    <w:name w:val="Body Text Indent"/>
    <w:basedOn w:val="1"/>
    <w:next w:val="1"/>
    <w:qFormat/>
    <w:uiPriority w:val="0"/>
    <w:pPr>
      <w:spacing w:after="120"/>
      <w:ind w:left="420" w:leftChars="200"/>
    </w:pPr>
  </w:style>
  <w:style w:type="paragraph" w:styleId="9">
    <w:name w:val="toc 3"/>
    <w:basedOn w:val="1"/>
    <w:next w:val="1"/>
    <w:unhideWhenUsed/>
    <w:qFormat/>
    <w:uiPriority w:val="39"/>
    <w:pPr>
      <w:widowControl/>
      <w:spacing w:after="100" w:line="259" w:lineRule="auto"/>
      <w:ind w:left="440"/>
      <w:jc w:val="left"/>
    </w:pPr>
    <w:rPr>
      <w:rFonts w:cs="Times New Roman"/>
      <w:kern w:val="0"/>
      <w:sz w:val="22"/>
    </w:rPr>
  </w:style>
  <w:style w:type="paragraph" w:styleId="10">
    <w:name w:val="Balloon Text"/>
    <w:basedOn w:val="1"/>
    <w:link w:val="32"/>
    <w:unhideWhenUsed/>
    <w:qFormat/>
    <w:uiPriority w:val="0"/>
    <w:rPr>
      <w:sz w:val="18"/>
      <w:szCs w:val="18"/>
    </w:rPr>
  </w:style>
  <w:style w:type="paragraph" w:styleId="11">
    <w:name w:val="footer"/>
    <w:basedOn w:val="1"/>
    <w:link w:val="29"/>
    <w:unhideWhenUsed/>
    <w:qFormat/>
    <w:uiPriority w:val="0"/>
    <w:pPr>
      <w:tabs>
        <w:tab w:val="center" w:pos="4153"/>
        <w:tab w:val="right" w:pos="8306"/>
      </w:tabs>
      <w:snapToGrid w:val="0"/>
      <w:jc w:val="left"/>
    </w:pPr>
    <w:rPr>
      <w:sz w:val="18"/>
      <w:szCs w:val="18"/>
    </w:rPr>
  </w:style>
  <w:style w:type="paragraph" w:styleId="12">
    <w:name w:val="header"/>
    <w:basedOn w:val="1"/>
    <w:link w:val="28"/>
    <w:unhideWhenUsed/>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pPr>
      <w:widowControl/>
      <w:spacing w:after="100" w:line="259" w:lineRule="auto"/>
      <w:jc w:val="left"/>
    </w:pPr>
    <w:rPr>
      <w:rFonts w:cs="Times New Roman"/>
      <w:kern w:val="0"/>
      <w:sz w:val="22"/>
    </w:rPr>
  </w:style>
  <w:style w:type="paragraph" w:styleId="14">
    <w:name w:val="toc 2"/>
    <w:basedOn w:val="1"/>
    <w:next w:val="1"/>
    <w:unhideWhenUsed/>
    <w:qFormat/>
    <w:uiPriority w:val="39"/>
    <w:pPr>
      <w:widowControl/>
      <w:spacing w:after="100" w:line="259" w:lineRule="auto"/>
      <w:ind w:left="220"/>
      <w:jc w:val="left"/>
    </w:pPr>
    <w:rPr>
      <w:rFonts w:cs="Times New Roman"/>
      <w:kern w:val="0"/>
      <w:sz w:val="22"/>
    </w:rPr>
  </w:style>
  <w:style w:type="paragraph" w:styleId="15">
    <w:name w:val="HTML Preformatted"/>
    <w:basedOn w:val="1"/>
    <w:link w:val="30"/>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1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7">
    <w:name w:val="annotation subject"/>
    <w:basedOn w:val="6"/>
    <w:next w:val="6"/>
    <w:link w:val="84"/>
    <w:qFormat/>
    <w:uiPriority w:val="0"/>
    <w:rPr>
      <w:b/>
      <w:bCs/>
    </w:rPr>
  </w:style>
  <w:style w:type="paragraph" w:styleId="18">
    <w:name w:val="Body Text First Indent 2"/>
    <w:basedOn w:val="8"/>
    <w:next w:val="1"/>
    <w:qFormat/>
    <w:uiPriority w:val="0"/>
    <w:pPr>
      <w:ind w:firstLine="210"/>
    </w:pPr>
    <w:rPr>
      <w:szCs w:val="20"/>
    </w:rPr>
  </w:style>
  <w:style w:type="table" w:styleId="20">
    <w:name w:val="Table Grid"/>
    <w:basedOn w:val="1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22"/>
    <w:rPr>
      <w:b/>
      <w:bCs/>
    </w:rPr>
  </w:style>
  <w:style w:type="character" w:styleId="23">
    <w:name w:val="FollowedHyperlink"/>
    <w:basedOn w:val="21"/>
    <w:semiHidden/>
    <w:unhideWhenUsed/>
    <w:qFormat/>
    <w:uiPriority w:val="99"/>
    <w:rPr>
      <w:color w:val="800080"/>
      <w:u w:val="single"/>
    </w:rPr>
  </w:style>
  <w:style w:type="character" w:styleId="24">
    <w:name w:val="Hyperlink"/>
    <w:basedOn w:val="21"/>
    <w:unhideWhenUsed/>
    <w:qFormat/>
    <w:uiPriority w:val="99"/>
    <w:rPr>
      <w:color w:val="0563C1" w:themeColor="hyperlink"/>
      <w:u w:val="single"/>
      <w14:textFill>
        <w14:solidFill>
          <w14:schemeClr w14:val="hlink"/>
        </w14:solidFill>
      </w14:textFill>
    </w:rPr>
  </w:style>
  <w:style w:type="character" w:styleId="25">
    <w:name w:val="annotation reference"/>
    <w:basedOn w:val="21"/>
    <w:qFormat/>
    <w:uiPriority w:val="0"/>
    <w:rPr>
      <w:sz w:val="21"/>
      <w:szCs w:val="21"/>
    </w:rPr>
  </w:style>
  <w:style w:type="character" w:customStyle="1" w:styleId="26">
    <w:name w:val="标题 1 字符"/>
    <w:basedOn w:val="21"/>
    <w:link w:val="3"/>
    <w:qFormat/>
    <w:uiPriority w:val="9"/>
    <w:rPr>
      <w:b/>
      <w:bCs/>
      <w:kern w:val="44"/>
      <w:sz w:val="44"/>
      <w:szCs w:val="44"/>
    </w:rPr>
  </w:style>
  <w:style w:type="paragraph" w:styleId="27">
    <w:name w:val="List Paragraph"/>
    <w:basedOn w:val="1"/>
    <w:qFormat/>
    <w:uiPriority w:val="34"/>
    <w:pPr>
      <w:ind w:firstLine="420" w:firstLineChars="200"/>
    </w:pPr>
  </w:style>
  <w:style w:type="character" w:customStyle="1" w:styleId="28">
    <w:name w:val="页眉 字符"/>
    <w:basedOn w:val="21"/>
    <w:link w:val="12"/>
    <w:qFormat/>
    <w:uiPriority w:val="0"/>
    <w:rPr>
      <w:sz w:val="18"/>
      <w:szCs w:val="18"/>
    </w:rPr>
  </w:style>
  <w:style w:type="character" w:customStyle="1" w:styleId="29">
    <w:name w:val="页脚 字符"/>
    <w:basedOn w:val="21"/>
    <w:link w:val="11"/>
    <w:qFormat/>
    <w:uiPriority w:val="0"/>
    <w:rPr>
      <w:sz w:val="18"/>
      <w:szCs w:val="18"/>
    </w:rPr>
  </w:style>
  <w:style w:type="character" w:customStyle="1" w:styleId="30">
    <w:name w:val="HTML 预设格式 字符"/>
    <w:basedOn w:val="21"/>
    <w:link w:val="15"/>
    <w:semiHidden/>
    <w:qFormat/>
    <w:uiPriority w:val="99"/>
    <w:rPr>
      <w:rFonts w:ascii="宋体" w:hAnsi="宋体" w:eastAsia="宋体" w:cs="宋体"/>
      <w:kern w:val="0"/>
      <w:sz w:val="24"/>
      <w:szCs w:val="24"/>
    </w:rPr>
  </w:style>
  <w:style w:type="paragraph" w:customStyle="1" w:styleId="31">
    <w:name w:val="TOC 标题1"/>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32">
    <w:name w:val="批注框文本 字符"/>
    <w:basedOn w:val="21"/>
    <w:link w:val="10"/>
    <w:qFormat/>
    <w:uiPriority w:val="0"/>
    <w:rPr>
      <w:sz w:val="18"/>
      <w:szCs w:val="18"/>
    </w:rPr>
  </w:style>
  <w:style w:type="paragraph" w:customStyle="1" w:styleId="33">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34">
    <w:name w:val="xl65"/>
    <w:basedOn w:val="1"/>
    <w:qFormat/>
    <w:uiPriority w:val="0"/>
    <w:pPr>
      <w:widowControl/>
      <w:spacing w:before="100" w:beforeAutospacing="1" w:after="100" w:afterAutospacing="1"/>
      <w:jc w:val="left"/>
      <w:textAlignment w:val="center"/>
    </w:pPr>
    <w:rPr>
      <w:rFonts w:ascii="宋体" w:hAnsi="宋体" w:eastAsia="宋体" w:cs="宋体"/>
      <w:kern w:val="0"/>
      <w:sz w:val="24"/>
      <w:szCs w:val="24"/>
    </w:rPr>
  </w:style>
  <w:style w:type="paragraph" w:customStyle="1" w:styleId="35">
    <w:name w:val="xl66"/>
    <w:basedOn w:val="1"/>
    <w:qFormat/>
    <w:uiPriority w:val="0"/>
    <w:pPr>
      <w:widowControl/>
      <w:spacing w:before="100" w:beforeAutospacing="1" w:after="100" w:afterAutospacing="1"/>
      <w:jc w:val="center"/>
      <w:textAlignment w:val="center"/>
    </w:pPr>
    <w:rPr>
      <w:rFonts w:ascii="宋体" w:hAnsi="宋体" w:eastAsia="宋体" w:cs="宋体"/>
      <w:kern w:val="0"/>
      <w:sz w:val="24"/>
      <w:szCs w:val="24"/>
    </w:rPr>
  </w:style>
  <w:style w:type="paragraph" w:customStyle="1" w:styleId="36">
    <w:name w:val="xl67"/>
    <w:basedOn w:val="1"/>
    <w:qFormat/>
    <w:uiPriority w:val="0"/>
    <w:pPr>
      <w:widowControl/>
      <w:spacing w:before="100" w:beforeAutospacing="1" w:after="100" w:afterAutospacing="1"/>
      <w:jc w:val="center"/>
      <w:textAlignment w:val="center"/>
    </w:pPr>
    <w:rPr>
      <w:rFonts w:ascii="宋体" w:hAnsi="宋体" w:eastAsia="宋体" w:cs="宋体"/>
      <w:kern w:val="0"/>
      <w:sz w:val="32"/>
      <w:szCs w:val="32"/>
    </w:rPr>
  </w:style>
  <w:style w:type="paragraph" w:customStyle="1" w:styleId="37">
    <w:name w:val="xl68"/>
    <w:basedOn w:val="1"/>
    <w:qFormat/>
    <w:uiPriority w:val="0"/>
    <w:pPr>
      <w:widowControl/>
      <w:spacing w:before="100" w:beforeAutospacing="1" w:after="100" w:afterAutospacing="1"/>
      <w:jc w:val="left"/>
      <w:textAlignment w:val="center"/>
    </w:pPr>
    <w:rPr>
      <w:rFonts w:ascii="宋体" w:hAnsi="宋体" w:eastAsia="宋体" w:cs="宋体"/>
      <w:kern w:val="0"/>
      <w:sz w:val="24"/>
      <w:szCs w:val="24"/>
    </w:rPr>
  </w:style>
  <w:style w:type="paragraph" w:customStyle="1" w:styleId="38">
    <w:name w:val="xl6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39">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0">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41">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42">
    <w:name w:val="xl73"/>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3">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4">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5">
    <w:name w:val="xl76"/>
    <w:basedOn w:val="1"/>
    <w:qFormat/>
    <w:uiPriority w:val="0"/>
    <w:pPr>
      <w:widowControl/>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6">
    <w:name w:val="xl77"/>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7">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8">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9">
    <w:name w:val="xl8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50">
    <w:name w:val="xl81"/>
    <w:basedOn w:val="1"/>
    <w:qFormat/>
    <w:uiPriority w:val="0"/>
    <w:pPr>
      <w:widowControl/>
      <w:spacing w:before="100" w:beforeAutospacing="1" w:after="100" w:afterAutospacing="1"/>
      <w:jc w:val="left"/>
      <w:textAlignment w:val="center"/>
    </w:pPr>
    <w:rPr>
      <w:rFonts w:ascii="宋体" w:hAnsi="宋体" w:eastAsia="宋体" w:cs="宋体"/>
      <w:kern w:val="0"/>
      <w:sz w:val="18"/>
      <w:szCs w:val="18"/>
    </w:rPr>
  </w:style>
  <w:style w:type="paragraph" w:customStyle="1" w:styleId="51">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52">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53">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20"/>
      <w:szCs w:val="20"/>
    </w:rPr>
  </w:style>
  <w:style w:type="paragraph" w:customStyle="1" w:styleId="54">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55">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56">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57">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58">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59">
    <w:name w:val="xl89"/>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0">
    <w:name w:val="xl9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1">
    <w:name w:val="xl91"/>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62">
    <w:name w:val="xl9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63">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Calibri" w:hAnsi="Calibri" w:eastAsia="宋体" w:cs="Calibri"/>
      <w:kern w:val="0"/>
      <w:szCs w:val="21"/>
    </w:rPr>
  </w:style>
  <w:style w:type="paragraph" w:customStyle="1" w:styleId="64">
    <w:name w:val="xl94"/>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5">
    <w:name w:val="xl9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6">
    <w:name w:val="xl9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67">
    <w:name w:val="xl9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68">
    <w:name w:val="xl98"/>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9">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0">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1">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72">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73">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4">
    <w:name w:val="xl104"/>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75">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76">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7">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b/>
      <w:bCs/>
      <w:kern w:val="0"/>
      <w:sz w:val="20"/>
      <w:szCs w:val="20"/>
    </w:rPr>
  </w:style>
  <w:style w:type="paragraph" w:customStyle="1" w:styleId="78">
    <w:name w:val="xl10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b/>
      <w:bCs/>
      <w:kern w:val="0"/>
      <w:sz w:val="20"/>
      <w:szCs w:val="20"/>
    </w:rPr>
  </w:style>
  <w:style w:type="paragraph" w:customStyle="1" w:styleId="79">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80">
    <w:name w:val="cf01"/>
    <w:basedOn w:val="21"/>
    <w:qFormat/>
    <w:uiPriority w:val="0"/>
    <w:rPr>
      <w:rFonts w:hint="eastAsia" w:ascii="Microsoft YaHei UI" w:hAnsi="Microsoft YaHei UI" w:eastAsia="Microsoft YaHei UI"/>
      <w:sz w:val="18"/>
      <w:szCs w:val="18"/>
    </w:rPr>
  </w:style>
  <w:style w:type="paragraph" w:customStyle="1" w:styleId="81">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82">
    <w:name w:val="批注文字 字符"/>
    <w:basedOn w:val="21"/>
    <w:qFormat/>
    <w:uiPriority w:val="99"/>
    <w:rPr>
      <w:rFonts w:asciiTheme="minorHAnsi" w:hAnsiTheme="minorHAnsi" w:eastAsiaTheme="minorEastAsia" w:cstheme="minorBidi"/>
      <w:kern w:val="2"/>
      <w:sz w:val="21"/>
      <w:szCs w:val="22"/>
    </w:rPr>
  </w:style>
  <w:style w:type="character" w:customStyle="1" w:styleId="83">
    <w:name w:val="批注文字 字符1"/>
    <w:basedOn w:val="21"/>
    <w:link w:val="6"/>
    <w:qFormat/>
    <w:uiPriority w:val="99"/>
    <w:rPr>
      <w:rFonts w:asciiTheme="minorHAnsi" w:hAnsiTheme="minorHAnsi" w:eastAsiaTheme="minorEastAsia" w:cstheme="minorBidi"/>
      <w:kern w:val="2"/>
      <w:sz w:val="21"/>
      <w:szCs w:val="22"/>
    </w:rPr>
  </w:style>
  <w:style w:type="character" w:customStyle="1" w:styleId="84">
    <w:name w:val="批注主题 字符"/>
    <w:basedOn w:val="83"/>
    <w:link w:val="17"/>
    <w:qFormat/>
    <w:uiPriority w:val="0"/>
    <w:rPr>
      <w:rFonts w:asciiTheme="minorHAnsi" w:hAnsiTheme="minorHAnsi" w:eastAsiaTheme="minorEastAsia" w:cstheme="minorBidi"/>
      <w:b/>
      <w:bCs/>
      <w:kern w:val="2"/>
      <w:sz w:val="21"/>
      <w:szCs w:val="22"/>
    </w:rPr>
  </w:style>
  <w:style w:type="paragraph" w:customStyle="1" w:styleId="85">
    <w:name w:val="修订1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86">
    <w:name w:val="pf0"/>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87">
    <w:name w:val="cf11"/>
    <w:basedOn w:val="21"/>
    <w:qFormat/>
    <w:uiPriority w:val="0"/>
    <w:rPr>
      <w:rFonts w:hint="eastAsia" w:ascii="Microsoft YaHei UI" w:hAnsi="Microsoft YaHei UI" w:eastAsia="Microsoft YaHei UI"/>
      <w:sz w:val="18"/>
      <w:szCs w:val="18"/>
    </w:rPr>
  </w:style>
  <w:style w:type="paragraph" w:customStyle="1" w:styleId="88">
    <w:name w:val="WPSOffice手动目录 1"/>
    <w:qFormat/>
    <w:uiPriority w:val="0"/>
    <w:rPr>
      <w:rFonts w:ascii="Times New Roman" w:hAnsi="Times New Roman" w:eastAsia="宋体" w:cs="Times New Roman"/>
      <w:lang w:val="en-US" w:eastAsia="zh-CN" w:bidi="ar-SA"/>
    </w:rPr>
  </w:style>
  <w:style w:type="paragraph" w:customStyle="1" w:styleId="89">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90">
    <w:name w:val="WPSOffice手动目录 3"/>
    <w:qFormat/>
    <w:uiPriority w:val="0"/>
    <w:pPr>
      <w:ind w:left="400" w:leftChars="4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062E3-6527-4945-B372-F0664392E16F}">
  <ds:schemaRefs/>
</ds:datastoreItem>
</file>

<file path=docProps/app.xml><?xml version="1.0" encoding="utf-8"?>
<Properties xmlns="http://schemas.openxmlformats.org/officeDocument/2006/extended-properties" xmlns:vt="http://schemas.openxmlformats.org/officeDocument/2006/docPropsVTypes">
  <Template>Normal.dotm</Template>
  <Company>LG</Company>
  <Pages>32</Pages>
  <Words>1715</Words>
  <Characters>1722</Characters>
  <Lines>93</Lines>
  <Paragraphs>26</Paragraphs>
  <TotalTime>188</TotalTime>
  <ScaleCrop>false</ScaleCrop>
  <LinksUpToDate>false</LinksUpToDate>
  <CharactersWithSpaces>1736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2022-12-15T08:13:00Z</dcterms:created>
  <dc:creator>FENG</dc:creator>
  <cp:lastModifiedBy>轻描淡写</cp:lastModifiedBy>
  <cp:lastPrinted>2017-12-14T13:52:00Z</cp:lastPrinted>
  <dcterms:modified xsi:type="dcterms:W3CDTF">2025-11-06T01:31:55Z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BD042CDE1B594CEDA151EB70AA6FD86F_13</vt:lpwstr>
  </property>
  <property fmtid="{D5CDD505-2E9C-101B-9397-08002B2CF9AE}" pid="4" name="KSOTemplateDocerSaveRecord">
    <vt:lpwstr>eyJoZGlkIjoiN2UyNGU2YTllM2QyMzdmYjFjOTc2Njc0OWViZDJmMWQiLCJ1c2VySWQiOiI0ODkxMDMzNDYifQ==</vt:lpwstr>
  </property>
</Properties>
</file>