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61A374">
      <w:pPr>
        <w:spacing w:line="360" w:lineRule="auto"/>
        <w:jc w:val="center"/>
        <w:rPr>
          <w:rFonts w:eastAsia="黑体"/>
          <w:b/>
          <w:sz w:val="54"/>
          <w:szCs w:val="54"/>
        </w:rPr>
      </w:pPr>
    </w:p>
    <w:p w14:paraId="2ACA9B1C">
      <w:pPr>
        <w:spacing w:line="360" w:lineRule="auto"/>
        <w:jc w:val="center"/>
        <w:rPr>
          <w:rFonts w:eastAsia="黑体"/>
          <w:b/>
          <w:sz w:val="54"/>
          <w:szCs w:val="54"/>
        </w:rPr>
      </w:pPr>
    </w:p>
    <w:p w14:paraId="15259C1A">
      <w:pPr>
        <w:spacing w:line="360" w:lineRule="auto"/>
        <w:jc w:val="center"/>
        <w:rPr>
          <w:rFonts w:hint="eastAsia" w:ascii="黑体" w:hAnsi="黑体" w:eastAsia="黑体" w:cs="黑体"/>
          <w:b w:val="0"/>
          <w:bCs w:val="0"/>
          <w:sz w:val="48"/>
          <w:szCs w:val="48"/>
          <w:lang w:val="en-US" w:eastAsia="zh-CN"/>
        </w:rPr>
      </w:pPr>
      <w:bookmarkStart w:id="0" w:name="_Toc264729017"/>
      <w:bookmarkStart w:id="1" w:name="_Toc264643771"/>
      <w:r>
        <w:rPr>
          <w:rFonts w:hint="eastAsia" w:ascii="黑体" w:hAnsi="黑体" w:eastAsia="黑体" w:cs="黑体"/>
          <w:b w:val="0"/>
          <w:bCs w:val="0"/>
          <w:sz w:val="48"/>
          <w:szCs w:val="48"/>
          <w:lang w:val="en-US" w:eastAsia="zh-CN"/>
        </w:rPr>
        <w:t>温都水城生态餐厅东侧河道网架及北侧连廊拆除工程“6·3”一般生产安全事故</w:t>
      </w:r>
    </w:p>
    <w:p w14:paraId="06B8AD40">
      <w:pPr>
        <w:spacing w:line="360" w:lineRule="auto"/>
        <w:jc w:val="center"/>
        <w:rPr>
          <w:rFonts w:eastAsia="黑体"/>
          <w:b/>
          <w:sz w:val="48"/>
          <w:szCs w:val="48"/>
        </w:rPr>
      </w:pPr>
      <w:r>
        <w:rPr>
          <w:rFonts w:hint="eastAsia" w:ascii="黑体" w:hAnsi="黑体" w:eastAsia="黑体"/>
          <w:sz w:val="48"/>
          <w:szCs w:val="48"/>
          <w:lang w:val="en-US" w:eastAsia="zh-CN"/>
        </w:rPr>
        <w:t>安全现状评估</w:t>
      </w:r>
      <w:r>
        <w:rPr>
          <w:rFonts w:hint="eastAsia" w:ascii="黑体" w:hAnsi="黑体" w:eastAsia="黑体"/>
          <w:sz w:val="48"/>
          <w:szCs w:val="48"/>
        </w:rPr>
        <w:t>报告</w:t>
      </w:r>
    </w:p>
    <w:bookmarkEnd w:id="0"/>
    <w:bookmarkEnd w:id="1"/>
    <w:p w14:paraId="2C5AB24E">
      <w:pPr>
        <w:spacing w:line="360" w:lineRule="auto"/>
        <w:jc w:val="center"/>
        <w:rPr>
          <w:rFonts w:eastAsia="黑体"/>
          <w:b/>
          <w:sz w:val="48"/>
          <w:szCs w:val="48"/>
        </w:rPr>
      </w:pPr>
    </w:p>
    <w:p w14:paraId="32E9B9A9">
      <w:pPr>
        <w:spacing w:line="360" w:lineRule="auto"/>
        <w:jc w:val="center"/>
        <w:rPr>
          <w:rFonts w:eastAsia="黑体"/>
          <w:b/>
          <w:sz w:val="48"/>
          <w:szCs w:val="48"/>
        </w:rPr>
      </w:pPr>
    </w:p>
    <w:p w14:paraId="648A9624">
      <w:pPr>
        <w:spacing w:line="360" w:lineRule="auto"/>
        <w:jc w:val="center"/>
        <w:rPr>
          <w:rFonts w:eastAsia="黑体"/>
          <w:b/>
          <w:sz w:val="48"/>
          <w:szCs w:val="48"/>
        </w:rPr>
      </w:pPr>
    </w:p>
    <w:p w14:paraId="050E2315">
      <w:pPr>
        <w:spacing w:line="360" w:lineRule="auto"/>
        <w:jc w:val="center"/>
        <w:rPr>
          <w:rFonts w:eastAsia="黑体"/>
          <w:b/>
          <w:sz w:val="48"/>
          <w:szCs w:val="48"/>
        </w:rPr>
      </w:pPr>
    </w:p>
    <w:p w14:paraId="4D2A1CEC">
      <w:pPr>
        <w:spacing w:line="360" w:lineRule="auto"/>
        <w:jc w:val="center"/>
        <w:rPr>
          <w:rFonts w:eastAsia="黑体"/>
          <w:b/>
          <w:sz w:val="48"/>
          <w:szCs w:val="48"/>
        </w:rPr>
      </w:pPr>
    </w:p>
    <w:p w14:paraId="68249C18">
      <w:pPr>
        <w:spacing w:line="360" w:lineRule="auto"/>
        <w:jc w:val="center"/>
        <w:rPr>
          <w:rFonts w:eastAsia="黑体"/>
          <w:b/>
          <w:sz w:val="48"/>
          <w:szCs w:val="48"/>
        </w:rPr>
      </w:pPr>
    </w:p>
    <w:p w14:paraId="36CF644C">
      <w:pPr>
        <w:spacing w:line="360" w:lineRule="auto"/>
        <w:jc w:val="center"/>
        <w:rPr>
          <w:rFonts w:eastAsia="黑体"/>
          <w:b/>
          <w:sz w:val="48"/>
          <w:szCs w:val="48"/>
        </w:rPr>
      </w:pPr>
    </w:p>
    <w:p w14:paraId="5FD003F1">
      <w:pPr>
        <w:spacing w:line="360" w:lineRule="auto"/>
        <w:jc w:val="center"/>
        <w:rPr>
          <w:rFonts w:eastAsia="黑体"/>
          <w:b/>
          <w:sz w:val="48"/>
          <w:szCs w:val="48"/>
        </w:rPr>
      </w:pPr>
    </w:p>
    <w:p w14:paraId="049DFFF7">
      <w:pPr>
        <w:spacing w:line="360" w:lineRule="auto"/>
        <w:jc w:val="center"/>
        <w:rPr>
          <w:rFonts w:hint="eastAsia" w:ascii="黑体" w:hAnsi="黑体" w:eastAsia="黑体"/>
          <w:sz w:val="48"/>
          <w:szCs w:val="48"/>
          <w:lang w:val="en-US" w:eastAsia="zh-CN"/>
        </w:rPr>
      </w:pPr>
      <w:r>
        <w:rPr>
          <w:rFonts w:hint="eastAsia" w:ascii="黑体" w:hAnsi="黑体" w:eastAsia="黑体"/>
          <w:sz w:val="48"/>
          <w:szCs w:val="48"/>
          <w:lang w:val="en-US" w:eastAsia="zh-CN"/>
        </w:rPr>
        <w:t>北京市科学技术研究院</w:t>
      </w:r>
    </w:p>
    <w:p w14:paraId="06B29270">
      <w:pPr>
        <w:spacing w:line="360" w:lineRule="auto"/>
        <w:jc w:val="center"/>
        <w:rPr>
          <w:rFonts w:hint="eastAsia" w:ascii="黑体" w:hAnsi="黑体" w:eastAsia="黑体"/>
          <w:sz w:val="48"/>
          <w:szCs w:val="48"/>
          <w:lang w:val="en-US" w:eastAsia="zh-CN"/>
        </w:rPr>
      </w:pPr>
      <w:r>
        <w:rPr>
          <w:rFonts w:hint="eastAsia" w:ascii="黑体" w:hAnsi="黑体" w:eastAsia="黑体"/>
          <w:sz w:val="48"/>
          <w:szCs w:val="48"/>
          <w:lang w:val="en-US" w:eastAsia="zh-CN"/>
        </w:rPr>
        <w:t xml:space="preserve">城市安全与环境科学研究所 </w:t>
      </w:r>
    </w:p>
    <w:p w14:paraId="4F888739">
      <w:pPr>
        <w:spacing w:line="360" w:lineRule="auto"/>
        <w:jc w:val="center"/>
        <w:rPr>
          <w:rFonts w:ascii="黑体" w:hAnsi="黑体" w:eastAsia="黑体"/>
          <w:sz w:val="48"/>
          <w:szCs w:val="48"/>
        </w:rPr>
      </w:pPr>
      <w:r>
        <w:rPr>
          <w:rFonts w:hint="eastAsia" w:ascii="黑体" w:hAnsi="黑体" w:eastAsia="黑体"/>
          <w:sz w:val="48"/>
          <w:szCs w:val="48"/>
        </w:rPr>
        <w:t>202</w:t>
      </w:r>
      <w:r>
        <w:rPr>
          <w:rFonts w:hint="eastAsia" w:ascii="黑体" w:hAnsi="黑体" w:eastAsia="黑体"/>
          <w:sz w:val="48"/>
          <w:szCs w:val="48"/>
          <w:lang w:val="en-US" w:eastAsia="zh-CN"/>
        </w:rPr>
        <w:t>5</w:t>
      </w:r>
      <w:r>
        <w:rPr>
          <w:rFonts w:ascii="黑体" w:hAnsi="黑体" w:eastAsia="黑体"/>
          <w:sz w:val="48"/>
          <w:szCs w:val="48"/>
        </w:rPr>
        <w:t>年</w:t>
      </w:r>
      <w:r>
        <w:rPr>
          <w:rFonts w:hint="eastAsia" w:ascii="黑体" w:hAnsi="黑体" w:eastAsia="黑体"/>
          <w:sz w:val="48"/>
          <w:szCs w:val="48"/>
          <w:lang w:val="en-US" w:eastAsia="zh-CN"/>
        </w:rPr>
        <w:t>9</w:t>
      </w:r>
      <w:bookmarkStart w:id="19" w:name="_GoBack"/>
      <w:bookmarkEnd w:id="19"/>
      <w:r>
        <w:rPr>
          <w:rFonts w:ascii="黑体" w:hAnsi="黑体" w:eastAsia="黑体"/>
          <w:sz w:val="48"/>
          <w:szCs w:val="48"/>
        </w:rPr>
        <w:t>月</w:t>
      </w:r>
    </w:p>
    <w:p w14:paraId="423E3FB1">
      <w:pPr>
        <w:spacing w:line="360" w:lineRule="auto"/>
        <w:jc w:val="center"/>
        <w:rPr>
          <w:rFonts w:ascii="黑体" w:hAnsi="黑体" w:eastAsia="黑体"/>
          <w:sz w:val="48"/>
          <w:szCs w:val="48"/>
        </w:rPr>
      </w:pPr>
    </w:p>
    <w:p w14:paraId="3503BD29">
      <w:pPr>
        <w:spacing w:line="360" w:lineRule="auto"/>
        <w:jc w:val="center"/>
        <w:rPr>
          <w:rFonts w:ascii="黑体" w:hAnsi="黑体" w:eastAsia="黑体"/>
          <w:sz w:val="48"/>
          <w:szCs w:val="48"/>
        </w:rPr>
        <w:sectPr>
          <w:footerReference r:id="rId3" w:type="default"/>
          <w:pgSz w:w="11906" w:h="16838"/>
          <w:pgMar w:top="1418" w:right="1588" w:bottom="1418" w:left="1531" w:header="851" w:footer="992" w:gutter="0"/>
          <w:cols w:space="425" w:num="1"/>
          <w:docGrid w:type="lines" w:linePitch="312" w:charSpace="0"/>
        </w:sectPr>
      </w:pPr>
    </w:p>
    <w:p w14:paraId="2BF47402">
      <w:pPr>
        <w:spacing w:before="0" w:beforeLines="0" w:after="0" w:afterLines="0" w:line="240" w:lineRule="auto"/>
        <w:ind w:left="0" w:leftChars="0" w:right="0" w:rightChars="0" w:firstLine="0" w:firstLineChars="0"/>
        <w:jc w:val="center"/>
        <w:rPr>
          <w:rFonts w:hint="eastAsia" w:ascii="黑体" w:hAnsi="黑体" w:eastAsia="黑体" w:cs="黑体"/>
          <w:sz w:val="28"/>
          <w:szCs w:val="32"/>
        </w:rPr>
      </w:pPr>
    </w:p>
    <w:p w14:paraId="6B4414E0">
      <w:pPr>
        <w:spacing w:before="0" w:beforeLines="0" w:after="0" w:afterLines="0" w:line="240" w:lineRule="auto"/>
        <w:ind w:left="0" w:leftChars="0" w:right="0" w:rightChars="0" w:firstLine="0" w:firstLineChars="0"/>
        <w:jc w:val="center"/>
        <w:rPr>
          <w:rFonts w:hint="eastAsia" w:ascii="黑体" w:hAnsi="黑体" w:eastAsia="黑体" w:cs="黑体"/>
          <w:sz w:val="28"/>
          <w:szCs w:val="32"/>
        </w:rPr>
      </w:pPr>
      <w:r>
        <w:rPr>
          <w:rFonts w:hint="eastAsia" w:ascii="黑体" w:hAnsi="黑体" w:eastAsia="黑体" w:cs="黑体"/>
          <w:sz w:val="28"/>
          <w:szCs w:val="32"/>
        </w:rPr>
        <w:t>目</w:t>
      </w:r>
      <w:r>
        <w:rPr>
          <w:rFonts w:hint="eastAsia" w:ascii="黑体" w:hAnsi="黑体" w:eastAsia="黑体" w:cs="黑体"/>
          <w:sz w:val="28"/>
          <w:szCs w:val="32"/>
          <w:lang w:val="en-US" w:eastAsia="zh-CN"/>
        </w:rPr>
        <w:t xml:space="preserve"> </w:t>
      </w:r>
      <w:r>
        <w:rPr>
          <w:rFonts w:hint="eastAsia" w:ascii="黑体" w:hAnsi="黑体" w:eastAsia="黑体" w:cs="黑体"/>
          <w:sz w:val="28"/>
          <w:szCs w:val="32"/>
        </w:rPr>
        <w:t>录</w:t>
      </w:r>
    </w:p>
    <w:p w14:paraId="6591CEE3">
      <w:pPr>
        <w:pStyle w:val="8"/>
      </w:pPr>
    </w:p>
    <w:p w14:paraId="2C9A2518">
      <w:pPr>
        <w:pStyle w:val="14"/>
        <w:pageBreakBefore w:val="0"/>
        <w:tabs>
          <w:tab w:val="right" w:leader="dot" w:pos="8787"/>
        </w:tabs>
        <w:kinsoku/>
        <w:wordWrap/>
        <w:overflowPunct/>
        <w:topLinePunct w:val="0"/>
        <w:autoSpaceDE/>
        <w:autoSpaceDN/>
        <w:bidi w:val="0"/>
        <w:adjustRightInd/>
        <w:snapToGrid/>
        <w:spacing w:line="480" w:lineRule="auto"/>
        <w:textAlignment w:val="auto"/>
        <w:rPr>
          <w:rFonts w:ascii="Times New Roman" w:hAnsi="Times New Roman"/>
          <w:sz w:val="24"/>
          <w:szCs w:val="24"/>
        </w:rPr>
      </w:pPr>
      <w:r>
        <w:rPr>
          <w:rFonts w:hint="default" w:ascii="Times New Roman" w:hAnsi="Times New Roman" w:eastAsia="黑体" w:cs="Times New Roman"/>
          <w:sz w:val="28"/>
          <w:szCs w:val="28"/>
          <w:lang w:val="en-US" w:eastAsia="zh-CN"/>
        </w:rPr>
        <w:fldChar w:fldCharType="begin"/>
      </w:r>
      <w:r>
        <w:rPr>
          <w:rFonts w:hint="default" w:ascii="Times New Roman" w:hAnsi="Times New Roman" w:eastAsia="黑体" w:cs="Times New Roman"/>
          <w:sz w:val="28"/>
          <w:szCs w:val="28"/>
          <w:lang w:val="en-US" w:eastAsia="zh-CN"/>
        </w:rPr>
        <w:instrText xml:space="preserve">TOC \o "1-3" \h \u </w:instrText>
      </w:r>
      <w:r>
        <w:rPr>
          <w:rFonts w:hint="default" w:ascii="Times New Roman" w:hAnsi="Times New Roman" w:eastAsia="黑体" w:cs="Times New Roman"/>
          <w:sz w:val="28"/>
          <w:szCs w:val="28"/>
          <w:lang w:val="en-US" w:eastAsia="zh-CN"/>
        </w:rPr>
        <w:fldChar w:fldCharType="separate"/>
      </w:r>
      <w:r>
        <w:rPr>
          <w:rFonts w:hint="default" w:ascii="Times New Roman" w:hAnsi="Times New Roman" w:eastAsia="黑体" w:cs="Times New Roman"/>
          <w:sz w:val="24"/>
          <w:szCs w:val="32"/>
          <w:lang w:val="en-US" w:eastAsia="zh-CN"/>
        </w:rPr>
        <w:fldChar w:fldCharType="begin"/>
      </w:r>
      <w:r>
        <w:rPr>
          <w:rFonts w:hint="default" w:ascii="Times New Roman" w:hAnsi="Times New Roman" w:eastAsia="黑体" w:cs="Times New Roman"/>
          <w:sz w:val="24"/>
          <w:szCs w:val="32"/>
          <w:lang w:val="en-US" w:eastAsia="zh-CN"/>
        </w:rPr>
        <w:instrText xml:space="preserve"> HYPERLINK \l _Toc1206 </w:instrText>
      </w:r>
      <w:r>
        <w:rPr>
          <w:rFonts w:hint="default" w:ascii="Times New Roman" w:hAnsi="Times New Roman" w:eastAsia="黑体" w:cs="Times New Roman"/>
          <w:sz w:val="24"/>
          <w:szCs w:val="32"/>
          <w:lang w:val="en-US" w:eastAsia="zh-CN"/>
        </w:rPr>
        <w:fldChar w:fldCharType="separate"/>
      </w:r>
      <w:r>
        <w:rPr>
          <w:rFonts w:hint="eastAsia" w:ascii="Times New Roman" w:hAnsi="Times New Roman" w:eastAsia="黑体" w:cs="黑体"/>
          <w:sz w:val="24"/>
          <w:szCs w:val="32"/>
          <w:lang w:val="en-US" w:eastAsia="zh-CN"/>
        </w:rPr>
        <w:t>一、目的依据</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_Toc1206 \h </w:instrText>
      </w:r>
      <w:r>
        <w:rPr>
          <w:rFonts w:ascii="Times New Roman" w:hAnsi="Times New Roman"/>
          <w:sz w:val="24"/>
          <w:szCs w:val="24"/>
        </w:rPr>
        <w:fldChar w:fldCharType="separate"/>
      </w:r>
      <w:r>
        <w:rPr>
          <w:rFonts w:ascii="Times New Roman" w:hAnsi="Times New Roman"/>
          <w:sz w:val="24"/>
          <w:szCs w:val="24"/>
        </w:rPr>
        <w:t>1</w:t>
      </w:r>
      <w:r>
        <w:rPr>
          <w:rFonts w:ascii="Times New Roman" w:hAnsi="Times New Roman"/>
          <w:sz w:val="24"/>
          <w:szCs w:val="24"/>
        </w:rPr>
        <w:fldChar w:fldCharType="end"/>
      </w:r>
      <w:r>
        <w:rPr>
          <w:rFonts w:hint="default" w:ascii="Times New Roman" w:hAnsi="Times New Roman" w:eastAsia="黑体" w:cs="Times New Roman"/>
          <w:sz w:val="24"/>
          <w:szCs w:val="32"/>
          <w:lang w:val="en-US" w:eastAsia="zh-CN"/>
        </w:rPr>
        <w:fldChar w:fldCharType="end"/>
      </w:r>
    </w:p>
    <w:p w14:paraId="6BCE6159">
      <w:pPr>
        <w:pStyle w:val="14"/>
        <w:pageBreakBefore w:val="0"/>
        <w:tabs>
          <w:tab w:val="right" w:leader="dot" w:pos="8787"/>
        </w:tabs>
        <w:kinsoku/>
        <w:wordWrap/>
        <w:overflowPunct/>
        <w:topLinePunct w:val="0"/>
        <w:autoSpaceDE/>
        <w:autoSpaceDN/>
        <w:bidi w:val="0"/>
        <w:adjustRightInd/>
        <w:snapToGrid/>
        <w:spacing w:line="480" w:lineRule="auto"/>
        <w:textAlignment w:val="auto"/>
        <w:rPr>
          <w:rFonts w:ascii="Times New Roman" w:hAnsi="Times New Roman"/>
          <w:sz w:val="24"/>
          <w:szCs w:val="24"/>
        </w:rPr>
      </w:pPr>
      <w:r>
        <w:rPr>
          <w:rFonts w:hint="default" w:ascii="Times New Roman" w:hAnsi="Times New Roman" w:eastAsia="黑体" w:cs="Times New Roman"/>
          <w:sz w:val="24"/>
          <w:szCs w:val="32"/>
          <w:lang w:val="en-US" w:eastAsia="zh-CN"/>
        </w:rPr>
        <w:fldChar w:fldCharType="begin"/>
      </w:r>
      <w:r>
        <w:rPr>
          <w:rFonts w:hint="default" w:ascii="Times New Roman" w:hAnsi="Times New Roman" w:eastAsia="黑体" w:cs="Times New Roman"/>
          <w:sz w:val="24"/>
          <w:szCs w:val="32"/>
          <w:lang w:val="en-US" w:eastAsia="zh-CN"/>
        </w:rPr>
        <w:instrText xml:space="preserve"> HYPERLINK \l _Toc13555 </w:instrText>
      </w:r>
      <w:r>
        <w:rPr>
          <w:rFonts w:hint="default" w:ascii="Times New Roman" w:hAnsi="Times New Roman" w:eastAsia="黑体" w:cs="Times New Roman"/>
          <w:sz w:val="24"/>
          <w:szCs w:val="32"/>
          <w:lang w:val="en-US" w:eastAsia="zh-CN"/>
        </w:rPr>
        <w:fldChar w:fldCharType="separate"/>
      </w:r>
      <w:r>
        <w:rPr>
          <w:rFonts w:hint="eastAsia" w:ascii="Times New Roman" w:hAnsi="Times New Roman" w:eastAsia="黑体" w:cs="黑体"/>
          <w:sz w:val="24"/>
          <w:szCs w:val="32"/>
          <w:lang w:val="en-US" w:eastAsia="zh-CN"/>
        </w:rPr>
        <w:t>二、工作范围和方式</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_Toc13555 \h </w:instrText>
      </w:r>
      <w:r>
        <w:rPr>
          <w:rFonts w:ascii="Times New Roman" w:hAnsi="Times New Roman"/>
          <w:sz w:val="24"/>
          <w:szCs w:val="24"/>
        </w:rPr>
        <w:fldChar w:fldCharType="separate"/>
      </w:r>
      <w:r>
        <w:rPr>
          <w:rFonts w:ascii="Times New Roman" w:hAnsi="Times New Roman"/>
          <w:sz w:val="24"/>
          <w:szCs w:val="24"/>
        </w:rPr>
        <w:t>1</w:t>
      </w:r>
      <w:r>
        <w:rPr>
          <w:rFonts w:ascii="Times New Roman" w:hAnsi="Times New Roman"/>
          <w:sz w:val="24"/>
          <w:szCs w:val="24"/>
        </w:rPr>
        <w:fldChar w:fldCharType="end"/>
      </w:r>
      <w:r>
        <w:rPr>
          <w:rFonts w:hint="default" w:ascii="Times New Roman" w:hAnsi="Times New Roman" w:eastAsia="黑体" w:cs="Times New Roman"/>
          <w:sz w:val="24"/>
          <w:szCs w:val="32"/>
          <w:lang w:val="en-US" w:eastAsia="zh-CN"/>
        </w:rPr>
        <w:fldChar w:fldCharType="end"/>
      </w:r>
    </w:p>
    <w:p w14:paraId="72B06DC3">
      <w:pPr>
        <w:pStyle w:val="15"/>
        <w:pageBreakBefore w:val="0"/>
        <w:tabs>
          <w:tab w:val="right" w:leader="dot" w:pos="8787"/>
        </w:tabs>
        <w:kinsoku/>
        <w:wordWrap/>
        <w:overflowPunct/>
        <w:topLinePunct w:val="0"/>
        <w:autoSpaceDE/>
        <w:autoSpaceDN/>
        <w:bidi w:val="0"/>
        <w:adjustRightInd/>
        <w:snapToGrid/>
        <w:spacing w:line="480" w:lineRule="auto"/>
        <w:textAlignment w:val="auto"/>
        <w:rPr>
          <w:rFonts w:ascii="Times New Roman" w:hAnsi="Times New Roman"/>
          <w:sz w:val="24"/>
          <w:szCs w:val="24"/>
        </w:rPr>
      </w:pPr>
      <w:r>
        <w:rPr>
          <w:rFonts w:hint="default" w:ascii="Times New Roman" w:hAnsi="Times New Roman" w:eastAsia="黑体" w:cs="Times New Roman"/>
          <w:sz w:val="24"/>
          <w:szCs w:val="32"/>
          <w:lang w:val="en-US" w:eastAsia="zh-CN"/>
        </w:rPr>
        <w:fldChar w:fldCharType="begin"/>
      </w:r>
      <w:r>
        <w:rPr>
          <w:rFonts w:hint="default" w:ascii="Times New Roman" w:hAnsi="Times New Roman" w:eastAsia="黑体" w:cs="Times New Roman"/>
          <w:sz w:val="24"/>
          <w:szCs w:val="32"/>
          <w:lang w:val="en-US" w:eastAsia="zh-CN"/>
        </w:rPr>
        <w:instrText xml:space="preserve"> HYPERLINK \l _Toc6368 </w:instrText>
      </w:r>
      <w:r>
        <w:rPr>
          <w:rFonts w:hint="default" w:ascii="Times New Roman" w:hAnsi="Times New Roman" w:eastAsia="黑体" w:cs="Times New Roman"/>
          <w:sz w:val="24"/>
          <w:szCs w:val="32"/>
          <w:lang w:val="en-US" w:eastAsia="zh-CN"/>
        </w:rPr>
        <w:fldChar w:fldCharType="separate"/>
      </w:r>
      <w:r>
        <w:rPr>
          <w:rFonts w:hint="eastAsia" w:ascii="Times New Roman" w:hAnsi="Times New Roman"/>
          <w:sz w:val="24"/>
          <w:szCs w:val="22"/>
          <w:lang w:val="en-US" w:eastAsia="zh-CN"/>
        </w:rPr>
        <w:t>（一）资料查阅</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_Toc6368 \h </w:instrText>
      </w:r>
      <w:r>
        <w:rPr>
          <w:rFonts w:ascii="Times New Roman" w:hAnsi="Times New Roman"/>
          <w:sz w:val="24"/>
          <w:szCs w:val="24"/>
        </w:rPr>
        <w:fldChar w:fldCharType="separate"/>
      </w:r>
      <w:r>
        <w:rPr>
          <w:rFonts w:ascii="Times New Roman" w:hAnsi="Times New Roman"/>
          <w:sz w:val="24"/>
          <w:szCs w:val="24"/>
        </w:rPr>
        <w:t>1</w:t>
      </w:r>
      <w:r>
        <w:rPr>
          <w:rFonts w:ascii="Times New Roman" w:hAnsi="Times New Roman"/>
          <w:sz w:val="24"/>
          <w:szCs w:val="24"/>
        </w:rPr>
        <w:fldChar w:fldCharType="end"/>
      </w:r>
      <w:r>
        <w:rPr>
          <w:rFonts w:hint="default" w:ascii="Times New Roman" w:hAnsi="Times New Roman" w:eastAsia="黑体" w:cs="Times New Roman"/>
          <w:sz w:val="24"/>
          <w:szCs w:val="32"/>
          <w:lang w:val="en-US" w:eastAsia="zh-CN"/>
        </w:rPr>
        <w:fldChar w:fldCharType="end"/>
      </w:r>
    </w:p>
    <w:p w14:paraId="71B5E9CF">
      <w:pPr>
        <w:pStyle w:val="14"/>
        <w:pageBreakBefore w:val="0"/>
        <w:tabs>
          <w:tab w:val="right" w:leader="dot" w:pos="8787"/>
        </w:tabs>
        <w:kinsoku/>
        <w:wordWrap/>
        <w:overflowPunct/>
        <w:topLinePunct w:val="0"/>
        <w:autoSpaceDE/>
        <w:autoSpaceDN/>
        <w:bidi w:val="0"/>
        <w:adjustRightInd/>
        <w:snapToGrid/>
        <w:spacing w:line="480" w:lineRule="auto"/>
        <w:textAlignment w:val="auto"/>
        <w:rPr>
          <w:rFonts w:ascii="Times New Roman" w:hAnsi="Times New Roman"/>
          <w:sz w:val="24"/>
          <w:szCs w:val="24"/>
        </w:rPr>
      </w:pPr>
      <w:r>
        <w:rPr>
          <w:rFonts w:hint="default" w:ascii="Times New Roman" w:hAnsi="Times New Roman" w:eastAsia="黑体" w:cs="Times New Roman"/>
          <w:sz w:val="24"/>
          <w:szCs w:val="32"/>
          <w:lang w:val="en-US" w:eastAsia="zh-CN"/>
        </w:rPr>
        <w:fldChar w:fldCharType="begin"/>
      </w:r>
      <w:r>
        <w:rPr>
          <w:rFonts w:hint="default" w:ascii="Times New Roman" w:hAnsi="Times New Roman" w:eastAsia="黑体" w:cs="Times New Roman"/>
          <w:sz w:val="24"/>
          <w:szCs w:val="32"/>
          <w:lang w:val="en-US" w:eastAsia="zh-CN"/>
        </w:rPr>
        <w:instrText xml:space="preserve"> HYPERLINK \l _Toc12697 </w:instrText>
      </w:r>
      <w:r>
        <w:rPr>
          <w:rFonts w:hint="default" w:ascii="Times New Roman" w:hAnsi="Times New Roman" w:eastAsia="黑体" w:cs="Times New Roman"/>
          <w:sz w:val="24"/>
          <w:szCs w:val="32"/>
          <w:lang w:val="en-US" w:eastAsia="zh-CN"/>
        </w:rPr>
        <w:fldChar w:fldCharType="separate"/>
      </w:r>
      <w:r>
        <w:rPr>
          <w:rFonts w:hint="eastAsia" w:ascii="Times New Roman" w:hAnsi="Times New Roman" w:eastAsia="黑体" w:cs="黑体"/>
          <w:sz w:val="24"/>
          <w:szCs w:val="32"/>
          <w:lang w:val="en-US" w:eastAsia="zh-CN"/>
        </w:rPr>
        <w:t>三、安全现状评估</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_Toc12697 \h </w:instrText>
      </w:r>
      <w:r>
        <w:rPr>
          <w:rFonts w:ascii="Times New Roman" w:hAnsi="Times New Roman"/>
          <w:sz w:val="24"/>
          <w:szCs w:val="24"/>
        </w:rPr>
        <w:fldChar w:fldCharType="separate"/>
      </w:r>
      <w:r>
        <w:rPr>
          <w:rFonts w:ascii="Times New Roman" w:hAnsi="Times New Roman"/>
          <w:sz w:val="24"/>
          <w:szCs w:val="24"/>
        </w:rPr>
        <w:t>2</w:t>
      </w:r>
      <w:r>
        <w:rPr>
          <w:rFonts w:ascii="Times New Roman" w:hAnsi="Times New Roman"/>
          <w:sz w:val="24"/>
          <w:szCs w:val="24"/>
        </w:rPr>
        <w:fldChar w:fldCharType="end"/>
      </w:r>
      <w:r>
        <w:rPr>
          <w:rFonts w:hint="default" w:ascii="Times New Roman" w:hAnsi="Times New Roman" w:eastAsia="黑体" w:cs="Times New Roman"/>
          <w:sz w:val="24"/>
          <w:szCs w:val="32"/>
          <w:lang w:val="en-US" w:eastAsia="zh-CN"/>
        </w:rPr>
        <w:fldChar w:fldCharType="end"/>
      </w:r>
    </w:p>
    <w:p w14:paraId="5B49C274">
      <w:pPr>
        <w:pStyle w:val="15"/>
        <w:pageBreakBefore w:val="0"/>
        <w:tabs>
          <w:tab w:val="right" w:leader="dot" w:pos="8787"/>
        </w:tabs>
        <w:kinsoku/>
        <w:wordWrap/>
        <w:overflowPunct/>
        <w:topLinePunct w:val="0"/>
        <w:autoSpaceDE/>
        <w:autoSpaceDN/>
        <w:bidi w:val="0"/>
        <w:adjustRightInd/>
        <w:snapToGrid/>
        <w:spacing w:line="480" w:lineRule="auto"/>
        <w:textAlignment w:val="auto"/>
        <w:rPr>
          <w:rFonts w:ascii="Times New Roman" w:hAnsi="Times New Roman"/>
          <w:sz w:val="24"/>
          <w:szCs w:val="24"/>
        </w:rPr>
      </w:pPr>
      <w:r>
        <w:rPr>
          <w:rFonts w:hint="default" w:ascii="Times New Roman" w:hAnsi="Times New Roman" w:eastAsia="黑体" w:cs="Times New Roman"/>
          <w:sz w:val="24"/>
          <w:szCs w:val="32"/>
          <w:lang w:val="en-US" w:eastAsia="zh-CN"/>
        </w:rPr>
        <w:fldChar w:fldCharType="begin"/>
      </w:r>
      <w:r>
        <w:rPr>
          <w:rFonts w:hint="default" w:ascii="Times New Roman" w:hAnsi="Times New Roman" w:eastAsia="黑体" w:cs="Times New Roman"/>
          <w:sz w:val="24"/>
          <w:szCs w:val="32"/>
          <w:lang w:val="en-US" w:eastAsia="zh-CN"/>
        </w:rPr>
        <w:instrText xml:space="preserve"> HYPERLINK \l _Toc29346 </w:instrText>
      </w:r>
      <w:r>
        <w:rPr>
          <w:rFonts w:hint="default" w:ascii="Times New Roman" w:hAnsi="Times New Roman" w:eastAsia="黑体" w:cs="Times New Roman"/>
          <w:sz w:val="24"/>
          <w:szCs w:val="32"/>
          <w:lang w:val="en-US" w:eastAsia="zh-CN"/>
        </w:rPr>
        <w:fldChar w:fldCharType="separate"/>
      </w:r>
      <w:r>
        <w:rPr>
          <w:rFonts w:hint="eastAsia" w:ascii="Times New Roman" w:hAnsi="Times New Roman"/>
          <w:sz w:val="24"/>
          <w:szCs w:val="22"/>
          <w:lang w:val="en-US" w:eastAsia="zh-CN"/>
        </w:rPr>
        <w:t>（一）现行安全管理制度制定及落实情况评估</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_Toc29346 \h </w:instrText>
      </w:r>
      <w:r>
        <w:rPr>
          <w:rFonts w:ascii="Times New Roman" w:hAnsi="Times New Roman"/>
          <w:sz w:val="24"/>
          <w:szCs w:val="24"/>
        </w:rPr>
        <w:fldChar w:fldCharType="separate"/>
      </w:r>
      <w:r>
        <w:rPr>
          <w:rFonts w:ascii="Times New Roman" w:hAnsi="Times New Roman"/>
          <w:sz w:val="24"/>
          <w:szCs w:val="24"/>
        </w:rPr>
        <w:t>2</w:t>
      </w:r>
      <w:r>
        <w:rPr>
          <w:rFonts w:ascii="Times New Roman" w:hAnsi="Times New Roman"/>
          <w:sz w:val="24"/>
          <w:szCs w:val="24"/>
        </w:rPr>
        <w:fldChar w:fldCharType="end"/>
      </w:r>
      <w:r>
        <w:rPr>
          <w:rFonts w:hint="default" w:ascii="Times New Roman" w:hAnsi="Times New Roman" w:eastAsia="黑体" w:cs="Times New Roman"/>
          <w:sz w:val="24"/>
          <w:szCs w:val="32"/>
          <w:lang w:val="en-US" w:eastAsia="zh-CN"/>
        </w:rPr>
        <w:fldChar w:fldCharType="end"/>
      </w:r>
    </w:p>
    <w:p w14:paraId="11C06945">
      <w:pPr>
        <w:pStyle w:val="14"/>
        <w:pageBreakBefore w:val="0"/>
        <w:tabs>
          <w:tab w:val="right" w:leader="dot" w:pos="8787"/>
        </w:tabs>
        <w:kinsoku/>
        <w:wordWrap/>
        <w:overflowPunct/>
        <w:topLinePunct w:val="0"/>
        <w:autoSpaceDE/>
        <w:autoSpaceDN/>
        <w:bidi w:val="0"/>
        <w:adjustRightInd/>
        <w:snapToGrid/>
        <w:spacing w:line="480" w:lineRule="auto"/>
        <w:textAlignment w:val="auto"/>
        <w:rPr>
          <w:rFonts w:ascii="Times New Roman" w:hAnsi="Times New Roman"/>
          <w:sz w:val="24"/>
          <w:szCs w:val="24"/>
        </w:rPr>
      </w:pPr>
      <w:r>
        <w:rPr>
          <w:rFonts w:hint="default" w:ascii="Times New Roman" w:hAnsi="Times New Roman" w:eastAsia="黑体" w:cs="Times New Roman"/>
          <w:sz w:val="24"/>
          <w:szCs w:val="32"/>
          <w:lang w:val="en-US" w:eastAsia="zh-CN"/>
        </w:rPr>
        <w:fldChar w:fldCharType="begin"/>
      </w:r>
      <w:r>
        <w:rPr>
          <w:rFonts w:hint="default" w:ascii="Times New Roman" w:hAnsi="Times New Roman" w:eastAsia="黑体" w:cs="Times New Roman"/>
          <w:sz w:val="24"/>
          <w:szCs w:val="32"/>
          <w:lang w:val="en-US" w:eastAsia="zh-CN"/>
        </w:rPr>
        <w:instrText xml:space="preserve"> HYPERLINK \l _Toc17370 </w:instrText>
      </w:r>
      <w:r>
        <w:rPr>
          <w:rFonts w:hint="default" w:ascii="Times New Roman" w:hAnsi="Times New Roman" w:eastAsia="黑体" w:cs="Times New Roman"/>
          <w:sz w:val="24"/>
          <w:szCs w:val="32"/>
          <w:lang w:val="en-US" w:eastAsia="zh-CN"/>
        </w:rPr>
        <w:fldChar w:fldCharType="separate"/>
      </w:r>
      <w:r>
        <w:rPr>
          <w:rFonts w:hint="eastAsia" w:ascii="Times New Roman" w:hAnsi="Times New Roman" w:eastAsia="黑体" w:cs="黑体"/>
          <w:sz w:val="24"/>
          <w:szCs w:val="32"/>
          <w:lang w:val="en-US" w:eastAsia="zh-CN"/>
        </w:rPr>
        <w:t>四、安全现状评估结论与建议</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_Toc17370 \h </w:instrText>
      </w:r>
      <w:r>
        <w:rPr>
          <w:rFonts w:ascii="Times New Roman" w:hAnsi="Times New Roman"/>
          <w:sz w:val="24"/>
          <w:szCs w:val="24"/>
        </w:rPr>
        <w:fldChar w:fldCharType="separate"/>
      </w:r>
      <w:r>
        <w:rPr>
          <w:rFonts w:ascii="Times New Roman" w:hAnsi="Times New Roman"/>
          <w:sz w:val="24"/>
          <w:szCs w:val="24"/>
        </w:rPr>
        <w:t>16</w:t>
      </w:r>
      <w:r>
        <w:rPr>
          <w:rFonts w:ascii="Times New Roman" w:hAnsi="Times New Roman"/>
          <w:sz w:val="24"/>
          <w:szCs w:val="24"/>
        </w:rPr>
        <w:fldChar w:fldCharType="end"/>
      </w:r>
      <w:r>
        <w:rPr>
          <w:rFonts w:hint="default" w:ascii="Times New Roman" w:hAnsi="Times New Roman" w:eastAsia="黑体" w:cs="Times New Roman"/>
          <w:sz w:val="24"/>
          <w:szCs w:val="32"/>
          <w:lang w:val="en-US" w:eastAsia="zh-CN"/>
        </w:rPr>
        <w:fldChar w:fldCharType="end"/>
      </w:r>
    </w:p>
    <w:p w14:paraId="320FCE0D">
      <w:pPr>
        <w:pStyle w:val="15"/>
        <w:pageBreakBefore w:val="0"/>
        <w:tabs>
          <w:tab w:val="right" w:leader="dot" w:pos="8787"/>
        </w:tabs>
        <w:kinsoku/>
        <w:wordWrap/>
        <w:overflowPunct/>
        <w:topLinePunct w:val="0"/>
        <w:autoSpaceDE/>
        <w:autoSpaceDN/>
        <w:bidi w:val="0"/>
        <w:adjustRightInd/>
        <w:snapToGrid/>
        <w:spacing w:line="480" w:lineRule="auto"/>
        <w:textAlignment w:val="auto"/>
        <w:rPr>
          <w:rFonts w:ascii="Times New Roman" w:hAnsi="Times New Roman"/>
          <w:sz w:val="24"/>
          <w:szCs w:val="24"/>
        </w:rPr>
      </w:pPr>
      <w:r>
        <w:rPr>
          <w:rFonts w:hint="default" w:ascii="Times New Roman" w:hAnsi="Times New Roman" w:eastAsia="黑体" w:cs="Times New Roman"/>
          <w:sz w:val="24"/>
          <w:szCs w:val="32"/>
          <w:lang w:val="en-US" w:eastAsia="zh-CN"/>
        </w:rPr>
        <w:fldChar w:fldCharType="begin"/>
      </w:r>
      <w:r>
        <w:rPr>
          <w:rFonts w:hint="default" w:ascii="Times New Roman" w:hAnsi="Times New Roman" w:eastAsia="黑体" w:cs="Times New Roman"/>
          <w:sz w:val="24"/>
          <w:szCs w:val="32"/>
          <w:lang w:val="en-US" w:eastAsia="zh-CN"/>
        </w:rPr>
        <w:instrText xml:space="preserve"> HYPERLINK \l _Toc12651 </w:instrText>
      </w:r>
      <w:r>
        <w:rPr>
          <w:rFonts w:hint="default" w:ascii="Times New Roman" w:hAnsi="Times New Roman" w:eastAsia="黑体" w:cs="Times New Roman"/>
          <w:sz w:val="24"/>
          <w:szCs w:val="32"/>
          <w:lang w:val="en-US" w:eastAsia="zh-CN"/>
        </w:rPr>
        <w:fldChar w:fldCharType="separate"/>
      </w:r>
      <w:r>
        <w:rPr>
          <w:rFonts w:hint="eastAsia" w:ascii="Times New Roman" w:hAnsi="Times New Roman"/>
          <w:sz w:val="24"/>
          <w:szCs w:val="22"/>
          <w:lang w:val="en-US" w:eastAsia="zh-CN"/>
        </w:rPr>
        <w:t>（一）评估结论</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_Toc12651 \h </w:instrText>
      </w:r>
      <w:r>
        <w:rPr>
          <w:rFonts w:ascii="Times New Roman" w:hAnsi="Times New Roman"/>
          <w:sz w:val="24"/>
          <w:szCs w:val="24"/>
        </w:rPr>
        <w:fldChar w:fldCharType="separate"/>
      </w:r>
      <w:r>
        <w:rPr>
          <w:rFonts w:ascii="Times New Roman" w:hAnsi="Times New Roman"/>
          <w:sz w:val="24"/>
          <w:szCs w:val="24"/>
        </w:rPr>
        <w:t>16</w:t>
      </w:r>
      <w:r>
        <w:rPr>
          <w:rFonts w:ascii="Times New Roman" w:hAnsi="Times New Roman"/>
          <w:sz w:val="24"/>
          <w:szCs w:val="24"/>
        </w:rPr>
        <w:fldChar w:fldCharType="end"/>
      </w:r>
      <w:r>
        <w:rPr>
          <w:rFonts w:hint="default" w:ascii="Times New Roman" w:hAnsi="Times New Roman" w:eastAsia="黑体" w:cs="Times New Roman"/>
          <w:sz w:val="24"/>
          <w:szCs w:val="32"/>
          <w:lang w:val="en-US" w:eastAsia="zh-CN"/>
        </w:rPr>
        <w:fldChar w:fldCharType="end"/>
      </w:r>
    </w:p>
    <w:p w14:paraId="6A2C70AF">
      <w:pPr>
        <w:pStyle w:val="15"/>
        <w:pageBreakBefore w:val="0"/>
        <w:tabs>
          <w:tab w:val="right" w:leader="dot" w:pos="8787"/>
        </w:tabs>
        <w:kinsoku/>
        <w:wordWrap/>
        <w:overflowPunct/>
        <w:topLinePunct w:val="0"/>
        <w:autoSpaceDE/>
        <w:autoSpaceDN/>
        <w:bidi w:val="0"/>
        <w:adjustRightInd/>
        <w:snapToGrid/>
        <w:spacing w:line="480" w:lineRule="auto"/>
        <w:textAlignment w:val="auto"/>
        <w:rPr>
          <w:rFonts w:ascii="Times New Roman" w:hAnsi="Times New Roman"/>
        </w:rPr>
      </w:pPr>
      <w:r>
        <w:rPr>
          <w:rFonts w:hint="default" w:ascii="Times New Roman" w:hAnsi="Times New Roman" w:eastAsia="黑体" w:cs="Times New Roman"/>
          <w:sz w:val="24"/>
          <w:szCs w:val="32"/>
          <w:lang w:val="en-US" w:eastAsia="zh-CN"/>
        </w:rPr>
        <w:fldChar w:fldCharType="begin"/>
      </w:r>
      <w:r>
        <w:rPr>
          <w:rFonts w:hint="default" w:ascii="Times New Roman" w:hAnsi="Times New Roman" w:eastAsia="黑体" w:cs="Times New Roman"/>
          <w:sz w:val="24"/>
          <w:szCs w:val="32"/>
          <w:lang w:val="en-US" w:eastAsia="zh-CN"/>
        </w:rPr>
        <w:instrText xml:space="preserve"> HYPERLINK \l _Toc10872 </w:instrText>
      </w:r>
      <w:r>
        <w:rPr>
          <w:rFonts w:hint="default" w:ascii="Times New Roman" w:hAnsi="Times New Roman" w:eastAsia="黑体" w:cs="Times New Roman"/>
          <w:sz w:val="24"/>
          <w:szCs w:val="32"/>
          <w:lang w:val="en-US" w:eastAsia="zh-CN"/>
        </w:rPr>
        <w:fldChar w:fldCharType="separate"/>
      </w:r>
      <w:r>
        <w:rPr>
          <w:rFonts w:hint="eastAsia" w:ascii="Times New Roman" w:hAnsi="Times New Roman"/>
          <w:sz w:val="24"/>
          <w:szCs w:val="22"/>
          <w:lang w:val="en-US" w:eastAsia="zh-CN"/>
        </w:rPr>
        <w:t>（二）工作提升建议</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_Toc10872 \h </w:instrText>
      </w:r>
      <w:r>
        <w:rPr>
          <w:rFonts w:ascii="Times New Roman" w:hAnsi="Times New Roman"/>
          <w:sz w:val="24"/>
          <w:szCs w:val="24"/>
        </w:rPr>
        <w:fldChar w:fldCharType="separate"/>
      </w:r>
      <w:r>
        <w:rPr>
          <w:rFonts w:ascii="Times New Roman" w:hAnsi="Times New Roman"/>
          <w:sz w:val="24"/>
          <w:szCs w:val="24"/>
        </w:rPr>
        <w:t>16</w:t>
      </w:r>
      <w:r>
        <w:rPr>
          <w:rFonts w:ascii="Times New Roman" w:hAnsi="Times New Roman"/>
          <w:sz w:val="24"/>
          <w:szCs w:val="24"/>
        </w:rPr>
        <w:fldChar w:fldCharType="end"/>
      </w:r>
      <w:r>
        <w:rPr>
          <w:rFonts w:hint="default" w:ascii="Times New Roman" w:hAnsi="Times New Roman" w:eastAsia="黑体" w:cs="Times New Roman"/>
          <w:sz w:val="24"/>
          <w:szCs w:val="32"/>
          <w:lang w:val="en-US" w:eastAsia="zh-CN"/>
        </w:rPr>
        <w:fldChar w:fldCharType="end"/>
      </w:r>
    </w:p>
    <w:p w14:paraId="150BAB94">
      <w:pPr>
        <w:pStyle w:val="3"/>
        <w:keepNext/>
        <w:keepLines/>
        <w:pageBreakBefore w:val="0"/>
        <w:widowControl w:val="0"/>
        <w:kinsoku/>
        <w:wordWrap/>
        <w:overflowPunct/>
        <w:topLinePunct w:val="0"/>
        <w:autoSpaceDE/>
        <w:autoSpaceDN/>
        <w:bidi w:val="0"/>
        <w:adjustRightInd/>
        <w:snapToGrid/>
        <w:spacing w:before="0" w:after="0" w:line="480" w:lineRule="auto"/>
        <w:ind w:left="0"/>
        <w:jc w:val="both"/>
        <w:textAlignment w:val="auto"/>
        <w:outlineLvl w:val="9"/>
        <w:rPr>
          <w:rFonts w:hint="eastAsia" w:ascii="黑体" w:hAnsi="黑体" w:eastAsia="黑体" w:cs="黑体"/>
          <w:sz w:val="28"/>
          <w:szCs w:val="28"/>
          <w:lang w:val="en-US" w:eastAsia="zh-CN"/>
        </w:rPr>
      </w:pPr>
      <w:r>
        <w:rPr>
          <w:rFonts w:hint="default" w:ascii="Times New Roman" w:hAnsi="Times New Roman" w:eastAsia="黑体" w:cs="Times New Roman"/>
          <w:szCs w:val="28"/>
          <w:lang w:val="en-US" w:eastAsia="zh-CN"/>
        </w:rPr>
        <w:fldChar w:fldCharType="end"/>
      </w:r>
    </w:p>
    <w:p w14:paraId="389DBCF7">
      <w:pPr>
        <w:bidi w:val="0"/>
        <w:rPr>
          <w:rFonts w:hint="eastAsia"/>
          <w:lang w:val="en-US" w:eastAsia="zh-CN"/>
        </w:rPr>
      </w:pPr>
    </w:p>
    <w:p w14:paraId="01734663">
      <w:pPr>
        <w:bidi w:val="0"/>
        <w:rPr>
          <w:rFonts w:hint="eastAsia"/>
          <w:lang w:val="en-US" w:eastAsia="zh-CN"/>
        </w:rPr>
      </w:pPr>
    </w:p>
    <w:p w14:paraId="063B5897">
      <w:pPr>
        <w:bidi w:val="0"/>
        <w:rPr>
          <w:rFonts w:hint="eastAsia"/>
          <w:lang w:val="en-US" w:eastAsia="zh-CN"/>
        </w:rPr>
      </w:pPr>
    </w:p>
    <w:p w14:paraId="3451528B">
      <w:pPr>
        <w:bidi w:val="0"/>
        <w:rPr>
          <w:rFonts w:hint="eastAsia"/>
          <w:lang w:val="en-US" w:eastAsia="zh-CN"/>
        </w:rPr>
      </w:pPr>
    </w:p>
    <w:p w14:paraId="7AC89E67">
      <w:pPr>
        <w:bidi w:val="0"/>
        <w:rPr>
          <w:rFonts w:hint="eastAsia"/>
          <w:lang w:val="en-US" w:eastAsia="zh-CN"/>
        </w:rPr>
      </w:pPr>
    </w:p>
    <w:p w14:paraId="2A11E709">
      <w:pPr>
        <w:bidi w:val="0"/>
        <w:rPr>
          <w:rFonts w:hint="eastAsia"/>
          <w:lang w:val="en-US" w:eastAsia="zh-CN"/>
        </w:rPr>
      </w:pPr>
    </w:p>
    <w:p w14:paraId="1AD28ED3">
      <w:pPr>
        <w:bidi w:val="0"/>
        <w:rPr>
          <w:rFonts w:hint="eastAsia"/>
          <w:lang w:val="en-US" w:eastAsia="zh-CN"/>
        </w:rPr>
      </w:pPr>
    </w:p>
    <w:p w14:paraId="6E2A7B75">
      <w:pPr>
        <w:bidi w:val="0"/>
        <w:rPr>
          <w:rFonts w:hint="eastAsia"/>
          <w:lang w:val="en-US" w:eastAsia="zh-CN"/>
        </w:rPr>
      </w:pPr>
    </w:p>
    <w:p w14:paraId="37B3EF44">
      <w:pPr>
        <w:bidi w:val="0"/>
        <w:rPr>
          <w:rFonts w:hint="eastAsia"/>
          <w:lang w:val="en-US" w:eastAsia="zh-CN"/>
        </w:rPr>
      </w:pPr>
    </w:p>
    <w:p w14:paraId="1A12CA62">
      <w:pPr>
        <w:tabs>
          <w:tab w:val="left" w:pos="417"/>
        </w:tabs>
        <w:bidi w:val="0"/>
        <w:jc w:val="left"/>
        <w:sectPr>
          <w:headerReference r:id="rId4" w:type="default"/>
          <w:footerReference r:id="rId5" w:type="default"/>
          <w:pgSz w:w="11906" w:h="16838"/>
          <w:pgMar w:top="1418" w:right="1588" w:bottom="1418" w:left="1531" w:header="851" w:footer="992" w:gutter="0"/>
          <w:cols w:space="425" w:num="1"/>
          <w:docGrid w:type="lines" w:linePitch="312" w:charSpace="0"/>
        </w:sectPr>
      </w:pPr>
      <w:r>
        <w:rPr>
          <w:rFonts w:hint="eastAsia"/>
          <w:lang w:val="en-US" w:eastAsia="zh-CN"/>
        </w:rPr>
        <w:tab/>
      </w:r>
    </w:p>
    <w:p w14:paraId="0416B717">
      <w:pPr>
        <w:pStyle w:val="3"/>
        <w:keepNext/>
        <w:keepLines/>
        <w:pageBreakBefore w:val="0"/>
        <w:widowControl w:val="0"/>
        <w:kinsoku/>
        <w:wordWrap/>
        <w:overflowPunct/>
        <w:topLinePunct w:val="0"/>
        <w:autoSpaceDE/>
        <w:autoSpaceDN/>
        <w:bidi w:val="0"/>
        <w:adjustRightInd/>
        <w:snapToGrid/>
        <w:spacing w:before="240" w:after="240" w:line="360" w:lineRule="auto"/>
        <w:textAlignment w:val="auto"/>
        <w:rPr>
          <w:rFonts w:hint="eastAsia" w:ascii="黑体" w:hAnsi="黑体" w:eastAsia="黑体" w:cs="黑体"/>
          <w:sz w:val="28"/>
          <w:szCs w:val="28"/>
          <w:lang w:val="en-US" w:eastAsia="zh-CN"/>
        </w:rPr>
      </w:pPr>
      <w:bookmarkStart w:id="2" w:name="_Toc4192"/>
      <w:bookmarkStart w:id="3" w:name="_Toc1206"/>
      <w:r>
        <w:rPr>
          <w:rFonts w:hint="eastAsia" w:ascii="黑体" w:hAnsi="黑体" w:eastAsia="黑体" w:cs="黑体"/>
          <w:sz w:val="28"/>
          <w:szCs w:val="28"/>
          <w:lang w:val="en-US" w:eastAsia="zh-CN"/>
        </w:rPr>
        <w:t>一、目的依据</w:t>
      </w:r>
      <w:bookmarkEnd w:id="2"/>
      <w:bookmarkEnd w:id="3"/>
    </w:p>
    <w:p w14:paraId="13D2D0F7">
      <w:pPr>
        <w:pStyle w:val="27"/>
        <w:spacing w:line="360" w:lineRule="auto"/>
        <w:ind w:firstLine="480"/>
        <w:rPr>
          <w:rFonts w:ascii="宋体" w:hAnsi="宋体" w:eastAsia="宋体"/>
          <w:sz w:val="28"/>
          <w:szCs w:val="28"/>
        </w:rPr>
      </w:pPr>
      <w:r>
        <w:rPr>
          <w:rFonts w:hint="eastAsia" w:ascii="宋体" w:hAnsi="宋体" w:eastAsia="宋体"/>
          <w:sz w:val="28"/>
          <w:szCs w:val="28"/>
          <w:lang w:val="en-US" w:eastAsia="zh-CN"/>
        </w:rPr>
        <w:t>为充分发挥事故调查处理对加强和改进安全生产工作的促进作用，督促</w:t>
      </w:r>
      <w:r>
        <w:rPr>
          <w:rFonts w:hint="eastAsia" w:ascii="宋体" w:hAnsi="宋体" w:eastAsia="宋体"/>
          <w:sz w:val="28"/>
          <w:szCs w:val="28"/>
        </w:rPr>
        <w:t>落实生产经营单位的安全生产主体责任，防范和减少事故发生，保障人民群众生命财产安全，依据</w:t>
      </w:r>
      <w:r>
        <w:rPr>
          <w:rFonts w:hint="eastAsia" w:ascii="宋体" w:hAnsi="宋体" w:eastAsia="宋体"/>
          <w:sz w:val="28"/>
          <w:szCs w:val="28"/>
          <w:lang w:val="en-US" w:eastAsia="zh-CN"/>
        </w:rPr>
        <w:t>《北京市生产安全事故整改和防范措施落实情况评估办法》</w:t>
      </w:r>
      <w:r>
        <w:rPr>
          <w:rFonts w:ascii="宋体" w:hAnsi="宋体" w:eastAsia="宋体"/>
          <w:sz w:val="28"/>
          <w:szCs w:val="28"/>
        </w:rPr>
        <w:t>等文件要求</w:t>
      </w:r>
      <w:r>
        <w:rPr>
          <w:rFonts w:hint="eastAsia" w:ascii="宋体" w:hAnsi="宋体" w:eastAsia="宋体"/>
          <w:sz w:val="28"/>
          <w:szCs w:val="28"/>
        </w:rPr>
        <w:t>，</w:t>
      </w:r>
      <w:r>
        <w:rPr>
          <w:rFonts w:hint="eastAsia" w:ascii="宋体" w:hAnsi="宋体" w:eastAsia="宋体"/>
          <w:sz w:val="28"/>
          <w:szCs w:val="28"/>
          <w:lang w:val="en-US" w:eastAsia="zh-CN"/>
        </w:rPr>
        <w:t>开展温都水城生态餐厅东侧河道网架及北侧连廊拆除工程“6·3”一般生产安全事故安全现状评估工作</w:t>
      </w:r>
      <w:r>
        <w:rPr>
          <w:rFonts w:hint="eastAsia" w:ascii="宋体" w:hAnsi="宋体" w:eastAsia="宋体"/>
          <w:sz w:val="28"/>
          <w:szCs w:val="28"/>
        </w:rPr>
        <w:t>。</w:t>
      </w:r>
    </w:p>
    <w:p w14:paraId="6D58ABA9">
      <w:pPr>
        <w:pStyle w:val="3"/>
        <w:keepNext/>
        <w:keepLines/>
        <w:pageBreakBefore w:val="0"/>
        <w:widowControl w:val="0"/>
        <w:kinsoku/>
        <w:wordWrap/>
        <w:overflowPunct/>
        <w:topLinePunct w:val="0"/>
        <w:autoSpaceDE/>
        <w:autoSpaceDN/>
        <w:bidi w:val="0"/>
        <w:adjustRightInd/>
        <w:snapToGrid/>
        <w:spacing w:before="240" w:after="240" w:line="360" w:lineRule="auto"/>
        <w:textAlignment w:val="auto"/>
        <w:rPr>
          <w:rFonts w:hint="eastAsia" w:ascii="黑体" w:hAnsi="黑体" w:eastAsia="黑体" w:cs="黑体"/>
          <w:sz w:val="28"/>
          <w:szCs w:val="28"/>
          <w:lang w:val="en-US" w:eastAsia="zh-CN"/>
        </w:rPr>
      </w:pPr>
      <w:bookmarkStart w:id="4" w:name="_Toc26337"/>
      <w:bookmarkStart w:id="5" w:name="_Toc13555"/>
      <w:r>
        <w:rPr>
          <w:rFonts w:hint="eastAsia" w:ascii="黑体" w:hAnsi="黑体" w:eastAsia="黑体" w:cs="黑体"/>
          <w:sz w:val="28"/>
          <w:szCs w:val="28"/>
          <w:lang w:val="en-US" w:eastAsia="zh-CN"/>
        </w:rPr>
        <w:t>二、工作</w:t>
      </w:r>
      <w:bookmarkEnd w:id="4"/>
      <w:r>
        <w:rPr>
          <w:rFonts w:hint="eastAsia" w:ascii="黑体" w:hAnsi="黑体" w:eastAsia="黑体" w:cs="黑体"/>
          <w:sz w:val="28"/>
          <w:szCs w:val="28"/>
          <w:lang w:val="en-US" w:eastAsia="zh-CN"/>
        </w:rPr>
        <w:t>范围和方式</w:t>
      </w:r>
      <w:bookmarkEnd w:id="5"/>
    </w:p>
    <w:p w14:paraId="0B534E69">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1.本次现场评估的对象是北京宏盛绿佳园林绿化工程有限公司（以下简称：宏盛绿佳公司）。</w:t>
      </w:r>
    </w:p>
    <w:p w14:paraId="30C5C938">
      <w:pPr>
        <w:pStyle w:val="27"/>
        <w:spacing w:line="360" w:lineRule="auto"/>
        <w:ind w:firstLine="480"/>
        <w:rPr>
          <w:rFonts w:hint="default" w:ascii="宋体" w:hAnsi="宋体" w:eastAsia="宋体"/>
          <w:sz w:val="28"/>
          <w:szCs w:val="28"/>
          <w:lang w:val="en-US" w:eastAsia="zh-CN"/>
        </w:rPr>
      </w:pPr>
      <w:r>
        <w:rPr>
          <w:rFonts w:hint="eastAsia" w:ascii="宋体" w:hAnsi="宋体" w:eastAsia="宋体"/>
          <w:sz w:val="28"/>
          <w:szCs w:val="28"/>
          <w:lang w:val="en-US" w:eastAsia="zh-CN"/>
        </w:rPr>
        <w:t>2.经核实，事发现场已拆除。宏盛绿佳公司表示，自事故发生后，主要开展道路清扫保洁、绿化养护、生活垃圾清运等作业活动，暂无建筑施工作业活动。本次评估范围为宏盛绿佳公司提供的内业资料。</w:t>
      </w:r>
    </w:p>
    <w:p w14:paraId="1B366530">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3.本次现场评估工作主要采取了资料核查、查阅文件、座谈问询、专业评估等内业评估方式。</w:t>
      </w:r>
    </w:p>
    <w:p w14:paraId="16D882DD">
      <w:pPr>
        <w:pStyle w:val="4"/>
        <w:keepNext/>
        <w:keepLines/>
        <w:pageBreakBefore w:val="0"/>
        <w:widowControl w:val="0"/>
        <w:kinsoku/>
        <w:wordWrap/>
        <w:overflowPunct/>
        <w:topLinePunct w:val="0"/>
        <w:autoSpaceDE/>
        <w:autoSpaceDN/>
        <w:bidi w:val="0"/>
        <w:adjustRightInd/>
        <w:snapToGrid/>
        <w:spacing w:before="120" w:after="120" w:line="360" w:lineRule="auto"/>
        <w:textAlignment w:val="auto"/>
        <w:rPr>
          <w:rFonts w:hint="default"/>
          <w:b/>
          <w:sz w:val="28"/>
          <w:szCs w:val="21"/>
          <w:lang w:val="en-US" w:eastAsia="zh-CN"/>
        </w:rPr>
      </w:pPr>
      <w:bookmarkStart w:id="6" w:name="_Toc6368"/>
      <w:r>
        <w:rPr>
          <w:rFonts w:hint="eastAsia"/>
          <w:b/>
          <w:sz w:val="28"/>
          <w:szCs w:val="21"/>
          <w:lang w:val="en-US" w:eastAsia="zh-CN"/>
        </w:rPr>
        <w:t>（一）资料查阅</w:t>
      </w:r>
      <w:bookmarkEnd w:id="6"/>
    </w:p>
    <w:p w14:paraId="157DB286">
      <w:pPr>
        <w:pStyle w:val="27"/>
        <w:spacing w:line="360" w:lineRule="auto"/>
        <w:ind w:firstLine="560"/>
        <w:rPr>
          <w:rFonts w:hint="eastAsia" w:ascii="宋体" w:hAnsi="宋体" w:eastAsia="宋体"/>
          <w:sz w:val="28"/>
          <w:szCs w:val="28"/>
          <w:lang w:eastAsia="zh-CN"/>
        </w:rPr>
      </w:pPr>
      <w:r>
        <w:rPr>
          <w:rFonts w:hint="eastAsia" w:ascii="宋体" w:hAnsi="宋体" w:eastAsia="宋体"/>
          <w:sz w:val="28"/>
          <w:szCs w:val="28"/>
          <w:lang w:val="en-US" w:eastAsia="zh-CN"/>
        </w:rPr>
        <w:t>宏盛绿佳公司</w:t>
      </w:r>
      <w:r>
        <w:rPr>
          <w:rFonts w:hint="eastAsia" w:ascii="宋体" w:hAnsi="宋体" w:eastAsia="宋体"/>
          <w:sz w:val="28"/>
          <w:szCs w:val="28"/>
        </w:rPr>
        <w:t>提供了</w:t>
      </w:r>
      <w:r>
        <w:rPr>
          <w:rFonts w:hint="eastAsia" w:ascii="宋体" w:hAnsi="宋体" w:eastAsia="宋体"/>
          <w:sz w:val="28"/>
          <w:szCs w:val="28"/>
          <w:lang w:val="en-US" w:eastAsia="zh-CN"/>
        </w:rPr>
        <w:t>整改落实情况说明、安全生产规章制度及操作规程、生产安全事故应急救援预案、安全生产责任书、安全管理人员任命书及安全培训记录、劳保用品发放记录、工伤保险/意外险信息及保单、隐患排查记录等</w:t>
      </w:r>
      <w:r>
        <w:rPr>
          <w:rFonts w:hint="eastAsia" w:ascii="宋体" w:hAnsi="宋体" w:eastAsia="宋体"/>
          <w:sz w:val="28"/>
          <w:szCs w:val="28"/>
        </w:rPr>
        <w:t>其他可以证明开展事故整改</w:t>
      </w:r>
      <w:r>
        <w:rPr>
          <w:rFonts w:hint="eastAsia" w:ascii="宋体" w:hAnsi="宋体" w:eastAsia="宋体"/>
          <w:sz w:val="28"/>
          <w:szCs w:val="28"/>
          <w:lang w:val="en-US" w:eastAsia="zh-CN"/>
        </w:rPr>
        <w:t>和防范</w:t>
      </w:r>
      <w:r>
        <w:rPr>
          <w:rFonts w:hint="eastAsia" w:ascii="宋体" w:hAnsi="宋体" w:eastAsia="宋体"/>
          <w:sz w:val="28"/>
          <w:szCs w:val="28"/>
        </w:rPr>
        <w:t>措施的相关资料。</w:t>
      </w:r>
      <w:r>
        <w:rPr>
          <w:rFonts w:hint="eastAsia" w:ascii="宋体" w:hAnsi="宋体" w:eastAsia="宋体"/>
          <w:sz w:val="28"/>
          <w:szCs w:val="28"/>
          <w:lang w:eastAsia="zh-CN"/>
        </w:rPr>
        <w:t>评估组</w:t>
      </w:r>
      <w:r>
        <w:rPr>
          <w:rFonts w:hint="eastAsia" w:ascii="宋体" w:hAnsi="宋体" w:eastAsia="宋体"/>
          <w:sz w:val="28"/>
          <w:szCs w:val="28"/>
        </w:rPr>
        <w:t>按照安全生产法律法规和《事故调查报告》中的事故间接原因、整改防范措施，对上述资料进行查阅。</w:t>
      </w:r>
      <w:r>
        <w:rPr>
          <w:rFonts w:hint="eastAsia" w:ascii="宋体" w:hAnsi="宋体" w:eastAsia="宋体"/>
          <w:sz w:val="28"/>
          <w:szCs w:val="28"/>
          <w:lang w:val="en-US" w:eastAsia="zh-CN"/>
        </w:rPr>
        <w:t>宏盛绿佳公司</w:t>
      </w:r>
      <w:r>
        <w:rPr>
          <w:rFonts w:hint="eastAsia" w:ascii="宋体" w:hAnsi="宋体" w:eastAsia="宋体"/>
          <w:sz w:val="28"/>
          <w:szCs w:val="28"/>
        </w:rPr>
        <w:t>的整改措施具体落实情况</w:t>
      </w:r>
      <w:r>
        <w:rPr>
          <w:rFonts w:hint="eastAsia" w:ascii="宋体" w:hAnsi="宋体" w:eastAsia="宋体"/>
          <w:sz w:val="28"/>
          <w:szCs w:val="28"/>
          <w:lang w:val="en-US" w:eastAsia="zh-CN"/>
        </w:rPr>
        <w:t>包括加强安全教育培训，增强全员安全意识和操作技能，保证从业人员具备必要的安全生产知识，杜绝“三违”行为发生；完善安全操作规程，确保作业过程规范有序；在发包生产经营项目时要严格审核生产经营单位的相应资质；严格落实企业安全生产主体责任，制定并落实安全生产教育培训制度，确保劳务作业人员了解作业场所和工作岗位存在的危险因素及防范措施；持续开展事故隐患排查治理工作，及时发现并消除生产经营过程中的事故隐患；对施工单位特种作业人员的相应资格进行审核，确保特种作业人员持证上岗，坚决杜绝类似事故再次发生</w:t>
      </w:r>
      <w:r>
        <w:rPr>
          <w:rFonts w:hint="eastAsia" w:ascii="宋体" w:hAnsi="宋体" w:eastAsia="宋体"/>
          <w:sz w:val="28"/>
          <w:szCs w:val="28"/>
          <w:lang w:eastAsia="zh-CN"/>
        </w:rPr>
        <w:t>。</w:t>
      </w:r>
    </w:p>
    <w:p w14:paraId="74E991E6">
      <w:pPr>
        <w:pStyle w:val="3"/>
        <w:keepNext/>
        <w:keepLines/>
        <w:pageBreakBefore w:val="0"/>
        <w:widowControl w:val="0"/>
        <w:kinsoku/>
        <w:wordWrap/>
        <w:overflowPunct/>
        <w:topLinePunct w:val="0"/>
        <w:autoSpaceDE/>
        <w:autoSpaceDN/>
        <w:bidi w:val="0"/>
        <w:adjustRightInd/>
        <w:snapToGrid/>
        <w:spacing w:before="240" w:after="240" w:line="360" w:lineRule="auto"/>
        <w:textAlignment w:val="auto"/>
        <w:rPr>
          <w:rFonts w:hint="default" w:ascii="黑体" w:hAnsi="黑体" w:eastAsia="黑体" w:cs="黑体"/>
          <w:sz w:val="28"/>
          <w:szCs w:val="28"/>
          <w:lang w:val="en-US" w:eastAsia="zh-CN"/>
        </w:rPr>
      </w:pPr>
      <w:bookmarkStart w:id="7" w:name="_Toc12697"/>
      <w:r>
        <w:rPr>
          <w:rFonts w:hint="eastAsia" w:ascii="黑体" w:hAnsi="黑体" w:eastAsia="黑体" w:cs="黑体"/>
          <w:sz w:val="28"/>
          <w:szCs w:val="28"/>
          <w:lang w:val="en-US" w:eastAsia="zh-CN"/>
        </w:rPr>
        <w:t>三、安全现状评估</w:t>
      </w:r>
      <w:bookmarkEnd w:id="7"/>
    </w:p>
    <w:p w14:paraId="059EA8BB">
      <w:pPr>
        <w:pStyle w:val="4"/>
        <w:keepNext/>
        <w:keepLines/>
        <w:pageBreakBefore w:val="0"/>
        <w:widowControl w:val="0"/>
        <w:kinsoku/>
        <w:wordWrap/>
        <w:overflowPunct/>
        <w:topLinePunct w:val="0"/>
        <w:autoSpaceDE/>
        <w:autoSpaceDN/>
        <w:bidi w:val="0"/>
        <w:adjustRightInd/>
        <w:snapToGrid/>
        <w:spacing w:before="120" w:after="120" w:line="360" w:lineRule="auto"/>
        <w:textAlignment w:val="auto"/>
        <w:rPr>
          <w:rFonts w:hint="default"/>
          <w:b/>
          <w:sz w:val="28"/>
          <w:szCs w:val="21"/>
          <w:lang w:val="en-US" w:eastAsia="zh-CN"/>
        </w:rPr>
      </w:pPr>
      <w:bookmarkStart w:id="8" w:name="_Toc29346"/>
      <w:r>
        <w:rPr>
          <w:rFonts w:hint="eastAsia"/>
          <w:b/>
          <w:sz w:val="28"/>
          <w:szCs w:val="21"/>
          <w:lang w:val="en-US" w:eastAsia="zh-CN"/>
        </w:rPr>
        <w:t>（一）现行安全管理制度制定及落实情况评估</w:t>
      </w:r>
      <w:bookmarkEnd w:id="8"/>
    </w:p>
    <w:p w14:paraId="4F4F48E5">
      <w:pPr>
        <w:pStyle w:val="27"/>
        <w:numPr>
          <w:ilvl w:val="0"/>
          <w:numId w:val="1"/>
        </w:numPr>
        <w:spacing w:line="360" w:lineRule="auto"/>
        <w:ind w:firstLine="560"/>
        <w:rPr>
          <w:rFonts w:ascii="宋体" w:hAnsi="宋体" w:eastAsia="宋体"/>
          <w:b/>
          <w:bCs/>
          <w:sz w:val="28"/>
          <w:szCs w:val="28"/>
        </w:rPr>
      </w:pPr>
      <w:r>
        <w:rPr>
          <w:rFonts w:hint="eastAsia" w:ascii="宋体" w:hAnsi="宋体" w:eastAsia="宋体"/>
          <w:b/>
          <w:bCs/>
          <w:sz w:val="28"/>
          <w:szCs w:val="28"/>
        </w:rPr>
        <w:t>宏盛绿佳公司</w:t>
      </w:r>
    </w:p>
    <w:p w14:paraId="3DB68E55">
      <w:pPr>
        <w:pStyle w:val="27"/>
        <w:spacing w:line="360" w:lineRule="auto"/>
        <w:ind w:firstLine="480"/>
        <w:rPr>
          <w:rFonts w:hint="eastAsia" w:ascii="宋体" w:hAnsi="宋体" w:eastAsia="宋体"/>
          <w:sz w:val="28"/>
          <w:szCs w:val="28"/>
          <w:lang w:val="en-US" w:eastAsia="zh-CN"/>
        </w:rPr>
        <w:sectPr>
          <w:footerReference r:id="rId6" w:type="default"/>
          <w:pgSz w:w="11906" w:h="16838"/>
          <w:pgMar w:top="1418" w:right="1588" w:bottom="1418" w:left="1531" w:header="851" w:footer="992" w:gutter="0"/>
          <w:pgNumType w:start="1"/>
          <w:cols w:space="425" w:num="1"/>
          <w:docGrid w:type="lines" w:linePitch="312" w:charSpace="0"/>
        </w:sectPr>
      </w:pPr>
      <w:r>
        <w:rPr>
          <w:rFonts w:hint="eastAsia" w:ascii="宋体" w:hAnsi="宋体" w:eastAsia="宋体"/>
          <w:sz w:val="28"/>
          <w:szCs w:val="28"/>
          <w:lang w:val="en-US" w:eastAsia="zh-CN"/>
        </w:rPr>
        <w:t>评估组对宏盛绿佳公司提供的制度文件、台账、记录等资料进行了评估，该单位现行安全管理制度基本符合《中华人民共和国安全生产法》相关规定，但具体落实工作还需按照</w:t>
      </w:r>
      <w:r>
        <w:rPr>
          <w:rFonts w:hint="eastAsia" w:ascii="宋体" w:hAnsi="宋体" w:eastAsia="宋体"/>
          <w:sz w:val="28"/>
          <w:szCs w:val="28"/>
        </w:rPr>
        <w:t>安全生产</w:t>
      </w:r>
      <w:r>
        <w:rPr>
          <w:rFonts w:hint="eastAsia" w:ascii="宋体" w:hAnsi="宋体" w:eastAsia="宋体"/>
          <w:sz w:val="28"/>
          <w:szCs w:val="28"/>
          <w:lang w:val="en-US" w:eastAsia="zh-CN"/>
        </w:rPr>
        <w:t>相关</w:t>
      </w:r>
      <w:r>
        <w:rPr>
          <w:rFonts w:hint="eastAsia" w:ascii="宋体" w:hAnsi="宋体" w:eastAsia="宋体"/>
          <w:sz w:val="28"/>
          <w:szCs w:val="28"/>
        </w:rPr>
        <w:t>法律法规</w:t>
      </w:r>
      <w:r>
        <w:rPr>
          <w:rFonts w:hint="eastAsia" w:ascii="宋体" w:hAnsi="宋体" w:eastAsia="宋体"/>
          <w:sz w:val="28"/>
          <w:szCs w:val="28"/>
          <w:lang w:val="en-US" w:eastAsia="zh-CN"/>
        </w:rPr>
        <w:t>进一步提升，详见下表。</w:t>
      </w:r>
    </w:p>
    <w:p w14:paraId="0109CF82">
      <w:pPr>
        <w:keepNext/>
        <w:pageBreakBefore w:val="0"/>
        <w:kinsoku/>
        <w:wordWrap/>
        <w:overflowPunct w:val="0"/>
        <w:topLinePunct w:val="0"/>
        <w:bidi w:val="0"/>
        <w:snapToGrid/>
        <w:ind w:firstLine="198" w:firstLineChars="71"/>
        <w:jc w:val="center"/>
        <w:textAlignment w:val="auto"/>
        <w:rPr>
          <w:rFonts w:ascii="宋体" w:hAnsi="宋体" w:eastAsia="宋体"/>
          <w:sz w:val="28"/>
          <w:szCs w:val="28"/>
        </w:rPr>
      </w:pPr>
      <w:r>
        <w:rPr>
          <w:rFonts w:hint="eastAsia" w:ascii="宋体" w:hAnsi="宋体" w:eastAsia="宋体" w:cs="宋体"/>
          <w:sz w:val="28"/>
          <w:szCs w:val="32"/>
          <w:lang w:val="en-US" w:eastAsia="zh-CN"/>
        </w:rPr>
        <w:t>表1 宏盛绿佳公司</w:t>
      </w:r>
      <w:r>
        <w:rPr>
          <w:rFonts w:hint="eastAsia" w:ascii="宋体" w:hAnsi="宋体" w:eastAsia="宋体" w:cs="宋体"/>
          <w:sz w:val="28"/>
          <w:szCs w:val="32"/>
        </w:rPr>
        <w:t>安全管理制度制定及落实情况评估表</w:t>
      </w:r>
    </w:p>
    <w:tbl>
      <w:tblPr>
        <w:tblStyle w:val="20"/>
        <w:tblW w:w="4918"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957"/>
        <w:gridCol w:w="6533"/>
        <w:gridCol w:w="1777"/>
        <w:gridCol w:w="4675"/>
      </w:tblGrid>
      <w:tr w14:paraId="7AC70E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blHeader/>
        </w:trPr>
        <w:tc>
          <w:tcPr>
            <w:tcW w:w="343" w:type="pct"/>
            <w:tcBorders>
              <w:top w:val="single" w:color="auto" w:sz="12" w:space="0"/>
            </w:tcBorders>
            <w:vAlign w:val="center"/>
          </w:tcPr>
          <w:p w14:paraId="1087B99D">
            <w:pPr>
              <w:keepNext w:val="0"/>
              <w:keepLines w:val="0"/>
              <w:pageBreakBefore w:val="0"/>
              <w:widowControl w:val="0"/>
              <w:kinsoku/>
              <w:wordWrap/>
              <w:topLinePunct w:val="0"/>
              <w:autoSpaceDE w:val="0"/>
              <w:autoSpaceDN w:val="0"/>
              <w:bidi w:val="0"/>
              <w:adjustRightInd w:val="0"/>
              <w:spacing w:line="360" w:lineRule="auto"/>
              <w:ind w:firstLine="0" w:firstLineChars="0"/>
              <w:jc w:val="center"/>
              <w:textAlignment w:val="auto"/>
              <w:rPr>
                <w:rFonts w:ascii="Times New Roman" w:hAnsi="Times New Roman" w:eastAsia="宋体" w:cs="Times New Roman"/>
                <w:b/>
                <w:sz w:val="28"/>
                <w:szCs w:val="28"/>
                <w:highlight w:val="none"/>
                <w:lang w:val="zh-CN"/>
              </w:rPr>
            </w:pPr>
            <w:r>
              <w:rPr>
                <w:rFonts w:ascii="Times New Roman" w:hAnsi="Times New Roman" w:eastAsia="宋体" w:cs="Times New Roman"/>
                <w:b/>
                <w:sz w:val="28"/>
                <w:szCs w:val="28"/>
                <w:highlight w:val="none"/>
                <w:lang w:val="zh-CN"/>
              </w:rPr>
              <w:t>序号</w:t>
            </w:r>
          </w:p>
        </w:tc>
        <w:tc>
          <w:tcPr>
            <w:tcW w:w="2342" w:type="pct"/>
            <w:tcBorders>
              <w:top w:val="single" w:color="auto" w:sz="12" w:space="0"/>
            </w:tcBorders>
            <w:vAlign w:val="center"/>
          </w:tcPr>
          <w:p w14:paraId="72E3B35C">
            <w:pPr>
              <w:keepNext w:val="0"/>
              <w:keepLines w:val="0"/>
              <w:pageBreakBefore w:val="0"/>
              <w:widowControl w:val="0"/>
              <w:kinsoku/>
              <w:wordWrap/>
              <w:topLinePunct w:val="0"/>
              <w:autoSpaceDE w:val="0"/>
              <w:autoSpaceDN w:val="0"/>
              <w:bidi w:val="0"/>
              <w:adjustRightInd w:val="0"/>
              <w:spacing w:line="360" w:lineRule="auto"/>
              <w:ind w:firstLine="0" w:firstLineChars="0"/>
              <w:jc w:val="center"/>
              <w:textAlignment w:val="auto"/>
              <w:rPr>
                <w:rFonts w:ascii="Times New Roman" w:hAnsi="Times New Roman" w:eastAsia="宋体" w:cs="Times New Roman"/>
                <w:b/>
                <w:sz w:val="28"/>
                <w:szCs w:val="28"/>
                <w:highlight w:val="none"/>
                <w:lang w:val="zh-CN"/>
              </w:rPr>
            </w:pPr>
            <w:r>
              <w:rPr>
                <w:rFonts w:ascii="Times New Roman" w:hAnsi="Times New Roman" w:eastAsia="宋体" w:cs="Times New Roman"/>
                <w:b/>
                <w:sz w:val="28"/>
                <w:szCs w:val="28"/>
                <w:highlight w:val="none"/>
                <w:lang w:val="zh-CN"/>
              </w:rPr>
              <w:t>评估项目</w:t>
            </w:r>
          </w:p>
        </w:tc>
        <w:tc>
          <w:tcPr>
            <w:tcW w:w="637" w:type="pct"/>
            <w:tcBorders>
              <w:top w:val="single" w:color="auto" w:sz="12" w:space="0"/>
            </w:tcBorders>
            <w:vAlign w:val="center"/>
          </w:tcPr>
          <w:p w14:paraId="43AE037F">
            <w:pPr>
              <w:keepNext w:val="0"/>
              <w:keepLines w:val="0"/>
              <w:pageBreakBefore w:val="0"/>
              <w:widowControl w:val="0"/>
              <w:kinsoku/>
              <w:wordWrap/>
              <w:topLinePunct w:val="0"/>
              <w:autoSpaceDE w:val="0"/>
              <w:autoSpaceDN w:val="0"/>
              <w:bidi w:val="0"/>
              <w:adjustRightInd w:val="0"/>
              <w:spacing w:line="360" w:lineRule="auto"/>
              <w:ind w:firstLine="0" w:firstLineChars="0"/>
              <w:jc w:val="center"/>
              <w:textAlignment w:val="auto"/>
              <w:rPr>
                <w:rFonts w:ascii="Times New Roman" w:hAnsi="Times New Roman" w:eastAsia="宋体" w:cs="Times New Roman"/>
                <w:b/>
                <w:sz w:val="28"/>
                <w:szCs w:val="28"/>
                <w:highlight w:val="none"/>
                <w:lang w:val="zh-CN"/>
              </w:rPr>
            </w:pPr>
            <w:r>
              <w:rPr>
                <w:rFonts w:ascii="Times New Roman" w:hAnsi="Times New Roman" w:eastAsia="宋体" w:cs="Times New Roman"/>
                <w:b/>
                <w:sz w:val="28"/>
                <w:szCs w:val="28"/>
                <w:highlight w:val="none"/>
                <w:lang w:val="zh-CN"/>
              </w:rPr>
              <w:t>评估依据</w:t>
            </w:r>
          </w:p>
        </w:tc>
        <w:tc>
          <w:tcPr>
            <w:tcW w:w="1676" w:type="pct"/>
            <w:tcBorders>
              <w:top w:val="single" w:color="auto" w:sz="12" w:space="0"/>
            </w:tcBorders>
            <w:vAlign w:val="center"/>
          </w:tcPr>
          <w:p w14:paraId="4B947E70">
            <w:pPr>
              <w:keepNext w:val="0"/>
              <w:keepLines w:val="0"/>
              <w:pageBreakBefore w:val="0"/>
              <w:widowControl w:val="0"/>
              <w:kinsoku/>
              <w:wordWrap/>
              <w:topLinePunct w:val="0"/>
              <w:autoSpaceDE w:val="0"/>
              <w:autoSpaceDN w:val="0"/>
              <w:bidi w:val="0"/>
              <w:adjustRightInd w:val="0"/>
              <w:spacing w:line="360" w:lineRule="auto"/>
              <w:ind w:firstLine="0" w:firstLineChars="0"/>
              <w:jc w:val="center"/>
              <w:textAlignment w:val="auto"/>
              <w:rPr>
                <w:rFonts w:ascii="Times New Roman" w:hAnsi="Times New Roman" w:eastAsia="宋体" w:cs="Times New Roman"/>
                <w:b/>
                <w:sz w:val="28"/>
                <w:szCs w:val="28"/>
                <w:highlight w:val="none"/>
                <w:lang w:val="zh-CN"/>
              </w:rPr>
            </w:pPr>
            <w:r>
              <w:rPr>
                <w:rFonts w:ascii="Times New Roman" w:hAnsi="Times New Roman" w:eastAsia="宋体" w:cs="Times New Roman"/>
                <w:b/>
                <w:sz w:val="28"/>
                <w:szCs w:val="28"/>
                <w:highlight w:val="none"/>
                <w:lang w:val="zh-CN"/>
              </w:rPr>
              <w:t>评估情况</w:t>
            </w:r>
          </w:p>
        </w:tc>
      </w:tr>
      <w:tr w14:paraId="0ACFCD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343" w:type="pct"/>
            <w:vAlign w:val="center"/>
          </w:tcPr>
          <w:p w14:paraId="79AF0CE5">
            <w:pPr>
              <w:keepNext w:val="0"/>
              <w:keepLines w:val="0"/>
              <w:pageBreakBefore w:val="0"/>
              <w:widowControl w:val="0"/>
              <w:numPr>
                <w:ilvl w:val="0"/>
                <w:numId w:val="2"/>
              </w:numPr>
              <w:tabs>
                <w:tab w:val="left" w:pos="1260"/>
              </w:tabs>
              <w:kinsoku/>
              <w:wordWrap/>
              <w:topLinePunct w:val="0"/>
              <w:bidi w:val="0"/>
              <w:spacing w:line="360" w:lineRule="auto"/>
              <w:ind w:firstLine="17" w:firstLineChars="0"/>
              <w:jc w:val="center"/>
              <w:textAlignment w:val="auto"/>
              <w:rPr>
                <w:rFonts w:ascii="Times New Roman" w:hAnsi="Times New Roman" w:eastAsia="宋体" w:cs="Times New Roman"/>
                <w:sz w:val="28"/>
                <w:szCs w:val="28"/>
                <w:highlight w:val="none"/>
              </w:rPr>
            </w:pPr>
          </w:p>
        </w:tc>
        <w:tc>
          <w:tcPr>
            <w:tcW w:w="2342" w:type="pct"/>
            <w:vAlign w:val="center"/>
          </w:tcPr>
          <w:p w14:paraId="4A5D497A">
            <w:pPr>
              <w:keepNext w:val="0"/>
              <w:keepLines w:val="0"/>
              <w:pageBreakBefore w:val="0"/>
              <w:widowControl w:val="0"/>
              <w:kinsoku/>
              <w:wordWrap/>
              <w:overflowPunct w:val="0"/>
              <w:topLinePunct w:val="0"/>
              <w:bidi w:val="0"/>
              <w:spacing w:line="360" w:lineRule="auto"/>
              <w:ind w:firstLine="0" w:firstLineChars="0"/>
              <w:textAlignment w:val="auto"/>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生产经营单位必须遵守本法和其他有关安全生产的法律、法规，加强安全生产管理，建立健全全员安全生产责任制和安全生产规章制度。</w:t>
            </w:r>
          </w:p>
        </w:tc>
        <w:tc>
          <w:tcPr>
            <w:tcW w:w="637" w:type="pct"/>
            <w:vAlign w:val="center"/>
          </w:tcPr>
          <w:p w14:paraId="37C1448B">
            <w:pPr>
              <w:keepNext w:val="0"/>
              <w:keepLines w:val="0"/>
              <w:pageBreakBefore w:val="0"/>
              <w:widowControl w:val="0"/>
              <w:kinsoku/>
              <w:wordWrap/>
              <w:overflowPunct w:val="0"/>
              <w:topLinePunct w:val="0"/>
              <w:bidi w:val="0"/>
              <w:spacing w:line="360" w:lineRule="auto"/>
              <w:ind w:firstLine="0" w:firstLineChars="0"/>
              <w:jc w:val="center"/>
              <w:textAlignment w:val="auto"/>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《中华人民共和国安全生产法》第四条</w:t>
            </w:r>
          </w:p>
        </w:tc>
        <w:tc>
          <w:tcPr>
            <w:tcW w:w="1676" w:type="pct"/>
            <w:vAlign w:val="center"/>
          </w:tcPr>
          <w:p w14:paraId="228D1555">
            <w:pPr>
              <w:keepNext w:val="0"/>
              <w:keepLines w:val="0"/>
              <w:pageBreakBefore w:val="0"/>
              <w:widowControl w:val="0"/>
              <w:kinsoku/>
              <w:wordWrap/>
              <w:overflowPunct w:val="0"/>
              <w:topLinePunct w:val="0"/>
              <w:bidi w:val="0"/>
              <w:spacing w:line="360" w:lineRule="auto"/>
              <w:ind w:firstLine="0" w:firstLineChars="0"/>
              <w:textAlignment w:val="auto"/>
              <w:rPr>
                <w:rFonts w:ascii="Times New Roman" w:hAnsi="Times New Roman" w:eastAsia="宋体" w:cs="Times New Roman"/>
                <w:sz w:val="28"/>
                <w:szCs w:val="28"/>
                <w:highlight w:val="none"/>
              </w:rPr>
            </w:pPr>
            <w:r>
              <w:rPr>
                <w:rFonts w:hint="eastAsia" w:ascii="宋体" w:hAnsi="宋体" w:eastAsia="宋体"/>
                <w:b w:val="0"/>
                <w:bCs/>
                <w:sz w:val="28"/>
                <w:szCs w:val="28"/>
                <w:highlight w:val="none"/>
                <w:lang w:val="en-US" w:eastAsia="zh-CN"/>
              </w:rPr>
              <w:t>宏盛绿佳公司</w:t>
            </w:r>
            <w:r>
              <w:rPr>
                <w:rFonts w:ascii="Times New Roman" w:hAnsi="Times New Roman" w:eastAsia="宋体" w:cs="Times New Roman"/>
                <w:sz w:val="28"/>
                <w:szCs w:val="28"/>
                <w:highlight w:val="none"/>
              </w:rPr>
              <w:t>提供了</w:t>
            </w:r>
            <w:r>
              <w:rPr>
                <w:rFonts w:hint="eastAsia" w:ascii="Times New Roman" w:hAnsi="Times New Roman" w:eastAsia="宋体" w:cs="Times New Roman"/>
                <w:sz w:val="28"/>
                <w:szCs w:val="28"/>
                <w:highlight w:val="none"/>
              </w:rPr>
              <w:t>安全生产规章制度及操作规程、安全生产责任</w:t>
            </w:r>
            <w:r>
              <w:rPr>
                <w:rFonts w:hint="eastAsia" w:ascii="Times New Roman" w:hAnsi="Times New Roman" w:eastAsia="宋体" w:cs="Times New Roman"/>
                <w:sz w:val="28"/>
                <w:szCs w:val="28"/>
                <w:highlight w:val="none"/>
                <w:lang w:val="en-US" w:eastAsia="zh-CN"/>
              </w:rPr>
              <w:t>书</w:t>
            </w:r>
            <w:r>
              <w:rPr>
                <w:rFonts w:hint="eastAsia" w:ascii="Times New Roman" w:hAnsi="Times New Roman" w:eastAsia="宋体" w:cs="Times New Roman"/>
                <w:sz w:val="28"/>
                <w:szCs w:val="28"/>
                <w:highlight w:val="none"/>
              </w:rPr>
              <w:t>、</w:t>
            </w:r>
            <w:r>
              <w:rPr>
                <w:rFonts w:hint="eastAsia" w:ascii="Times New Roman" w:hAnsi="Times New Roman" w:eastAsia="宋体" w:cs="Times New Roman"/>
                <w:sz w:val="28"/>
                <w:szCs w:val="28"/>
                <w:highlight w:val="none"/>
                <w:lang w:val="en-US" w:eastAsia="zh-CN"/>
              </w:rPr>
              <w:t>安全管理人员任命书等文件，</w:t>
            </w:r>
            <w:r>
              <w:rPr>
                <w:rFonts w:ascii="Times New Roman" w:hAnsi="Times New Roman" w:eastAsia="宋体" w:cs="Times New Roman"/>
                <w:sz w:val="28"/>
                <w:szCs w:val="28"/>
                <w:highlight w:val="none"/>
              </w:rPr>
              <w:t>表明该企业基本落实了相关要求。</w:t>
            </w:r>
          </w:p>
        </w:tc>
      </w:tr>
      <w:tr w14:paraId="6A86A93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343" w:type="pct"/>
            <w:vAlign w:val="center"/>
          </w:tcPr>
          <w:p w14:paraId="0C9BDD7A">
            <w:pPr>
              <w:keepNext w:val="0"/>
              <w:keepLines w:val="0"/>
              <w:pageBreakBefore w:val="0"/>
              <w:widowControl w:val="0"/>
              <w:numPr>
                <w:ilvl w:val="0"/>
                <w:numId w:val="2"/>
              </w:numPr>
              <w:tabs>
                <w:tab w:val="left" w:pos="1260"/>
              </w:tabs>
              <w:kinsoku/>
              <w:wordWrap/>
              <w:topLinePunct w:val="0"/>
              <w:bidi w:val="0"/>
              <w:spacing w:line="360" w:lineRule="auto"/>
              <w:ind w:firstLine="17" w:firstLineChars="0"/>
              <w:jc w:val="center"/>
              <w:textAlignment w:val="auto"/>
              <w:rPr>
                <w:rFonts w:ascii="Times New Roman" w:hAnsi="Times New Roman" w:eastAsia="宋体" w:cs="Times New Roman"/>
                <w:sz w:val="28"/>
                <w:szCs w:val="28"/>
                <w:highlight w:val="none"/>
              </w:rPr>
            </w:pPr>
          </w:p>
        </w:tc>
        <w:tc>
          <w:tcPr>
            <w:tcW w:w="2342" w:type="pct"/>
            <w:vAlign w:val="center"/>
          </w:tcPr>
          <w:p w14:paraId="29BA251C">
            <w:pPr>
              <w:keepNext w:val="0"/>
              <w:keepLines w:val="0"/>
              <w:pageBreakBefore w:val="0"/>
              <w:widowControl w:val="0"/>
              <w:kinsoku/>
              <w:wordWrap/>
              <w:overflowPunct w:val="0"/>
              <w:topLinePunct w:val="0"/>
              <w:bidi w:val="0"/>
              <w:spacing w:line="360" w:lineRule="auto"/>
              <w:ind w:firstLine="0" w:firstLineChars="0"/>
              <w:textAlignment w:val="auto"/>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生产经营单位的全员安全生产责任制应当明确各岗位的责任人员、责任范围和考核标准等内容。</w:t>
            </w:r>
          </w:p>
        </w:tc>
        <w:tc>
          <w:tcPr>
            <w:tcW w:w="637" w:type="pct"/>
            <w:vAlign w:val="center"/>
          </w:tcPr>
          <w:p w14:paraId="0FE5226B">
            <w:pPr>
              <w:keepNext w:val="0"/>
              <w:keepLines w:val="0"/>
              <w:pageBreakBefore w:val="0"/>
              <w:widowControl w:val="0"/>
              <w:kinsoku/>
              <w:wordWrap/>
              <w:overflowPunct w:val="0"/>
              <w:topLinePunct w:val="0"/>
              <w:bidi w:val="0"/>
              <w:spacing w:line="360" w:lineRule="auto"/>
              <w:ind w:firstLine="0" w:firstLineChars="0"/>
              <w:jc w:val="center"/>
              <w:textAlignment w:val="auto"/>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《中华人民共和国安全生产法》第二十二条</w:t>
            </w:r>
          </w:p>
        </w:tc>
        <w:tc>
          <w:tcPr>
            <w:tcW w:w="1676" w:type="pct"/>
            <w:vAlign w:val="center"/>
          </w:tcPr>
          <w:p w14:paraId="6B7F235B">
            <w:pPr>
              <w:keepNext w:val="0"/>
              <w:keepLines w:val="0"/>
              <w:pageBreakBefore w:val="0"/>
              <w:widowControl w:val="0"/>
              <w:kinsoku/>
              <w:wordWrap/>
              <w:topLinePunct w:val="0"/>
              <w:bidi w:val="0"/>
              <w:snapToGrid w:val="0"/>
              <w:spacing w:line="360" w:lineRule="auto"/>
              <w:ind w:left="0" w:leftChars="0" w:firstLine="0" w:firstLineChars="0"/>
              <w:textAlignment w:val="auto"/>
              <w:rPr>
                <w:rFonts w:ascii="Times New Roman" w:hAnsi="Times New Roman" w:eastAsia="宋体" w:cs="Times New Roman"/>
                <w:sz w:val="28"/>
                <w:szCs w:val="28"/>
                <w:highlight w:val="none"/>
              </w:rPr>
            </w:pPr>
            <w:r>
              <w:rPr>
                <w:rFonts w:hint="eastAsia" w:ascii="宋体" w:hAnsi="宋体" w:eastAsia="宋体"/>
                <w:b w:val="0"/>
                <w:bCs/>
                <w:sz w:val="28"/>
                <w:szCs w:val="28"/>
                <w:highlight w:val="none"/>
                <w:lang w:val="en-US" w:eastAsia="zh-CN"/>
              </w:rPr>
              <w:t>宏盛绿佳公司</w:t>
            </w:r>
            <w:r>
              <w:rPr>
                <w:rFonts w:ascii="Times New Roman" w:hAnsi="Times New Roman" w:eastAsia="宋体" w:cs="Times New Roman"/>
                <w:sz w:val="28"/>
                <w:szCs w:val="28"/>
                <w:highlight w:val="none"/>
              </w:rPr>
              <w:t>提供了</w:t>
            </w:r>
            <w:r>
              <w:rPr>
                <w:rFonts w:hint="eastAsia" w:ascii="Times New Roman" w:hAnsi="Times New Roman" w:eastAsia="宋体" w:cs="Times New Roman"/>
                <w:sz w:val="28"/>
                <w:szCs w:val="28"/>
                <w:highlight w:val="none"/>
              </w:rPr>
              <w:t>安全生产责任</w:t>
            </w:r>
            <w:r>
              <w:rPr>
                <w:rFonts w:hint="eastAsia" w:ascii="Times New Roman" w:hAnsi="Times New Roman" w:eastAsia="宋体" w:cs="Times New Roman"/>
                <w:sz w:val="28"/>
                <w:szCs w:val="28"/>
                <w:highlight w:val="none"/>
                <w:lang w:val="en-US" w:eastAsia="zh-CN"/>
              </w:rPr>
              <w:t>书</w:t>
            </w:r>
            <w:r>
              <w:rPr>
                <w:rFonts w:ascii="Times New Roman" w:hAnsi="Times New Roman" w:eastAsia="宋体" w:cs="Times New Roman"/>
                <w:sz w:val="28"/>
                <w:szCs w:val="28"/>
                <w:highlight w:val="none"/>
              </w:rPr>
              <w:t>，表明该企业基本落实了相关要求。</w:t>
            </w:r>
          </w:p>
        </w:tc>
      </w:tr>
      <w:tr w14:paraId="6BF877D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343" w:type="pct"/>
            <w:vAlign w:val="center"/>
          </w:tcPr>
          <w:p w14:paraId="24DD3262">
            <w:pPr>
              <w:keepNext w:val="0"/>
              <w:keepLines w:val="0"/>
              <w:pageBreakBefore w:val="0"/>
              <w:widowControl w:val="0"/>
              <w:numPr>
                <w:ilvl w:val="0"/>
                <w:numId w:val="2"/>
              </w:numPr>
              <w:tabs>
                <w:tab w:val="left" w:pos="1260"/>
              </w:tabs>
              <w:kinsoku/>
              <w:wordWrap/>
              <w:topLinePunct w:val="0"/>
              <w:bidi w:val="0"/>
              <w:spacing w:line="360" w:lineRule="auto"/>
              <w:ind w:firstLine="17" w:firstLineChars="0"/>
              <w:jc w:val="center"/>
              <w:textAlignment w:val="auto"/>
              <w:rPr>
                <w:rFonts w:ascii="Times New Roman" w:hAnsi="Times New Roman" w:eastAsia="宋体" w:cs="Times New Roman"/>
                <w:sz w:val="28"/>
                <w:szCs w:val="28"/>
                <w:highlight w:val="none"/>
              </w:rPr>
            </w:pPr>
          </w:p>
        </w:tc>
        <w:tc>
          <w:tcPr>
            <w:tcW w:w="2342" w:type="pct"/>
            <w:vAlign w:val="center"/>
          </w:tcPr>
          <w:p w14:paraId="4E10EB7F">
            <w:pPr>
              <w:keepNext w:val="0"/>
              <w:keepLines w:val="0"/>
              <w:pageBreakBefore w:val="0"/>
              <w:widowControl w:val="0"/>
              <w:kinsoku/>
              <w:wordWrap/>
              <w:overflowPunct w:val="0"/>
              <w:topLinePunct w:val="0"/>
              <w:bidi w:val="0"/>
              <w:spacing w:line="360" w:lineRule="auto"/>
              <w:ind w:firstLine="0" w:firstLineChars="0"/>
              <w:textAlignment w:val="auto"/>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生产经营单位应当具备的安全生产条件所必需的资金投入，由生产经营单位的决策机构、主要负责人或者个人经营的投资人予以保证，并对由于安全生产所必需的资金投入不足导致的后果承担责任。</w:t>
            </w:r>
          </w:p>
        </w:tc>
        <w:tc>
          <w:tcPr>
            <w:tcW w:w="637" w:type="pct"/>
            <w:vAlign w:val="center"/>
          </w:tcPr>
          <w:p w14:paraId="6638D0F5">
            <w:pPr>
              <w:keepNext w:val="0"/>
              <w:keepLines w:val="0"/>
              <w:pageBreakBefore w:val="0"/>
              <w:widowControl w:val="0"/>
              <w:kinsoku/>
              <w:wordWrap/>
              <w:overflowPunct w:val="0"/>
              <w:topLinePunct w:val="0"/>
              <w:bidi w:val="0"/>
              <w:spacing w:line="360" w:lineRule="auto"/>
              <w:ind w:firstLine="0" w:firstLineChars="0"/>
              <w:jc w:val="center"/>
              <w:textAlignment w:val="auto"/>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《中华人民共和国安全生产法》第二十</w:t>
            </w:r>
            <w:r>
              <w:rPr>
                <w:rFonts w:hint="eastAsia" w:ascii="Times New Roman" w:hAnsi="Times New Roman" w:eastAsia="宋体" w:cs="Times New Roman"/>
                <w:sz w:val="28"/>
                <w:szCs w:val="28"/>
                <w:highlight w:val="none"/>
              </w:rPr>
              <w:t>三</w:t>
            </w:r>
            <w:r>
              <w:rPr>
                <w:rFonts w:ascii="Times New Roman" w:hAnsi="Times New Roman" w:eastAsia="宋体" w:cs="Times New Roman"/>
                <w:sz w:val="28"/>
                <w:szCs w:val="28"/>
                <w:highlight w:val="none"/>
              </w:rPr>
              <w:t>条</w:t>
            </w:r>
          </w:p>
        </w:tc>
        <w:tc>
          <w:tcPr>
            <w:tcW w:w="1676" w:type="pct"/>
            <w:vAlign w:val="center"/>
          </w:tcPr>
          <w:p w14:paraId="286D1122">
            <w:pPr>
              <w:keepNext w:val="0"/>
              <w:keepLines w:val="0"/>
              <w:pageBreakBefore w:val="0"/>
              <w:widowControl w:val="0"/>
              <w:kinsoku/>
              <w:wordWrap/>
              <w:topLinePunct w:val="0"/>
              <w:bidi w:val="0"/>
              <w:snapToGrid w:val="0"/>
              <w:spacing w:line="360" w:lineRule="auto"/>
              <w:ind w:left="0" w:leftChars="0" w:firstLine="0" w:firstLineChars="0"/>
              <w:textAlignment w:val="auto"/>
              <w:rPr>
                <w:rFonts w:hint="default" w:ascii="Times New Roman" w:hAnsi="Times New Roman" w:eastAsia="宋体" w:cs="Times New Roman"/>
                <w:sz w:val="28"/>
                <w:szCs w:val="28"/>
                <w:highlight w:val="none"/>
                <w:lang w:val="en-US"/>
              </w:rPr>
            </w:pPr>
            <w:r>
              <w:rPr>
                <w:rFonts w:hint="eastAsia" w:ascii="宋体" w:hAnsi="宋体" w:eastAsia="宋体"/>
                <w:b w:val="0"/>
                <w:bCs/>
                <w:sz w:val="28"/>
                <w:szCs w:val="28"/>
                <w:highlight w:val="none"/>
                <w:lang w:val="en-US" w:eastAsia="zh-CN"/>
              </w:rPr>
              <w:t>宏盛绿佳公司未提供具体的安全资金投入清单，但提供了劳保用品发放记录和工伤保险单等。</w:t>
            </w:r>
          </w:p>
        </w:tc>
      </w:tr>
      <w:tr w14:paraId="1A53B7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343" w:type="pct"/>
            <w:vAlign w:val="center"/>
          </w:tcPr>
          <w:p w14:paraId="6B47B246">
            <w:pPr>
              <w:keepNext w:val="0"/>
              <w:keepLines w:val="0"/>
              <w:pageBreakBefore w:val="0"/>
              <w:widowControl w:val="0"/>
              <w:numPr>
                <w:ilvl w:val="0"/>
                <w:numId w:val="2"/>
              </w:numPr>
              <w:tabs>
                <w:tab w:val="left" w:pos="1260"/>
              </w:tabs>
              <w:kinsoku/>
              <w:wordWrap/>
              <w:topLinePunct w:val="0"/>
              <w:bidi w:val="0"/>
              <w:spacing w:line="360" w:lineRule="auto"/>
              <w:ind w:firstLine="17" w:firstLineChars="0"/>
              <w:jc w:val="center"/>
              <w:textAlignment w:val="auto"/>
              <w:rPr>
                <w:rFonts w:ascii="Times New Roman" w:hAnsi="Times New Roman" w:eastAsia="宋体" w:cs="Times New Roman"/>
                <w:sz w:val="28"/>
                <w:szCs w:val="28"/>
                <w:highlight w:val="none"/>
              </w:rPr>
            </w:pPr>
          </w:p>
        </w:tc>
        <w:tc>
          <w:tcPr>
            <w:tcW w:w="2342" w:type="pct"/>
            <w:vAlign w:val="center"/>
          </w:tcPr>
          <w:p w14:paraId="1BF126F8">
            <w:pPr>
              <w:keepNext w:val="0"/>
              <w:keepLines w:val="0"/>
              <w:pageBreakBefore w:val="0"/>
              <w:widowControl w:val="0"/>
              <w:kinsoku/>
              <w:wordWrap/>
              <w:overflowPunct w:val="0"/>
              <w:topLinePunct w:val="0"/>
              <w:bidi w:val="0"/>
              <w:spacing w:line="360" w:lineRule="auto"/>
              <w:ind w:firstLine="0" w:firstLineChars="0"/>
              <w:textAlignment w:val="auto"/>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矿山、金属冶炼、建筑施工、运输单位和危险物品的生产、经营、储存、装卸单位，应当设置安全生产管理机构或者配备专职安全生产管理人员。</w:t>
            </w:r>
          </w:p>
          <w:p w14:paraId="4EC3E5C0">
            <w:pPr>
              <w:keepNext w:val="0"/>
              <w:keepLines w:val="0"/>
              <w:pageBreakBefore w:val="0"/>
              <w:widowControl w:val="0"/>
              <w:kinsoku/>
              <w:wordWrap/>
              <w:overflowPunct w:val="0"/>
              <w:topLinePunct w:val="0"/>
              <w:bidi w:val="0"/>
              <w:spacing w:line="360" w:lineRule="auto"/>
              <w:ind w:firstLine="0" w:firstLineChars="0"/>
              <w:textAlignment w:val="auto"/>
              <w:rPr>
                <w:rFonts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前款规定以外的其他生产经营单位，从业人员超过一百人的，应当设置安全生产管理机构或者配备专职安全生产管理人员；从业人员在一百人以下的，应当配备专职或者兼职的安全生产管理人员。</w:t>
            </w:r>
          </w:p>
        </w:tc>
        <w:tc>
          <w:tcPr>
            <w:tcW w:w="637" w:type="pct"/>
            <w:vAlign w:val="center"/>
          </w:tcPr>
          <w:p w14:paraId="05CFC364">
            <w:pPr>
              <w:keepNext w:val="0"/>
              <w:keepLines w:val="0"/>
              <w:pageBreakBefore w:val="0"/>
              <w:widowControl w:val="0"/>
              <w:kinsoku/>
              <w:wordWrap/>
              <w:overflowPunct w:val="0"/>
              <w:topLinePunct w:val="0"/>
              <w:bidi w:val="0"/>
              <w:spacing w:line="360" w:lineRule="auto"/>
              <w:ind w:firstLine="0" w:firstLineChars="0"/>
              <w:jc w:val="center"/>
              <w:textAlignment w:val="auto"/>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《中华人民共和国安全生产法》第二十</w:t>
            </w:r>
            <w:r>
              <w:rPr>
                <w:rFonts w:hint="eastAsia" w:ascii="Times New Roman" w:hAnsi="Times New Roman" w:eastAsia="宋体" w:cs="Times New Roman"/>
                <w:sz w:val="28"/>
                <w:szCs w:val="28"/>
                <w:highlight w:val="none"/>
                <w:lang w:val="en-US" w:eastAsia="zh-CN"/>
              </w:rPr>
              <w:t>四</w:t>
            </w:r>
            <w:r>
              <w:rPr>
                <w:rFonts w:ascii="Times New Roman" w:hAnsi="Times New Roman" w:eastAsia="宋体" w:cs="Times New Roman"/>
                <w:sz w:val="28"/>
                <w:szCs w:val="28"/>
                <w:highlight w:val="none"/>
              </w:rPr>
              <w:t>条</w:t>
            </w:r>
          </w:p>
        </w:tc>
        <w:tc>
          <w:tcPr>
            <w:tcW w:w="1676" w:type="pct"/>
            <w:vAlign w:val="center"/>
          </w:tcPr>
          <w:p w14:paraId="1C0DEEF6">
            <w:pPr>
              <w:keepNext w:val="0"/>
              <w:keepLines w:val="0"/>
              <w:pageBreakBefore w:val="0"/>
              <w:widowControl w:val="0"/>
              <w:kinsoku/>
              <w:wordWrap/>
              <w:overflowPunct w:val="0"/>
              <w:topLinePunct w:val="0"/>
              <w:bidi w:val="0"/>
              <w:spacing w:line="360" w:lineRule="auto"/>
              <w:ind w:firstLine="0" w:firstLineChars="0"/>
              <w:textAlignment w:val="auto"/>
              <w:rPr>
                <w:rFonts w:hint="default" w:ascii="Times New Roman" w:hAnsi="Times New Roman" w:eastAsia="宋体" w:cs="Times New Roman"/>
                <w:sz w:val="28"/>
                <w:szCs w:val="28"/>
                <w:highlight w:val="none"/>
                <w:lang w:val="en-US" w:eastAsia="zh-CN"/>
              </w:rPr>
            </w:pPr>
            <w:r>
              <w:rPr>
                <w:rFonts w:hint="eastAsia" w:ascii="宋体" w:hAnsi="宋体" w:eastAsia="宋体"/>
                <w:b w:val="0"/>
                <w:bCs/>
                <w:sz w:val="28"/>
                <w:szCs w:val="28"/>
                <w:highlight w:val="none"/>
                <w:lang w:val="en-US" w:eastAsia="zh-CN"/>
              </w:rPr>
              <w:t>宏盛绿佳公司</w:t>
            </w:r>
            <w:r>
              <w:rPr>
                <w:rFonts w:ascii="Times New Roman" w:hAnsi="Times New Roman" w:eastAsia="宋体" w:cs="Times New Roman"/>
                <w:sz w:val="28"/>
                <w:szCs w:val="28"/>
                <w:highlight w:val="none"/>
              </w:rPr>
              <w:t>提供了</w:t>
            </w:r>
            <w:r>
              <w:rPr>
                <w:rFonts w:hint="eastAsia" w:ascii="Times New Roman" w:hAnsi="Times New Roman" w:eastAsia="宋体" w:cs="Times New Roman"/>
                <w:sz w:val="28"/>
                <w:szCs w:val="28"/>
                <w:highlight w:val="none"/>
              </w:rPr>
              <w:t>安全生产管理人员</w:t>
            </w:r>
            <w:r>
              <w:rPr>
                <w:rFonts w:hint="eastAsia" w:ascii="Times New Roman" w:hAnsi="Times New Roman" w:eastAsia="宋体" w:cs="Times New Roman"/>
                <w:sz w:val="28"/>
                <w:szCs w:val="28"/>
                <w:highlight w:val="none"/>
                <w:lang w:val="en-US" w:eastAsia="zh-CN"/>
              </w:rPr>
              <w:t>任命书</w:t>
            </w:r>
            <w:r>
              <w:rPr>
                <w:rFonts w:ascii="Times New Roman" w:hAnsi="Times New Roman" w:eastAsia="宋体" w:cs="Times New Roman"/>
                <w:sz w:val="28"/>
                <w:szCs w:val="28"/>
                <w:highlight w:val="none"/>
              </w:rPr>
              <w:t>，表明该企业基本落实了相关要求。</w:t>
            </w:r>
          </w:p>
        </w:tc>
      </w:tr>
      <w:tr w14:paraId="2D218E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343" w:type="pct"/>
            <w:vAlign w:val="center"/>
          </w:tcPr>
          <w:p w14:paraId="75387CC9">
            <w:pPr>
              <w:keepNext w:val="0"/>
              <w:keepLines w:val="0"/>
              <w:pageBreakBefore w:val="0"/>
              <w:widowControl w:val="0"/>
              <w:numPr>
                <w:ilvl w:val="0"/>
                <w:numId w:val="2"/>
              </w:numPr>
              <w:tabs>
                <w:tab w:val="left" w:pos="1260"/>
              </w:tabs>
              <w:kinsoku/>
              <w:wordWrap/>
              <w:topLinePunct w:val="0"/>
              <w:bidi w:val="0"/>
              <w:spacing w:line="360" w:lineRule="auto"/>
              <w:ind w:firstLine="17" w:firstLineChars="0"/>
              <w:jc w:val="center"/>
              <w:textAlignment w:val="auto"/>
              <w:rPr>
                <w:rFonts w:ascii="Times New Roman" w:hAnsi="Times New Roman" w:eastAsia="宋体" w:cs="Times New Roman"/>
                <w:sz w:val="28"/>
                <w:szCs w:val="28"/>
                <w:highlight w:val="none"/>
              </w:rPr>
            </w:pPr>
          </w:p>
        </w:tc>
        <w:tc>
          <w:tcPr>
            <w:tcW w:w="2342" w:type="pct"/>
            <w:vAlign w:val="center"/>
          </w:tcPr>
          <w:p w14:paraId="3D7B1EC2">
            <w:pPr>
              <w:keepNext w:val="0"/>
              <w:keepLines w:val="0"/>
              <w:pageBreakBefore w:val="0"/>
              <w:widowControl w:val="0"/>
              <w:kinsoku/>
              <w:wordWrap/>
              <w:overflowPunct w:val="0"/>
              <w:topLinePunct w:val="0"/>
              <w:bidi w:val="0"/>
              <w:spacing w:line="360" w:lineRule="auto"/>
              <w:ind w:firstLine="0" w:firstLineChars="0"/>
              <w:textAlignment w:val="auto"/>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生产经营单位的安全生产管理机构以及安全生产管理人员履行下列职责：</w:t>
            </w:r>
          </w:p>
          <w:p w14:paraId="0ACBEE5E">
            <w:pPr>
              <w:keepNext w:val="0"/>
              <w:keepLines w:val="0"/>
              <w:pageBreakBefore w:val="0"/>
              <w:widowControl w:val="0"/>
              <w:kinsoku/>
              <w:wordWrap/>
              <w:overflowPunct w:val="0"/>
              <w:topLinePunct w:val="0"/>
              <w:bidi w:val="0"/>
              <w:spacing w:line="360" w:lineRule="auto"/>
              <w:ind w:firstLine="0" w:firstLineChars="0"/>
              <w:textAlignment w:val="auto"/>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w:t>
            </w:r>
            <w:r>
              <w:rPr>
                <w:rFonts w:hint="eastAsia" w:ascii="Times New Roman" w:hAnsi="Times New Roman" w:eastAsia="宋体" w:cs="Times New Roman"/>
                <w:sz w:val="28"/>
                <w:szCs w:val="28"/>
                <w:highlight w:val="none"/>
              </w:rPr>
              <w:t>一</w:t>
            </w:r>
            <w:r>
              <w:rPr>
                <w:rFonts w:ascii="Times New Roman" w:hAnsi="Times New Roman" w:eastAsia="宋体" w:cs="Times New Roman"/>
                <w:sz w:val="28"/>
                <w:szCs w:val="28"/>
                <w:highlight w:val="none"/>
              </w:rPr>
              <w:t>）组织或者参与拟订本单位安全生产规章制度、操作规程和生产安全事故应急救援预案；</w:t>
            </w:r>
          </w:p>
          <w:p w14:paraId="3B26692A">
            <w:pPr>
              <w:keepNext w:val="0"/>
              <w:keepLines w:val="0"/>
              <w:pageBreakBefore w:val="0"/>
              <w:widowControl w:val="0"/>
              <w:kinsoku/>
              <w:wordWrap/>
              <w:overflowPunct w:val="0"/>
              <w:topLinePunct w:val="0"/>
              <w:bidi w:val="0"/>
              <w:spacing w:line="360" w:lineRule="auto"/>
              <w:ind w:firstLine="0" w:firstLineChars="0"/>
              <w:textAlignment w:val="auto"/>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（二）组织或者参与本单位安全生产教育和培训，如实记录安全生产教育和培训情况；</w:t>
            </w:r>
          </w:p>
          <w:p w14:paraId="591FA5E2">
            <w:pPr>
              <w:keepNext w:val="0"/>
              <w:keepLines w:val="0"/>
              <w:pageBreakBefore w:val="0"/>
              <w:widowControl w:val="0"/>
              <w:kinsoku/>
              <w:wordWrap/>
              <w:overflowPunct w:val="0"/>
              <w:topLinePunct w:val="0"/>
              <w:bidi w:val="0"/>
              <w:spacing w:line="360" w:lineRule="auto"/>
              <w:ind w:firstLine="0" w:firstLineChars="0"/>
              <w:textAlignment w:val="auto"/>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（三）组织开展危险源辨识和评估，督促落实本单位重大危险源的安全管理措施；</w:t>
            </w:r>
          </w:p>
          <w:p w14:paraId="572E4B56">
            <w:pPr>
              <w:keepNext w:val="0"/>
              <w:keepLines w:val="0"/>
              <w:pageBreakBefore w:val="0"/>
              <w:widowControl w:val="0"/>
              <w:kinsoku/>
              <w:wordWrap/>
              <w:overflowPunct w:val="0"/>
              <w:topLinePunct w:val="0"/>
              <w:bidi w:val="0"/>
              <w:spacing w:line="360" w:lineRule="auto"/>
              <w:ind w:firstLine="0" w:firstLineChars="0"/>
              <w:textAlignment w:val="auto"/>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（四）组织或者参与本单位应急救援演练；</w:t>
            </w:r>
          </w:p>
          <w:p w14:paraId="0343E5A8">
            <w:pPr>
              <w:keepNext w:val="0"/>
              <w:keepLines w:val="0"/>
              <w:pageBreakBefore w:val="0"/>
              <w:widowControl w:val="0"/>
              <w:kinsoku/>
              <w:wordWrap/>
              <w:overflowPunct w:val="0"/>
              <w:topLinePunct w:val="0"/>
              <w:bidi w:val="0"/>
              <w:spacing w:line="360" w:lineRule="auto"/>
              <w:ind w:firstLine="0" w:firstLineChars="0"/>
              <w:textAlignment w:val="auto"/>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（五）检查本单位的安全生产状况，及时排查生产安全事故隐患，提出改进安全生产管理的建议；</w:t>
            </w:r>
          </w:p>
          <w:p w14:paraId="699A4521">
            <w:pPr>
              <w:keepNext w:val="0"/>
              <w:keepLines w:val="0"/>
              <w:pageBreakBefore w:val="0"/>
              <w:widowControl w:val="0"/>
              <w:kinsoku/>
              <w:wordWrap/>
              <w:overflowPunct w:val="0"/>
              <w:topLinePunct w:val="0"/>
              <w:bidi w:val="0"/>
              <w:spacing w:line="360" w:lineRule="auto"/>
              <w:ind w:firstLine="0" w:firstLineChars="0"/>
              <w:textAlignment w:val="auto"/>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（六）制止和纠正违章指挥、强令冒险作业、违反操作规程的行为；</w:t>
            </w:r>
          </w:p>
          <w:p w14:paraId="6E10DE0F">
            <w:pPr>
              <w:keepNext w:val="0"/>
              <w:keepLines w:val="0"/>
              <w:pageBreakBefore w:val="0"/>
              <w:widowControl w:val="0"/>
              <w:kinsoku/>
              <w:wordWrap/>
              <w:overflowPunct w:val="0"/>
              <w:topLinePunct w:val="0"/>
              <w:bidi w:val="0"/>
              <w:spacing w:line="360" w:lineRule="auto"/>
              <w:ind w:firstLine="0" w:firstLineChars="0"/>
              <w:textAlignment w:val="auto"/>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（七）督促落实本单位安全生产整改措施。</w:t>
            </w:r>
          </w:p>
        </w:tc>
        <w:tc>
          <w:tcPr>
            <w:tcW w:w="637" w:type="pct"/>
            <w:vAlign w:val="center"/>
          </w:tcPr>
          <w:p w14:paraId="37463F8E">
            <w:pPr>
              <w:keepNext w:val="0"/>
              <w:keepLines w:val="0"/>
              <w:pageBreakBefore w:val="0"/>
              <w:widowControl w:val="0"/>
              <w:kinsoku/>
              <w:wordWrap/>
              <w:overflowPunct w:val="0"/>
              <w:topLinePunct w:val="0"/>
              <w:bidi w:val="0"/>
              <w:spacing w:line="360" w:lineRule="auto"/>
              <w:ind w:firstLine="0" w:firstLineChars="0"/>
              <w:jc w:val="center"/>
              <w:textAlignment w:val="auto"/>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《中华人民共和国安全生产法》第二十五条</w:t>
            </w:r>
          </w:p>
        </w:tc>
        <w:tc>
          <w:tcPr>
            <w:tcW w:w="1676" w:type="pct"/>
            <w:shd w:val="clear" w:color="auto" w:fill="auto"/>
            <w:vAlign w:val="center"/>
          </w:tcPr>
          <w:p w14:paraId="74E4B96C">
            <w:pPr>
              <w:keepNext w:val="0"/>
              <w:keepLines w:val="0"/>
              <w:pageBreakBefore w:val="0"/>
              <w:widowControl w:val="0"/>
              <w:kinsoku/>
              <w:wordWrap/>
              <w:overflowPunct w:val="0"/>
              <w:topLinePunct w:val="0"/>
              <w:bidi w:val="0"/>
              <w:spacing w:line="360" w:lineRule="auto"/>
              <w:ind w:firstLine="0" w:firstLineChars="0"/>
              <w:textAlignment w:val="auto"/>
              <w:rPr>
                <w:rFonts w:ascii="Times New Roman" w:hAnsi="Times New Roman" w:eastAsia="宋体" w:cs="Times New Roman"/>
                <w:kern w:val="2"/>
                <w:sz w:val="28"/>
                <w:szCs w:val="28"/>
                <w:highlight w:val="none"/>
                <w:lang w:val="en-US" w:eastAsia="zh-CN" w:bidi="ar-SA"/>
              </w:rPr>
            </w:pPr>
            <w:r>
              <w:rPr>
                <w:rFonts w:hint="eastAsia" w:ascii="宋体" w:hAnsi="宋体" w:eastAsia="宋体"/>
                <w:b w:val="0"/>
                <w:bCs/>
                <w:sz w:val="28"/>
                <w:szCs w:val="28"/>
                <w:highlight w:val="none"/>
                <w:lang w:val="en-US" w:eastAsia="zh-CN"/>
              </w:rPr>
              <w:t>宏盛绿佳公司</w:t>
            </w:r>
            <w:r>
              <w:rPr>
                <w:rFonts w:ascii="Times New Roman" w:hAnsi="Times New Roman" w:eastAsia="宋体" w:cs="Times New Roman"/>
                <w:sz w:val="28"/>
                <w:szCs w:val="28"/>
                <w:highlight w:val="none"/>
              </w:rPr>
              <w:t>提供了</w:t>
            </w:r>
            <w:r>
              <w:rPr>
                <w:rFonts w:hint="eastAsia" w:ascii="Times New Roman" w:hAnsi="Times New Roman" w:eastAsia="宋体" w:cs="Times New Roman"/>
                <w:sz w:val="28"/>
                <w:szCs w:val="28"/>
                <w:highlight w:val="none"/>
              </w:rPr>
              <w:t>安全生产规章制度及操作规程、</w:t>
            </w:r>
            <w:r>
              <w:rPr>
                <w:rFonts w:hint="eastAsia" w:ascii="Times New Roman" w:hAnsi="Times New Roman" w:eastAsia="宋体" w:cs="Times New Roman"/>
                <w:sz w:val="28"/>
                <w:szCs w:val="28"/>
                <w:highlight w:val="none"/>
                <w:lang w:val="en-US" w:eastAsia="zh-CN"/>
              </w:rPr>
              <w:t>安全生产责任书、生产安全事故应急救援预案及演练记录、安全培训记录、劳保用品发放记录、隐患排查登记表等文件，但未见安全培训计划、专项风险隐患排查机制等</w:t>
            </w:r>
            <w:r>
              <w:rPr>
                <w:rFonts w:ascii="Times New Roman" w:hAnsi="Times New Roman" w:eastAsia="宋体" w:cs="Times New Roman"/>
                <w:sz w:val="28"/>
                <w:szCs w:val="28"/>
                <w:highlight w:val="none"/>
              </w:rPr>
              <w:t>。</w:t>
            </w:r>
          </w:p>
        </w:tc>
      </w:tr>
      <w:tr w14:paraId="3708EB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343" w:type="pct"/>
            <w:vAlign w:val="center"/>
          </w:tcPr>
          <w:p w14:paraId="0FC693F6">
            <w:pPr>
              <w:keepNext w:val="0"/>
              <w:keepLines w:val="0"/>
              <w:pageBreakBefore w:val="0"/>
              <w:widowControl w:val="0"/>
              <w:numPr>
                <w:ilvl w:val="0"/>
                <w:numId w:val="2"/>
              </w:numPr>
              <w:tabs>
                <w:tab w:val="left" w:pos="1260"/>
              </w:tabs>
              <w:kinsoku/>
              <w:wordWrap/>
              <w:topLinePunct w:val="0"/>
              <w:bidi w:val="0"/>
              <w:spacing w:line="360" w:lineRule="auto"/>
              <w:ind w:firstLine="17" w:firstLineChars="0"/>
              <w:jc w:val="center"/>
              <w:textAlignment w:val="auto"/>
              <w:rPr>
                <w:rFonts w:ascii="Times New Roman" w:hAnsi="Times New Roman" w:eastAsia="宋体" w:cs="Times New Roman"/>
                <w:sz w:val="28"/>
                <w:szCs w:val="28"/>
                <w:highlight w:val="none"/>
              </w:rPr>
            </w:pPr>
          </w:p>
        </w:tc>
        <w:tc>
          <w:tcPr>
            <w:tcW w:w="2342" w:type="pct"/>
            <w:vAlign w:val="center"/>
          </w:tcPr>
          <w:p w14:paraId="025151F6">
            <w:pPr>
              <w:keepNext w:val="0"/>
              <w:keepLines w:val="0"/>
              <w:pageBreakBefore w:val="0"/>
              <w:widowControl w:val="0"/>
              <w:kinsoku/>
              <w:wordWrap/>
              <w:overflowPunct w:val="0"/>
              <w:topLinePunct w:val="0"/>
              <w:bidi w:val="0"/>
              <w:spacing w:line="360" w:lineRule="auto"/>
              <w:ind w:firstLine="0" w:firstLineChars="0"/>
              <w:textAlignment w:val="auto"/>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14:paraId="6974DDEC">
            <w:pPr>
              <w:keepNext w:val="0"/>
              <w:keepLines w:val="0"/>
              <w:pageBreakBefore w:val="0"/>
              <w:widowControl w:val="0"/>
              <w:kinsoku/>
              <w:wordWrap/>
              <w:overflowPunct w:val="0"/>
              <w:topLinePunct w:val="0"/>
              <w:bidi w:val="0"/>
              <w:spacing w:line="360" w:lineRule="auto"/>
              <w:ind w:firstLine="0" w:firstLineChars="0"/>
              <w:textAlignment w:val="auto"/>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生产经营单位使用被派遣劳动者的，应当将被派遣劳动者纳入本单位从业人员统一管理，对被派遣劳动者进行岗位安全操作规程和安全操作技能的教育和培训。劳务派遣单位应当对被派遣劳动者进行必要的安全生产教育和培训。</w:t>
            </w:r>
          </w:p>
          <w:p w14:paraId="4F29320A">
            <w:pPr>
              <w:keepNext w:val="0"/>
              <w:keepLines w:val="0"/>
              <w:pageBreakBefore w:val="0"/>
              <w:widowControl w:val="0"/>
              <w:kinsoku/>
              <w:wordWrap/>
              <w:overflowPunct w:val="0"/>
              <w:topLinePunct w:val="0"/>
              <w:bidi w:val="0"/>
              <w:spacing w:line="360" w:lineRule="auto"/>
              <w:ind w:firstLine="0" w:firstLineChars="0"/>
              <w:textAlignment w:val="auto"/>
              <w:rPr>
                <w:rFonts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生产经营单位应当建立安全生产教育和培训档案，如实记录安全生产教育和培训的时间、内容、参加人员以及考核结果等情况。</w:t>
            </w:r>
          </w:p>
        </w:tc>
        <w:tc>
          <w:tcPr>
            <w:tcW w:w="637" w:type="pct"/>
            <w:vAlign w:val="center"/>
          </w:tcPr>
          <w:p w14:paraId="62329184">
            <w:pPr>
              <w:keepNext w:val="0"/>
              <w:keepLines w:val="0"/>
              <w:pageBreakBefore w:val="0"/>
              <w:widowControl w:val="0"/>
              <w:kinsoku/>
              <w:wordWrap/>
              <w:overflowPunct w:val="0"/>
              <w:topLinePunct w:val="0"/>
              <w:bidi w:val="0"/>
              <w:spacing w:line="360" w:lineRule="auto"/>
              <w:ind w:firstLine="0" w:firstLineChars="0"/>
              <w:jc w:val="center"/>
              <w:textAlignment w:val="auto"/>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《中华人民共和国安全生产法》第二十八条</w:t>
            </w:r>
          </w:p>
        </w:tc>
        <w:tc>
          <w:tcPr>
            <w:tcW w:w="1676" w:type="pct"/>
            <w:vAlign w:val="center"/>
          </w:tcPr>
          <w:p w14:paraId="19203FA4">
            <w:pPr>
              <w:keepNext w:val="0"/>
              <w:keepLines w:val="0"/>
              <w:pageBreakBefore w:val="0"/>
              <w:widowControl w:val="0"/>
              <w:kinsoku/>
              <w:wordWrap/>
              <w:topLinePunct w:val="0"/>
              <w:bidi w:val="0"/>
              <w:snapToGrid w:val="0"/>
              <w:spacing w:line="360" w:lineRule="auto"/>
              <w:ind w:left="0" w:leftChars="0" w:firstLine="0" w:firstLineChars="0"/>
              <w:textAlignment w:val="auto"/>
              <w:rPr>
                <w:rFonts w:ascii="Times New Roman" w:hAnsi="Times New Roman" w:eastAsia="宋体" w:cs="Times New Roman"/>
                <w:sz w:val="28"/>
                <w:szCs w:val="28"/>
                <w:highlight w:val="none"/>
              </w:rPr>
            </w:pPr>
            <w:r>
              <w:rPr>
                <w:rFonts w:hint="eastAsia" w:ascii="宋体" w:hAnsi="宋体" w:eastAsia="宋体"/>
                <w:b w:val="0"/>
                <w:bCs/>
                <w:sz w:val="28"/>
                <w:szCs w:val="28"/>
                <w:highlight w:val="none"/>
                <w:lang w:val="en-US" w:eastAsia="zh-CN"/>
              </w:rPr>
              <w:t>宏盛绿佳公司</w:t>
            </w:r>
            <w:r>
              <w:rPr>
                <w:rFonts w:ascii="Times New Roman" w:hAnsi="Times New Roman" w:eastAsia="宋体" w:cs="Times New Roman"/>
                <w:sz w:val="28"/>
                <w:szCs w:val="28"/>
                <w:highlight w:val="none"/>
              </w:rPr>
              <w:t>提供了</w:t>
            </w:r>
            <w:r>
              <w:rPr>
                <w:rFonts w:hint="eastAsia" w:ascii="Times New Roman" w:hAnsi="Times New Roman" w:eastAsia="宋体" w:cs="Times New Roman"/>
                <w:sz w:val="28"/>
                <w:szCs w:val="28"/>
                <w:highlight w:val="none"/>
              </w:rPr>
              <w:t>安全生产规章制度及操作规程、</w:t>
            </w:r>
            <w:r>
              <w:rPr>
                <w:rFonts w:hint="eastAsia" w:ascii="Times New Roman" w:hAnsi="Times New Roman" w:eastAsia="宋体" w:cs="Times New Roman"/>
                <w:sz w:val="28"/>
                <w:szCs w:val="28"/>
                <w:highlight w:val="none"/>
                <w:lang w:val="en-US" w:eastAsia="zh-CN"/>
              </w:rPr>
              <w:t>安全生产责任书、生产安全事故应急救援预案及安全培训记录、劳保用品发放记录、隐患排查登记表等文件，但未见安全培训计划、档案及考核结果等</w:t>
            </w:r>
            <w:r>
              <w:rPr>
                <w:rFonts w:ascii="Times New Roman" w:hAnsi="Times New Roman" w:eastAsia="宋体" w:cs="Times New Roman"/>
                <w:sz w:val="28"/>
                <w:szCs w:val="28"/>
                <w:highlight w:val="none"/>
              </w:rPr>
              <w:t>。</w:t>
            </w:r>
          </w:p>
        </w:tc>
      </w:tr>
      <w:tr w14:paraId="7DC1E8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343" w:type="pct"/>
            <w:vAlign w:val="center"/>
          </w:tcPr>
          <w:p w14:paraId="0C3AF4E8">
            <w:pPr>
              <w:keepNext w:val="0"/>
              <w:keepLines w:val="0"/>
              <w:pageBreakBefore w:val="0"/>
              <w:widowControl w:val="0"/>
              <w:numPr>
                <w:ilvl w:val="0"/>
                <w:numId w:val="2"/>
              </w:numPr>
              <w:tabs>
                <w:tab w:val="left" w:pos="1260"/>
              </w:tabs>
              <w:kinsoku/>
              <w:wordWrap/>
              <w:topLinePunct w:val="0"/>
              <w:bidi w:val="0"/>
              <w:spacing w:line="360" w:lineRule="auto"/>
              <w:ind w:firstLine="17" w:firstLineChars="0"/>
              <w:jc w:val="center"/>
              <w:textAlignment w:val="auto"/>
              <w:rPr>
                <w:rFonts w:ascii="Times New Roman" w:hAnsi="Times New Roman" w:eastAsia="宋体" w:cs="Times New Roman"/>
                <w:sz w:val="28"/>
                <w:szCs w:val="28"/>
                <w:highlight w:val="none"/>
              </w:rPr>
            </w:pPr>
          </w:p>
        </w:tc>
        <w:tc>
          <w:tcPr>
            <w:tcW w:w="2342" w:type="pct"/>
            <w:vAlign w:val="center"/>
          </w:tcPr>
          <w:p w14:paraId="3C39F611">
            <w:pPr>
              <w:keepNext w:val="0"/>
              <w:keepLines w:val="0"/>
              <w:pageBreakBefore w:val="0"/>
              <w:widowControl w:val="0"/>
              <w:kinsoku/>
              <w:wordWrap/>
              <w:topLinePunct w:val="0"/>
              <w:bidi w:val="0"/>
              <w:spacing w:line="360" w:lineRule="auto"/>
              <w:ind w:firstLine="0" w:firstLineChars="0"/>
              <w:textAlignment w:val="auto"/>
              <w:rPr>
                <w:rFonts w:hint="eastAsia" w:ascii="Times New Roman" w:hAnsi="Times New Roman" w:eastAsia="宋体" w:cs="Times New Roman"/>
                <w:color w:val="000000"/>
                <w:sz w:val="28"/>
                <w:szCs w:val="28"/>
                <w:highlight w:val="none"/>
              </w:rPr>
            </w:pPr>
            <w:r>
              <w:rPr>
                <w:rFonts w:hint="eastAsia" w:ascii="Times New Roman" w:hAnsi="Times New Roman" w:eastAsia="宋体" w:cs="Times New Roman"/>
                <w:color w:val="000000"/>
                <w:sz w:val="28"/>
                <w:szCs w:val="28"/>
                <w:highlight w:val="none"/>
              </w:rPr>
              <w:t>生产经营单位的特种作业人员必须按照国家有关规定经专门的安全作业培训，取得相应资格，方可上岗作业。</w:t>
            </w:r>
          </w:p>
          <w:p w14:paraId="384B5559">
            <w:pPr>
              <w:keepNext w:val="0"/>
              <w:keepLines w:val="0"/>
              <w:pageBreakBefore w:val="0"/>
              <w:widowControl w:val="0"/>
              <w:kinsoku/>
              <w:wordWrap/>
              <w:topLinePunct w:val="0"/>
              <w:bidi w:val="0"/>
              <w:spacing w:line="360" w:lineRule="auto"/>
              <w:ind w:firstLine="0" w:firstLineChars="0"/>
              <w:textAlignment w:val="auto"/>
              <w:rPr>
                <w:rFonts w:hint="eastAsia" w:ascii="Times New Roman" w:hAnsi="Times New Roman" w:eastAsia="宋体" w:cs="Times New Roman"/>
                <w:color w:val="000000"/>
                <w:sz w:val="28"/>
                <w:szCs w:val="28"/>
                <w:highlight w:val="none"/>
              </w:rPr>
            </w:pPr>
            <w:r>
              <w:rPr>
                <w:rFonts w:hint="eastAsia" w:ascii="Times New Roman" w:hAnsi="Times New Roman" w:eastAsia="宋体" w:cs="Times New Roman"/>
                <w:color w:val="000000"/>
                <w:sz w:val="28"/>
                <w:szCs w:val="28"/>
                <w:highlight w:val="none"/>
              </w:rPr>
              <w:t>特种作业人员的范围由国务院应急管理部门会同国务院有关部门确定。</w:t>
            </w:r>
          </w:p>
        </w:tc>
        <w:tc>
          <w:tcPr>
            <w:tcW w:w="637" w:type="pct"/>
            <w:vAlign w:val="center"/>
          </w:tcPr>
          <w:p w14:paraId="4364F0D3">
            <w:pPr>
              <w:keepNext w:val="0"/>
              <w:keepLines w:val="0"/>
              <w:pageBreakBefore w:val="0"/>
              <w:widowControl w:val="0"/>
              <w:kinsoku/>
              <w:wordWrap/>
              <w:overflowPunct w:val="0"/>
              <w:topLinePunct w:val="0"/>
              <w:bidi w:val="0"/>
              <w:spacing w:line="360" w:lineRule="auto"/>
              <w:ind w:firstLine="0" w:firstLineChars="0"/>
              <w:jc w:val="center"/>
              <w:textAlignment w:val="auto"/>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《中华人民共和国安全生产法》第</w:t>
            </w:r>
            <w:r>
              <w:rPr>
                <w:rFonts w:hint="eastAsia" w:ascii="Times New Roman" w:hAnsi="Times New Roman" w:eastAsia="宋体" w:cs="Times New Roman"/>
                <w:sz w:val="28"/>
                <w:szCs w:val="28"/>
                <w:highlight w:val="none"/>
              </w:rPr>
              <w:t>三十</w:t>
            </w:r>
            <w:r>
              <w:rPr>
                <w:rFonts w:ascii="Times New Roman" w:hAnsi="Times New Roman" w:eastAsia="宋体" w:cs="Times New Roman"/>
                <w:sz w:val="28"/>
                <w:szCs w:val="28"/>
                <w:highlight w:val="none"/>
              </w:rPr>
              <w:t>条</w:t>
            </w:r>
          </w:p>
        </w:tc>
        <w:tc>
          <w:tcPr>
            <w:tcW w:w="1676" w:type="pct"/>
            <w:vAlign w:val="center"/>
          </w:tcPr>
          <w:p w14:paraId="6BE31BE9">
            <w:pPr>
              <w:keepNext w:val="0"/>
              <w:keepLines w:val="0"/>
              <w:pageBreakBefore w:val="0"/>
              <w:widowControl w:val="0"/>
              <w:kinsoku/>
              <w:wordWrap/>
              <w:overflowPunct w:val="0"/>
              <w:topLinePunct w:val="0"/>
              <w:bidi w:val="0"/>
              <w:spacing w:line="360" w:lineRule="auto"/>
              <w:ind w:firstLine="0" w:firstLineChars="0"/>
              <w:textAlignment w:val="auto"/>
              <w:rPr>
                <w:rFonts w:hint="default" w:ascii="Times New Roman" w:hAnsi="Times New Roman" w:eastAsia="宋体" w:cs="Times New Roman"/>
                <w:sz w:val="28"/>
                <w:szCs w:val="28"/>
                <w:highlight w:val="none"/>
                <w:lang w:val="en-US" w:eastAsia="zh-CN"/>
              </w:rPr>
            </w:pPr>
            <w:r>
              <w:rPr>
                <w:rFonts w:hint="eastAsia" w:ascii="宋体" w:hAnsi="宋体" w:eastAsia="宋体"/>
                <w:b w:val="0"/>
                <w:bCs/>
                <w:sz w:val="28"/>
                <w:szCs w:val="28"/>
                <w:highlight w:val="none"/>
                <w:lang w:val="en-US" w:eastAsia="zh-CN"/>
              </w:rPr>
              <w:t>宏盛绿佳公司提供了特种作业人员管理制度。</w:t>
            </w:r>
          </w:p>
        </w:tc>
      </w:tr>
      <w:tr w14:paraId="115429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343" w:type="pct"/>
            <w:vAlign w:val="center"/>
          </w:tcPr>
          <w:p w14:paraId="05560C66">
            <w:pPr>
              <w:keepNext w:val="0"/>
              <w:keepLines w:val="0"/>
              <w:pageBreakBefore w:val="0"/>
              <w:widowControl w:val="0"/>
              <w:numPr>
                <w:ilvl w:val="0"/>
                <w:numId w:val="2"/>
              </w:numPr>
              <w:tabs>
                <w:tab w:val="left" w:pos="1260"/>
              </w:tabs>
              <w:kinsoku/>
              <w:wordWrap/>
              <w:topLinePunct w:val="0"/>
              <w:bidi w:val="0"/>
              <w:spacing w:line="360" w:lineRule="auto"/>
              <w:ind w:firstLine="17" w:firstLineChars="0"/>
              <w:jc w:val="center"/>
              <w:textAlignment w:val="auto"/>
              <w:rPr>
                <w:rFonts w:ascii="Times New Roman" w:hAnsi="Times New Roman" w:eastAsia="宋体" w:cs="Times New Roman"/>
                <w:sz w:val="28"/>
                <w:szCs w:val="28"/>
                <w:highlight w:val="none"/>
              </w:rPr>
            </w:pPr>
          </w:p>
        </w:tc>
        <w:tc>
          <w:tcPr>
            <w:tcW w:w="2342" w:type="pct"/>
            <w:vAlign w:val="center"/>
          </w:tcPr>
          <w:p w14:paraId="1B69B80E">
            <w:pPr>
              <w:keepNext w:val="0"/>
              <w:keepLines w:val="0"/>
              <w:pageBreakBefore w:val="0"/>
              <w:widowControl w:val="0"/>
              <w:kinsoku/>
              <w:wordWrap/>
              <w:overflowPunct w:val="0"/>
              <w:topLinePunct w:val="0"/>
              <w:bidi w:val="0"/>
              <w:spacing w:line="360" w:lineRule="auto"/>
              <w:ind w:firstLine="0" w:firstLineChars="0"/>
              <w:textAlignment w:val="auto"/>
              <w:rPr>
                <w:rFonts w:hint="eastAsia" w:ascii="Times New Roman" w:hAnsi="Times New Roman" w:eastAsia="宋体" w:cs="Times New Roman"/>
                <w:color w:val="auto"/>
                <w:sz w:val="28"/>
                <w:szCs w:val="28"/>
                <w:highlight w:val="none"/>
              </w:rPr>
            </w:pPr>
            <w:r>
              <w:rPr>
                <w:rFonts w:hint="eastAsia" w:ascii="Times New Roman" w:hAnsi="Times New Roman" w:eastAsia="宋体" w:cs="Times New Roman"/>
                <w:color w:val="auto"/>
                <w:sz w:val="28"/>
                <w:szCs w:val="28"/>
                <w:highlight w:val="none"/>
              </w:rPr>
              <w:t>生产经营单位应当在有较大危险因素的生产经营场所和有关设施、设备上，设置明显的安全警示标志。</w:t>
            </w:r>
          </w:p>
        </w:tc>
        <w:tc>
          <w:tcPr>
            <w:tcW w:w="637" w:type="pct"/>
            <w:vAlign w:val="center"/>
          </w:tcPr>
          <w:p w14:paraId="75FCB38D">
            <w:pPr>
              <w:keepNext w:val="0"/>
              <w:keepLines w:val="0"/>
              <w:pageBreakBefore w:val="0"/>
              <w:widowControl w:val="0"/>
              <w:kinsoku/>
              <w:wordWrap/>
              <w:overflowPunct w:val="0"/>
              <w:topLinePunct w:val="0"/>
              <w:bidi w:val="0"/>
              <w:spacing w:line="360" w:lineRule="auto"/>
              <w:ind w:firstLine="0" w:firstLineChars="0"/>
              <w:jc w:val="center"/>
              <w:textAlignment w:val="auto"/>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《中华人民共和国安全生产法》第</w:t>
            </w:r>
            <w:r>
              <w:rPr>
                <w:rFonts w:hint="eastAsia" w:ascii="Times New Roman" w:hAnsi="Times New Roman" w:eastAsia="宋体" w:cs="Times New Roman"/>
                <w:sz w:val="28"/>
                <w:szCs w:val="28"/>
                <w:highlight w:val="none"/>
              </w:rPr>
              <w:t>三十五</w:t>
            </w:r>
            <w:r>
              <w:rPr>
                <w:rFonts w:ascii="Times New Roman" w:hAnsi="Times New Roman" w:eastAsia="宋体" w:cs="Times New Roman"/>
                <w:sz w:val="28"/>
                <w:szCs w:val="28"/>
                <w:highlight w:val="none"/>
              </w:rPr>
              <w:t>条</w:t>
            </w:r>
          </w:p>
        </w:tc>
        <w:tc>
          <w:tcPr>
            <w:tcW w:w="1676" w:type="pct"/>
            <w:vAlign w:val="center"/>
          </w:tcPr>
          <w:p w14:paraId="7138735F">
            <w:pPr>
              <w:keepNext w:val="0"/>
              <w:keepLines w:val="0"/>
              <w:pageBreakBefore w:val="0"/>
              <w:widowControl w:val="0"/>
              <w:kinsoku/>
              <w:wordWrap/>
              <w:overflowPunct w:val="0"/>
              <w:topLinePunct w:val="0"/>
              <w:bidi w:val="0"/>
              <w:spacing w:line="360" w:lineRule="auto"/>
              <w:ind w:firstLine="0" w:firstLineChars="0"/>
              <w:textAlignment w:val="auto"/>
              <w:rPr>
                <w:rFonts w:hint="default" w:ascii="Times New Roman" w:hAnsi="Times New Roman" w:eastAsia="宋体" w:cs="Times New Roman"/>
                <w:sz w:val="28"/>
                <w:szCs w:val="28"/>
                <w:highlight w:val="none"/>
                <w:lang w:val="en-US" w:eastAsia="zh-CN"/>
              </w:rPr>
            </w:pPr>
            <w:r>
              <w:rPr>
                <w:rFonts w:hint="eastAsia" w:ascii="宋体" w:hAnsi="宋体" w:eastAsia="宋体"/>
                <w:b w:val="0"/>
                <w:bCs/>
                <w:sz w:val="28"/>
                <w:szCs w:val="28"/>
                <w:highlight w:val="none"/>
                <w:lang w:val="en-US" w:eastAsia="zh-CN"/>
              </w:rPr>
              <w:t>宏盛绿佳公司目前从事作业为绿化保洁等，暂不涉及相关要求。</w:t>
            </w:r>
          </w:p>
        </w:tc>
      </w:tr>
      <w:tr w14:paraId="127C12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343" w:type="pct"/>
            <w:vAlign w:val="center"/>
          </w:tcPr>
          <w:p w14:paraId="07D230B4">
            <w:pPr>
              <w:keepNext w:val="0"/>
              <w:keepLines w:val="0"/>
              <w:pageBreakBefore w:val="0"/>
              <w:widowControl w:val="0"/>
              <w:numPr>
                <w:ilvl w:val="0"/>
                <w:numId w:val="2"/>
              </w:numPr>
              <w:tabs>
                <w:tab w:val="left" w:pos="1260"/>
              </w:tabs>
              <w:kinsoku/>
              <w:wordWrap/>
              <w:topLinePunct w:val="0"/>
              <w:bidi w:val="0"/>
              <w:spacing w:line="360" w:lineRule="auto"/>
              <w:ind w:firstLine="17" w:firstLineChars="0"/>
              <w:jc w:val="center"/>
              <w:textAlignment w:val="auto"/>
              <w:rPr>
                <w:rFonts w:ascii="Times New Roman" w:hAnsi="Times New Roman" w:eastAsia="宋体" w:cs="Times New Roman"/>
                <w:sz w:val="28"/>
                <w:szCs w:val="28"/>
                <w:highlight w:val="none"/>
              </w:rPr>
            </w:pPr>
          </w:p>
        </w:tc>
        <w:tc>
          <w:tcPr>
            <w:tcW w:w="2342" w:type="pct"/>
            <w:vAlign w:val="center"/>
          </w:tcPr>
          <w:p w14:paraId="14BE4890">
            <w:pPr>
              <w:keepNext w:val="0"/>
              <w:keepLines w:val="0"/>
              <w:pageBreakBefore w:val="0"/>
              <w:widowControl w:val="0"/>
              <w:kinsoku/>
              <w:wordWrap/>
              <w:overflowPunct w:val="0"/>
              <w:topLinePunct w:val="0"/>
              <w:bidi w:val="0"/>
              <w:spacing w:line="360" w:lineRule="auto"/>
              <w:ind w:firstLine="0" w:firstLineChars="0"/>
              <w:textAlignment w:val="auto"/>
              <w:rPr>
                <w:rFonts w:hint="eastAsia" w:ascii="Times New Roman" w:hAnsi="Times New Roman" w:eastAsia="宋体" w:cs="Times New Roman"/>
                <w:color w:val="auto"/>
                <w:sz w:val="28"/>
                <w:szCs w:val="28"/>
                <w:highlight w:val="none"/>
              </w:rPr>
            </w:pPr>
            <w:r>
              <w:rPr>
                <w:rFonts w:hint="eastAsia" w:ascii="Times New Roman" w:hAnsi="Times New Roman" w:eastAsia="宋体" w:cs="Times New Roman"/>
                <w:color w:val="auto"/>
                <w:sz w:val="28"/>
                <w:szCs w:val="28"/>
                <w:highlight w:val="none"/>
              </w:rPr>
              <w:t>生产经营单位不得关闭、破坏直接关系生产安全的监控、报警、防护、救生设备、设施，或者篡改、隐瞒、销毁其相关数据、信息。</w:t>
            </w:r>
          </w:p>
          <w:p w14:paraId="0A51EE11">
            <w:pPr>
              <w:keepNext w:val="0"/>
              <w:keepLines w:val="0"/>
              <w:pageBreakBefore w:val="0"/>
              <w:widowControl w:val="0"/>
              <w:kinsoku/>
              <w:wordWrap/>
              <w:overflowPunct w:val="0"/>
              <w:topLinePunct w:val="0"/>
              <w:bidi w:val="0"/>
              <w:spacing w:line="360" w:lineRule="auto"/>
              <w:ind w:firstLine="0" w:firstLineChars="0"/>
              <w:textAlignment w:val="auto"/>
              <w:rPr>
                <w:rFonts w:hint="eastAsia" w:ascii="Times New Roman" w:hAnsi="Times New Roman" w:eastAsia="宋体" w:cs="Times New Roman"/>
                <w:sz w:val="28"/>
                <w:szCs w:val="28"/>
                <w:highlight w:val="none"/>
                <w:lang w:eastAsia="zh-CN"/>
              </w:rPr>
            </w:pPr>
            <w:r>
              <w:rPr>
                <w:rFonts w:hint="eastAsia" w:ascii="Times New Roman" w:hAnsi="Times New Roman" w:eastAsia="宋体" w:cs="Times New Roman"/>
                <w:color w:val="auto"/>
                <w:sz w:val="28"/>
                <w:szCs w:val="28"/>
                <w:highlight w:val="none"/>
              </w:rPr>
              <w:t>生产经营单位必须对安全设备进行经常性维护、保养，并定期检测，保证正常运转。维护、保养、检测应当</w:t>
            </w:r>
            <w:r>
              <w:rPr>
                <w:rFonts w:hint="eastAsia" w:ascii="Times New Roman" w:hAnsi="Times New Roman" w:eastAsia="宋体" w:cs="Times New Roman"/>
                <w:color w:val="auto"/>
                <w:sz w:val="28"/>
                <w:szCs w:val="28"/>
                <w:highlight w:val="none"/>
                <w:lang w:eastAsia="zh-CN"/>
              </w:rPr>
              <w:t>做好</w:t>
            </w:r>
            <w:r>
              <w:rPr>
                <w:rFonts w:hint="eastAsia" w:ascii="Times New Roman" w:hAnsi="Times New Roman" w:eastAsia="宋体" w:cs="Times New Roman"/>
                <w:color w:val="auto"/>
                <w:sz w:val="28"/>
                <w:szCs w:val="28"/>
                <w:highlight w:val="none"/>
              </w:rPr>
              <w:t>记录，并由有关人员签字</w:t>
            </w:r>
            <w:r>
              <w:rPr>
                <w:rFonts w:hint="eastAsia" w:ascii="Times New Roman" w:hAnsi="Times New Roman" w:eastAsia="宋体" w:cs="Times New Roman"/>
                <w:color w:val="auto"/>
                <w:sz w:val="28"/>
                <w:szCs w:val="28"/>
                <w:highlight w:val="none"/>
                <w:lang w:eastAsia="zh-CN"/>
              </w:rPr>
              <w:t>。</w:t>
            </w:r>
          </w:p>
        </w:tc>
        <w:tc>
          <w:tcPr>
            <w:tcW w:w="637" w:type="pct"/>
            <w:vAlign w:val="center"/>
          </w:tcPr>
          <w:p w14:paraId="26D64632">
            <w:pPr>
              <w:keepNext w:val="0"/>
              <w:keepLines w:val="0"/>
              <w:pageBreakBefore w:val="0"/>
              <w:widowControl w:val="0"/>
              <w:kinsoku/>
              <w:wordWrap/>
              <w:overflowPunct w:val="0"/>
              <w:topLinePunct w:val="0"/>
              <w:bidi w:val="0"/>
              <w:spacing w:line="360" w:lineRule="auto"/>
              <w:ind w:firstLine="0" w:firstLineChars="0"/>
              <w:jc w:val="center"/>
              <w:textAlignment w:val="auto"/>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《中华人民共和国安全生产法》第</w:t>
            </w:r>
            <w:r>
              <w:rPr>
                <w:rFonts w:hint="eastAsia" w:ascii="Times New Roman" w:hAnsi="Times New Roman" w:eastAsia="宋体" w:cs="Times New Roman"/>
                <w:sz w:val="28"/>
                <w:szCs w:val="28"/>
                <w:highlight w:val="none"/>
              </w:rPr>
              <w:t>三十六</w:t>
            </w:r>
            <w:r>
              <w:rPr>
                <w:rFonts w:ascii="Times New Roman" w:hAnsi="Times New Roman" w:eastAsia="宋体" w:cs="Times New Roman"/>
                <w:sz w:val="28"/>
                <w:szCs w:val="28"/>
                <w:highlight w:val="none"/>
              </w:rPr>
              <w:t>条</w:t>
            </w:r>
          </w:p>
        </w:tc>
        <w:tc>
          <w:tcPr>
            <w:tcW w:w="1676" w:type="pct"/>
            <w:vAlign w:val="center"/>
          </w:tcPr>
          <w:p w14:paraId="57E272D1">
            <w:pPr>
              <w:keepNext w:val="0"/>
              <w:keepLines w:val="0"/>
              <w:pageBreakBefore w:val="0"/>
              <w:widowControl w:val="0"/>
              <w:kinsoku/>
              <w:wordWrap/>
              <w:overflowPunct w:val="0"/>
              <w:topLinePunct w:val="0"/>
              <w:bidi w:val="0"/>
              <w:spacing w:line="360" w:lineRule="auto"/>
              <w:ind w:firstLine="0" w:firstLineChars="0"/>
              <w:textAlignment w:val="auto"/>
              <w:rPr>
                <w:rFonts w:hint="default" w:ascii="Times New Roman" w:hAnsi="Times New Roman" w:eastAsia="宋体" w:cs="Times New Roman"/>
                <w:sz w:val="28"/>
                <w:szCs w:val="28"/>
                <w:highlight w:val="none"/>
                <w:lang w:val="en-US"/>
              </w:rPr>
            </w:pPr>
            <w:r>
              <w:rPr>
                <w:rFonts w:hint="eastAsia" w:ascii="宋体" w:hAnsi="宋体" w:eastAsia="宋体"/>
                <w:b w:val="0"/>
                <w:bCs/>
                <w:sz w:val="28"/>
                <w:szCs w:val="28"/>
                <w:highlight w:val="none"/>
                <w:lang w:val="en-US" w:eastAsia="zh-CN"/>
              </w:rPr>
              <w:t>宏盛绿佳公司目前从事作业为绿化保洁等，暂不涉及相关要求。</w:t>
            </w:r>
          </w:p>
        </w:tc>
      </w:tr>
      <w:tr w14:paraId="7F95C6D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343" w:type="pct"/>
            <w:vAlign w:val="center"/>
          </w:tcPr>
          <w:p w14:paraId="6F8FC43C">
            <w:pPr>
              <w:keepNext w:val="0"/>
              <w:keepLines w:val="0"/>
              <w:pageBreakBefore w:val="0"/>
              <w:widowControl w:val="0"/>
              <w:numPr>
                <w:ilvl w:val="0"/>
                <w:numId w:val="2"/>
              </w:numPr>
              <w:tabs>
                <w:tab w:val="left" w:pos="1260"/>
              </w:tabs>
              <w:kinsoku/>
              <w:wordWrap/>
              <w:topLinePunct w:val="0"/>
              <w:bidi w:val="0"/>
              <w:spacing w:line="360" w:lineRule="auto"/>
              <w:ind w:firstLine="17" w:firstLineChars="0"/>
              <w:jc w:val="center"/>
              <w:textAlignment w:val="auto"/>
              <w:rPr>
                <w:rFonts w:ascii="Times New Roman" w:hAnsi="Times New Roman" w:eastAsia="宋体" w:cs="Times New Roman"/>
                <w:sz w:val="28"/>
                <w:szCs w:val="28"/>
                <w:highlight w:val="none"/>
              </w:rPr>
            </w:pPr>
          </w:p>
        </w:tc>
        <w:tc>
          <w:tcPr>
            <w:tcW w:w="2342" w:type="pct"/>
            <w:vAlign w:val="center"/>
          </w:tcPr>
          <w:p w14:paraId="256B9728">
            <w:pPr>
              <w:keepNext w:val="0"/>
              <w:keepLines w:val="0"/>
              <w:pageBreakBefore w:val="0"/>
              <w:widowControl w:val="0"/>
              <w:kinsoku/>
              <w:wordWrap/>
              <w:overflowPunct w:val="0"/>
              <w:topLinePunct w:val="0"/>
              <w:bidi w:val="0"/>
              <w:spacing w:line="360" w:lineRule="auto"/>
              <w:ind w:firstLine="0" w:firstLineChars="0"/>
              <w:textAlignment w:val="auto"/>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生产经营单位应当建立安全风险分级管控制度，按照安全风险分级采取相应的管控措施。</w:t>
            </w:r>
          </w:p>
          <w:p w14:paraId="47B8AB2D">
            <w:pPr>
              <w:keepNext w:val="0"/>
              <w:keepLines w:val="0"/>
              <w:pageBreakBefore w:val="0"/>
              <w:widowControl w:val="0"/>
              <w:kinsoku/>
              <w:wordWrap/>
              <w:overflowPunct w:val="0"/>
              <w:topLinePunct w:val="0"/>
              <w:bidi w:val="0"/>
              <w:spacing w:line="360" w:lineRule="auto"/>
              <w:ind w:firstLine="0" w:firstLineChars="0"/>
              <w:textAlignment w:val="auto"/>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生产经营单位应当建立健全并落实生产安全事故隐患排查治理制度，采取技术、管理措施，及时发现并消除事故隐患。</w:t>
            </w:r>
            <w:r>
              <w:rPr>
                <w:rFonts w:hint="eastAsia" w:ascii="Times New Roman" w:hAnsi="Times New Roman" w:eastAsia="宋体" w:cs="Times New Roman"/>
                <w:sz w:val="28"/>
                <w:szCs w:val="28"/>
                <w:highlight w:val="none"/>
              </w:rPr>
              <w:t>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tc>
        <w:tc>
          <w:tcPr>
            <w:tcW w:w="637" w:type="pct"/>
            <w:vAlign w:val="center"/>
          </w:tcPr>
          <w:p w14:paraId="2B9166F6">
            <w:pPr>
              <w:keepNext w:val="0"/>
              <w:keepLines w:val="0"/>
              <w:pageBreakBefore w:val="0"/>
              <w:widowControl w:val="0"/>
              <w:kinsoku/>
              <w:wordWrap/>
              <w:overflowPunct w:val="0"/>
              <w:topLinePunct w:val="0"/>
              <w:bidi w:val="0"/>
              <w:spacing w:line="360" w:lineRule="auto"/>
              <w:ind w:firstLine="0" w:firstLineChars="0"/>
              <w:jc w:val="center"/>
              <w:textAlignment w:val="auto"/>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《中华人民共和国安全生产法》第四十一条</w:t>
            </w:r>
          </w:p>
        </w:tc>
        <w:tc>
          <w:tcPr>
            <w:tcW w:w="1676" w:type="pct"/>
            <w:vAlign w:val="center"/>
          </w:tcPr>
          <w:p w14:paraId="30AD87A4">
            <w:pPr>
              <w:keepNext w:val="0"/>
              <w:keepLines w:val="0"/>
              <w:pageBreakBefore w:val="0"/>
              <w:widowControl w:val="0"/>
              <w:kinsoku/>
              <w:wordWrap/>
              <w:topLinePunct w:val="0"/>
              <w:bidi w:val="0"/>
              <w:snapToGrid w:val="0"/>
              <w:spacing w:line="360" w:lineRule="auto"/>
              <w:ind w:left="0" w:leftChars="0" w:firstLine="0" w:firstLineChars="0"/>
              <w:textAlignment w:val="auto"/>
              <w:rPr>
                <w:rFonts w:ascii="Times New Roman" w:hAnsi="Times New Roman" w:eastAsia="宋体" w:cs="Times New Roman"/>
                <w:sz w:val="28"/>
                <w:szCs w:val="28"/>
                <w:highlight w:val="none"/>
              </w:rPr>
            </w:pPr>
            <w:r>
              <w:rPr>
                <w:rFonts w:hint="eastAsia" w:ascii="宋体" w:hAnsi="宋体" w:eastAsia="宋体"/>
                <w:b w:val="0"/>
                <w:bCs/>
                <w:sz w:val="28"/>
                <w:szCs w:val="28"/>
                <w:highlight w:val="none"/>
                <w:lang w:val="en-US" w:eastAsia="zh-CN"/>
              </w:rPr>
              <w:t>宏盛绿佳公司</w:t>
            </w:r>
            <w:r>
              <w:rPr>
                <w:rFonts w:ascii="Times New Roman" w:hAnsi="Times New Roman" w:eastAsia="宋体" w:cs="Times New Roman"/>
                <w:sz w:val="28"/>
                <w:szCs w:val="28"/>
                <w:highlight w:val="none"/>
              </w:rPr>
              <w:t>提供了</w:t>
            </w:r>
            <w:r>
              <w:rPr>
                <w:rFonts w:hint="eastAsia" w:ascii="Times New Roman" w:hAnsi="Times New Roman" w:eastAsia="宋体" w:cs="Times New Roman"/>
                <w:sz w:val="28"/>
                <w:szCs w:val="28"/>
                <w:highlight w:val="none"/>
                <w:lang w:val="en-US" w:eastAsia="zh-CN"/>
              </w:rPr>
              <w:t>隐患排查登记表等文件</w:t>
            </w:r>
            <w:r>
              <w:rPr>
                <w:rFonts w:hint="eastAsia" w:ascii="Times New Roman" w:hAnsi="Times New Roman" w:eastAsia="宋体" w:cs="Times New Roman"/>
                <w:sz w:val="28"/>
                <w:szCs w:val="28"/>
                <w:highlight w:val="none"/>
                <w:lang w:eastAsia="zh-CN"/>
              </w:rPr>
              <w:t>，</w:t>
            </w:r>
            <w:r>
              <w:rPr>
                <w:rFonts w:hint="eastAsia" w:ascii="Times New Roman" w:hAnsi="Times New Roman" w:eastAsia="宋体" w:cs="Times New Roman"/>
                <w:sz w:val="28"/>
                <w:szCs w:val="28"/>
                <w:highlight w:val="none"/>
                <w:lang w:val="en-US" w:eastAsia="zh-CN"/>
              </w:rPr>
              <w:t>但未见风险评估专项制度及公示信息</w:t>
            </w:r>
            <w:r>
              <w:rPr>
                <w:rFonts w:ascii="Times New Roman" w:hAnsi="Times New Roman" w:eastAsia="宋体" w:cs="Times New Roman"/>
                <w:sz w:val="28"/>
                <w:szCs w:val="28"/>
                <w:highlight w:val="none"/>
              </w:rPr>
              <w:t>。</w:t>
            </w:r>
          </w:p>
        </w:tc>
      </w:tr>
      <w:tr w14:paraId="16A6969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343" w:type="pct"/>
            <w:vAlign w:val="center"/>
          </w:tcPr>
          <w:p w14:paraId="6AF4193E">
            <w:pPr>
              <w:keepNext w:val="0"/>
              <w:keepLines w:val="0"/>
              <w:pageBreakBefore w:val="0"/>
              <w:widowControl w:val="0"/>
              <w:numPr>
                <w:ilvl w:val="0"/>
                <w:numId w:val="2"/>
              </w:numPr>
              <w:tabs>
                <w:tab w:val="left" w:pos="1260"/>
              </w:tabs>
              <w:kinsoku/>
              <w:wordWrap/>
              <w:topLinePunct w:val="0"/>
              <w:bidi w:val="0"/>
              <w:spacing w:line="360" w:lineRule="auto"/>
              <w:ind w:firstLine="17" w:firstLineChars="0"/>
              <w:jc w:val="center"/>
              <w:textAlignment w:val="auto"/>
              <w:rPr>
                <w:rFonts w:ascii="Times New Roman" w:hAnsi="Times New Roman" w:eastAsia="宋体" w:cs="Times New Roman"/>
                <w:color w:val="auto"/>
                <w:sz w:val="28"/>
                <w:szCs w:val="28"/>
                <w:highlight w:val="none"/>
              </w:rPr>
            </w:pPr>
          </w:p>
        </w:tc>
        <w:tc>
          <w:tcPr>
            <w:tcW w:w="2342" w:type="pct"/>
            <w:vAlign w:val="center"/>
          </w:tcPr>
          <w:p w14:paraId="36FD70AA">
            <w:pPr>
              <w:keepNext w:val="0"/>
              <w:keepLines w:val="0"/>
              <w:pageBreakBefore w:val="0"/>
              <w:widowControl w:val="0"/>
              <w:kinsoku/>
              <w:wordWrap/>
              <w:overflowPunct w:val="0"/>
              <w:topLinePunct w:val="0"/>
              <w:bidi w:val="0"/>
              <w:spacing w:line="360" w:lineRule="auto"/>
              <w:ind w:firstLine="0" w:firstLineChars="0"/>
              <w:textAlignment w:val="auto"/>
              <w:rPr>
                <w:rFonts w:ascii="Times New Roman" w:hAnsi="Times New Roman" w:eastAsia="宋体" w:cs="Times New Roman"/>
                <w:color w:val="auto"/>
                <w:sz w:val="28"/>
                <w:szCs w:val="28"/>
                <w:highlight w:val="none"/>
              </w:rPr>
            </w:pPr>
            <w:r>
              <w:rPr>
                <w:rFonts w:hint="eastAsia" w:ascii="Times New Roman" w:hAnsi="Times New Roman" w:eastAsia="宋体" w:cs="Times New Roman"/>
                <w:color w:val="auto"/>
                <w:sz w:val="28"/>
                <w:szCs w:val="28"/>
                <w:highlight w:val="none"/>
              </w:rPr>
              <w:t>生产经营单位进行爆破、吊装、动火、临时用电以及国务院应急管理部门会同国务院有关部门规定的其他危险作业，应当安排专门人员进行现场安全管理，确保操作规程的遵守和安全措施的落实。</w:t>
            </w:r>
          </w:p>
        </w:tc>
        <w:tc>
          <w:tcPr>
            <w:tcW w:w="637" w:type="pct"/>
            <w:vAlign w:val="center"/>
          </w:tcPr>
          <w:p w14:paraId="49D6FA0D">
            <w:pPr>
              <w:keepNext w:val="0"/>
              <w:keepLines w:val="0"/>
              <w:pageBreakBefore w:val="0"/>
              <w:widowControl w:val="0"/>
              <w:kinsoku/>
              <w:wordWrap/>
              <w:overflowPunct w:val="0"/>
              <w:topLinePunct w:val="0"/>
              <w:bidi w:val="0"/>
              <w:spacing w:line="360" w:lineRule="auto"/>
              <w:ind w:firstLine="0" w:firstLineChars="0"/>
              <w:jc w:val="center"/>
              <w:textAlignment w:val="auto"/>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《中华人民共和国安全生产法》第四十</w:t>
            </w:r>
            <w:r>
              <w:rPr>
                <w:rFonts w:hint="eastAsia" w:ascii="Times New Roman" w:hAnsi="Times New Roman" w:eastAsia="宋体" w:cs="Times New Roman"/>
                <w:color w:val="auto"/>
                <w:sz w:val="28"/>
                <w:szCs w:val="28"/>
                <w:highlight w:val="none"/>
              </w:rPr>
              <w:t>三</w:t>
            </w:r>
            <w:r>
              <w:rPr>
                <w:rFonts w:ascii="Times New Roman" w:hAnsi="Times New Roman" w:eastAsia="宋体" w:cs="Times New Roman"/>
                <w:color w:val="auto"/>
                <w:sz w:val="28"/>
                <w:szCs w:val="28"/>
                <w:highlight w:val="none"/>
              </w:rPr>
              <w:t>条</w:t>
            </w:r>
          </w:p>
        </w:tc>
        <w:tc>
          <w:tcPr>
            <w:tcW w:w="1676" w:type="pct"/>
            <w:vAlign w:val="center"/>
          </w:tcPr>
          <w:p w14:paraId="725A4B29">
            <w:pPr>
              <w:keepNext w:val="0"/>
              <w:keepLines w:val="0"/>
              <w:pageBreakBefore w:val="0"/>
              <w:widowControl w:val="0"/>
              <w:kinsoku/>
              <w:wordWrap/>
              <w:overflowPunct w:val="0"/>
              <w:topLinePunct w:val="0"/>
              <w:bidi w:val="0"/>
              <w:spacing w:line="360" w:lineRule="auto"/>
              <w:ind w:firstLine="0" w:firstLineChars="0"/>
              <w:textAlignment w:val="auto"/>
              <w:rPr>
                <w:rFonts w:hint="default" w:ascii="Times New Roman" w:hAnsi="Times New Roman" w:eastAsia="宋体" w:cs="Times New Roman"/>
                <w:color w:val="auto"/>
                <w:sz w:val="28"/>
                <w:szCs w:val="28"/>
                <w:highlight w:val="none"/>
                <w:lang w:val="en-US" w:eastAsia="zh-CN"/>
              </w:rPr>
            </w:pPr>
            <w:r>
              <w:rPr>
                <w:rFonts w:hint="eastAsia" w:ascii="宋体" w:hAnsi="宋体" w:eastAsia="宋体"/>
                <w:b w:val="0"/>
                <w:bCs/>
                <w:sz w:val="28"/>
                <w:szCs w:val="28"/>
                <w:highlight w:val="none"/>
                <w:lang w:val="en-US" w:eastAsia="zh-CN"/>
              </w:rPr>
              <w:t>宏盛绿佳公司</w:t>
            </w:r>
            <w:r>
              <w:rPr>
                <w:rFonts w:hint="eastAsia" w:ascii="Times New Roman" w:hAnsi="Times New Roman" w:eastAsia="宋体" w:cs="Times New Roman"/>
                <w:sz w:val="28"/>
                <w:szCs w:val="28"/>
                <w:highlight w:val="none"/>
                <w:lang w:val="en-US" w:eastAsia="zh-CN"/>
              </w:rPr>
              <w:t>未单独制定动火等危险作业制度，目前暂不涉及相关业务。</w:t>
            </w:r>
          </w:p>
        </w:tc>
      </w:tr>
      <w:tr w14:paraId="326199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343" w:type="pct"/>
            <w:vAlign w:val="center"/>
          </w:tcPr>
          <w:p w14:paraId="6772ADBD">
            <w:pPr>
              <w:keepNext w:val="0"/>
              <w:keepLines w:val="0"/>
              <w:pageBreakBefore w:val="0"/>
              <w:widowControl w:val="0"/>
              <w:numPr>
                <w:ilvl w:val="0"/>
                <w:numId w:val="2"/>
              </w:numPr>
              <w:tabs>
                <w:tab w:val="left" w:pos="1260"/>
              </w:tabs>
              <w:kinsoku/>
              <w:wordWrap/>
              <w:topLinePunct w:val="0"/>
              <w:bidi w:val="0"/>
              <w:spacing w:line="360" w:lineRule="auto"/>
              <w:ind w:firstLine="17" w:firstLineChars="0"/>
              <w:jc w:val="center"/>
              <w:textAlignment w:val="auto"/>
              <w:rPr>
                <w:rFonts w:ascii="Times New Roman" w:hAnsi="Times New Roman" w:eastAsia="宋体" w:cs="Times New Roman"/>
                <w:sz w:val="28"/>
                <w:szCs w:val="28"/>
                <w:highlight w:val="none"/>
              </w:rPr>
            </w:pPr>
          </w:p>
        </w:tc>
        <w:tc>
          <w:tcPr>
            <w:tcW w:w="2342" w:type="pct"/>
            <w:vAlign w:val="center"/>
          </w:tcPr>
          <w:p w14:paraId="6D96DE19">
            <w:pPr>
              <w:keepNext w:val="0"/>
              <w:keepLines w:val="0"/>
              <w:pageBreakBefore w:val="0"/>
              <w:widowControl w:val="0"/>
              <w:kinsoku/>
              <w:wordWrap/>
              <w:overflowPunct w:val="0"/>
              <w:topLinePunct w:val="0"/>
              <w:bidi w:val="0"/>
              <w:spacing w:line="360" w:lineRule="auto"/>
              <w:ind w:firstLine="0" w:firstLineChars="0"/>
              <w:textAlignment w:val="auto"/>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生产经营单位应当教育和督促从业人员严格执行本单位的安全生产规章制度和安全操作规程；并向从业人员如实告知作业场所和工作岗位存在的危险因素、防范措施以及事故应急措施。</w:t>
            </w:r>
          </w:p>
        </w:tc>
        <w:tc>
          <w:tcPr>
            <w:tcW w:w="637" w:type="pct"/>
            <w:vAlign w:val="center"/>
          </w:tcPr>
          <w:p w14:paraId="6066D0C2">
            <w:pPr>
              <w:keepNext w:val="0"/>
              <w:keepLines w:val="0"/>
              <w:pageBreakBefore w:val="0"/>
              <w:widowControl w:val="0"/>
              <w:kinsoku/>
              <w:wordWrap/>
              <w:overflowPunct w:val="0"/>
              <w:topLinePunct w:val="0"/>
              <w:bidi w:val="0"/>
              <w:spacing w:line="360" w:lineRule="auto"/>
              <w:ind w:firstLine="0" w:firstLineChars="0"/>
              <w:jc w:val="center"/>
              <w:textAlignment w:val="auto"/>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《中华人民共和国安全生产法》第四十四条</w:t>
            </w:r>
          </w:p>
        </w:tc>
        <w:tc>
          <w:tcPr>
            <w:tcW w:w="4675" w:type="dxa"/>
            <w:vAlign w:val="center"/>
          </w:tcPr>
          <w:p w14:paraId="4D643D96">
            <w:pPr>
              <w:keepNext w:val="0"/>
              <w:keepLines w:val="0"/>
              <w:pageBreakBefore w:val="0"/>
              <w:widowControl w:val="0"/>
              <w:kinsoku/>
              <w:wordWrap/>
              <w:topLinePunct w:val="0"/>
              <w:bidi w:val="0"/>
              <w:snapToGrid w:val="0"/>
              <w:spacing w:line="360" w:lineRule="auto"/>
              <w:ind w:left="0" w:leftChars="0" w:firstLine="0" w:firstLineChars="0"/>
              <w:textAlignment w:val="auto"/>
              <w:rPr>
                <w:rFonts w:ascii="Times New Roman" w:hAnsi="Times New Roman" w:eastAsia="宋体" w:cs="Times New Roman"/>
                <w:sz w:val="28"/>
                <w:szCs w:val="28"/>
                <w:highlight w:val="none"/>
              </w:rPr>
            </w:pPr>
            <w:r>
              <w:rPr>
                <w:rFonts w:hint="eastAsia" w:ascii="宋体" w:hAnsi="宋体" w:eastAsia="宋体"/>
                <w:b w:val="0"/>
                <w:bCs/>
                <w:sz w:val="28"/>
                <w:szCs w:val="28"/>
                <w:highlight w:val="none"/>
                <w:lang w:val="en-US" w:eastAsia="zh-CN"/>
              </w:rPr>
              <w:t>宏盛绿佳公司</w:t>
            </w:r>
            <w:r>
              <w:rPr>
                <w:rFonts w:ascii="Times New Roman" w:hAnsi="Times New Roman" w:eastAsia="宋体" w:cs="Times New Roman"/>
                <w:sz w:val="28"/>
                <w:szCs w:val="28"/>
                <w:highlight w:val="none"/>
              </w:rPr>
              <w:t>提供了</w:t>
            </w:r>
            <w:r>
              <w:rPr>
                <w:rFonts w:hint="eastAsia" w:ascii="Times New Roman" w:hAnsi="Times New Roman" w:eastAsia="宋体" w:cs="Times New Roman"/>
                <w:sz w:val="28"/>
                <w:szCs w:val="28"/>
                <w:highlight w:val="none"/>
              </w:rPr>
              <w:t>安全生产规章制度及操作规程、</w:t>
            </w:r>
            <w:r>
              <w:rPr>
                <w:rFonts w:hint="eastAsia" w:ascii="Times New Roman" w:hAnsi="Times New Roman" w:eastAsia="宋体" w:cs="Times New Roman"/>
                <w:sz w:val="28"/>
                <w:szCs w:val="28"/>
                <w:highlight w:val="none"/>
                <w:lang w:val="en-US" w:eastAsia="zh-CN"/>
              </w:rPr>
              <w:t>安全生产责任书、生产安全事故应急救援预案及安全培训记录等文件，</w:t>
            </w:r>
            <w:r>
              <w:rPr>
                <w:rFonts w:ascii="Times New Roman" w:hAnsi="Times New Roman" w:eastAsia="宋体" w:cs="Times New Roman"/>
                <w:sz w:val="28"/>
                <w:szCs w:val="28"/>
                <w:highlight w:val="none"/>
              </w:rPr>
              <w:t>表明该企业基本落实了相关要求。</w:t>
            </w:r>
          </w:p>
        </w:tc>
      </w:tr>
      <w:tr w14:paraId="61891AC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343" w:type="pct"/>
            <w:vAlign w:val="center"/>
          </w:tcPr>
          <w:p w14:paraId="1A0C08DF">
            <w:pPr>
              <w:keepNext w:val="0"/>
              <w:keepLines w:val="0"/>
              <w:pageBreakBefore w:val="0"/>
              <w:widowControl w:val="0"/>
              <w:numPr>
                <w:ilvl w:val="0"/>
                <w:numId w:val="2"/>
              </w:numPr>
              <w:tabs>
                <w:tab w:val="left" w:pos="1260"/>
              </w:tabs>
              <w:kinsoku/>
              <w:wordWrap/>
              <w:topLinePunct w:val="0"/>
              <w:bidi w:val="0"/>
              <w:spacing w:line="360" w:lineRule="auto"/>
              <w:ind w:firstLine="17" w:firstLineChars="0"/>
              <w:jc w:val="center"/>
              <w:textAlignment w:val="auto"/>
              <w:rPr>
                <w:rFonts w:ascii="Times New Roman" w:hAnsi="Times New Roman" w:eastAsia="宋体" w:cs="Times New Roman"/>
                <w:sz w:val="28"/>
                <w:szCs w:val="28"/>
                <w:highlight w:val="none"/>
              </w:rPr>
            </w:pPr>
          </w:p>
        </w:tc>
        <w:tc>
          <w:tcPr>
            <w:tcW w:w="2342" w:type="pct"/>
            <w:vAlign w:val="center"/>
          </w:tcPr>
          <w:p w14:paraId="397780ED">
            <w:pPr>
              <w:keepNext w:val="0"/>
              <w:keepLines w:val="0"/>
              <w:pageBreakBefore w:val="0"/>
              <w:widowControl w:val="0"/>
              <w:kinsoku/>
              <w:wordWrap/>
              <w:overflowPunct w:val="0"/>
              <w:topLinePunct w:val="0"/>
              <w:bidi w:val="0"/>
              <w:spacing w:line="360" w:lineRule="auto"/>
              <w:ind w:firstLine="0" w:firstLineChars="0"/>
              <w:textAlignment w:val="auto"/>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生产经营单位必须为从业人员提供符合国家标准或者行业标准的劳动防护用品，并监督、教育从业人员按照使用规则佩戴、使用。</w:t>
            </w:r>
          </w:p>
        </w:tc>
        <w:tc>
          <w:tcPr>
            <w:tcW w:w="637" w:type="pct"/>
            <w:vAlign w:val="center"/>
          </w:tcPr>
          <w:p w14:paraId="2D81D373">
            <w:pPr>
              <w:keepNext w:val="0"/>
              <w:keepLines w:val="0"/>
              <w:pageBreakBefore w:val="0"/>
              <w:widowControl w:val="0"/>
              <w:kinsoku/>
              <w:wordWrap/>
              <w:overflowPunct w:val="0"/>
              <w:topLinePunct w:val="0"/>
              <w:bidi w:val="0"/>
              <w:spacing w:line="360" w:lineRule="auto"/>
              <w:ind w:firstLine="0" w:firstLineChars="0"/>
              <w:jc w:val="center"/>
              <w:textAlignment w:val="auto"/>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《中华人民共和国安全生产法》第四十五条</w:t>
            </w:r>
          </w:p>
        </w:tc>
        <w:tc>
          <w:tcPr>
            <w:tcW w:w="1676" w:type="pct"/>
            <w:vAlign w:val="center"/>
          </w:tcPr>
          <w:p w14:paraId="6B662F78">
            <w:pPr>
              <w:keepNext w:val="0"/>
              <w:keepLines w:val="0"/>
              <w:pageBreakBefore w:val="0"/>
              <w:widowControl w:val="0"/>
              <w:kinsoku/>
              <w:wordWrap/>
              <w:overflowPunct w:val="0"/>
              <w:topLinePunct w:val="0"/>
              <w:bidi w:val="0"/>
              <w:spacing w:line="360" w:lineRule="auto"/>
              <w:ind w:firstLine="0" w:firstLineChars="0"/>
              <w:textAlignment w:val="auto"/>
              <w:rPr>
                <w:rFonts w:ascii="Times New Roman" w:hAnsi="Times New Roman" w:eastAsia="宋体" w:cs="Times New Roman"/>
                <w:sz w:val="28"/>
                <w:szCs w:val="28"/>
                <w:highlight w:val="none"/>
              </w:rPr>
            </w:pPr>
            <w:r>
              <w:rPr>
                <w:rFonts w:hint="eastAsia" w:ascii="宋体" w:hAnsi="宋体" w:eastAsia="宋体"/>
                <w:b w:val="0"/>
                <w:bCs/>
                <w:sz w:val="28"/>
                <w:szCs w:val="28"/>
                <w:highlight w:val="none"/>
                <w:lang w:val="en-US" w:eastAsia="zh-CN"/>
              </w:rPr>
              <w:t>宏盛绿佳公司提供了劳动用品发放记录、培训记录等文件，</w:t>
            </w:r>
            <w:r>
              <w:rPr>
                <w:rFonts w:ascii="Times New Roman" w:hAnsi="Times New Roman" w:eastAsia="宋体" w:cs="Times New Roman"/>
                <w:sz w:val="28"/>
                <w:szCs w:val="28"/>
                <w:highlight w:val="none"/>
              </w:rPr>
              <w:t>表明该企业基本落实了相关要求。</w:t>
            </w:r>
          </w:p>
        </w:tc>
      </w:tr>
      <w:tr w14:paraId="5FEBE9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343" w:type="pct"/>
            <w:vAlign w:val="center"/>
          </w:tcPr>
          <w:p w14:paraId="77126334">
            <w:pPr>
              <w:keepNext w:val="0"/>
              <w:keepLines w:val="0"/>
              <w:pageBreakBefore w:val="0"/>
              <w:widowControl w:val="0"/>
              <w:numPr>
                <w:ilvl w:val="0"/>
                <w:numId w:val="2"/>
              </w:numPr>
              <w:tabs>
                <w:tab w:val="left" w:pos="1260"/>
              </w:tabs>
              <w:kinsoku/>
              <w:wordWrap/>
              <w:topLinePunct w:val="0"/>
              <w:bidi w:val="0"/>
              <w:spacing w:line="360" w:lineRule="auto"/>
              <w:ind w:firstLine="17" w:firstLineChars="0"/>
              <w:jc w:val="center"/>
              <w:textAlignment w:val="auto"/>
              <w:rPr>
                <w:rFonts w:ascii="Times New Roman" w:hAnsi="Times New Roman" w:eastAsia="宋体" w:cs="Times New Roman"/>
                <w:sz w:val="28"/>
                <w:szCs w:val="28"/>
                <w:highlight w:val="none"/>
              </w:rPr>
            </w:pPr>
          </w:p>
        </w:tc>
        <w:tc>
          <w:tcPr>
            <w:tcW w:w="2342" w:type="pct"/>
            <w:vAlign w:val="center"/>
          </w:tcPr>
          <w:p w14:paraId="39E454DF">
            <w:pPr>
              <w:keepNext w:val="0"/>
              <w:keepLines w:val="0"/>
              <w:pageBreakBefore w:val="0"/>
              <w:widowControl w:val="0"/>
              <w:kinsoku/>
              <w:wordWrap/>
              <w:overflowPunct w:val="0"/>
              <w:topLinePunct w:val="0"/>
              <w:bidi w:val="0"/>
              <w:spacing w:line="360" w:lineRule="auto"/>
              <w:ind w:firstLine="0" w:firstLineChars="0"/>
              <w:textAlignment w:val="auto"/>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生产经营单位的安全生产管理人员应当根据本单位的生产经营特点，对安全生产状况进行经常性检查；对检查中发现的安全问题，应当立即处理；不能处理的，应当及时报告本单位有关负责人，有关负责人应当及时处理。检查及处理情况应当如实记录在案。</w:t>
            </w:r>
          </w:p>
        </w:tc>
        <w:tc>
          <w:tcPr>
            <w:tcW w:w="637" w:type="pct"/>
            <w:vAlign w:val="center"/>
          </w:tcPr>
          <w:p w14:paraId="47FA3EF2">
            <w:pPr>
              <w:keepNext w:val="0"/>
              <w:keepLines w:val="0"/>
              <w:pageBreakBefore w:val="0"/>
              <w:widowControl w:val="0"/>
              <w:kinsoku/>
              <w:wordWrap/>
              <w:overflowPunct w:val="0"/>
              <w:topLinePunct w:val="0"/>
              <w:bidi w:val="0"/>
              <w:spacing w:line="360" w:lineRule="auto"/>
              <w:ind w:firstLine="0" w:firstLineChars="0"/>
              <w:jc w:val="center"/>
              <w:textAlignment w:val="auto"/>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《中华人民共和国安全生产法》第四十六条</w:t>
            </w:r>
          </w:p>
        </w:tc>
        <w:tc>
          <w:tcPr>
            <w:tcW w:w="1676" w:type="pct"/>
            <w:vAlign w:val="center"/>
          </w:tcPr>
          <w:p w14:paraId="154EB94F">
            <w:pPr>
              <w:keepNext w:val="0"/>
              <w:keepLines w:val="0"/>
              <w:pageBreakBefore w:val="0"/>
              <w:widowControl w:val="0"/>
              <w:kinsoku/>
              <w:wordWrap/>
              <w:overflowPunct w:val="0"/>
              <w:topLinePunct w:val="0"/>
              <w:bidi w:val="0"/>
              <w:spacing w:line="360" w:lineRule="auto"/>
              <w:ind w:firstLine="0" w:firstLineChars="0"/>
              <w:textAlignment w:val="auto"/>
              <w:rPr>
                <w:rFonts w:ascii="Times New Roman" w:hAnsi="Times New Roman" w:eastAsia="宋体" w:cs="Times New Roman"/>
                <w:kern w:val="2"/>
                <w:sz w:val="28"/>
                <w:szCs w:val="28"/>
                <w:highlight w:val="none"/>
                <w:lang w:val="en-US" w:eastAsia="zh-CN" w:bidi="ar-SA"/>
              </w:rPr>
            </w:pPr>
            <w:r>
              <w:rPr>
                <w:rFonts w:hint="eastAsia" w:ascii="宋体" w:hAnsi="宋体" w:eastAsia="宋体"/>
                <w:b w:val="0"/>
                <w:bCs/>
                <w:sz w:val="28"/>
                <w:szCs w:val="28"/>
                <w:highlight w:val="none"/>
                <w:lang w:val="en-US" w:eastAsia="zh-CN"/>
              </w:rPr>
              <w:t>宏盛绿佳公司</w:t>
            </w:r>
            <w:r>
              <w:rPr>
                <w:rFonts w:ascii="Times New Roman" w:hAnsi="Times New Roman" w:eastAsia="宋体" w:cs="Times New Roman"/>
                <w:sz w:val="28"/>
                <w:szCs w:val="28"/>
                <w:highlight w:val="none"/>
              </w:rPr>
              <w:t>提供了</w:t>
            </w:r>
            <w:r>
              <w:rPr>
                <w:rFonts w:hint="eastAsia" w:ascii="Times New Roman" w:hAnsi="Times New Roman" w:eastAsia="宋体" w:cs="Times New Roman"/>
                <w:sz w:val="28"/>
                <w:szCs w:val="28"/>
                <w:highlight w:val="none"/>
              </w:rPr>
              <w:t>安全生产规章制度及操作规程、</w:t>
            </w:r>
            <w:r>
              <w:rPr>
                <w:rFonts w:hint="eastAsia" w:ascii="Times New Roman" w:hAnsi="Times New Roman" w:eastAsia="宋体" w:cs="Times New Roman"/>
                <w:sz w:val="28"/>
                <w:szCs w:val="28"/>
                <w:highlight w:val="none"/>
                <w:lang w:val="en-US" w:eastAsia="zh-CN"/>
              </w:rPr>
              <w:t>隐患排查登记表等文件</w:t>
            </w:r>
            <w:r>
              <w:rPr>
                <w:rFonts w:ascii="Times New Roman" w:hAnsi="Times New Roman" w:eastAsia="宋体" w:cs="Times New Roman"/>
                <w:sz w:val="28"/>
                <w:szCs w:val="28"/>
                <w:highlight w:val="none"/>
              </w:rPr>
              <w:t>，表明该企业基本落实了相关要求。</w:t>
            </w:r>
          </w:p>
        </w:tc>
      </w:tr>
      <w:tr w14:paraId="536BF88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343" w:type="pct"/>
            <w:vAlign w:val="center"/>
          </w:tcPr>
          <w:p w14:paraId="6DFFB3F7">
            <w:pPr>
              <w:keepNext w:val="0"/>
              <w:keepLines w:val="0"/>
              <w:pageBreakBefore w:val="0"/>
              <w:widowControl w:val="0"/>
              <w:numPr>
                <w:ilvl w:val="0"/>
                <w:numId w:val="2"/>
              </w:numPr>
              <w:tabs>
                <w:tab w:val="left" w:pos="1260"/>
              </w:tabs>
              <w:kinsoku/>
              <w:wordWrap/>
              <w:topLinePunct w:val="0"/>
              <w:bidi w:val="0"/>
              <w:spacing w:line="360" w:lineRule="auto"/>
              <w:ind w:firstLine="17" w:firstLineChars="0"/>
              <w:jc w:val="center"/>
              <w:textAlignment w:val="auto"/>
              <w:rPr>
                <w:rFonts w:ascii="Times New Roman" w:hAnsi="Times New Roman" w:eastAsia="宋体" w:cs="Times New Roman"/>
                <w:sz w:val="28"/>
                <w:szCs w:val="28"/>
                <w:highlight w:val="none"/>
              </w:rPr>
            </w:pPr>
          </w:p>
        </w:tc>
        <w:tc>
          <w:tcPr>
            <w:tcW w:w="2342" w:type="pct"/>
            <w:vAlign w:val="center"/>
          </w:tcPr>
          <w:p w14:paraId="2ADD8CC1">
            <w:pPr>
              <w:keepNext w:val="0"/>
              <w:keepLines w:val="0"/>
              <w:pageBreakBefore w:val="0"/>
              <w:widowControl w:val="0"/>
              <w:kinsoku/>
              <w:wordWrap/>
              <w:topLinePunct w:val="0"/>
              <w:bidi w:val="0"/>
              <w:spacing w:line="360" w:lineRule="auto"/>
              <w:ind w:firstLine="0" w:firstLineChars="0"/>
              <w:textAlignment w:val="auto"/>
              <w:rPr>
                <w:rFonts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生产经营单位应当安排用于配备劳动防护用品、进行安全生产培训的经费。</w:t>
            </w:r>
          </w:p>
        </w:tc>
        <w:tc>
          <w:tcPr>
            <w:tcW w:w="637" w:type="pct"/>
            <w:vAlign w:val="center"/>
          </w:tcPr>
          <w:p w14:paraId="1FBC2292">
            <w:pPr>
              <w:keepNext w:val="0"/>
              <w:keepLines w:val="0"/>
              <w:pageBreakBefore w:val="0"/>
              <w:widowControl w:val="0"/>
              <w:kinsoku/>
              <w:wordWrap/>
              <w:topLinePunct w:val="0"/>
              <w:bidi w:val="0"/>
              <w:spacing w:line="360" w:lineRule="auto"/>
              <w:ind w:firstLine="0" w:firstLineChars="0"/>
              <w:jc w:val="center"/>
              <w:textAlignment w:val="auto"/>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《中华人民共和国安全生产法》第四十</w:t>
            </w:r>
            <w:r>
              <w:rPr>
                <w:rFonts w:hint="eastAsia" w:ascii="Times New Roman" w:hAnsi="Times New Roman" w:eastAsia="宋体" w:cs="Times New Roman"/>
                <w:sz w:val="28"/>
                <w:szCs w:val="28"/>
                <w:highlight w:val="none"/>
              </w:rPr>
              <w:t>七</w:t>
            </w:r>
            <w:r>
              <w:rPr>
                <w:rFonts w:ascii="Times New Roman" w:hAnsi="Times New Roman" w:eastAsia="宋体" w:cs="Times New Roman"/>
                <w:sz w:val="28"/>
                <w:szCs w:val="28"/>
                <w:highlight w:val="none"/>
              </w:rPr>
              <w:t>条</w:t>
            </w:r>
          </w:p>
        </w:tc>
        <w:tc>
          <w:tcPr>
            <w:tcW w:w="1676" w:type="pct"/>
            <w:shd w:val="clear" w:color="auto" w:fill="auto"/>
            <w:vAlign w:val="center"/>
          </w:tcPr>
          <w:p w14:paraId="38C3FFB2">
            <w:pPr>
              <w:keepNext w:val="0"/>
              <w:keepLines w:val="0"/>
              <w:pageBreakBefore w:val="0"/>
              <w:widowControl w:val="0"/>
              <w:kinsoku/>
              <w:wordWrap/>
              <w:topLinePunct w:val="0"/>
              <w:bidi w:val="0"/>
              <w:snapToGrid w:val="0"/>
              <w:spacing w:line="360" w:lineRule="auto"/>
              <w:ind w:left="0" w:leftChars="0" w:firstLine="0" w:firstLineChars="0"/>
              <w:textAlignment w:val="auto"/>
              <w:rPr>
                <w:rFonts w:ascii="Times New Roman" w:hAnsi="Times New Roman" w:eastAsia="宋体" w:cs="Times New Roman"/>
                <w:kern w:val="2"/>
                <w:sz w:val="28"/>
                <w:szCs w:val="28"/>
                <w:highlight w:val="none"/>
                <w:lang w:val="en-US" w:eastAsia="zh-CN" w:bidi="ar-SA"/>
              </w:rPr>
            </w:pPr>
            <w:r>
              <w:rPr>
                <w:rFonts w:hint="eastAsia" w:ascii="宋体" w:hAnsi="宋体" w:eastAsia="宋体"/>
                <w:b w:val="0"/>
                <w:bCs/>
                <w:sz w:val="28"/>
                <w:szCs w:val="28"/>
                <w:highlight w:val="none"/>
                <w:lang w:val="en-US" w:eastAsia="zh-CN"/>
              </w:rPr>
              <w:t>宏盛绿佳公司提供了培训记录、劳保用品发放记录，但未提供具体的安全资金投入清单</w:t>
            </w:r>
            <w:r>
              <w:rPr>
                <w:rFonts w:ascii="Times New Roman" w:hAnsi="Times New Roman" w:eastAsia="宋体" w:cs="Times New Roman"/>
                <w:sz w:val="28"/>
                <w:szCs w:val="28"/>
                <w:highlight w:val="none"/>
              </w:rPr>
              <w:t>。</w:t>
            </w:r>
          </w:p>
        </w:tc>
      </w:tr>
      <w:tr w14:paraId="2CB1B0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343" w:type="pct"/>
            <w:vAlign w:val="center"/>
          </w:tcPr>
          <w:p w14:paraId="325F8112">
            <w:pPr>
              <w:keepNext w:val="0"/>
              <w:keepLines w:val="0"/>
              <w:pageBreakBefore w:val="0"/>
              <w:widowControl w:val="0"/>
              <w:numPr>
                <w:ilvl w:val="0"/>
                <w:numId w:val="2"/>
              </w:numPr>
              <w:tabs>
                <w:tab w:val="left" w:pos="1260"/>
              </w:tabs>
              <w:kinsoku/>
              <w:wordWrap/>
              <w:topLinePunct w:val="0"/>
              <w:bidi w:val="0"/>
              <w:spacing w:line="360" w:lineRule="auto"/>
              <w:ind w:firstLine="17" w:firstLineChars="0"/>
              <w:jc w:val="center"/>
              <w:textAlignment w:val="auto"/>
              <w:rPr>
                <w:rFonts w:ascii="Times New Roman" w:hAnsi="Times New Roman" w:eastAsia="宋体" w:cs="Times New Roman"/>
                <w:sz w:val="28"/>
                <w:szCs w:val="28"/>
                <w:highlight w:val="none"/>
              </w:rPr>
            </w:pPr>
          </w:p>
        </w:tc>
        <w:tc>
          <w:tcPr>
            <w:tcW w:w="2342" w:type="pct"/>
            <w:vAlign w:val="center"/>
          </w:tcPr>
          <w:p w14:paraId="78790FD6">
            <w:pPr>
              <w:keepNext w:val="0"/>
              <w:keepLines w:val="0"/>
              <w:pageBreakBefore w:val="0"/>
              <w:widowControl w:val="0"/>
              <w:kinsoku/>
              <w:wordWrap/>
              <w:topLinePunct w:val="0"/>
              <w:bidi w:val="0"/>
              <w:spacing w:line="360" w:lineRule="auto"/>
              <w:ind w:firstLine="0" w:firstLineChars="0"/>
              <w:textAlignment w:val="auto"/>
              <w:rPr>
                <w:rFonts w:hint="eastAsia" w:ascii="Times New Roman" w:hAnsi="Times New Roman" w:eastAsia="宋体" w:cs="Times New Roman"/>
                <w:color w:val="auto"/>
                <w:sz w:val="28"/>
                <w:szCs w:val="28"/>
                <w:highlight w:val="none"/>
              </w:rPr>
            </w:pPr>
            <w:r>
              <w:rPr>
                <w:rFonts w:hint="eastAsia" w:ascii="Times New Roman" w:hAnsi="Times New Roman" w:eastAsia="宋体" w:cs="Times New Roman"/>
                <w:color w:val="auto"/>
                <w:sz w:val="28"/>
                <w:szCs w:val="28"/>
                <w:highlight w:val="none"/>
              </w:rPr>
              <w:t>生产经营单位不得将生产经营项目、场所、设备发包或者出租给不具备安全生产条件或者相应资质的单位或者个人。</w:t>
            </w:r>
          </w:p>
          <w:p w14:paraId="26032141">
            <w:pPr>
              <w:keepNext w:val="0"/>
              <w:keepLines w:val="0"/>
              <w:pageBreakBefore w:val="0"/>
              <w:widowControl w:val="0"/>
              <w:kinsoku/>
              <w:wordWrap/>
              <w:topLinePunct w:val="0"/>
              <w:bidi w:val="0"/>
              <w:spacing w:line="360" w:lineRule="auto"/>
              <w:ind w:firstLine="0" w:firstLineChars="0"/>
              <w:textAlignment w:val="auto"/>
              <w:rPr>
                <w:rFonts w:hint="eastAsia" w:ascii="Times New Roman" w:hAnsi="Times New Roman" w:eastAsia="宋体" w:cs="Times New Roman"/>
                <w:color w:val="auto"/>
                <w:sz w:val="28"/>
                <w:szCs w:val="28"/>
                <w:highlight w:val="none"/>
              </w:rPr>
            </w:pPr>
            <w:r>
              <w:rPr>
                <w:rFonts w:hint="eastAsia" w:ascii="Times New Roman" w:hAnsi="Times New Roman" w:eastAsia="宋体" w:cs="Times New Roman"/>
                <w:color w:val="auto"/>
                <w:sz w:val="28"/>
                <w:szCs w:val="28"/>
                <w:highlight w:val="none"/>
              </w:rPr>
              <w:t>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tc>
        <w:tc>
          <w:tcPr>
            <w:tcW w:w="637" w:type="pct"/>
            <w:vAlign w:val="center"/>
          </w:tcPr>
          <w:p w14:paraId="359591DB">
            <w:pPr>
              <w:keepNext w:val="0"/>
              <w:keepLines w:val="0"/>
              <w:pageBreakBefore w:val="0"/>
              <w:widowControl w:val="0"/>
              <w:kinsoku/>
              <w:wordWrap/>
              <w:topLinePunct w:val="0"/>
              <w:bidi w:val="0"/>
              <w:spacing w:line="360" w:lineRule="auto"/>
              <w:ind w:firstLine="0" w:firstLineChars="0"/>
              <w:jc w:val="center"/>
              <w:textAlignment w:val="auto"/>
              <w:rPr>
                <w:rFonts w:ascii="Times New Roman" w:hAnsi="Times New Roman" w:eastAsia="宋体" w:cs="Times New Roman"/>
                <w:kern w:val="2"/>
                <w:sz w:val="28"/>
                <w:szCs w:val="28"/>
                <w:highlight w:val="none"/>
                <w:lang w:val="en-US" w:eastAsia="zh-CN" w:bidi="ar-SA"/>
              </w:rPr>
            </w:pPr>
            <w:r>
              <w:rPr>
                <w:rFonts w:ascii="Times New Roman" w:hAnsi="Times New Roman" w:eastAsia="宋体" w:cs="Times New Roman"/>
                <w:sz w:val="28"/>
                <w:szCs w:val="28"/>
                <w:highlight w:val="none"/>
              </w:rPr>
              <w:t>《中华人民共和国安全生产法》第四十</w:t>
            </w:r>
            <w:r>
              <w:rPr>
                <w:rFonts w:hint="eastAsia" w:ascii="Times New Roman" w:hAnsi="Times New Roman" w:eastAsia="宋体" w:cs="Times New Roman"/>
                <w:sz w:val="28"/>
                <w:szCs w:val="28"/>
                <w:highlight w:val="none"/>
                <w:lang w:val="en-US" w:eastAsia="zh-CN"/>
              </w:rPr>
              <w:t>九</w:t>
            </w:r>
            <w:r>
              <w:rPr>
                <w:rFonts w:ascii="Times New Roman" w:hAnsi="Times New Roman" w:eastAsia="宋体" w:cs="Times New Roman"/>
                <w:sz w:val="28"/>
                <w:szCs w:val="28"/>
                <w:highlight w:val="none"/>
              </w:rPr>
              <w:t>条</w:t>
            </w:r>
          </w:p>
        </w:tc>
        <w:tc>
          <w:tcPr>
            <w:tcW w:w="1676" w:type="pct"/>
            <w:vAlign w:val="center"/>
          </w:tcPr>
          <w:p w14:paraId="443BBA57">
            <w:pPr>
              <w:keepNext w:val="0"/>
              <w:keepLines w:val="0"/>
              <w:pageBreakBefore w:val="0"/>
              <w:widowControl w:val="0"/>
              <w:kinsoku/>
              <w:wordWrap/>
              <w:topLinePunct w:val="0"/>
              <w:bidi w:val="0"/>
              <w:spacing w:line="360" w:lineRule="auto"/>
              <w:ind w:firstLine="0" w:firstLineChars="0"/>
              <w:textAlignment w:val="auto"/>
              <w:rPr>
                <w:rFonts w:hint="default" w:ascii="Times New Roman" w:hAnsi="Times New Roman" w:eastAsia="宋体" w:cs="Times New Roman"/>
                <w:sz w:val="28"/>
                <w:szCs w:val="28"/>
                <w:highlight w:val="none"/>
                <w:lang w:val="en-US" w:eastAsia="zh-CN"/>
              </w:rPr>
            </w:pPr>
            <w:r>
              <w:rPr>
                <w:rFonts w:hint="eastAsia" w:ascii="宋体" w:hAnsi="宋体" w:eastAsia="宋体"/>
                <w:b w:val="0"/>
                <w:bCs/>
                <w:sz w:val="28"/>
                <w:szCs w:val="28"/>
                <w:highlight w:val="none"/>
                <w:lang w:val="en-US" w:eastAsia="zh-CN"/>
              </w:rPr>
              <w:t>宏盛绿佳公司</w:t>
            </w:r>
            <w:r>
              <w:rPr>
                <w:rFonts w:ascii="Times New Roman" w:hAnsi="Times New Roman" w:eastAsia="宋体" w:cs="Times New Roman"/>
                <w:sz w:val="28"/>
                <w:szCs w:val="28"/>
                <w:highlight w:val="none"/>
              </w:rPr>
              <w:t>提供了</w:t>
            </w:r>
            <w:r>
              <w:rPr>
                <w:rFonts w:hint="eastAsia" w:ascii="Times New Roman" w:hAnsi="Times New Roman" w:eastAsia="宋体" w:cs="Times New Roman"/>
                <w:sz w:val="28"/>
                <w:szCs w:val="28"/>
                <w:highlight w:val="none"/>
              </w:rPr>
              <w:t>安全生产规章制度、各级安全生产责任制</w:t>
            </w:r>
            <w:r>
              <w:rPr>
                <w:rFonts w:hint="eastAsia" w:ascii="Times New Roman" w:hAnsi="Times New Roman" w:eastAsia="宋体" w:cs="Times New Roman"/>
                <w:sz w:val="28"/>
                <w:szCs w:val="28"/>
                <w:highlight w:val="none"/>
                <w:lang w:val="en-US" w:eastAsia="zh-CN"/>
              </w:rPr>
              <w:t>及相关方合同中约定了具体安全责任条款</w:t>
            </w:r>
            <w:r>
              <w:rPr>
                <w:rFonts w:ascii="Times New Roman" w:hAnsi="Times New Roman" w:eastAsia="宋体" w:cs="Times New Roman"/>
                <w:sz w:val="28"/>
                <w:szCs w:val="28"/>
                <w:highlight w:val="none"/>
              </w:rPr>
              <w:t>，表明该企业基本落实了相关要求。</w:t>
            </w:r>
          </w:p>
        </w:tc>
      </w:tr>
      <w:tr w14:paraId="58B520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343" w:type="pct"/>
            <w:vAlign w:val="center"/>
          </w:tcPr>
          <w:p w14:paraId="7A501489">
            <w:pPr>
              <w:keepNext w:val="0"/>
              <w:keepLines w:val="0"/>
              <w:pageBreakBefore w:val="0"/>
              <w:widowControl w:val="0"/>
              <w:numPr>
                <w:ilvl w:val="0"/>
                <w:numId w:val="2"/>
              </w:numPr>
              <w:tabs>
                <w:tab w:val="left" w:pos="1260"/>
              </w:tabs>
              <w:kinsoku/>
              <w:wordWrap/>
              <w:topLinePunct w:val="0"/>
              <w:bidi w:val="0"/>
              <w:spacing w:line="360" w:lineRule="auto"/>
              <w:ind w:firstLine="17" w:firstLineChars="0"/>
              <w:jc w:val="center"/>
              <w:textAlignment w:val="auto"/>
              <w:rPr>
                <w:rFonts w:ascii="Times New Roman" w:hAnsi="Times New Roman" w:eastAsia="宋体" w:cs="Times New Roman"/>
                <w:sz w:val="28"/>
                <w:szCs w:val="28"/>
                <w:highlight w:val="none"/>
              </w:rPr>
            </w:pPr>
          </w:p>
        </w:tc>
        <w:tc>
          <w:tcPr>
            <w:tcW w:w="2342" w:type="pct"/>
            <w:vAlign w:val="center"/>
          </w:tcPr>
          <w:p w14:paraId="4C98E8BC">
            <w:pPr>
              <w:keepNext w:val="0"/>
              <w:keepLines w:val="0"/>
              <w:pageBreakBefore w:val="0"/>
              <w:widowControl w:val="0"/>
              <w:kinsoku/>
              <w:wordWrap/>
              <w:topLinePunct w:val="0"/>
              <w:bidi w:val="0"/>
              <w:spacing w:line="360" w:lineRule="auto"/>
              <w:ind w:firstLine="0" w:firstLineChars="0"/>
              <w:textAlignment w:val="auto"/>
              <w:rPr>
                <w:rFonts w:ascii="Times New Roman" w:hAnsi="Times New Roman" w:eastAsia="宋体" w:cs="Times New Roman"/>
                <w:sz w:val="28"/>
                <w:szCs w:val="28"/>
                <w:highlight w:val="none"/>
              </w:rPr>
            </w:pPr>
            <w:r>
              <w:rPr>
                <w:rFonts w:hint="eastAsia" w:ascii="Times New Roman" w:hAnsi="Times New Roman" w:eastAsia="宋体" w:cs="Times New Roman"/>
                <w:color w:val="auto"/>
                <w:sz w:val="28"/>
                <w:szCs w:val="28"/>
                <w:highlight w:val="none"/>
              </w:rPr>
              <w:t>生产经营单位发生生产安全事故时，单位的主要负责人应当立即组织抢救，并不得在事故调查处理期间擅离职守。</w:t>
            </w:r>
          </w:p>
        </w:tc>
        <w:tc>
          <w:tcPr>
            <w:tcW w:w="637" w:type="pct"/>
            <w:vAlign w:val="center"/>
          </w:tcPr>
          <w:p w14:paraId="53CEFB8B">
            <w:pPr>
              <w:keepNext w:val="0"/>
              <w:keepLines w:val="0"/>
              <w:pageBreakBefore w:val="0"/>
              <w:widowControl w:val="0"/>
              <w:kinsoku/>
              <w:wordWrap/>
              <w:topLinePunct w:val="0"/>
              <w:bidi w:val="0"/>
              <w:spacing w:line="360" w:lineRule="auto"/>
              <w:ind w:firstLine="0" w:firstLineChars="0"/>
              <w:jc w:val="center"/>
              <w:textAlignment w:val="auto"/>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《中华人民共和国安全生产法》第</w:t>
            </w:r>
            <w:r>
              <w:rPr>
                <w:rFonts w:hint="eastAsia" w:ascii="Times New Roman" w:hAnsi="Times New Roman" w:eastAsia="宋体" w:cs="Times New Roman"/>
                <w:sz w:val="28"/>
                <w:szCs w:val="28"/>
                <w:highlight w:val="none"/>
              </w:rPr>
              <w:t>五十</w:t>
            </w:r>
            <w:r>
              <w:rPr>
                <w:rFonts w:ascii="Times New Roman" w:hAnsi="Times New Roman" w:eastAsia="宋体" w:cs="Times New Roman"/>
                <w:sz w:val="28"/>
                <w:szCs w:val="28"/>
                <w:highlight w:val="none"/>
              </w:rPr>
              <w:t>条</w:t>
            </w:r>
          </w:p>
        </w:tc>
        <w:tc>
          <w:tcPr>
            <w:tcW w:w="1676" w:type="pct"/>
            <w:vAlign w:val="center"/>
          </w:tcPr>
          <w:p w14:paraId="103F18DF">
            <w:pPr>
              <w:keepNext w:val="0"/>
              <w:keepLines w:val="0"/>
              <w:pageBreakBefore w:val="0"/>
              <w:widowControl w:val="0"/>
              <w:kinsoku/>
              <w:wordWrap/>
              <w:topLinePunct w:val="0"/>
              <w:bidi w:val="0"/>
              <w:spacing w:line="360" w:lineRule="auto"/>
              <w:ind w:firstLine="0" w:firstLineChars="0"/>
              <w:textAlignment w:val="auto"/>
              <w:rPr>
                <w:rFonts w:ascii="Times New Roman" w:hAnsi="Times New Roman" w:eastAsia="宋体" w:cs="Times New Roman"/>
                <w:sz w:val="28"/>
                <w:szCs w:val="28"/>
                <w:highlight w:val="none"/>
              </w:rPr>
            </w:pPr>
            <w:r>
              <w:rPr>
                <w:rFonts w:hint="eastAsia" w:ascii="宋体" w:hAnsi="宋体" w:eastAsia="宋体"/>
                <w:b w:val="0"/>
                <w:bCs/>
                <w:sz w:val="28"/>
                <w:szCs w:val="28"/>
                <w:highlight w:val="none"/>
                <w:lang w:val="en-US" w:eastAsia="zh-CN"/>
              </w:rPr>
              <w:t>宏盛绿佳公司</w:t>
            </w:r>
            <w:r>
              <w:rPr>
                <w:rFonts w:ascii="Times New Roman" w:hAnsi="Times New Roman" w:eastAsia="宋体" w:cs="Times New Roman"/>
                <w:sz w:val="28"/>
                <w:szCs w:val="28"/>
                <w:highlight w:val="none"/>
              </w:rPr>
              <w:t>提供了</w:t>
            </w:r>
            <w:r>
              <w:rPr>
                <w:rFonts w:hint="eastAsia" w:ascii="Times New Roman" w:hAnsi="Times New Roman" w:eastAsia="宋体" w:cs="Times New Roman"/>
                <w:sz w:val="28"/>
                <w:szCs w:val="28"/>
                <w:highlight w:val="none"/>
                <w:lang w:val="en-US" w:eastAsia="zh-CN"/>
              </w:rPr>
              <w:t>生产安全事故</w:t>
            </w:r>
            <w:r>
              <w:rPr>
                <w:rFonts w:hint="eastAsia" w:ascii="Times New Roman" w:hAnsi="Times New Roman" w:eastAsia="宋体" w:cs="Times New Roman"/>
                <w:sz w:val="28"/>
                <w:szCs w:val="28"/>
                <w:highlight w:val="none"/>
              </w:rPr>
              <w:t>应急预案</w:t>
            </w:r>
            <w:r>
              <w:rPr>
                <w:rFonts w:hint="eastAsia" w:ascii="Times New Roman" w:hAnsi="Times New Roman" w:eastAsia="宋体" w:cs="Times New Roman"/>
                <w:sz w:val="28"/>
                <w:szCs w:val="28"/>
                <w:highlight w:val="none"/>
                <w:lang w:val="en-US" w:eastAsia="zh-CN"/>
              </w:rPr>
              <w:t>，</w:t>
            </w:r>
            <w:r>
              <w:rPr>
                <w:rFonts w:ascii="Times New Roman" w:hAnsi="Times New Roman" w:eastAsia="宋体" w:cs="Times New Roman"/>
                <w:sz w:val="28"/>
                <w:szCs w:val="28"/>
                <w:highlight w:val="none"/>
              </w:rPr>
              <w:t>表明该企业基本落实了相关要求。</w:t>
            </w:r>
          </w:p>
        </w:tc>
      </w:tr>
      <w:tr w14:paraId="6F49EE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343" w:type="pct"/>
            <w:vAlign w:val="center"/>
          </w:tcPr>
          <w:p w14:paraId="28DEA9C2">
            <w:pPr>
              <w:keepNext w:val="0"/>
              <w:keepLines w:val="0"/>
              <w:pageBreakBefore w:val="0"/>
              <w:widowControl w:val="0"/>
              <w:numPr>
                <w:ilvl w:val="0"/>
                <w:numId w:val="2"/>
              </w:numPr>
              <w:tabs>
                <w:tab w:val="left" w:pos="1260"/>
              </w:tabs>
              <w:kinsoku/>
              <w:wordWrap/>
              <w:topLinePunct w:val="0"/>
              <w:bidi w:val="0"/>
              <w:spacing w:line="360" w:lineRule="auto"/>
              <w:ind w:firstLine="17" w:firstLineChars="0"/>
              <w:jc w:val="center"/>
              <w:textAlignment w:val="auto"/>
              <w:rPr>
                <w:rFonts w:ascii="Times New Roman" w:hAnsi="Times New Roman" w:eastAsia="宋体" w:cs="Times New Roman"/>
                <w:sz w:val="28"/>
                <w:szCs w:val="28"/>
                <w:highlight w:val="none"/>
              </w:rPr>
            </w:pPr>
          </w:p>
        </w:tc>
        <w:tc>
          <w:tcPr>
            <w:tcW w:w="2342" w:type="pct"/>
            <w:vAlign w:val="center"/>
          </w:tcPr>
          <w:p w14:paraId="78751EBB">
            <w:pPr>
              <w:keepNext w:val="0"/>
              <w:keepLines w:val="0"/>
              <w:pageBreakBefore w:val="0"/>
              <w:widowControl w:val="0"/>
              <w:kinsoku/>
              <w:wordWrap/>
              <w:topLinePunct w:val="0"/>
              <w:bidi w:val="0"/>
              <w:spacing w:line="360" w:lineRule="auto"/>
              <w:ind w:firstLine="0" w:firstLineChars="0"/>
              <w:textAlignment w:val="auto"/>
              <w:rPr>
                <w:rFonts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生产经营单位必须依法</w:t>
            </w:r>
            <w:r>
              <w:rPr>
                <w:rFonts w:hint="eastAsia" w:ascii="Times New Roman" w:hAnsi="Times New Roman" w:eastAsia="宋体" w:cs="Times New Roman"/>
                <w:color w:val="auto"/>
                <w:sz w:val="28"/>
                <w:szCs w:val="28"/>
                <w:highlight w:val="none"/>
              </w:rPr>
              <w:t>参加工伤保险</w:t>
            </w:r>
            <w:r>
              <w:rPr>
                <w:rFonts w:hint="eastAsia" w:ascii="Times New Roman" w:hAnsi="Times New Roman" w:eastAsia="宋体" w:cs="Times New Roman"/>
                <w:sz w:val="28"/>
                <w:szCs w:val="28"/>
                <w:highlight w:val="none"/>
              </w:rPr>
              <w:t>，为从业人员缴纳保险费。</w:t>
            </w:r>
          </w:p>
        </w:tc>
        <w:tc>
          <w:tcPr>
            <w:tcW w:w="637" w:type="pct"/>
            <w:vAlign w:val="center"/>
          </w:tcPr>
          <w:p w14:paraId="68F410E9">
            <w:pPr>
              <w:keepNext w:val="0"/>
              <w:keepLines w:val="0"/>
              <w:pageBreakBefore w:val="0"/>
              <w:widowControl w:val="0"/>
              <w:kinsoku/>
              <w:wordWrap/>
              <w:topLinePunct w:val="0"/>
              <w:bidi w:val="0"/>
              <w:spacing w:line="360" w:lineRule="auto"/>
              <w:ind w:firstLine="0" w:firstLineChars="0"/>
              <w:jc w:val="center"/>
              <w:textAlignment w:val="auto"/>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《中华人民共和国安全生产法》第</w:t>
            </w:r>
            <w:r>
              <w:rPr>
                <w:rFonts w:hint="eastAsia" w:ascii="Times New Roman" w:hAnsi="Times New Roman" w:eastAsia="宋体" w:cs="Times New Roman"/>
                <w:sz w:val="28"/>
                <w:szCs w:val="28"/>
                <w:highlight w:val="none"/>
              </w:rPr>
              <w:t>五十一</w:t>
            </w:r>
            <w:r>
              <w:rPr>
                <w:rFonts w:ascii="Times New Roman" w:hAnsi="Times New Roman" w:eastAsia="宋体" w:cs="Times New Roman"/>
                <w:sz w:val="28"/>
                <w:szCs w:val="28"/>
                <w:highlight w:val="none"/>
              </w:rPr>
              <w:t>条</w:t>
            </w:r>
          </w:p>
        </w:tc>
        <w:tc>
          <w:tcPr>
            <w:tcW w:w="1676" w:type="pct"/>
            <w:vAlign w:val="center"/>
          </w:tcPr>
          <w:p w14:paraId="3936BFE6">
            <w:pPr>
              <w:keepNext w:val="0"/>
              <w:keepLines w:val="0"/>
              <w:pageBreakBefore w:val="0"/>
              <w:widowControl w:val="0"/>
              <w:kinsoku/>
              <w:wordWrap/>
              <w:topLinePunct w:val="0"/>
              <w:bidi w:val="0"/>
              <w:spacing w:line="360" w:lineRule="auto"/>
              <w:ind w:firstLine="0" w:firstLineChars="0"/>
              <w:textAlignment w:val="auto"/>
              <w:rPr>
                <w:rFonts w:hint="default" w:ascii="Times New Roman" w:hAnsi="Times New Roman" w:eastAsia="宋体" w:cs="Times New Roman"/>
                <w:sz w:val="28"/>
                <w:szCs w:val="28"/>
                <w:highlight w:val="none"/>
                <w:lang w:val="en-US"/>
              </w:rPr>
            </w:pPr>
            <w:r>
              <w:rPr>
                <w:rFonts w:hint="eastAsia" w:ascii="宋体" w:hAnsi="宋体" w:eastAsia="宋体"/>
                <w:b w:val="0"/>
                <w:bCs/>
                <w:sz w:val="28"/>
                <w:szCs w:val="28"/>
                <w:highlight w:val="none"/>
                <w:lang w:val="en-US" w:eastAsia="zh-CN"/>
              </w:rPr>
              <w:t>宏盛绿佳公司提供了工伤保险缴费记录和意外险保单，</w:t>
            </w:r>
            <w:r>
              <w:rPr>
                <w:rFonts w:ascii="Times New Roman" w:hAnsi="Times New Roman" w:eastAsia="宋体" w:cs="Times New Roman"/>
                <w:sz w:val="28"/>
                <w:szCs w:val="28"/>
                <w:highlight w:val="none"/>
              </w:rPr>
              <w:t>表明该企业基本落实了相关要求。</w:t>
            </w:r>
          </w:p>
        </w:tc>
      </w:tr>
      <w:tr w14:paraId="5989C7D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343" w:type="pct"/>
            <w:vAlign w:val="center"/>
          </w:tcPr>
          <w:p w14:paraId="64797746">
            <w:pPr>
              <w:keepNext w:val="0"/>
              <w:keepLines w:val="0"/>
              <w:pageBreakBefore w:val="0"/>
              <w:widowControl w:val="0"/>
              <w:numPr>
                <w:ilvl w:val="0"/>
                <w:numId w:val="2"/>
              </w:numPr>
              <w:tabs>
                <w:tab w:val="left" w:pos="1260"/>
              </w:tabs>
              <w:kinsoku/>
              <w:wordWrap/>
              <w:topLinePunct w:val="0"/>
              <w:bidi w:val="0"/>
              <w:spacing w:line="360" w:lineRule="auto"/>
              <w:ind w:firstLine="17" w:firstLineChars="0"/>
              <w:jc w:val="center"/>
              <w:textAlignment w:val="auto"/>
              <w:rPr>
                <w:rFonts w:ascii="Times New Roman" w:hAnsi="Times New Roman" w:eastAsia="宋体" w:cs="Times New Roman"/>
                <w:sz w:val="28"/>
                <w:szCs w:val="28"/>
                <w:highlight w:val="none"/>
              </w:rPr>
            </w:pPr>
          </w:p>
        </w:tc>
        <w:tc>
          <w:tcPr>
            <w:tcW w:w="2342" w:type="pct"/>
            <w:vAlign w:val="center"/>
          </w:tcPr>
          <w:p w14:paraId="21F14229">
            <w:pPr>
              <w:keepNext w:val="0"/>
              <w:keepLines w:val="0"/>
              <w:pageBreakBefore w:val="0"/>
              <w:widowControl w:val="0"/>
              <w:kinsoku/>
              <w:wordWrap/>
              <w:topLinePunct w:val="0"/>
              <w:bidi w:val="0"/>
              <w:spacing w:line="360" w:lineRule="auto"/>
              <w:ind w:firstLine="0" w:firstLineChars="0"/>
              <w:textAlignment w:val="auto"/>
              <w:rPr>
                <w:rFonts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生产经营单位应当制定本单位生产安全事故应急救援预案，与所在地县级以上地方人民政府组织制定的生产安全事故应急救援预案相衔接，并定期组织演练。</w:t>
            </w:r>
          </w:p>
        </w:tc>
        <w:tc>
          <w:tcPr>
            <w:tcW w:w="637" w:type="pct"/>
            <w:vAlign w:val="center"/>
          </w:tcPr>
          <w:p w14:paraId="6EBED1D0">
            <w:pPr>
              <w:keepNext w:val="0"/>
              <w:keepLines w:val="0"/>
              <w:pageBreakBefore w:val="0"/>
              <w:widowControl w:val="0"/>
              <w:kinsoku/>
              <w:wordWrap/>
              <w:topLinePunct w:val="0"/>
              <w:bidi w:val="0"/>
              <w:spacing w:line="360" w:lineRule="auto"/>
              <w:ind w:firstLine="0" w:firstLineChars="0"/>
              <w:jc w:val="center"/>
              <w:textAlignment w:val="auto"/>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《中华人民共和国安全生产法》第</w:t>
            </w:r>
            <w:r>
              <w:rPr>
                <w:rFonts w:hint="eastAsia" w:ascii="Times New Roman" w:hAnsi="Times New Roman" w:eastAsia="宋体" w:cs="Times New Roman"/>
                <w:sz w:val="28"/>
                <w:szCs w:val="28"/>
                <w:highlight w:val="none"/>
              </w:rPr>
              <w:t>八十一</w:t>
            </w:r>
            <w:r>
              <w:rPr>
                <w:rFonts w:ascii="Times New Roman" w:hAnsi="Times New Roman" w:eastAsia="宋体" w:cs="Times New Roman"/>
                <w:sz w:val="28"/>
                <w:szCs w:val="28"/>
                <w:highlight w:val="none"/>
              </w:rPr>
              <w:t>条</w:t>
            </w:r>
          </w:p>
        </w:tc>
        <w:tc>
          <w:tcPr>
            <w:tcW w:w="1676" w:type="pct"/>
            <w:shd w:val="clear" w:color="auto" w:fill="auto"/>
            <w:vAlign w:val="center"/>
          </w:tcPr>
          <w:p w14:paraId="1F04223F">
            <w:pPr>
              <w:keepNext w:val="0"/>
              <w:keepLines w:val="0"/>
              <w:pageBreakBefore w:val="0"/>
              <w:widowControl w:val="0"/>
              <w:kinsoku/>
              <w:wordWrap/>
              <w:topLinePunct w:val="0"/>
              <w:bidi w:val="0"/>
              <w:spacing w:line="360" w:lineRule="auto"/>
              <w:ind w:firstLine="0" w:firstLineChars="0"/>
              <w:textAlignment w:val="auto"/>
              <w:rPr>
                <w:rFonts w:hint="default" w:ascii="Times New Roman" w:hAnsi="Times New Roman" w:eastAsia="宋体" w:cs="Times New Roman"/>
                <w:kern w:val="2"/>
                <w:sz w:val="28"/>
                <w:szCs w:val="28"/>
                <w:highlight w:val="none"/>
                <w:lang w:val="en-US" w:eastAsia="zh-CN" w:bidi="ar-SA"/>
              </w:rPr>
            </w:pPr>
            <w:r>
              <w:rPr>
                <w:rFonts w:hint="eastAsia" w:ascii="宋体" w:hAnsi="宋体" w:eastAsia="宋体"/>
                <w:b w:val="0"/>
                <w:bCs/>
                <w:sz w:val="28"/>
                <w:szCs w:val="28"/>
                <w:highlight w:val="none"/>
                <w:lang w:val="en-US" w:eastAsia="zh-CN"/>
              </w:rPr>
              <w:t>宏盛绿佳公司</w:t>
            </w:r>
            <w:r>
              <w:rPr>
                <w:rFonts w:ascii="Times New Roman" w:hAnsi="Times New Roman" w:eastAsia="宋体" w:cs="Times New Roman"/>
                <w:sz w:val="28"/>
                <w:szCs w:val="28"/>
                <w:highlight w:val="none"/>
              </w:rPr>
              <w:t>提供了</w:t>
            </w:r>
            <w:r>
              <w:rPr>
                <w:rFonts w:hint="eastAsia" w:ascii="Times New Roman" w:hAnsi="Times New Roman" w:eastAsia="宋体" w:cs="Times New Roman"/>
                <w:sz w:val="28"/>
                <w:szCs w:val="28"/>
                <w:highlight w:val="none"/>
                <w:lang w:val="en-US" w:eastAsia="zh-CN"/>
              </w:rPr>
              <w:t>生产安全事故</w:t>
            </w:r>
            <w:r>
              <w:rPr>
                <w:rFonts w:hint="eastAsia" w:ascii="Times New Roman" w:hAnsi="Times New Roman" w:eastAsia="宋体" w:cs="Times New Roman"/>
                <w:sz w:val="28"/>
                <w:szCs w:val="28"/>
                <w:highlight w:val="none"/>
              </w:rPr>
              <w:t>应急预案</w:t>
            </w:r>
            <w:r>
              <w:rPr>
                <w:rFonts w:hint="eastAsia" w:ascii="Times New Roman" w:hAnsi="Times New Roman" w:eastAsia="宋体" w:cs="Times New Roman"/>
                <w:sz w:val="28"/>
                <w:szCs w:val="28"/>
                <w:highlight w:val="none"/>
                <w:lang w:val="en-US" w:eastAsia="zh-CN"/>
              </w:rPr>
              <w:t>及演练记录</w:t>
            </w:r>
            <w:r>
              <w:rPr>
                <w:rFonts w:ascii="Times New Roman" w:hAnsi="Times New Roman" w:eastAsia="宋体" w:cs="Times New Roman"/>
                <w:sz w:val="28"/>
                <w:szCs w:val="28"/>
                <w:highlight w:val="none"/>
              </w:rPr>
              <w:t>，表明该企业基本落实了相关要求。</w:t>
            </w:r>
          </w:p>
        </w:tc>
      </w:tr>
      <w:tr w14:paraId="0B91FE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343" w:type="pct"/>
            <w:vAlign w:val="center"/>
          </w:tcPr>
          <w:p w14:paraId="068FA027">
            <w:pPr>
              <w:keepNext w:val="0"/>
              <w:keepLines w:val="0"/>
              <w:pageBreakBefore w:val="0"/>
              <w:widowControl w:val="0"/>
              <w:numPr>
                <w:ilvl w:val="0"/>
                <w:numId w:val="2"/>
              </w:numPr>
              <w:tabs>
                <w:tab w:val="left" w:pos="1260"/>
              </w:tabs>
              <w:kinsoku/>
              <w:wordWrap/>
              <w:topLinePunct w:val="0"/>
              <w:bidi w:val="0"/>
              <w:spacing w:line="360" w:lineRule="auto"/>
              <w:ind w:firstLine="17" w:firstLineChars="0"/>
              <w:jc w:val="center"/>
              <w:textAlignment w:val="auto"/>
              <w:rPr>
                <w:rFonts w:ascii="Times New Roman" w:hAnsi="Times New Roman" w:eastAsia="宋体" w:cs="Times New Roman"/>
                <w:sz w:val="28"/>
                <w:szCs w:val="28"/>
                <w:highlight w:val="none"/>
              </w:rPr>
            </w:pPr>
          </w:p>
        </w:tc>
        <w:tc>
          <w:tcPr>
            <w:tcW w:w="2342" w:type="pct"/>
            <w:vAlign w:val="center"/>
          </w:tcPr>
          <w:p w14:paraId="0E871CC3">
            <w:pPr>
              <w:keepNext w:val="0"/>
              <w:keepLines w:val="0"/>
              <w:pageBreakBefore w:val="0"/>
              <w:widowControl w:val="0"/>
              <w:kinsoku/>
              <w:wordWrap/>
              <w:topLinePunct w:val="0"/>
              <w:bidi w:val="0"/>
              <w:spacing w:line="360" w:lineRule="auto"/>
              <w:ind w:firstLine="0" w:firstLineChars="0"/>
              <w:textAlignment w:val="auto"/>
              <w:rPr>
                <w:rFonts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生产经营单位发生生产安全事故后，事故现场有关人员应当立即报告本单位负责人。单位负责人接到事故报告后，应当迅速采取有效措施，组织抢救，防止事故扩大，减少人员伤亡和财产损失，并按照国家有关规定立即如实报告当地负有安全生产监督管理职责的部门，不得隐瞒不报、谎报或者迟报，不得故意破坏事故现场、毁灭有关证据。</w:t>
            </w:r>
          </w:p>
        </w:tc>
        <w:tc>
          <w:tcPr>
            <w:tcW w:w="637" w:type="pct"/>
            <w:vAlign w:val="center"/>
          </w:tcPr>
          <w:p w14:paraId="185F0875">
            <w:pPr>
              <w:keepNext w:val="0"/>
              <w:keepLines w:val="0"/>
              <w:pageBreakBefore w:val="0"/>
              <w:widowControl w:val="0"/>
              <w:kinsoku/>
              <w:wordWrap/>
              <w:topLinePunct w:val="0"/>
              <w:bidi w:val="0"/>
              <w:spacing w:line="360" w:lineRule="auto"/>
              <w:ind w:firstLine="0" w:firstLineChars="0"/>
              <w:jc w:val="center"/>
              <w:textAlignment w:val="auto"/>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《中华人民共和国安全生产法》第</w:t>
            </w:r>
            <w:r>
              <w:rPr>
                <w:rFonts w:hint="eastAsia" w:ascii="Times New Roman" w:hAnsi="Times New Roman" w:eastAsia="宋体" w:cs="Times New Roman"/>
                <w:sz w:val="28"/>
                <w:szCs w:val="28"/>
                <w:highlight w:val="none"/>
              </w:rPr>
              <w:t>八十三</w:t>
            </w:r>
            <w:r>
              <w:rPr>
                <w:rFonts w:ascii="Times New Roman" w:hAnsi="Times New Roman" w:eastAsia="宋体" w:cs="Times New Roman"/>
                <w:sz w:val="28"/>
                <w:szCs w:val="28"/>
                <w:highlight w:val="none"/>
              </w:rPr>
              <w:t>条</w:t>
            </w:r>
          </w:p>
        </w:tc>
        <w:tc>
          <w:tcPr>
            <w:tcW w:w="1676" w:type="pct"/>
            <w:shd w:val="clear" w:color="auto" w:fill="auto"/>
            <w:vAlign w:val="center"/>
          </w:tcPr>
          <w:p w14:paraId="7B6030DC">
            <w:pPr>
              <w:keepNext w:val="0"/>
              <w:keepLines w:val="0"/>
              <w:pageBreakBefore w:val="0"/>
              <w:widowControl w:val="0"/>
              <w:kinsoku/>
              <w:wordWrap/>
              <w:topLinePunct w:val="0"/>
              <w:bidi w:val="0"/>
              <w:spacing w:line="360" w:lineRule="auto"/>
              <w:ind w:firstLine="0" w:firstLineChars="0"/>
              <w:textAlignment w:val="auto"/>
              <w:rPr>
                <w:rFonts w:ascii="Times New Roman" w:hAnsi="Times New Roman" w:eastAsia="宋体" w:cs="Times New Roman"/>
                <w:kern w:val="2"/>
                <w:sz w:val="28"/>
                <w:szCs w:val="28"/>
                <w:highlight w:val="none"/>
                <w:lang w:val="en-US" w:eastAsia="zh-CN" w:bidi="ar-SA"/>
              </w:rPr>
            </w:pPr>
            <w:r>
              <w:rPr>
                <w:rFonts w:hint="eastAsia" w:ascii="宋体" w:hAnsi="宋体" w:eastAsia="宋体"/>
                <w:b w:val="0"/>
                <w:bCs/>
                <w:sz w:val="28"/>
                <w:szCs w:val="28"/>
                <w:highlight w:val="none"/>
                <w:lang w:val="en-US" w:eastAsia="zh-CN"/>
              </w:rPr>
              <w:t>宏盛绿佳公司</w:t>
            </w:r>
            <w:r>
              <w:rPr>
                <w:rFonts w:ascii="Times New Roman" w:hAnsi="Times New Roman" w:eastAsia="宋体" w:cs="Times New Roman"/>
                <w:sz w:val="28"/>
                <w:szCs w:val="28"/>
                <w:highlight w:val="none"/>
              </w:rPr>
              <w:t>提供了</w:t>
            </w:r>
            <w:r>
              <w:rPr>
                <w:rFonts w:hint="eastAsia" w:ascii="Times New Roman" w:hAnsi="Times New Roman" w:eastAsia="宋体" w:cs="Times New Roman"/>
                <w:sz w:val="28"/>
                <w:szCs w:val="28"/>
                <w:highlight w:val="none"/>
                <w:lang w:val="en-US" w:eastAsia="zh-CN"/>
              </w:rPr>
              <w:t>生产安全事故</w:t>
            </w:r>
            <w:r>
              <w:rPr>
                <w:rFonts w:hint="eastAsia" w:ascii="Times New Roman" w:hAnsi="Times New Roman" w:eastAsia="宋体" w:cs="Times New Roman"/>
                <w:sz w:val="28"/>
                <w:szCs w:val="28"/>
                <w:highlight w:val="none"/>
              </w:rPr>
              <w:t>应急预案</w:t>
            </w:r>
            <w:r>
              <w:rPr>
                <w:rFonts w:hint="eastAsia" w:ascii="Times New Roman" w:hAnsi="Times New Roman" w:eastAsia="宋体" w:cs="Times New Roman"/>
                <w:sz w:val="28"/>
                <w:szCs w:val="28"/>
                <w:highlight w:val="none"/>
                <w:lang w:val="en-US" w:eastAsia="zh-CN"/>
              </w:rPr>
              <w:t>，</w:t>
            </w:r>
            <w:r>
              <w:rPr>
                <w:rFonts w:ascii="Times New Roman" w:hAnsi="Times New Roman" w:eastAsia="宋体" w:cs="Times New Roman"/>
                <w:sz w:val="28"/>
                <w:szCs w:val="28"/>
                <w:highlight w:val="none"/>
              </w:rPr>
              <w:t>表明该企业基本落实了相关要求。</w:t>
            </w:r>
          </w:p>
        </w:tc>
      </w:tr>
      <w:tr w14:paraId="0F221D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343" w:type="pct"/>
            <w:vAlign w:val="center"/>
          </w:tcPr>
          <w:p w14:paraId="70B6C3D0">
            <w:pPr>
              <w:keepNext w:val="0"/>
              <w:keepLines w:val="0"/>
              <w:pageBreakBefore w:val="0"/>
              <w:widowControl w:val="0"/>
              <w:numPr>
                <w:ilvl w:val="0"/>
                <w:numId w:val="2"/>
              </w:numPr>
              <w:tabs>
                <w:tab w:val="left" w:pos="1260"/>
              </w:tabs>
              <w:kinsoku/>
              <w:wordWrap/>
              <w:topLinePunct w:val="0"/>
              <w:bidi w:val="0"/>
              <w:spacing w:line="360" w:lineRule="auto"/>
              <w:ind w:firstLine="200" w:firstLineChars="0"/>
              <w:jc w:val="center"/>
              <w:textAlignment w:val="auto"/>
              <w:rPr>
                <w:rFonts w:ascii="Times New Roman" w:hAnsi="Times New Roman" w:eastAsia="宋体" w:cs="Times New Roman"/>
                <w:sz w:val="28"/>
                <w:szCs w:val="28"/>
                <w:highlight w:val="none"/>
              </w:rPr>
            </w:pPr>
          </w:p>
        </w:tc>
        <w:tc>
          <w:tcPr>
            <w:tcW w:w="2342" w:type="pct"/>
            <w:vAlign w:val="center"/>
          </w:tcPr>
          <w:p w14:paraId="525A4B87">
            <w:pPr>
              <w:keepNext w:val="0"/>
              <w:keepLines w:val="0"/>
              <w:pageBreakBefore w:val="0"/>
              <w:widowControl w:val="0"/>
              <w:kinsoku/>
              <w:wordWrap/>
              <w:topLinePunct w:val="0"/>
              <w:bidi w:val="0"/>
              <w:spacing w:line="360" w:lineRule="auto"/>
              <w:ind w:firstLine="0" w:firstLineChars="0"/>
              <w:textAlignment w:val="auto"/>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其他事故的跟踪情况</w:t>
            </w:r>
          </w:p>
        </w:tc>
        <w:tc>
          <w:tcPr>
            <w:tcW w:w="2313" w:type="pct"/>
            <w:gridSpan w:val="2"/>
            <w:vAlign w:val="center"/>
          </w:tcPr>
          <w:p w14:paraId="3EB29FE7">
            <w:pPr>
              <w:keepNext w:val="0"/>
              <w:keepLines w:val="0"/>
              <w:pageBreakBefore w:val="0"/>
              <w:widowControl w:val="0"/>
              <w:kinsoku/>
              <w:wordWrap/>
              <w:topLinePunct w:val="0"/>
              <w:bidi w:val="0"/>
              <w:spacing w:before="120" w:line="360" w:lineRule="auto"/>
              <w:ind w:firstLine="0" w:firstLineChars="0"/>
              <w:jc w:val="both"/>
              <w:textAlignment w:val="auto"/>
              <w:rPr>
                <w:rFonts w:ascii="等线 Light" w:hAnsi="等线 Light" w:eastAsia="宋体" w:cs="Times New Roman"/>
                <w:kern w:val="2"/>
                <w:sz w:val="28"/>
                <w:szCs w:val="28"/>
                <w:highlight w:val="none"/>
                <w:lang w:val="en-US" w:eastAsia="zh-CN" w:bidi="ar-SA"/>
              </w:rPr>
            </w:pPr>
            <w:r>
              <w:rPr>
                <w:rFonts w:hint="eastAsia" w:ascii="宋体" w:hAnsi="宋体" w:eastAsia="宋体"/>
                <w:b w:val="0"/>
                <w:bCs/>
                <w:sz w:val="28"/>
                <w:szCs w:val="28"/>
                <w:highlight w:val="none"/>
                <w:lang w:val="en-US" w:eastAsia="zh-CN"/>
              </w:rPr>
              <w:t>宏盛绿佳公司，</w:t>
            </w:r>
            <w:r>
              <w:rPr>
                <w:rFonts w:hint="eastAsia" w:ascii="Times New Roman" w:hAnsi="Times New Roman" w:eastAsia="宋体" w:cs="Times New Roman"/>
                <w:kern w:val="2"/>
                <w:sz w:val="28"/>
                <w:szCs w:val="28"/>
                <w:highlight w:val="none"/>
                <w:shd w:val="clear" w:color="auto" w:fill="FFFFFF"/>
                <w:lang w:val="en-US" w:eastAsia="zh-CN" w:bidi="ar-SA"/>
              </w:rPr>
              <w:t>自“6·3”</w:t>
            </w:r>
            <w:r>
              <w:rPr>
                <w:rFonts w:ascii="Times New Roman" w:hAnsi="Times New Roman" w:eastAsia="宋体" w:cs="Times New Roman"/>
                <w:kern w:val="2"/>
                <w:sz w:val="28"/>
                <w:szCs w:val="28"/>
                <w:highlight w:val="none"/>
                <w:shd w:val="clear" w:color="auto" w:fill="FFFFFF"/>
                <w:lang w:val="en-US" w:eastAsia="zh-CN" w:bidi="ar-SA"/>
              </w:rPr>
              <w:t>事故发生后，</w:t>
            </w:r>
            <w:r>
              <w:rPr>
                <w:rFonts w:hint="eastAsia" w:ascii="Times New Roman" w:hAnsi="Times New Roman" w:eastAsia="宋体" w:cs="Times New Roman"/>
                <w:kern w:val="2"/>
                <w:sz w:val="28"/>
                <w:szCs w:val="28"/>
                <w:highlight w:val="none"/>
                <w:shd w:val="clear" w:color="auto" w:fill="FFFFFF"/>
                <w:lang w:val="en-US" w:eastAsia="zh-CN" w:bidi="ar-SA"/>
              </w:rPr>
              <w:t>截至</w:t>
            </w:r>
            <w:r>
              <w:rPr>
                <w:rFonts w:ascii="Times New Roman" w:hAnsi="Times New Roman" w:eastAsia="宋体" w:cs="Times New Roman"/>
                <w:kern w:val="2"/>
                <w:sz w:val="28"/>
                <w:szCs w:val="28"/>
                <w:highlight w:val="none"/>
                <w:shd w:val="clear" w:color="auto" w:fill="FFFFFF"/>
                <w:lang w:val="en-US" w:eastAsia="zh-CN" w:bidi="ar-SA"/>
              </w:rPr>
              <w:t>本报告提交时间，</w:t>
            </w:r>
            <w:r>
              <w:rPr>
                <w:rFonts w:hint="eastAsia" w:ascii="Times New Roman" w:hAnsi="Times New Roman" w:eastAsia="宋体" w:cs="Times New Roman"/>
                <w:kern w:val="2"/>
                <w:sz w:val="28"/>
                <w:szCs w:val="28"/>
                <w:highlight w:val="none"/>
                <w:shd w:val="clear" w:color="auto" w:fill="FFFFFF"/>
                <w:lang w:val="en-US" w:eastAsia="zh-CN" w:bidi="ar-SA"/>
              </w:rPr>
              <w:t>该企业</w:t>
            </w:r>
            <w:r>
              <w:rPr>
                <w:rFonts w:ascii="Times New Roman" w:hAnsi="Times New Roman" w:eastAsia="宋体" w:cs="Times New Roman"/>
                <w:kern w:val="2"/>
                <w:sz w:val="28"/>
                <w:szCs w:val="28"/>
                <w:highlight w:val="none"/>
                <w:shd w:val="clear" w:color="auto" w:fill="FFFFFF"/>
                <w:lang w:val="en-US" w:eastAsia="zh-CN" w:bidi="ar-SA"/>
              </w:rPr>
              <w:t>暂未有其他一般生产安全事故发生</w:t>
            </w:r>
            <w:r>
              <w:rPr>
                <w:rFonts w:hint="eastAsia" w:ascii="Times New Roman" w:hAnsi="Times New Roman" w:eastAsia="宋体" w:cs="Times New Roman"/>
                <w:kern w:val="2"/>
                <w:sz w:val="28"/>
                <w:szCs w:val="28"/>
                <w:highlight w:val="none"/>
                <w:shd w:val="clear" w:color="auto" w:fill="FFFFFF"/>
                <w:lang w:val="en-US" w:eastAsia="zh-CN" w:bidi="ar-SA"/>
              </w:rPr>
              <w:t>。</w:t>
            </w:r>
          </w:p>
        </w:tc>
      </w:tr>
    </w:tbl>
    <w:p w14:paraId="5DA2DD2B">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left"/>
      </w:pPr>
      <w:r>
        <w:rPr>
          <w:rFonts w:hint="eastAsia" w:ascii="微软雅黑" w:hAnsi="微软雅黑" w:eastAsia="微软雅黑" w:cs="微软雅黑"/>
          <w:i w:val="0"/>
          <w:iCs w:val="0"/>
          <w:caps w:val="0"/>
          <w:color w:val="404040"/>
          <w:spacing w:val="0"/>
          <w:sz w:val="24"/>
          <w:szCs w:val="24"/>
          <w:shd w:val="clear" w:fill="FFFFFF"/>
        </w:rPr>
        <w:t>　</w:t>
      </w:r>
    </w:p>
    <w:p w14:paraId="2D919A7E">
      <w:pPr>
        <w:pStyle w:val="27"/>
        <w:spacing w:line="360" w:lineRule="auto"/>
        <w:ind w:firstLine="480"/>
        <w:rPr>
          <w:rFonts w:hint="eastAsia" w:ascii="宋体" w:hAnsi="宋体" w:eastAsia="宋体"/>
          <w:sz w:val="28"/>
          <w:szCs w:val="28"/>
          <w:lang w:val="en-US" w:eastAsia="zh-CN"/>
        </w:rPr>
        <w:sectPr>
          <w:footerReference r:id="rId7" w:type="default"/>
          <w:pgSz w:w="16838" w:h="11906" w:orient="landscape"/>
          <w:pgMar w:top="1800" w:right="1440" w:bottom="1800" w:left="1440" w:header="851" w:footer="992" w:gutter="0"/>
          <w:cols w:space="720" w:num="1"/>
          <w:docGrid w:type="lines" w:linePitch="312" w:charSpace="0"/>
        </w:sectPr>
      </w:pPr>
    </w:p>
    <w:p w14:paraId="3263EF54">
      <w:pPr>
        <w:pStyle w:val="27"/>
        <w:spacing w:line="360" w:lineRule="auto"/>
        <w:ind w:firstLine="560"/>
        <w:rPr>
          <w:rFonts w:ascii="宋体" w:hAnsi="宋体" w:eastAsia="宋体"/>
          <w:sz w:val="28"/>
          <w:szCs w:val="28"/>
        </w:rPr>
      </w:pPr>
      <w:r>
        <w:rPr>
          <w:rFonts w:hint="eastAsia" w:ascii="宋体" w:hAnsi="宋体" w:eastAsia="宋体"/>
          <w:sz w:val="28"/>
          <w:szCs w:val="28"/>
        </w:rPr>
        <w:t>按照</w:t>
      </w:r>
      <w:r>
        <w:rPr>
          <w:rFonts w:hint="eastAsia" w:ascii="宋体" w:hAnsi="宋体" w:eastAsia="宋体"/>
          <w:sz w:val="28"/>
          <w:szCs w:val="28"/>
          <w:lang w:val="en-US" w:eastAsia="zh-CN"/>
        </w:rPr>
        <w:t>法律</w:t>
      </w:r>
      <w:r>
        <w:rPr>
          <w:rFonts w:hint="eastAsia" w:ascii="宋体" w:hAnsi="宋体" w:eastAsia="宋体"/>
          <w:sz w:val="28"/>
          <w:szCs w:val="28"/>
        </w:rPr>
        <w:t>法规要求</w:t>
      </w:r>
      <w:r>
        <w:rPr>
          <w:rFonts w:hint="eastAsia" w:ascii="宋体" w:hAnsi="宋体" w:eastAsia="宋体"/>
          <w:sz w:val="28"/>
          <w:szCs w:val="28"/>
          <w:lang w:val="en-US" w:eastAsia="zh-CN"/>
        </w:rPr>
        <w:t>对企业提供材料</w:t>
      </w:r>
      <w:r>
        <w:rPr>
          <w:rFonts w:hint="eastAsia" w:ascii="宋体" w:hAnsi="宋体" w:eastAsia="宋体"/>
          <w:sz w:val="28"/>
          <w:szCs w:val="28"/>
        </w:rPr>
        <w:t>进行评估，发现问题如下：</w:t>
      </w:r>
    </w:p>
    <w:p w14:paraId="2FBF4A62">
      <w:pPr>
        <w:widowControl/>
        <w:jc w:val="left"/>
      </w:pP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资料问题</w:t>
      </w:r>
      <w:r>
        <w:rPr>
          <w:rFonts w:hint="eastAsia" w:ascii="仿宋_GB2312" w:hAnsi="宋体" w:eastAsia="仿宋_GB2312" w:cs="仿宋_GB2312"/>
          <w:b/>
          <w:bCs/>
          <w:color w:val="000000"/>
          <w:kern w:val="0"/>
          <w:sz w:val="28"/>
          <w:szCs w:val="28"/>
          <w:lang w:val="en-US" w:eastAsia="zh-CN" w:bidi="ar"/>
        </w:rPr>
        <w:t>1</w:t>
      </w: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w:t>
      </w:r>
    </w:p>
    <w:p w14:paraId="402FEE5C">
      <w:pPr>
        <w:pStyle w:val="27"/>
        <w:spacing w:line="360" w:lineRule="auto"/>
        <w:ind w:firstLine="560"/>
        <w:rPr>
          <w:rFonts w:ascii="宋体" w:hAnsi="宋体" w:eastAsia="宋体"/>
          <w:sz w:val="28"/>
          <w:szCs w:val="28"/>
        </w:rPr>
      </w:pPr>
      <w:r>
        <w:rPr>
          <w:rFonts w:hint="eastAsia" w:ascii="宋体" w:hAnsi="宋体" w:eastAsia="宋体"/>
          <w:sz w:val="28"/>
          <w:szCs w:val="28"/>
        </w:rPr>
        <w:t>《中华人民共和国安全生产法》第二十三条要求，安全措施费用</w:t>
      </w:r>
      <w:r>
        <w:rPr>
          <w:rFonts w:hint="eastAsia" w:ascii="宋体" w:hAnsi="宋体" w:eastAsia="宋体"/>
          <w:sz w:val="28"/>
          <w:szCs w:val="28"/>
          <w:lang w:eastAsia="zh-CN"/>
        </w:rPr>
        <w:t>专项</w:t>
      </w:r>
      <w:r>
        <w:rPr>
          <w:rFonts w:hint="eastAsia" w:ascii="宋体" w:hAnsi="宋体" w:eastAsia="宋体"/>
          <w:sz w:val="28"/>
          <w:szCs w:val="28"/>
        </w:rPr>
        <w:t>支出。目前</w:t>
      </w:r>
      <w:r>
        <w:rPr>
          <w:rFonts w:hint="eastAsia" w:ascii="宋体" w:hAnsi="宋体" w:eastAsia="宋体"/>
          <w:b w:val="0"/>
          <w:bCs/>
          <w:sz w:val="28"/>
          <w:szCs w:val="28"/>
          <w:highlight w:val="none"/>
          <w:lang w:val="en-US" w:eastAsia="zh-CN"/>
        </w:rPr>
        <w:t>宏盛绿佳公司</w:t>
      </w:r>
      <w:r>
        <w:rPr>
          <w:rFonts w:ascii="Times New Roman" w:hAnsi="Times New Roman" w:eastAsia="宋体" w:cs="Times New Roman"/>
          <w:sz w:val="28"/>
          <w:szCs w:val="28"/>
        </w:rPr>
        <w:t>提供</w:t>
      </w:r>
      <w:r>
        <w:rPr>
          <w:rFonts w:hint="eastAsia" w:ascii="Times New Roman" w:hAnsi="Times New Roman" w:eastAsia="宋体" w:cs="Times New Roman"/>
          <w:sz w:val="28"/>
          <w:szCs w:val="28"/>
        </w:rPr>
        <w:t>了</w:t>
      </w:r>
      <w:r>
        <w:rPr>
          <w:rFonts w:hint="eastAsia" w:ascii="宋体" w:hAnsi="宋体" w:eastAsia="宋体"/>
          <w:b w:val="0"/>
          <w:bCs/>
          <w:sz w:val="28"/>
          <w:szCs w:val="28"/>
          <w:highlight w:val="none"/>
          <w:lang w:val="en-US" w:eastAsia="zh-CN"/>
        </w:rPr>
        <w:t>劳保用品发放记录和工伤保险单</w:t>
      </w:r>
      <w:r>
        <w:rPr>
          <w:rFonts w:hint="eastAsia" w:ascii="Times New Roman" w:hAnsi="Times New Roman" w:eastAsia="宋体" w:cs="Times New Roman"/>
          <w:sz w:val="28"/>
          <w:szCs w:val="28"/>
          <w:lang w:val="en-US" w:eastAsia="zh-CN"/>
        </w:rPr>
        <w:t>等文件、记录</w:t>
      </w:r>
      <w:r>
        <w:rPr>
          <w:rFonts w:ascii="Times New Roman" w:hAnsi="Times New Roman" w:eastAsia="宋体" w:cs="Times New Roman"/>
          <w:sz w:val="28"/>
          <w:szCs w:val="28"/>
        </w:rPr>
        <w:t>，</w:t>
      </w:r>
      <w:r>
        <w:rPr>
          <w:rFonts w:hint="eastAsia" w:ascii="Times New Roman" w:hAnsi="Times New Roman" w:eastAsia="宋体" w:cs="Times New Roman"/>
          <w:sz w:val="28"/>
          <w:szCs w:val="28"/>
        </w:rPr>
        <w:t>其他</w:t>
      </w:r>
      <w:r>
        <w:rPr>
          <w:rFonts w:hint="eastAsia" w:ascii="Times New Roman" w:hAnsi="Times New Roman" w:eastAsia="宋体" w:cs="Times New Roman"/>
          <w:sz w:val="28"/>
          <w:szCs w:val="28"/>
          <w:lang w:val="en-US" w:eastAsia="zh-CN"/>
        </w:rPr>
        <w:t>安全</w:t>
      </w:r>
      <w:r>
        <w:rPr>
          <w:rFonts w:hint="eastAsia" w:ascii="Times New Roman" w:hAnsi="Times New Roman" w:eastAsia="宋体" w:cs="Times New Roman"/>
          <w:sz w:val="28"/>
          <w:szCs w:val="28"/>
        </w:rPr>
        <w:t>支出未统一列明</w:t>
      </w:r>
      <w:r>
        <w:rPr>
          <w:rFonts w:hint="eastAsia" w:ascii="宋体" w:hAnsi="宋体" w:eastAsia="宋体"/>
          <w:sz w:val="28"/>
          <w:szCs w:val="28"/>
        </w:rPr>
        <w:t>。</w:t>
      </w:r>
    </w:p>
    <w:p w14:paraId="5E89F20C">
      <w:pPr>
        <w:widowControl/>
        <w:jc w:val="left"/>
      </w:pP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建议措施</w:t>
      </w:r>
      <w:r>
        <w:rPr>
          <w:rFonts w:hint="eastAsia" w:ascii="仿宋_GB2312" w:hAnsi="宋体" w:eastAsia="仿宋_GB2312" w:cs="仿宋_GB2312"/>
          <w:b/>
          <w:bCs/>
          <w:color w:val="000000"/>
          <w:kern w:val="0"/>
          <w:sz w:val="28"/>
          <w:szCs w:val="28"/>
          <w:lang w:val="en-US" w:eastAsia="zh-CN" w:bidi="ar"/>
        </w:rPr>
        <w:t>1</w:t>
      </w: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w:t>
      </w:r>
    </w:p>
    <w:p w14:paraId="01A08F43">
      <w:pPr>
        <w:pStyle w:val="27"/>
        <w:spacing w:line="360" w:lineRule="auto"/>
        <w:ind w:firstLine="560"/>
        <w:rPr>
          <w:rFonts w:hint="default" w:ascii="宋体" w:hAnsi="宋体" w:eastAsia="宋体"/>
          <w:sz w:val="28"/>
          <w:szCs w:val="28"/>
          <w:lang w:val="en-US"/>
        </w:rPr>
      </w:pPr>
      <w:r>
        <w:rPr>
          <w:rFonts w:hint="eastAsia" w:ascii="宋体" w:hAnsi="宋体" w:eastAsia="宋体" w:cs="宋体"/>
          <w:sz w:val="28"/>
          <w:szCs w:val="28"/>
          <w:lang w:val="en-US" w:eastAsia="zh-CN"/>
        </w:rPr>
        <w:t>《北京市安全生产条例》第十八条规定，生产经营单位的决策机构、主要负责人或者个人经营的投资人应当保证安全生产所必需的资金投入，并专项用于安全生产事项。安全生产费用具体事项包括：（1）安全技术措施工程建设；（2）安全设备、设施的更新和维护；（3）安全生产宣传、教育和培训；（4）劳动防护用品配备；（5）重大危险源监控；（6）安全风险评估和隐患排查治理；（7）生产安全事故应急救援演练；（8）应急救援队伍建设或者救援服务；（9）其他保障安全生产的事项等。</w:t>
      </w:r>
    </w:p>
    <w:p w14:paraId="725401CB">
      <w:pPr>
        <w:pStyle w:val="27"/>
        <w:spacing w:line="360" w:lineRule="auto"/>
        <w:ind w:firstLine="560"/>
        <w:rPr>
          <w:rFonts w:ascii="宋体" w:hAnsi="宋体" w:eastAsia="宋体"/>
          <w:sz w:val="28"/>
          <w:szCs w:val="28"/>
        </w:rPr>
      </w:pPr>
      <w:r>
        <w:rPr>
          <w:rFonts w:hint="eastAsia" w:ascii="宋体" w:hAnsi="宋体" w:eastAsia="宋体"/>
          <w:sz w:val="28"/>
          <w:szCs w:val="28"/>
          <w:lang w:val="en-US" w:eastAsia="zh-CN"/>
        </w:rPr>
        <w:t>企业应</w:t>
      </w:r>
      <w:r>
        <w:rPr>
          <w:rFonts w:hint="eastAsia" w:ascii="宋体" w:hAnsi="宋体" w:eastAsia="宋体"/>
          <w:sz w:val="28"/>
          <w:szCs w:val="28"/>
        </w:rPr>
        <w:t>建立安全生产费用管理</w:t>
      </w:r>
      <w:r>
        <w:rPr>
          <w:rFonts w:hint="eastAsia" w:ascii="宋体" w:hAnsi="宋体" w:eastAsia="宋体"/>
          <w:sz w:val="28"/>
          <w:szCs w:val="28"/>
          <w:lang w:val="en-US" w:eastAsia="zh-CN"/>
        </w:rPr>
        <w:t>台账</w:t>
      </w:r>
      <w:r>
        <w:rPr>
          <w:rFonts w:hint="eastAsia" w:ascii="宋体" w:hAnsi="宋体" w:eastAsia="宋体"/>
          <w:sz w:val="28"/>
          <w:szCs w:val="28"/>
        </w:rPr>
        <w:t>，列明各项费用支出明细，纳入</w:t>
      </w:r>
      <w:r>
        <w:rPr>
          <w:rFonts w:hint="eastAsia" w:ascii="宋体" w:hAnsi="宋体" w:eastAsia="宋体"/>
          <w:sz w:val="28"/>
          <w:szCs w:val="28"/>
          <w:lang w:val="en-US" w:eastAsia="zh-CN"/>
        </w:rPr>
        <w:t>工作</w:t>
      </w:r>
      <w:r>
        <w:rPr>
          <w:rFonts w:hint="eastAsia" w:ascii="宋体" w:hAnsi="宋体" w:eastAsia="宋体"/>
          <w:sz w:val="28"/>
          <w:szCs w:val="28"/>
        </w:rPr>
        <w:t>档案中，务必确保专款专用。</w:t>
      </w:r>
    </w:p>
    <w:p w14:paraId="264187B4">
      <w:pPr>
        <w:widowControl/>
        <w:jc w:val="left"/>
      </w:pP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资料问题</w:t>
      </w:r>
      <w:r>
        <w:rPr>
          <w:rFonts w:hint="eastAsia" w:ascii="仿宋_GB2312" w:hAnsi="宋体" w:eastAsia="仿宋_GB2312" w:cs="仿宋_GB2312"/>
          <w:b/>
          <w:bCs/>
          <w:color w:val="000000"/>
          <w:kern w:val="0"/>
          <w:sz w:val="28"/>
          <w:szCs w:val="28"/>
          <w:lang w:val="en-US" w:eastAsia="zh-CN" w:bidi="ar"/>
        </w:rPr>
        <w:t>2</w:t>
      </w: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w:t>
      </w:r>
    </w:p>
    <w:p w14:paraId="4990265A">
      <w:pPr>
        <w:pStyle w:val="27"/>
        <w:spacing w:line="360" w:lineRule="auto"/>
        <w:ind w:firstLine="560"/>
        <w:rPr>
          <w:rFonts w:hint="eastAsia" w:ascii="宋体" w:hAnsi="宋体" w:eastAsia="宋体"/>
          <w:sz w:val="28"/>
          <w:szCs w:val="28"/>
          <w:lang w:val="en-US" w:eastAsia="zh-CN"/>
        </w:rPr>
      </w:pPr>
      <w:r>
        <w:rPr>
          <w:rFonts w:ascii="Times New Roman" w:hAnsi="Times New Roman" w:eastAsia="宋体" w:cs="Times New Roman"/>
          <w:sz w:val="28"/>
          <w:szCs w:val="28"/>
        </w:rPr>
        <w:t>《中华人民共和国安全生产法》第四十一条</w:t>
      </w:r>
      <w:r>
        <w:rPr>
          <w:rFonts w:hint="eastAsia" w:ascii="Times New Roman" w:hAnsi="Times New Roman" w:eastAsia="宋体" w:cs="Times New Roman"/>
          <w:sz w:val="28"/>
          <w:szCs w:val="28"/>
          <w:lang w:eastAsia="zh-CN"/>
        </w:rPr>
        <w:t>，</w:t>
      </w:r>
      <w:r>
        <w:rPr>
          <w:rFonts w:ascii="Times New Roman" w:hAnsi="Times New Roman" w:eastAsia="宋体" w:cs="Times New Roman"/>
          <w:sz w:val="28"/>
          <w:szCs w:val="28"/>
        </w:rPr>
        <w:t>生产经营单位应当建立安全风险分级管控制度，按照安全风险分级采取相应的管控措施。</w:t>
      </w:r>
      <w:r>
        <w:rPr>
          <w:rFonts w:hint="eastAsia" w:ascii="Times New Roman" w:hAnsi="Times New Roman" w:eastAsia="宋体" w:cs="Times New Roman"/>
          <w:sz w:val="28"/>
          <w:szCs w:val="28"/>
          <w:lang w:val="en-US" w:eastAsia="zh-CN"/>
        </w:rPr>
        <w:t>目前，仅</w:t>
      </w:r>
      <w:r>
        <w:rPr>
          <w:rFonts w:ascii="Times New Roman" w:hAnsi="Times New Roman" w:eastAsia="宋体" w:cs="Times New Roman"/>
          <w:sz w:val="28"/>
          <w:szCs w:val="28"/>
        </w:rPr>
        <w:t>提供</w:t>
      </w:r>
      <w:r>
        <w:rPr>
          <w:rFonts w:hint="eastAsia" w:ascii="Times New Roman" w:hAnsi="Times New Roman" w:eastAsia="宋体" w:cs="Times New Roman"/>
          <w:sz w:val="28"/>
          <w:szCs w:val="28"/>
        </w:rPr>
        <w:t>了安全生产规章制度及操作规程、隐患排查登记表等文件</w:t>
      </w:r>
      <w:r>
        <w:rPr>
          <w:rFonts w:hint="eastAsia" w:ascii="宋体" w:hAnsi="宋体" w:eastAsia="宋体"/>
          <w:sz w:val="28"/>
          <w:szCs w:val="32"/>
          <w:lang w:val="en-US" w:eastAsia="zh-CN"/>
        </w:rPr>
        <w:t>，未见风险分级管控制度。</w:t>
      </w:r>
    </w:p>
    <w:p w14:paraId="6B1F3D1E">
      <w:pPr>
        <w:widowControl/>
        <w:jc w:val="left"/>
      </w:pP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建议措施</w:t>
      </w:r>
      <w:r>
        <w:rPr>
          <w:rFonts w:hint="eastAsia" w:ascii="仿宋_GB2312" w:hAnsi="宋体" w:eastAsia="仿宋_GB2312" w:cs="仿宋_GB2312"/>
          <w:b/>
          <w:bCs/>
          <w:color w:val="000000"/>
          <w:kern w:val="0"/>
          <w:sz w:val="28"/>
          <w:szCs w:val="28"/>
          <w:lang w:val="en-US" w:eastAsia="zh-CN" w:bidi="ar"/>
        </w:rPr>
        <w:t>2</w:t>
      </w: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w:t>
      </w:r>
    </w:p>
    <w:p w14:paraId="5F4B1EC8">
      <w:pPr>
        <w:pStyle w:val="27"/>
        <w:spacing w:line="360" w:lineRule="auto"/>
        <w:ind w:firstLine="560"/>
        <w:rPr>
          <w:rFonts w:hint="eastAsia" w:ascii="Times New Roman" w:hAnsi="Times New Roman" w:eastAsia="宋体" w:cs="Times New Roman"/>
          <w:sz w:val="28"/>
          <w:szCs w:val="28"/>
          <w:lang w:val="en-US" w:eastAsia="zh-CN"/>
        </w:rPr>
      </w:pPr>
      <w:r>
        <w:rPr>
          <w:rFonts w:hint="eastAsia" w:ascii="Times New Roman" w:hAnsi="Times New Roman" w:eastAsia="宋体" w:cs="Times New Roman"/>
          <w:sz w:val="28"/>
          <w:szCs w:val="28"/>
          <w:lang w:val="en-US" w:eastAsia="zh-CN"/>
        </w:rPr>
        <w:t>应从公司层面完善相关规定。按照安全生产有关法律法规要求，针对本企业类型和特点，全面开展安全风险辨识，辨识设备设施、作业环境、人员行为和管理体系等方面存在的安全风险；根据风险评估的结果，针对安全风险特点，从组织、制度、技术、应急等方面对安全风险进行有效管控，要通过隔离危险源、采取技术手段、实施个体防护、设置监控设施等措施，达到回避、降低和监测风险的目的；建立完善安全风险公告制度，并加强风险教育和技能培训，确保管理层和每名员工都掌握安全风险的基本情况及防范、应急措施。</w:t>
      </w:r>
    </w:p>
    <w:p w14:paraId="156A5F51">
      <w:pPr>
        <w:widowControl/>
        <w:jc w:val="left"/>
      </w:pP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资料问题</w:t>
      </w:r>
      <w:r>
        <w:rPr>
          <w:rFonts w:hint="eastAsia" w:ascii="仿宋_GB2312" w:hAnsi="宋体" w:eastAsia="仿宋_GB2312" w:cs="仿宋_GB2312"/>
          <w:b/>
          <w:bCs/>
          <w:color w:val="000000"/>
          <w:kern w:val="0"/>
          <w:sz w:val="28"/>
          <w:szCs w:val="28"/>
          <w:lang w:val="en-US" w:eastAsia="zh-CN" w:bidi="ar"/>
        </w:rPr>
        <w:t>3</w:t>
      </w: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w:t>
      </w:r>
    </w:p>
    <w:p w14:paraId="1FF56F18">
      <w:pPr>
        <w:pStyle w:val="27"/>
        <w:spacing w:line="360" w:lineRule="auto"/>
        <w:ind w:firstLine="560"/>
        <w:rPr>
          <w:rFonts w:hint="eastAsia" w:ascii="宋体" w:hAnsi="宋体" w:eastAsia="宋体"/>
          <w:sz w:val="28"/>
          <w:szCs w:val="32"/>
          <w:lang w:val="en-US" w:eastAsia="zh-CN"/>
        </w:rPr>
      </w:pPr>
      <w:r>
        <w:rPr>
          <w:rFonts w:ascii="Times New Roman" w:hAnsi="Times New Roman" w:eastAsia="宋体" w:cs="Times New Roman"/>
          <w:sz w:val="28"/>
          <w:szCs w:val="28"/>
        </w:rPr>
        <w:t>《中华人民共和国安全生产法》第</w:t>
      </w:r>
      <w:r>
        <w:rPr>
          <w:rFonts w:hint="eastAsia" w:ascii="Times New Roman" w:hAnsi="Times New Roman" w:eastAsia="宋体" w:cs="Times New Roman"/>
          <w:sz w:val="28"/>
          <w:szCs w:val="28"/>
          <w:lang w:val="en-US" w:eastAsia="zh-CN"/>
        </w:rPr>
        <w:t>二十八</w:t>
      </w:r>
      <w:r>
        <w:rPr>
          <w:rFonts w:ascii="Times New Roman" w:hAnsi="Times New Roman" w:eastAsia="宋体" w:cs="Times New Roman"/>
          <w:sz w:val="28"/>
          <w:szCs w:val="28"/>
        </w:rPr>
        <w:t>条</w:t>
      </w:r>
      <w:r>
        <w:rPr>
          <w:rFonts w:hint="eastAsia" w:ascii="Times New Roman" w:hAnsi="Times New Roman" w:eastAsia="宋体" w:cs="Times New Roman"/>
          <w:sz w:val="28"/>
          <w:szCs w:val="28"/>
          <w:lang w:eastAsia="zh-CN"/>
        </w:rPr>
        <w:t>，</w:t>
      </w:r>
      <w:r>
        <w:rPr>
          <w:rFonts w:ascii="Times New Roman" w:hAnsi="Times New Roman" w:eastAsia="宋体" w:cs="Times New Roman"/>
          <w:sz w:val="28"/>
          <w:szCs w:val="28"/>
        </w:rPr>
        <w:t>生产经营单位应</w:t>
      </w:r>
      <w:r>
        <w:rPr>
          <w:rFonts w:hint="eastAsia" w:ascii="Times New Roman" w:hAnsi="Times New Roman" w:eastAsia="宋体" w:cs="Times New Roman"/>
          <w:sz w:val="28"/>
          <w:szCs w:val="28"/>
          <w:lang w:val="en-US" w:eastAsia="zh-CN"/>
        </w:rPr>
        <w:t>当</w:t>
      </w:r>
      <w:r>
        <w:rPr>
          <w:rFonts w:ascii="Times New Roman" w:hAnsi="Times New Roman" w:eastAsia="宋体" w:cs="Times New Roman"/>
          <w:sz w:val="28"/>
          <w:szCs w:val="28"/>
          <w:highlight w:val="none"/>
        </w:rPr>
        <w:t>对从业人员进行安全生产教育和培训</w:t>
      </w:r>
      <w:r>
        <w:rPr>
          <w:rFonts w:hint="eastAsia" w:ascii="Times New Roman" w:hAnsi="Times New Roman" w:eastAsia="宋体" w:cs="Times New Roman"/>
          <w:sz w:val="28"/>
          <w:szCs w:val="28"/>
          <w:highlight w:val="none"/>
          <w:lang w:eastAsia="zh-CN"/>
        </w:rPr>
        <w:t>，</w:t>
      </w:r>
      <w:r>
        <w:rPr>
          <w:rFonts w:hint="eastAsia" w:ascii="Times New Roman" w:hAnsi="Times New Roman" w:eastAsia="宋体" w:cs="Times New Roman"/>
          <w:sz w:val="28"/>
          <w:szCs w:val="28"/>
          <w:highlight w:val="none"/>
          <w:lang w:val="en-US" w:eastAsia="zh-CN"/>
        </w:rPr>
        <w:t>并按照规定建立培训档案等。</w:t>
      </w:r>
      <w:r>
        <w:rPr>
          <w:rFonts w:hint="eastAsia" w:ascii="Times New Roman" w:hAnsi="Times New Roman" w:eastAsia="宋体" w:cs="Times New Roman"/>
          <w:sz w:val="28"/>
          <w:szCs w:val="28"/>
          <w:lang w:val="en-US" w:eastAsia="zh-CN"/>
        </w:rPr>
        <w:t>目前，仅</w:t>
      </w:r>
      <w:r>
        <w:rPr>
          <w:rFonts w:ascii="Times New Roman" w:hAnsi="Times New Roman" w:eastAsia="宋体" w:cs="Times New Roman"/>
          <w:sz w:val="28"/>
          <w:szCs w:val="28"/>
        </w:rPr>
        <w:t>提供</w:t>
      </w:r>
      <w:r>
        <w:rPr>
          <w:rFonts w:hint="eastAsia" w:ascii="Times New Roman" w:hAnsi="Times New Roman" w:eastAsia="宋体" w:cs="Times New Roman"/>
          <w:sz w:val="28"/>
          <w:szCs w:val="28"/>
        </w:rPr>
        <w:t>了安全生产规章制度及操作规程、</w:t>
      </w:r>
      <w:r>
        <w:rPr>
          <w:rFonts w:hint="eastAsia" w:ascii="Times New Roman" w:hAnsi="Times New Roman" w:eastAsia="宋体" w:cs="Times New Roman"/>
          <w:sz w:val="28"/>
          <w:szCs w:val="28"/>
          <w:lang w:val="en-US" w:eastAsia="zh-CN"/>
        </w:rPr>
        <w:t>培训记录</w:t>
      </w:r>
      <w:r>
        <w:rPr>
          <w:rFonts w:hint="eastAsia" w:ascii="Times New Roman" w:hAnsi="Times New Roman" w:eastAsia="宋体" w:cs="Times New Roman"/>
          <w:sz w:val="28"/>
          <w:szCs w:val="28"/>
        </w:rPr>
        <w:t>等文件</w:t>
      </w:r>
      <w:r>
        <w:rPr>
          <w:rFonts w:hint="eastAsia" w:ascii="宋体" w:hAnsi="宋体" w:eastAsia="宋体"/>
          <w:sz w:val="28"/>
          <w:szCs w:val="32"/>
          <w:lang w:val="en-US" w:eastAsia="zh-CN"/>
        </w:rPr>
        <w:t>，未见培训计划、考核结果等。</w:t>
      </w:r>
    </w:p>
    <w:p w14:paraId="15346C34">
      <w:pPr>
        <w:widowControl/>
        <w:jc w:val="left"/>
      </w:pP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建议措施</w:t>
      </w:r>
      <w:r>
        <w:rPr>
          <w:rFonts w:hint="eastAsia" w:ascii="仿宋_GB2312" w:hAnsi="宋体" w:eastAsia="仿宋_GB2312" w:cs="仿宋_GB2312"/>
          <w:b/>
          <w:bCs/>
          <w:color w:val="000000"/>
          <w:kern w:val="0"/>
          <w:sz w:val="28"/>
          <w:szCs w:val="28"/>
          <w:lang w:val="en-US" w:eastAsia="zh-CN" w:bidi="ar"/>
        </w:rPr>
        <w:t>3</w:t>
      </w: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w:t>
      </w:r>
    </w:p>
    <w:p w14:paraId="61299A77">
      <w:pPr>
        <w:pStyle w:val="27"/>
        <w:spacing w:line="360" w:lineRule="auto"/>
        <w:ind w:firstLine="560"/>
        <w:rPr>
          <w:rFonts w:hint="default" w:ascii="Times New Roman" w:hAnsi="Times New Roman" w:eastAsia="宋体" w:cs="Times New Roman"/>
          <w:sz w:val="28"/>
          <w:szCs w:val="28"/>
          <w:lang w:val="en-US" w:eastAsia="zh-CN"/>
        </w:rPr>
      </w:pPr>
      <w:r>
        <w:rPr>
          <w:rFonts w:hint="eastAsia" w:ascii="Times New Roman" w:hAnsi="Times New Roman" w:eastAsia="宋体" w:cs="Times New Roman"/>
          <w:sz w:val="28"/>
          <w:szCs w:val="28"/>
          <w:lang w:val="en-US" w:eastAsia="zh-CN"/>
        </w:rPr>
        <w:t>安全生产培训是把“事后整改”转化为“事前预防”的有效手段，可以通过学习实践降低事故概率，是尽职履责的必要途径。生产经营单位的主要负责人组织制定并实施本单位安全生产教育和培训计划；安全生产管理机构以及安全生产管理人员组织或者参与本单位安全生产教育和培训，如实记录安全生产教育和培训情况；生产经营单位应当建立安全生产教育和培训档案，如实记录安全生产教育和培训的时间、内容、参加人员以及考核结果等情况。</w:t>
      </w:r>
    </w:p>
    <w:p w14:paraId="35D1C752">
      <w:pPr>
        <w:pStyle w:val="3"/>
        <w:keepNext/>
        <w:keepLines/>
        <w:pageBreakBefore w:val="0"/>
        <w:widowControl w:val="0"/>
        <w:kinsoku/>
        <w:wordWrap/>
        <w:overflowPunct/>
        <w:topLinePunct w:val="0"/>
        <w:autoSpaceDE/>
        <w:autoSpaceDN/>
        <w:bidi w:val="0"/>
        <w:adjustRightInd/>
        <w:snapToGrid/>
        <w:spacing w:before="240" w:after="240" w:line="360" w:lineRule="auto"/>
        <w:textAlignment w:val="auto"/>
        <w:rPr>
          <w:rFonts w:hint="default" w:ascii="黑体" w:hAnsi="黑体" w:eastAsia="黑体" w:cs="黑体"/>
          <w:sz w:val="28"/>
          <w:szCs w:val="28"/>
          <w:lang w:val="en-US" w:eastAsia="zh-CN"/>
        </w:rPr>
      </w:pPr>
      <w:bookmarkStart w:id="9" w:name="_Toc3080"/>
      <w:r>
        <w:rPr>
          <w:rFonts w:hint="eastAsia" w:ascii="黑体" w:hAnsi="黑体" w:eastAsia="黑体" w:cs="黑体"/>
          <w:sz w:val="28"/>
          <w:szCs w:val="28"/>
          <w:lang w:val="en-US" w:eastAsia="zh-CN"/>
        </w:rPr>
        <w:t xml:space="preserve"> </w:t>
      </w:r>
      <w:bookmarkStart w:id="10" w:name="_Toc17370"/>
      <w:r>
        <w:rPr>
          <w:rFonts w:hint="eastAsia" w:ascii="黑体" w:hAnsi="黑体" w:eastAsia="黑体" w:cs="黑体"/>
          <w:sz w:val="28"/>
          <w:szCs w:val="28"/>
          <w:lang w:val="en-US" w:eastAsia="zh-CN"/>
        </w:rPr>
        <w:t>四、安全现状评估结论与建议</w:t>
      </w:r>
      <w:bookmarkEnd w:id="10"/>
    </w:p>
    <w:bookmarkEnd w:id="9"/>
    <w:p w14:paraId="1E68D766">
      <w:pPr>
        <w:pStyle w:val="4"/>
        <w:keepNext/>
        <w:keepLines/>
        <w:pageBreakBefore w:val="0"/>
        <w:widowControl w:val="0"/>
        <w:kinsoku/>
        <w:wordWrap/>
        <w:overflowPunct/>
        <w:topLinePunct w:val="0"/>
        <w:autoSpaceDE/>
        <w:autoSpaceDN/>
        <w:bidi w:val="0"/>
        <w:adjustRightInd/>
        <w:snapToGrid/>
        <w:spacing w:before="120" w:after="120" w:line="360" w:lineRule="auto"/>
        <w:textAlignment w:val="auto"/>
        <w:rPr>
          <w:rFonts w:hint="eastAsia"/>
          <w:b/>
          <w:sz w:val="28"/>
          <w:szCs w:val="21"/>
          <w:lang w:val="en-US" w:eastAsia="zh-CN"/>
        </w:rPr>
      </w:pPr>
      <w:bookmarkStart w:id="11" w:name="_Toc12651"/>
      <w:bookmarkStart w:id="12" w:name="_Toc9840"/>
      <w:bookmarkStart w:id="13" w:name="_Toc8924"/>
      <w:bookmarkStart w:id="14" w:name="_Toc4980"/>
      <w:r>
        <w:rPr>
          <w:rFonts w:hint="eastAsia"/>
          <w:b/>
          <w:sz w:val="28"/>
          <w:szCs w:val="21"/>
          <w:lang w:val="en-US" w:eastAsia="zh-CN"/>
        </w:rPr>
        <w:t>（一）评估结论</w:t>
      </w:r>
      <w:bookmarkEnd w:id="11"/>
      <w:bookmarkEnd w:id="12"/>
      <w:bookmarkEnd w:id="13"/>
      <w:bookmarkEnd w:id="14"/>
    </w:p>
    <w:p w14:paraId="1B82F119">
      <w:pPr>
        <w:pStyle w:val="27"/>
        <w:spacing w:line="360" w:lineRule="auto"/>
        <w:ind w:firstLine="560"/>
        <w:rPr>
          <w:rFonts w:hint="eastAsia" w:ascii="宋体" w:hAnsi="宋体" w:eastAsia="宋体"/>
          <w:sz w:val="28"/>
          <w:szCs w:val="28"/>
          <w:lang w:val="en-US" w:eastAsia="zh-CN"/>
        </w:rPr>
      </w:pPr>
      <w:r>
        <w:rPr>
          <w:rFonts w:hint="eastAsia" w:ascii="宋体" w:hAnsi="宋体" w:eastAsia="宋体"/>
          <w:sz w:val="28"/>
          <w:szCs w:val="28"/>
          <w:lang w:eastAsia="zh-CN"/>
        </w:rPr>
        <w:t>评估组</w:t>
      </w:r>
      <w:r>
        <w:rPr>
          <w:rFonts w:hint="eastAsia" w:ascii="宋体" w:hAnsi="宋体" w:eastAsia="宋体"/>
          <w:sz w:val="28"/>
          <w:szCs w:val="28"/>
        </w:rPr>
        <w:t>按照安全生产法律法规和《事故调查报告》中的事故间接原因、整改防范措施，对上述材料进行评估，结合专家意见和企业整改工作情况，最终认为宏盛绿佳公司现行制度</w:t>
      </w:r>
      <w:r>
        <w:rPr>
          <w:rFonts w:hint="eastAsia" w:ascii="宋体" w:hAnsi="宋体" w:eastAsia="宋体"/>
          <w:sz w:val="28"/>
          <w:szCs w:val="28"/>
          <w:lang w:val="en-US" w:eastAsia="zh-CN"/>
        </w:rPr>
        <w:t>和</w:t>
      </w:r>
      <w:r>
        <w:rPr>
          <w:rFonts w:hint="eastAsia" w:ascii="宋体" w:hAnsi="宋体" w:eastAsia="宋体"/>
          <w:sz w:val="28"/>
          <w:szCs w:val="28"/>
        </w:rPr>
        <w:t>管理措施基本符合《中华人民共和国安全生产法》相关规定</w:t>
      </w:r>
      <w:r>
        <w:rPr>
          <w:rFonts w:hint="eastAsia" w:ascii="宋体" w:hAnsi="宋体" w:eastAsia="宋体"/>
          <w:sz w:val="28"/>
          <w:szCs w:val="28"/>
          <w:lang w:val="en-US" w:eastAsia="zh-CN"/>
        </w:rPr>
        <w:t>。</w:t>
      </w:r>
    </w:p>
    <w:p w14:paraId="08D371FD">
      <w:pPr>
        <w:pStyle w:val="4"/>
        <w:keepNext/>
        <w:keepLines/>
        <w:pageBreakBefore w:val="0"/>
        <w:widowControl w:val="0"/>
        <w:kinsoku/>
        <w:wordWrap/>
        <w:overflowPunct/>
        <w:topLinePunct w:val="0"/>
        <w:autoSpaceDE/>
        <w:autoSpaceDN/>
        <w:bidi w:val="0"/>
        <w:adjustRightInd/>
        <w:snapToGrid/>
        <w:spacing w:before="120" w:after="120" w:line="360" w:lineRule="auto"/>
        <w:textAlignment w:val="auto"/>
        <w:rPr>
          <w:rFonts w:hint="eastAsia"/>
          <w:b/>
          <w:sz w:val="28"/>
          <w:szCs w:val="21"/>
          <w:lang w:val="en-US" w:eastAsia="zh-CN"/>
        </w:rPr>
      </w:pPr>
      <w:bookmarkStart w:id="15" w:name="_Toc10872"/>
      <w:bookmarkStart w:id="16" w:name="_Toc20081"/>
      <w:bookmarkStart w:id="17" w:name="_Toc28170"/>
      <w:bookmarkStart w:id="18" w:name="_Toc20801"/>
      <w:r>
        <w:rPr>
          <w:rFonts w:hint="eastAsia"/>
          <w:b/>
          <w:sz w:val="28"/>
          <w:szCs w:val="21"/>
          <w:lang w:val="en-US" w:eastAsia="zh-CN"/>
        </w:rPr>
        <w:t>（二）工作提升建议</w:t>
      </w:r>
      <w:bookmarkEnd w:id="15"/>
      <w:bookmarkEnd w:id="16"/>
      <w:bookmarkEnd w:id="17"/>
      <w:bookmarkEnd w:id="18"/>
    </w:p>
    <w:p w14:paraId="3B68DD1A">
      <w:pPr>
        <w:pStyle w:val="27"/>
        <w:spacing w:line="360" w:lineRule="auto"/>
        <w:ind w:firstLine="560"/>
        <w:rPr>
          <w:rFonts w:hint="default" w:ascii="宋体" w:hAnsi="宋体" w:eastAsia="宋体"/>
          <w:sz w:val="28"/>
          <w:szCs w:val="28"/>
          <w:lang w:val="en-US" w:eastAsia="zh-CN"/>
        </w:rPr>
      </w:pPr>
      <w:r>
        <w:rPr>
          <w:rFonts w:ascii="宋体" w:hAnsi="宋体" w:eastAsia="宋体"/>
          <w:sz w:val="28"/>
          <w:szCs w:val="28"/>
          <w:lang w:val="zh-CN"/>
        </w:rPr>
        <w:t>根据本次评估过程及结论，</w:t>
      </w:r>
      <w:r>
        <w:rPr>
          <w:rFonts w:hint="eastAsia" w:ascii="宋体" w:hAnsi="宋体" w:eastAsia="宋体"/>
          <w:sz w:val="28"/>
          <w:szCs w:val="28"/>
          <w:lang w:val="en-US" w:eastAsia="zh-CN"/>
        </w:rPr>
        <w:t>事故单位应针对安全现状评估中发现的问题积极改进落实，履行安全生产主体责任，加强安全生产管理，提高安全生产水平，并对未履行安全生产主体责任导致的后果负责。</w:t>
      </w:r>
    </w:p>
    <w:p w14:paraId="2B4C5E33">
      <w:pPr>
        <w:pStyle w:val="27"/>
        <w:spacing w:line="360" w:lineRule="auto"/>
        <w:ind w:firstLine="480"/>
        <w:rPr>
          <w:rFonts w:hint="default" w:ascii="宋体" w:hAnsi="宋体" w:eastAsia="宋体"/>
          <w:sz w:val="28"/>
          <w:szCs w:val="28"/>
          <w:lang w:val="zh-CN" w:eastAsia="zh-CN"/>
        </w:rPr>
      </w:pPr>
      <w:r>
        <w:rPr>
          <w:rFonts w:hint="eastAsia" w:ascii="宋体" w:hAnsi="宋体" w:eastAsia="宋体" w:cs="宋体"/>
          <w:sz w:val="28"/>
          <w:szCs w:val="28"/>
          <w:lang w:val="en-US" w:eastAsia="zh-CN"/>
        </w:rPr>
        <w:t>此外</w:t>
      </w:r>
      <w:r>
        <w:rPr>
          <w:rFonts w:hint="eastAsia" w:ascii="宋体" w:hAnsi="宋体" w:eastAsia="宋体" w:cs="宋体"/>
          <w:sz w:val="28"/>
          <w:szCs w:val="28"/>
          <w:lang w:val="zh-CN"/>
        </w:rPr>
        <w:t>，</w:t>
      </w:r>
      <w:r>
        <w:rPr>
          <w:rFonts w:hint="eastAsia" w:ascii="宋体" w:hAnsi="宋体" w:eastAsia="宋体"/>
          <w:sz w:val="28"/>
          <w:szCs w:val="28"/>
          <w:lang w:val="en-US" w:eastAsia="zh-CN"/>
        </w:rPr>
        <w:t>评估组还对涉及此类作业活动的相关单位的</w:t>
      </w:r>
      <w:r>
        <w:rPr>
          <w:rFonts w:hint="eastAsia" w:ascii="宋体" w:hAnsi="宋体" w:eastAsia="宋体"/>
          <w:sz w:val="28"/>
          <w:szCs w:val="28"/>
          <w:highlight w:val="none"/>
          <w:lang w:val="en-US" w:eastAsia="zh-CN"/>
        </w:rPr>
        <w:t>安全工作未来提升方向，</w:t>
      </w:r>
      <w:r>
        <w:rPr>
          <w:rFonts w:hint="default" w:ascii="宋体" w:hAnsi="宋体" w:eastAsia="宋体"/>
          <w:sz w:val="28"/>
          <w:szCs w:val="28"/>
          <w:lang w:val="zh-CN" w:eastAsia="zh-CN"/>
        </w:rPr>
        <w:t>提出以下</w:t>
      </w:r>
      <w:r>
        <w:rPr>
          <w:rFonts w:hint="eastAsia" w:ascii="宋体" w:hAnsi="宋体" w:eastAsia="宋体"/>
          <w:sz w:val="28"/>
          <w:szCs w:val="28"/>
          <w:lang w:val="en-US" w:eastAsia="zh-CN"/>
        </w:rPr>
        <w:t>安全工作</w:t>
      </w:r>
      <w:r>
        <w:rPr>
          <w:rFonts w:hint="default" w:ascii="宋体" w:hAnsi="宋体" w:eastAsia="宋体"/>
          <w:sz w:val="28"/>
          <w:szCs w:val="28"/>
          <w:lang w:val="zh-CN" w:eastAsia="zh-CN"/>
        </w:rPr>
        <w:t>建议措施</w:t>
      </w:r>
      <w:r>
        <w:rPr>
          <w:rFonts w:hint="eastAsia" w:ascii="宋体" w:hAnsi="宋体" w:eastAsia="宋体"/>
          <w:sz w:val="28"/>
          <w:szCs w:val="28"/>
          <w:lang w:val="zh-CN" w:eastAsia="zh-CN"/>
        </w:rPr>
        <w:t>（</w:t>
      </w:r>
      <w:r>
        <w:rPr>
          <w:rFonts w:hint="eastAsia" w:ascii="宋体" w:hAnsi="宋体" w:eastAsia="宋体"/>
          <w:sz w:val="28"/>
          <w:szCs w:val="28"/>
          <w:lang w:val="en-US" w:eastAsia="zh-CN"/>
        </w:rPr>
        <w:t>不局限于本次事故</w:t>
      </w:r>
      <w:r>
        <w:rPr>
          <w:rFonts w:hint="eastAsia" w:ascii="宋体" w:hAnsi="宋体" w:eastAsia="宋体"/>
          <w:sz w:val="28"/>
          <w:szCs w:val="28"/>
          <w:lang w:val="zh-CN" w:eastAsia="zh-CN"/>
        </w:rPr>
        <w:t>）</w:t>
      </w:r>
      <w:r>
        <w:rPr>
          <w:rFonts w:hint="default" w:ascii="宋体" w:hAnsi="宋体" w:eastAsia="宋体"/>
          <w:sz w:val="28"/>
          <w:szCs w:val="28"/>
          <w:lang w:val="zh-CN" w:eastAsia="zh-CN"/>
        </w:rPr>
        <w:t>：</w:t>
      </w:r>
    </w:p>
    <w:p w14:paraId="57AA1A97">
      <w:pPr>
        <w:pStyle w:val="27"/>
        <w:numPr>
          <w:ilvl w:val="0"/>
          <w:numId w:val="3"/>
        </w:numPr>
        <w:spacing w:line="360" w:lineRule="auto"/>
        <w:ind w:firstLine="560"/>
        <w:rPr>
          <w:rFonts w:ascii="宋体" w:hAnsi="宋体" w:eastAsia="宋体"/>
          <w:b/>
          <w:bCs/>
          <w:sz w:val="28"/>
          <w:szCs w:val="28"/>
        </w:rPr>
      </w:pPr>
      <w:r>
        <w:rPr>
          <w:rFonts w:hint="eastAsia" w:ascii="宋体" w:hAnsi="宋体" w:eastAsia="宋体"/>
          <w:b/>
          <w:bCs/>
          <w:sz w:val="28"/>
          <w:szCs w:val="28"/>
          <w:lang w:val="en-US" w:eastAsia="zh-CN"/>
        </w:rPr>
        <w:t>做好作业风险的教育培训</w:t>
      </w:r>
    </w:p>
    <w:p w14:paraId="721513F4">
      <w:pPr>
        <w:pageBreakBefore w:val="0"/>
        <w:kinsoku/>
        <w:wordWrap/>
        <w:overflowPunct w:val="0"/>
        <w:topLinePunct w:val="0"/>
        <w:autoSpaceDE/>
        <w:autoSpaceDN/>
        <w:bidi w:val="0"/>
        <w:adjustRightInd/>
        <w:snapToGrid/>
        <w:spacing w:line="560" w:lineRule="exact"/>
        <w:ind w:firstLine="560"/>
        <w:textAlignment w:val="auto"/>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施工行业最常见的事故原因之一是作业人员违反施工方案，冒险作业、不佩戴劳动防护用品等，导致此类不安全行为的因素，有的是劳动从业人员自身素质水平，还有很大一部分是风险告知的培训不到位。</w:t>
      </w:r>
    </w:p>
    <w:p w14:paraId="34784025">
      <w:pPr>
        <w:pStyle w:val="27"/>
        <w:spacing w:line="360" w:lineRule="auto"/>
        <w:ind w:firstLine="56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建议所有生产经营单位、施工单位分析每个岗位的设备设施、特殊作业等危险因素，结合岗位操作规程，逐步辨识重点岗位存在的风险及可能造成的后果，并提出管控措施。</w:t>
      </w:r>
    </w:p>
    <w:p w14:paraId="3C885B0B">
      <w:pPr>
        <w:pStyle w:val="27"/>
        <w:spacing w:line="360" w:lineRule="auto"/>
        <w:ind w:firstLine="56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针对有固定场所的单位，</w:t>
      </w:r>
      <w:r>
        <w:rPr>
          <w:rFonts w:hint="eastAsia" w:ascii="Times New Roman" w:hAnsi="Times New Roman" w:eastAsia="宋体" w:cs="Times New Roman"/>
          <w:sz w:val="28"/>
          <w:szCs w:val="28"/>
          <w:lang w:val="en-US" w:eastAsia="zh-CN"/>
        </w:rPr>
        <w:t>要在醒目位置和重点区域分别设置安全风险公告栏，制作岗位安全风险告知卡，标明主要安全风险、可能引发事故隐患类别、事故后果、管控措施，应急措施及报告方式等内容；针对外出派遣的作业活动，应在风险分析的</w:t>
      </w:r>
      <w:r>
        <w:rPr>
          <w:rFonts w:hint="eastAsia" w:ascii="宋体" w:hAnsi="宋体" w:eastAsia="宋体" w:cs="宋体"/>
          <w:sz w:val="28"/>
          <w:szCs w:val="28"/>
          <w:lang w:val="en-US" w:eastAsia="zh-CN"/>
        </w:rPr>
        <w:t>基础上，制定应急处置卡对危险源紧急处置措施进行说明，包括信息报告、主要处置措施以及需要使用的应急物资，明确责任分工，落实具体措施，要求简明、易懂、实用，以便于随时作业人员和监督人员随时学习和培训。</w:t>
      </w:r>
    </w:p>
    <w:p w14:paraId="5B45C584">
      <w:pPr>
        <w:pStyle w:val="27"/>
        <w:numPr>
          <w:ilvl w:val="0"/>
          <w:numId w:val="3"/>
        </w:numPr>
        <w:spacing w:line="360" w:lineRule="auto"/>
        <w:ind w:firstLine="560"/>
        <w:rPr>
          <w:rFonts w:hint="default" w:ascii="宋体" w:hAnsi="宋体" w:eastAsia="宋体"/>
          <w:b/>
          <w:bCs/>
          <w:sz w:val="28"/>
          <w:szCs w:val="28"/>
          <w:lang w:val="en-US" w:eastAsia="zh-CN"/>
        </w:rPr>
      </w:pPr>
      <w:r>
        <w:rPr>
          <w:rFonts w:hint="eastAsia" w:ascii="宋体" w:hAnsi="宋体" w:eastAsia="宋体"/>
          <w:b/>
          <w:bCs/>
          <w:sz w:val="28"/>
          <w:szCs w:val="28"/>
          <w:lang w:val="en-US" w:eastAsia="zh-CN"/>
        </w:rPr>
        <w:t>加强安全档案建设</w:t>
      </w:r>
    </w:p>
    <w:p w14:paraId="3555EDD2">
      <w:pPr>
        <w:pStyle w:val="27"/>
        <w:spacing w:line="360" w:lineRule="auto"/>
        <w:ind w:firstLine="560"/>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t>为</w:t>
      </w:r>
      <w:r>
        <w:rPr>
          <w:rFonts w:hint="eastAsia" w:ascii="宋体" w:hAnsi="宋体" w:eastAsia="宋体" w:cs="宋体"/>
          <w:sz w:val="28"/>
          <w:szCs w:val="28"/>
          <w:lang w:val="en-US" w:eastAsia="zh-CN"/>
        </w:rPr>
        <w:t>自行</w:t>
      </w:r>
      <w:r>
        <w:rPr>
          <w:rFonts w:hint="default" w:ascii="宋体" w:hAnsi="宋体" w:eastAsia="宋体" w:cs="宋体"/>
          <w:sz w:val="28"/>
          <w:szCs w:val="28"/>
          <w:lang w:val="en-US" w:eastAsia="zh-CN"/>
        </w:rPr>
        <w:t>评估安全生产责任的具体落实情况，企业可通过安全档案的建立和应用来展现，对照</w:t>
      </w:r>
      <w:r>
        <w:rPr>
          <w:rFonts w:hint="eastAsia" w:ascii="宋体" w:hAnsi="宋体" w:eastAsia="宋体" w:cs="宋体"/>
          <w:sz w:val="28"/>
          <w:szCs w:val="28"/>
          <w:lang w:val="en-US" w:eastAsia="zh-CN"/>
        </w:rPr>
        <w:t>安全生产法律法规</w:t>
      </w:r>
      <w:r>
        <w:rPr>
          <w:rFonts w:hint="default" w:ascii="宋体" w:hAnsi="宋体" w:eastAsia="宋体" w:cs="宋体"/>
          <w:sz w:val="28"/>
          <w:szCs w:val="28"/>
          <w:lang w:val="en-US" w:eastAsia="zh-CN"/>
        </w:rPr>
        <w:t>整理安全工作档案，妥善保存各项工作记录，</w:t>
      </w:r>
      <w:r>
        <w:rPr>
          <w:rFonts w:hint="eastAsia" w:ascii="宋体" w:hAnsi="宋体" w:eastAsia="宋体" w:cs="宋体"/>
          <w:sz w:val="28"/>
          <w:szCs w:val="28"/>
          <w:lang w:val="en-US" w:eastAsia="zh-CN"/>
        </w:rPr>
        <w:t>包括培训记录、演练记录、劳动用品购买清单、保险投保情况等。可以</w:t>
      </w:r>
      <w:r>
        <w:rPr>
          <w:rFonts w:hint="default" w:ascii="宋体" w:hAnsi="宋体" w:eastAsia="宋体" w:cs="宋体"/>
          <w:sz w:val="28"/>
          <w:szCs w:val="28"/>
          <w:lang w:val="en-US" w:eastAsia="zh-CN"/>
        </w:rPr>
        <w:t>制定工作记录检查汇交制度，把“收集、借阅、更新、销毁”四个环节写进公司制度，</w:t>
      </w:r>
      <w:r>
        <w:rPr>
          <w:rFonts w:hint="eastAsia" w:ascii="宋体" w:hAnsi="宋体" w:eastAsia="宋体" w:cs="宋体"/>
          <w:sz w:val="28"/>
          <w:szCs w:val="28"/>
          <w:lang w:val="en-US" w:eastAsia="zh-CN"/>
        </w:rPr>
        <w:t>明确</w:t>
      </w:r>
      <w:r>
        <w:rPr>
          <w:rFonts w:hint="default" w:ascii="宋体" w:hAnsi="宋体" w:eastAsia="宋体" w:cs="宋体"/>
          <w:sz w:val="28"/>
          <w:szCs w:val="28"/>
          <w:lang w:val="en-US" w:eastAsia="zh-CN"/>
        </w:rPr>
        <w:t>谁产生、谁负责</w:t>
      </w:r>
      <w:r>
        <w:rPr>
          <w:rFonts w:hint="eastAsia" w:ascii="宋体" w:hAnsi="宋体" w:eastAsia="宋体" w:cs="宋体"/>
          <w:sz w:val="28"/>
          <w:szCs w:val="28"/>
          <w:lang w:val="en-US" w:eastAsia="zh-CN"/>
        </w:rPr>
        <w:t>的工作要求，</w:t>
      </w:r>
      <w:r>
        <w:rPr>
          <w:rFonts w:hint="default" w:ascii="宋体" w:hAnsi="宋体" w:eastAsia="宋体" w:cs="宋体"/>
          <w:sz w:val="28"/>
          <w:szCs w:val="28"/>
          <w:lang w:val="en-US" w:eastAsia="zh-CN"/>
        </w:rPr>
        <w:t>确保工作记录的及时性、准确性，保证工作情况可查询、可追溯，提升安全工作水平。</w:t>
      </w:r>
    </w:p>
    <w:sectPr>
      <w:headerReference r:id="rId8" w:type="default"/>
      <w:footerReference r:id="rId9" w:type="default"/>
      <w:pgSz w:w="11906" w:h="16838"/>
      <w:pgMar w:top="1418" w:right="1644" w:bottom="1418" w:left="1531" w:header="851" w:footer="992" w:gutter="0"/>
      <w:cols w:space="0" w:num="1"/>
      <w:rtlGutter w:val="0"/>
      <w:docGrid w:type="lines" w:linePitch="31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Microsoft YaHei UI">
    <w:panose1 w:val="020B0503020204020204"/>
    <w:charset w:val="86"/>
    <w:family w:val="swiss"/>
    <w:pitch w:val="default"/>
    <w:sig w:usb0="80000287" w:usb1="2ACF3C50" w:usb2="00000016" w:usb3="00000000" w:csb0="0004001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B8AC00">
    <w:pPr>
      <w:pStyle w:val="12"/>
      <w:jc w:val="center"/>
    </w:pPr>
  </w:p>
  <w:p w14:paraId="112760FF">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63C8C7">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hint="default" w:ascii="Times New Roman" w:hAnsi="Times New Roman" w:cs="Times New Roman"/>
      </w:rPr>
      <w:id w:val="-13686837"/>
    </w:sdtPr>
    <w:sdtEndPr>
      <w:rPr>
        <w:rFonts w:hint="default" w:ascii="Times New Roman" w:hAnsi="Times New Roman" w:cs="Times New Roman"/>
      </w:rPr>
    </w:sdtEndPr>
    <w:sdtContent>
      <w:p w14:paraId="5E8C318D">
        <w:pPr>
          <w:pStyle w:val="12"/>
          <w:jc w:val="center"/>
        </w:pPr>
        <w:r>
          <w:rPr>
            <w:rFonts w:hint="default" w:ascii="Times New Roman" w:hAnsi="Times New Roman" w:cs="Times New Roman"/>
          </w:rPr>
          <w:fldChar w:fldCharType="begin"/>
        </w:r>
        <w:r>
          <w:rPr>
            <w:rFonts w:hint="default" w:ascii="Times New Roman" w:hAnsi="Times New Roman" w:cs="Times New Roman"/>
          </w:rPr>
          <w:instrText xml:space="preserve">PAGE   \* MERGEFORMAT</w:instrText>
        </w:r>
        <w:r>
          <w:rPr>
            <w:rFonts w:hint="default" w:ascii="Times New Roman" w:hAnsi="Times New Roman" w:cs="Times New Roman"/>
          </w:rPr>
          <w:fldChar w:fldCharType="separate"/>
        </w:r>
        <w:r>
          <w:rPr>
            <w:rFonts w:hint="default" w:ascii="Times New Roman" w:hAnsi="Times New Roman" w:cs="Times New Roman"/>
            <w:lang w:val="zh-CN"/>
          </w:rPr>
          <w:t>7</w:t>
        </w:r>
        <w:r>
          <w:rPr>
            <w:rFonts w:hint="default" w:ascii="Times New Roman" w:hAnsi="Times New Roman" w:cs="Times New Roman"/>
          </w:rP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hint="default" w:ascii="Times New Roman" w:hAnsi="Times New Roman" w:cs="Times New Roman"/>
      </w:rPr>
      <w:id w:val="147458802"/>
    </w:sdtPr>
    <w:sdtEndPr>
      <w:rPr>
        <w:rFonts w:hint="default" w:ascii="Times New Roman" w:hAnsi="Times New Roman" w:cs="Times New Roman"/>
      </w:rPr>
    </w:sdtEndPr>
    <w:sdtContent>
      <w:p w14:paraId="5E626FDC">
        <w:pPr>
          <w:pStyle w:val="12"/>
          <w:jc w:val="center"/>
        </w:pPr>
        <w:r>
          <w:rPr>
            <w:rFonts w:hint="default" w:ascii="Times New Roman" w:hAnsi="Times New Roman" w:cs="Times New Roman"/>
          </w:rPr>
          <w:fldChar w:fldCharType="begin"/>
        </w:r>
        <w:r>
          <w:rPr>
            <w:rFonts w:hint="default" w:ascii="Times New Roman" w:hAnsi="Times New Roman" w:cs="Times New Roman"/>
          </w:rPr>
          <w:instrText xml:space="preserve">PAGE   \* MERGEFORMAT</w:instrText>
        </w:r>
        <w:r>
          <w:rPr>
            <w:rFonts w:hint="default" w:ascii="Times New Roman" w:hAnsi="Times New Roman" w:cs="Times New Roman"/>
          </w:rPr>
          <w:fldChar w:fldCharType="separate"/>
        </w:r>
        <w:r>
          <w:rPr>
            <w:rFonts w:hint="default" w:ascii="Times New Roman" w:hAnsi="Times New Roman" w:cs="Times New Roman"/>
            <w:lang w:val="zh-CN"/>
          </w:rPr>
          <w:t>7</w:t>
        </w:r>
        <w:r>
          <w:rPr>
            <w:rFonts w:hint="default" w:ascii="Times New Roman" w:hAnsi="Times New Roman" w:cs="Times New Roman"/>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hint="default" w:ascii="Times New Roman" w:hAnsi="Times New Roman" w:cs="Times New Roman"/>
      </w:rPr>
      <w:id w:val="147472909"/>
    </w:sdtPr>
    <w:sdtEndPr>
      <w:rPr>
        <w:rFonts w:hint="default" w:ascii="Times New Roman" w:hAnsi="Times New Roman" w:cs="Times New Roman"/>
      </w:rPr>
    </w:sdtEndPr>
    <w:sdtContent>
      <w:p w14:paraId="6B0709B4">
        <w:pPr>
          <w:pStyle w:val="12"/>
          <w:jc w:val="center"/>
        </w:pPr>
        <w:r>
          <w:rPr>
            <w:rFonts w:hint="default" w:ascii="Times New Roman" w:hAnsi="Times New Roman" w:cs="Times New Roman"/>
          </w:rPr>
          <w:fldChar w:fldCharType="begin"/>
        </w:r>
        <w:r>
          <w:rPr>
            <w:rFonts w:hint="default" w:ascii="Times New Roman" w:hAnsi="Times New Roman" w:cs="Times New Roman"/>
          </w:rPr>
          <w:instrText xml:space="preserve">PAGE   \* MERGEFORMAT</w:instrText>
        </w:r>
        <w:r>
          <w:rPr>
            <w:rFonts w:hint="default" w:ascii="Times New Roman" w:hAnsi="Times New Roman" w:cs="Times New Roman"/>
          </w:rPr>
          <w:fldChar w:fldCharType="separate"/>
        </w:r>
        <w:r>
          <w:rPr>
            <w:rFonts w:hint="default" w:ascii="Times New Roman" w:hAnsi="Times New Roman" w:cs="Times New Roman"/>
            <w:lang w:val="zh-CN"/>
          </w:rPr>
          <w:t>7</w:t>
        </w:r>
        <w:r>
          <w:rPr>
            <w:rFonts w:hint="default" w:ascii="Times New Roman" w:hAnsi="Times New Roman" w:cs="Times New Roman"/>
          </w:rP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B2E7B9"/>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192D9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42CDC7"/>
    <w:multiLevelType w:val="multilevel"/>
    <w:tmpl w:val="8942CDC7"/>
    <w:lvl w:ilvl="0" w:tentative="0">
      <w:start w:val="1"/>
      <w:numFmt w:val="decimal"/>
      <w:suff w:val="nothing"/>
      <w:lvlText w:val="%1"/>
      <w:lvlJc w:val="center"/>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FF9BCB51"/>
    <w:multiLevelType w:val="singleLevel"/>
    <w:tmpl w:val="FF9BCB51"/>
    <w:lvl w:ilvl="0" w:tentative="0">
      <w:start w:val="1"/>
      <w:numFmt w:val="decimal"/>
      <w:suff w:val="nothing"/>
      <w:lvlText w:val="%1、"/>
      <w:lvlJc w:val="left"/>
    </w:lvl>
  </w:abstractNum>
  <w:abstractNum w:abstractNumId="2">
    <w:nsid w:val="65397192"/>
    <w:multiLevelType w:val="singleLevel"/>
    <w:tmpl w:val="65397192"/>
    <w:lvl w:ilvl="0" w:tentative="0">
      <w:start w:val="1"/>
      <w:numFmt w:val="decimal"/>
      <w:suff w:val="nothing"/>
      <w:lvlText w:val="%1、"/>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JiMGFmMGEzYWQ0ZTkzYjc2NjIzMmZkMWQ5NzU3N2YifQ=="/>
  </w:docVars>
  <w:rsids>
    <w:rsidRoot w:val="00285FDF"/>
    <w:rsid w:val="00033FC3"/>
    <w:rsid w:val="00035633"/>
    <w:rsid w:val="0004493C"/>
    <w:rsid w:val="000661DA"/>
    <w:rsid w:val="0007127B"/>
    <w:rsid w:val="000D68EE"/>
    <w:rsid w:val="000F5A8B"/>
    <w:rsid w:val="00100F64"/>
    <w:rsid w:val="0010441E"/>
    <w:rsid w:val="00124065"/>
    <w:rsid w:val="001918DD"/>
    <w:rsid w:val="001A4E27"/>
    <w:rsid w:val="001D73DD"/>
    <w:rsid w:val="001F11A0"/>
    <w:rsid w:val="001F5F52"/>
    <w:rsid w:val="0020432B"/>
    <w:rsid w:val="00206050"/>
    <w:rsid w:val="00216BDE"/>
    <w:rsid w:val="0024609C"/>
    <w:rsid w:val="002525EF"/>
    <w:rsid w:val="00265D8A"/>
    <w:rsid w:val="00276841"/>
    <w:rsid w:val="00285FDF"/>
    <w:rsid w:val="00293808"/>
    <w:rsid w:val="002C18B5"/>
    <w:rsid w:val="002E54FA"/>
    <w:rsid w:val="002F42B3"/>
    <w:rsid w:val="00312755"/>
    <w:rsid w:val="003652DC"/>
    <w:rsid w:val="00392D5E"/>
    <w:rsid w:val="00394E2E"/>
    <w:rsid w:val="003A5EF0"/>
    <w:rsid w:val="00421CD2"/>
    <w:rsid w:val="00427EC7"/>
    <w:rsid w:val="004335F3"/>
    <w:rsid w:val="0046075B"/>
    <w:rsid w:val="004B45DB"/>
    <w:rsid w:val="004C14AE"/>
    <w:rsid w:val="004F3DD5"/>
    <w:rsid w:val="00500508"/>
    <w:rsid w:val="00516A53"/>
    <w:rsid w:val="00525288"/>
    <w:rsid w:val="00526DFE"/>
    <w:rsid w:val="00560B1C"/>
    <w:rsid w:val="005735B4"/>
    <w:rsid w:val="0059462D"/>
    <w:rsid w:val="005A7985"/>
    <w:rsid w:val="005C7C6E"/>
    <w:rsid w:val="00602FA4"/>
    <w:rsid w:val="00612973"/>
    <w:rsid w:val="00621377"/>
    <w:rsid w:val="00621BC5"/>
    <w:rsid w:val="00622D25"/>
    <w:rsid w:val="00623CA5"/>
    <w:rsid w:val="0064528A"/>
    <w:rsid w:val="00657D5D"/>
    <w:rsid w:val="00664357"/>
    <w:rsid w:val="0067215B"/>
    <w:rsid w:val="00685AE8"/>
    <w:rsid w:val="0068657E"/>
    <w:rsid w:val="006A48DC"/>
    <w:rsid w:val="006A7018"/>
    <w:rsid w:val="006F5C9D"/>
    <w:rsid w:val="006F623D"/>
    <w:rsid w:val="00704DA4"/>
    <w:rsid w:val="00722B11"/>
    <w:rsid w:val="007231B2"/>
    <w:rsid w:val="00740EDE"/>
    <w:rsid w:val="007457D2"/>
    <w:rsid w:val="007504CD"/>
    <w:rsid w:val="00751E0C"/>
    <w:rsid w:val="00756B9D"/>
    <w:rsid w:val="0079226E"/>
    <w:rsid w:val="007B185F"/>
    <w:rsid w:val="007D0737"/>
    <w:rsid w:val="007D7F25"/>
    <w:rsid w:val="007E7BED"/>
    <w:rsid w:val="007F21CF"/>
    <w:rsid w:val="007F5965"/>
    <w:rsid w:val="007F62C7"/>
    <w:rsid w:val="00804A15"/>
    <w:rsid w:val="00827BA8"/>
    <w:rsid w:val="00835E4B"/>
    <w:rsid w:val="00860D5D"/>
    <w:rsid w:val="00860D77"/>
    <w:rsid w:val="00860F0F"/>
    <w:rsid w:val="008A7E92"/>
    <w:rsid w:val="008B6603"/>
    <w:rsid w:val="008D096F"/>
    <w:rsid w:val="008D39F0"/>
    <w:rsid w:val="008F2364"/>
    <w:rsid w:val="008F79A1"/>
    <w:rsid w:val="009010E1"/>
    <w:rsid w:val="00905FCF"/>
    <w:rsid w:val="00921852"/>
    <w:rsid w:val="00977D59"/>
    <w:rsid w:val="00982048"/>
    <w:rsid w:val="00986675"/>
    <w:rsid w:val="00996894"/>
    <w:rsid w:val="009A0772"/>
    <w:rsid w:val="009A492D"/>
    <w:rsid w:val="009B19DD"/>
    <w:rsid w:val="009E52CD"/>
    <w:rsid w:val="009E588A"/>
    <w:rsid w:val="009F3D38"/>
    <w:rsid w:val="00A43CA0"/>
    <w:rsid w:val="00A43CE8"/>
    <w:rsid w:val="00A52C59"/>
    <w:rsid w:val="00A64E51"/>
    <w:rsid w:val="00A826B8"/>
    <w:rsid w:val="00AA16EA"/>
    <w:rsid w:val="00AA34A4"/>
    <w:rsid w:val="00AA454F"/>
    <w:rsid w:val="00AB0554"/>
    <w:rsid w:val="00AB39CE"/>
    <w:rsid w:val="00AD1929"/>
    <w:rsid w:val="00AE0F20"/>
    <w:rsid w:val="00AE2E97"/>
    <w:rsid w:val="00AF6861"/>
    <w:rsid w:val="00B0045A"/>
    <w:rsid w:val="00B145E9"/>
    <w:rsid w:val="00B33A8F"/>
    <w:rsid w:val="00B54F6F"/>
    <w:rsid w:val="00B754B8"/>
    <w:rsid w:val="00BA6F2E"/>
    <w:rsid w:val="00BA719E"/>
    <w:rsid w:val="00BC07F9"/>
    <w:rsid w:val="00BF3D4E"/>
    <w:rsid w:val="00BF3E7A"/>
    <w:rsid w:val="00BF4191"/>
    <w:rsid w:val="00C13A45"/>
    <w:rsid w:val="00C2450C"/>
    <w:rsid w:val="00C47644"/>
    <w:rsid w:val="00C6109B"/>
    <w:rsid w:val="00C6750F"/>
    <w:rsid w:val="00CA6FC6"/>
    <w:rsid w:val="00CA7CD9"/>
    <w:rsid w:val="00CE2B07"/>
    <w:rsid w:val="00CE5D44"/>
    <w:rsid w:val="00D05A8E"/>
    <w:rsid w:val="00D05F1E"/>
    <w:rsid w:val="00D1095E"/>
    <w:rsid w:val="00D24999"/>
    <w:rsid w:val="00D40F88"/>
    <w:rsid w:val="00D63D4F"/>
    <w:rsid w:val="00D83316"/>
    <w:rsid w:val="00D93ECE"/>
    <w:rsid w:val="00D962D4"/>
    <w:rsid w:val="00DB74D4"/>
    <w:rsid w:val="00DC2FAA"/>
    <w:rsid w:val="00DF1CA1"/>
    <w:rsid w:val="00E46AA2"/>
    <w:rsid w:val="00E52B35"/>
    <w:rsid w:val="00E8104B"/>
    <w:rsid w:val="00E81FE2"/>
    <w:rsid w:val="00EA6877"/>
    <w:rsid w:val="00ED2273"/>
    <w:rsid w:val="00ED79DA"/>
    <w:rsid w:val="00EF37D2"/>
    <w:rsid w:val="00F0015F"/>
    <w:rsid w:val="00F0390F"/>
    <w:rsid w:val="00F26953"/>
    <w:rsid w:val="00F34F30"/>
    <w:rsid w:val="00F36DE9"/>
    <w:rsid w:val="00F42427"/>
    <w:rsid w:val="00F53279"/>
    <w:rsid w:val="00FA7A84"/>
    <w:rsid w:val="00FC5229"/>
    <w:rsid w:val="00FD1A37"/>
    <w:rsid w:val="00FE172C"/>
    <w:rsid w:val="00FF0A5A"/>
    <w:rsid w:val="021311B0"/>
    <w:rsid w:val="05576FA5"/>
    <w:rsid w:val="05F633D4"/>
    <w:rsid w:val="06545370"/>
    <w:rsid w:val="06997033"/>
    <w:rsid w:val="069A1A15"/>
    <w:rsid w:val="071F6E1C"/>
    <w:rsid w:val="07E46313"/>
    <w:rsid w:val="08A01F6E"/>
    <w:rsid w:val="0ABB77C9"/>
    <w:rsid w:val="0C615FF1"/>
    <w:rsid w:val="0F926C00"/>
    <w:rsid w:val="100C51FC"/>
    <w:rsid w:val="10135660"/>
    <w:rsid w:val="11C8395F"/>
    <w:rsid w:val="121E2E53"/>
    <w:rsid w:val="12BF40AA"/>
    <w:rsid w:val="150A7C17"/>
    <w:rsid w:val="180D715A"/>
    <w:rsid w:val="18504EAC"/>
    <w:rsid w:val="19CA4A8E"/>
    <w:rsid w:val="1D13560D"/>
    <w:rsid w:val="1D364A2A"/>
    <w:rsid w:val="1D4C6906"/>
    <w:rsid w:val="1F58750D"/>
    <w:rsid w:val="218A4E78"/>
    <w:rsid w:val="21A644C5"/>
    <w:rsid w:val="248E07B8"/>
    <w:rsid w:val="27697D30"/>
    <w:rsid w:val="2878627F"/>
    <w:rsid w:val="28A175EC"/>
    <w:rsid w:val="291532BB"/>
    <w:rsid w:val="29BD5C6D"/>
    <w:rsid w:val="2E54271F"/>
    <w:rsid w:val="2FD64ACE"/>
    <w:rsid w:val="3256748E"/>
    <w:rsid w:val="32F86C10"/>
    <w:rsid w:val="341A1D21"/>
    <w:rsid w:val="34EF0345"/>
    <w:rsid w:val="36A15CF3"/>
    <w:rsid w:val="3729169F"/>
    <w:rsid w:val="387173B3"/>
    <w:rsid w:val="38A66CE8"/>
    <w:rsid w:val="38C765BA"/>
    <w:rsid w:val="38D220DF"/>
    <w:rsid w:val="396D3D9E"/>
    <w:rsid w:val="3A330AC8"/>
    <w:rsid w:val="3AC76232"/>
    <w:rsid w:val="3C146687"/>
    <w:rsid w:val="3DB94D57"/>
    <w:rsid w:val="3DFA0B12"/>
    <w:rsid w:val="433E339F"/>
    <w:rsid w:val="440A1684"/>
    <w:rsid w:val="46B45C34"/>
    <w:rsid w:val="49FE7B06"/>
    <w:rsid w:val="4B2F4419"/>
    <w:rsid w:val="4C1916BA"/>
    <w:rsid w:val="4C710A10"/>
    <w:rsid w:val="4DED40AD"/>
    <w:rsid w:val="4F4B16C4"/>
    <w:rsid w:val="500550D8"/>
    <w:rsid w:val="50616B5C"/>
    <w:rsid w:val="522220AF"/>
    <w:rsid w:val="52855DD2"/>
    <w:rsid w:val="52903990"/>
    <w:rsid w:val="52B16FC2"/>
    <w:rsid w:val="540F4C1F"/>
    <w:rsid w:val="555B55F4"/>
    <w:rsid w:val="556E38DA"/>
    <w:rsid w:val="55882F61"/>
    <w:rsid w:val="55AC1F4E"/>
    <w:rsid w:val="56420F92"/>
    <w:rsid w:val="573F7F9B"/>
    <w:rsid w:val="57890AF4"/>
    <w:rsid w:val="59324BF8"/>
    <w:rsid w:val="5AF57FF0"/>
    <w:rsid w:val="5B4052B6"/>
    <w:rsid w:val="5D577820"/>
    <w:rsid w:val="5DB22BA3"/>
    <w:rsid w:val="5E2570C5"/>
    <w:rsid w:val="61A3723C"/>
    <w:rsid w:val="632F6185"/>
    <w:rsid w:val="63C93C9A"/>
    <w:rsid w:val="662D164C"/>
    <w:rsid w:val="67847CC8"/>
    <w:rsid w:val="6A732C5E"/>
    <w:rsid w:val="6B8C1AB4"/>
    <w:rsid w:val="6C0E2107"/>
    <w:rsid w:val="6D9E1107"/>
    <w:rsid w:val="6F68734C"/>
    <w:rsid w:val="79E729F7"/>
    <w:rsid w:val="7BAF1437"/>
    <w:rsid w:val="7C6A0859"/>
    <w:rsid w:val="7DF9761A"/>
    <w:rsid w:val="7ED67EC7"/>
    <w:rsid w:val="7F3618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iPriority="99"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4">
    <w:name w:val="heading 2"/>
    <w:basedOn w:val="1"/>
    <w:next w:val="1"/>
    <w:unhideWhenUsed/>
    <w:qFormat/>
    <w:uiPriority w:val="9"/>
    <w:pPr>
      <w:keepNext/>
      <w:keepLines/>
      <w:spacing w:before="260" w:beforeLines="0" w:beforeAutospacing="0" w:after="260" w:afterLines="0" w:afterAutospacing="0" w:line="413" w:lineRule="auto"/>
      <w:outlineLvl w:val="1"/>
    </w:pPr>
    <w:rPr>
      <w:rFonts w:ascii="Arial" w:hAnsi="Arial" w:eastAsia="黑体"/>
      <w:b/>
      <w:sz w:val="32"/>
    </w:rPr>
  </w:style>
  <w:style w:type="paragraph" w:styleId="5">
    <w:name w:val="heading 3"/>
    <w:basedOn w:val="1"/>
    <w:next w:val="1"/>
    <w:qFormat/>
    <w:uiPriority w:val="9"/>
    <w:pPr>
      <w:keepNext/>
      <w:keepLines/>
      <w:spacing w:after="50" w:afterLines="50" w:line="480" w:lineRule="exact"/>
      <w:outlineLvl w:val="2"/>
    </w:pPr>
    <w:rPr>
      <w:rFonts w:ascii="仿宋" w:hAnsi="仿宋"/>
      <w:b/>
      <w:sz w:val="28"/>
      <w:szCs w:val="24"/>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2">
    <w:name w:val="Plain Text"/>
    <w:basedOn w:val="1"/>
    <w:qFormat/>
    <w:uiPriority w:val="0"/>
    <w:rPr>
      <w:rFonts w:ascii="宋体" w:hAnsi="宋体"/>
    </w:rPr>
  </w:style>
  <w:style w:type="paragraph" w:styleId="6">
    <w:name w:val="toa heading"/>
    <w:basedOn w:val="1"/>
    <w:next w:val="1"/>
    <w:unhideWhenUsed/>
    <w:qFormat/>
    <w:uiPriority w:val="99"/>
    <w:pPr>
      <w:spacing w:before="120"/>
    </w:pPr>
    <w:rPr>
      <w:rFonts w:ascii="等线 Light" w:hAnsi="等线 Light"/>
      <w:szCs w:val="24"/>
    </w:rPr>
  </w:style>
  <w:style w:type="paragraph" w:styleId="7">
    <w:name w:val="annotation text"/>
    <w:basedOn w:val="1"/>
    <w:link w:val="84"/>
    <w:unhideWhenUsed/>
    <w:qFormat/>
    <w:uiPriority w:val="99"/>
    <w:pPr>
      <w:jc w:val="left"/>
    </w:pPr>
  </w:style>
  <w:style w:type="paragraph" w:styleId="8">
    <w:name w:val="Body Text"/>
    <w:basedOn w:val="1"/>
    <w:next w:val="1"/>
    <w:unhideWhenUsed/>
    <w:qFormat/>
    <w:uiPriority w:val="99"/>
    <w:pPr>
      <w:spacing w:after="120"/>
    </w:pPr>
  </w:style>
  <w:style w:type="paragraph" w:styleId="9">
    <w:name w:val="Body Text Indent"/>
    <w:basedOn w:val="1"/>
    <w:next w:val="1"/>
    <w:qFormat/>
    <w:uiPriority w:val="0"/>
    <w:pPr>
      <w:spacing w:after="120"/>
      <w:ind w:left="420" w:leftChars="200"/>
    </w:pPr>
  </w:style>
  <w:style w:type="paragraph" w:styleId="10">
    <w:name w:val="toc 3"/>
    <w:basedOn w:val="1"/>
    <w:next w:val="1"/>
    <w:unhideWhenUsed/>
    <w:qFormat/>
    <w:uiPriority w:val="39"/>
    <w:pPr>
      <w:widowControl/>
      <w:spacing w:after="100" w:line="259" w:lineRule="auto"/>
      <w:ind w:left="440"/>
      <w:jc w:val="left"/>
    </w:pPr>
    <w:rPr>
      <w:rFonts w:cs="Times New Roman"/>
      <w:kern w:val="0"/>
      <w:sz w:val="22"/>
    </w:rPr>
  </w:style>
  <w:style w:type="paragraph" w:styleId="11">
    <w:name w:val="Balloon Text"/>
    <w:basedOn w:val="1"/>
    <w:link w:val="33"/>
    <w:unhideWhenUsed/>
    <w:qFormat/>
    <w:uiPriority w:val="0"/>
    <w:rPr>
      <w:sz w:val="18"/>
      <w:szCs w:val="18"/>
    </w:rPr>
  </w:style>
  <w:style w:type="paragraph" w:styleId="12">
    <w:name w:val="footer"/>
    <w:basedOn w:val="1"/>
    <w:link w:val="30"/>
    <w:unhideWhenUsed/>
    <w:qFormat/>
    <w:uiPriority w:val="0"/>
    <w:pPr>
      <w:tabs>
        <w:tab w:val="center" w:pos="4153"/>
        <w:tab w:val="right" w:pos="8306"/>
      </w:tabs>
      <w:snapToGrid w:val="0"/>
      <w:jc w:val="left"/>
    </w:pPr>
    <w:rPr>
      <w:sz w:val="18"/>
      <w:szCs w:val="18"/>
    </w:rPr>
  </w:style>
  <w:style w:type="paragraph" w:styleId="13">
    <w:name w:val="header"/>
    <w:basedOn w:val="1"/>
    <w:link w:val="29"/>
    <w:unhideWhenUsed/>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unhideWhenUsed/>
    <w:qFormat/>
    <w:uiPriority w:val="39"/>
    <w:pPr>
      <w:widowControl/>
      <w:spacing w:after="100" w:line="259" w:lineRule="auto"/>
      <w:jc w:val="left"/>
    </w:pPr>
    <w:rPr>
      <w:rFonts w:cs="Times New Roman"/>
      <w:kern w:val="0"/>
      <w:sz w:val="22"/>
    </w:rPr>
  </w:style>
  <w:style w:type="paragraph" w:styleId="15">
    <w:name w:val="toc 2"/>
    <w:basedOn w:val="1"/>
    <w:next w:val="1"/>
    <w:unhideWhenUsed/>
    <w:qFormat/>
    <w:uiPriority w:val="39"/>
    <w:pPr>
      <w:widowControl/>
      <w:spacing w:after="100" w:line="259" w:lineRule="auto"/>
      <w:ind w:left="220"/>
      <w:jc w:val="left"/>
    </w:pPr>
    <w:rPr>
      <w:rFonts w:cs="Times New Roman"/>
      <w:kern w:val="0"/>
      <w:sz w:val="22"/>
    </w:rPr>
  </w:style>
  <w:style w:type="paragraph" w:styleId="16">
    <w:name w:val="HTML Preformatted"/>
    <w:basedOn w:val="1"/>
    <w:link w:val="31"/>
    <w:semiHidden/>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17">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8">
    <w:name w:val="annotation subject"/>
    <w:basedOn w:val="7"/>
    <w:next w:val="7"/>
    <w:link w:val="85"/>
    <w:qFormat/>
    <w:uiPriority w:val="0"/>
    <w:rPr>
      <w:b/>
      <w:bCs/>
    </w:rPr>
  </w:style>
  <w:style w:type="paragraph" w:styleId="19">
    <w:name w:val="Body Text First Indent 2"/>
    <w:basedOn w:val="9"/>
    <w:next w:val="1"/>
    <w:qFormat/>
    <w:uiPriority w:val="0"/>
    <w:pPr>
      <w:ind w:left="420" w:firstLine="210"/>
    </w:pPr>
    <w:rPr>
      <w:sz w:val="21"/>
      <w:szCs w:val="20"/>
    </w:rPr>
  </w:style>
  <w:style w:type="table" w:styleId="21">
    <w:name w:val="Table Grid"/>
    <w:basedOn w:val="2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22"/>
    <w:rPr>
      <w:b/>
      <w:bCs/>
    </w:rPr>
  </w:style>
  <w:style w:type="character" w:styleId="24">
    <w:name w:val="FollowedHyperlink"/>
    <w:basedOn w:val="22"/>
    <w:semiHidden/>
    <w:unhideWhenUsed/>
    <w:qFormat/>
    <w:uiPriority w:val="99"/>
    <w:rPr>
      <w:color w:val="800080"/>
      <w:u w:val="single"/>
    </w:rPr>
  </w:style>
  <w:style w:type="character" w:styleId="25">
    <w:name w:val="Hyperlink"/>
    <w:basedOn w:val="22"/>
    <w:unhideWhenUsed/>
    <w:qFormat/>
    <w:uiPriority w:val="99"/>
    <w:rPr>
      <w:color w:val="0563C1" w:themeColor="hyperlink"/>
      <w:u w:val="single"/>
      <w14:textFill>
        <w14:solidFill>
          <w14:schemeClr w14:val="hlink"/>
        </w14:solidFill>
      </w14:textFill>
    </w:rPr>
  </w:style>
  <w:style w:type="character" w:styleId="26">
    <w:name w:val="annotation reference"/>
    <w:basedOn w:val="22"/>
    <w:qFormat/>
    <w:uiPriority w:val="0"/>
    <w:rPr>
      <w:sz w:val="21"/>
      <w:szCs w:val="21"/>
    </w:rPr>
  </w:style>
  <w:style w:type="paragraph" w:styleId="27">
    <w:name w:val="List Paragraph"/>
    <w:basedOn w:val="1"/>
    <w:qFormat/>
    <w:uiPriority w:val="34"/>
    <w:pPr>
      <w:ind w:firstLine="420" w:firstLineChars="200"/>
    </w:pPr>
  </w:style>
  <w:style w:type="character" w:customStyle="1" w:styleId="28">
    <w:name w:val="标题 1 Char"/>
    <w:basedOn w:val="22"/>
    <w:link w:val="3"/>
    <w:qFormat/>
    <w:uiPriority w:val="9"/>
    <w:rPr>
      <w:b/>
      <w:bCs/>
      <w:kern w:val="44"/>
      <w:sz w:val="44"/>
      <w:szCs w:val="44"/>
    </w:rPr>
  </w:style>
  <w:style w:type="character" w:customStyle="1" w:styleId="29">
    <w:name w:val="页眉 Char"/>
    <w:basedOn w:val="22"/>
    <w:link w:val="13"/>
    <w:qFormat/>
    <w:uiPriority w:val="0"/>
    <w:rPr>
      <w:sz w:val="18"/>
      <w:szCs w:val="18"/>
    </w:rPr>
  </w:style>
  <w:style w:type="character" w:customStyle="1" w:styleId="30">
    <w:name w:val="页脚 Char"/>
    <w:basedOn w:val="22"/>
    <w:link w:val="12"/>
    <w:qFormat/>
    <w:uiPriority w:val="0"/>
    <w:rPr>
      <w:sz w:val="18"/>
      <w:szCs w:val="18"/>
    </w:rPr>
  </w:style>
  <w:style w:type="character" w:customStyle="1" w:styleId="31">
    <w:name w:val="HTML 预设格式 Char"/>
    <w:basedOn w:val="22"/>
    <w:link w:val="16"/>
    <w:semiHidden/>
    <w:qFormat/>
    <w:uiPriority w:val="99"/>
    <w:rPr>
      <w:rFonts w:ascii="宋体" w:hAnsi="宋体" w:eastAsia="宋体" w:cs="宋体"/>
      <w:kern w:val="0"/>
      <w:sz w:val="24"/>
      <w:szCs w:val="24"/>
    </w:rPr>
  </w:style>
  <w:style w:type="paragraph" w:customStyle="1" w:styleId="32">
    <w:name w:val="TOC 标题1"/>
    <w:basedOn w:val="3"/>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character" w:customStyle="1" w:styleId="33">
    <w:name w:val="批注框文本 Char"/>
    <w:basedOn w:val="22"/>
    <w:link w:val="11"/>
    <w:qFormat/>
    <w:uiPriority w:val="0"/>
    <w:rPr>
      <w:sz w:val="18"/>
      <w:szCs w:val="18"/>
    </w:rPr>
  </w:style>
  <w:style w:type="paragraph" w:customStyle="1" w:styleId="34">
    <w:name w:val="font5"/>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35">
    <w:name w:val="xl65"/>
    <w:basedOn w:val="1"/>
    <w:qFormat/>
    <w:uiPriority w:val="0"/>
    <w:pPr>
      <w:widowControl/>
      <w:spacing w:before="100" w:beforeAutospacing="1" w:after="100" w:afterAutospacing="1"/>
      <w:jc w:val="left"/>
      <w:textAlignment w:val="center"/>
    </w:pPr>
    <w:rPr>
      <w:rFonts w:ascii="宋体" w:hAnsi="宋体" w:eastAsia="宋体" w:cs="宋体"/>
      <w:kern w:val="0"/>
      <w:sz w:val="24"/>
      <w:szCs w:val="24"/>
    </w:rPr>
  </w:style>
  <w:style w:type="paragraph" w:customStyle="1" w:styleId="36">
    <w:name w:val="xl66"/>
    <w:basedOn w:val="1"/>
    <w:qFormat/>
    <w:uiPriority w:val="0"/>
    <w:pPr>
      <w:widowControl/>
      <w:spacing w:before="100" w:beforeAutospacing="1" w:after="100" w:afterAutospacing="1"/>
      <w:jc w:val="center"/>
      <w:textAlignment w:val="center"/>
    </w:pPr>
    <w:rPr>
      <w:rFonts w:ascii="宋体" w:hAnsi="宋体" w:eastAsia="宋体" w:cs="宋体"/>
      <w:kern w:val="0"/>
      <w:sz w:val="24"/>
      <w:szCs w:val="24"/>
    </w:rPr>
  </w:style>
  <w:style w:type="paragraph" w:customStyle="1" w:styleId="37">
    <w:name w:val="xl67"/>
    <w:basedOn w:val="1"/>
    <w:qFormat/>
    <w:uiPriority w:val="0"/>
    <w:pPr>
      <w:widowControl/>
      <w:spacing w:before="100" w:beforeAutospacing="1" w:after="100" w:afterAutospacing="1"/>
      <w:jc w:val="center"/>
      <w:textAlignment w:val="center"/>
    </w:pPr>
    <w:rPr>
      <w:rFonts w:ascii="宋体" w:hAnsi="宋体" w:eastAsia="宋体" w:cs="宋体"/>
      <w:kern w:val="0"/>
      <w:sz w:val="32"/>
      <w:szCs w:val="32"/>
    </w:rPr>
  </w:style>
  <w:style w:type="paragraph" w:customStyle="1" w:styleId="38">
    <w:name w:val="xl68"/>
    <w:basedOn w:val="1"/>
    <w:qFormat/>
    <w:uiPriority w:val="0"/>
    <w:pPr>
      <w:widowControl/>
      <w:spacing w:before="100" w:beforeAutospacing="1" w:after="100" w:afterAutospacing="1"/>
      <w:jc w:val="left"/>
      <w:textAlignment w:val="center"/>
    </w:pPr>
    <w:rPr>
      <w:rFonts w:ascii="宋体" w:hAnsi="宋体" w:eastAsia="宋体" w:cs="宋体"/>
      <w:kern w:val="0"/>
      <w:sz w:val="24"/>
      <w:szCs w:val="24"/>
    </w:rPr>
  </w:style>
  <w:style w:type="paragraph" w:customStyle="1" w:styleId="39">
    <w:name w:val="xl6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18"/>
      <w:szCs w:val="18"/>
    </w:rPr>
  </w:style>
  <w:style w:type="paragraph" w:customStyle="1" w:styleId="40">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41">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42">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18"/>
      <w:szCs w:val="18"/>
    </w:rPr>
  </w:style>
  <w:style w:type="paragraph" w:customStyle="1" w:styleId="43">
    <w:name w:val="xl73"/>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44">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45">
    <w:name w:val="xl7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eastAsia="宋体" w:cs="宋体"/>
      <w:kern w:val="0"/>
      <w:sz w:val="18"/>
      <w:szCs w:val="18"/>
    </w:rPr>
  </w:style>
  <w:style w:type="paragraph" w:customStyle="1" w:styleId="46">
    <w:name w:val="xl76"/>
    <w:basedOn w:val="1"/>
    <w:qFormat/>
    <w:uiPriority w:val="0"/>
    <w:pPr>
      <w:widowControl/>
      <w:shd w:val="clear" w:color="000000" w:fill="FFFFFF"/>
      <w:spacing w:before="100" w:beforeAutospacing="1" w:after="100" w:afterAutospacing="1"/>
      <w:jc w:val="center"/>
      <w:textAlignment w:val="center"/>
    </w:pPr>
    <w:rPr>
      <w:rFonts w:ascii="宋体" w:hAnsi="宋体" w:eastAsia="宋体" w:cs="宋体"/>
      <w:kern w:val="0"/>
      <w:sz w:val="18"/>
      <w:szCs w:val="18"/>
    </w:rPr>
  </w:style>
  <w:style w:type="paragraph" w:customStyle="1" w:styleId="47">
    <w:name w:val="xl77"/>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48">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49">
    <w:name w:val="xl7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eastAsia="宋体" w:cs="宋体"/>
      <w:kern w:val="0"/>
      <w:sz w:val="18"/>
      <w:szCs w:val="18"/>
    </w:rPr>
  </w:style>
  <w:style w:type="paragraph" w:customStyle="1" w:styleId="50">
    <w:name w:val="xl80"/>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51">
    <w:name w:val="xl81"/>
    <w:basedOn w:val="1"/>
    <w:qFormat/>
    <w:uiPriority w:val="0"/>
    <w:pPr>
      <w:widowControl/>
      <w:spacing w:before="100" w:beforeAutospacing="1" w:after="100" w:afterAutospacing="1"/>
      <w:jc w:val="left"/>
      <w:textAlignment w:val="center"/>
    </w:pPr>
    <w:rPr>
      <w:rFonts w:ascii="宋体" w:hAnsi="宋体" w:eastAsia="宋体" w:cs="宋体"/>
      <w:kern w:val="0"/>
      <w:sz w:val="18"/>
      <w:szCs w:val="18"/>
    </w:rPr>
  </w:style>
  <w:style w:type="paragraph" w:customStyle="1" w:styleId="52">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18"/>
      <w:szCs w:val="18"/>
    </w:rPr>
  </w:style>
  <w:style w:type="paragraph" w:customStyle="1" w:styleId="53">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54">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b/>
      <w:bCs/>
      <w:kern w:val="0"/>
      <w:sz w:val="20"/>
      <w:szCs w:val="20"/>
    </w:rPr>
  </w:style>
  <w:style w:type="paragraph" w:customStyle="1" w:styleId="55">
    <w:name w:val="font6"/>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56">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57">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eastAsia="宋体" w:cs="宋体"/>
      <w:kern w:val="0"/>
      <w:sz w:val="18"/>
      <w:szCs w:val="18"/>
    </w:rPr>
  </w:style>
  <w:style w:type="paragraph" w:customStyle="1" w:styleId="58">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59">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60">
    <w:name w:val="xl89"/>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61">
    <w:name w:val="xl90"/>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62">
    <w:name w:val="xl91"/>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bottom"/>
    </w:pPr>
    <w:rPr>
      <w:rFonts w:ascii="宋体" w:hAnsi="宋体" w:eastAsia="宋体" w:cs="宋体"/>
      <w:kern w:val="0"/>
      <w:sz w:val="18"/>
      <w:szCs w:val="18"/>
    </w:rPr>
  </w:style>
  <w:style w:type="paragraph" w:customStyle="1" w:styleId="63">
    <w:name w:val="xl9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64">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Calibri" w:hAnsi="Calibri" w:eastAsia="宋体" w:cs="Calibri"/>
      <w:kern w:val="0"/>
      <w:szCs w:val="21"/>
    </w:rPr>
  </w:style>
  <w:style w:type="paragraph" w:customStyle="1" w:styleId="65">
    <w:name w:val="xl94"/>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66">
    <w:name w:val="xl95"/>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67">
    <w:name w:val="xl96"/>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eastAsia="宋体" w:cs="宋体"/>
      <w:kern w:val="0"/>
      <w:sz w:val="18"/>
      <w:szCs w:val="18"/>
    </w:rPr>
  </w:style>
  <w:style w:type="paragraph" w:customStyle="1" w:styleId="68">
    <w:name w:val="xl9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69">
    <w:name w:val="xl98"/>
    <w:basedOn w:val="1"/>
    <w:qFormat/>
    <w:uiPriority w:val="0"/>
    <w:pPr>
      <w:widowControl/>
      <w:pBdr>
        <w:left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70">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71">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72">
    <w:name w:val="xl10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kern w:val="0"/>
      <w:sz w:val="18"/>
      <w:szCs w:val="18"/>
    </w:rPr>
  </w:style>
  <w:style w:type="paragraph" w:customStyle="1" w:styleId="73">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74">
    <w:name w:val="xl1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75">
    <w:name w:val="xl104"/>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pPr>
    <w:rPr>
      <w:rFonts w:ascii="宋体" w:hAnsi="宋体" w:eastAsia="宋体" w:cs="宋体"/>
      <w:kern w:val="0"/>
      <w:sz w:val="18"/>
      <w:szCs w:val="18"/>
    </w:rPr>
  </w:style>
  <w:style w:type="paragraph" w:customStyle="1" w:styleId="76">
    <w:name w:val="xl1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eastAsia="宋体" w:cs="宋体"/>
      <w:kern w:val="0"/>
      <w:sz w:val="18"/>
      <w:szCs w:val="18"/>
    </w:rPr>
  </w:style>
  <w:style w:type="paragraph" w:customStyle="1" w:styleId="77">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78">
    <w:name w:val="xl10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b/>
      <w:bCs/>
      <w:kern w:val="0"/>
      <w:sz w:val="20"/>
      <w:szCs w:val="20"/>
    </w:rPr>
  </w:style>
  <w:style w:type="paragraph" w:customStyle="1" w:styleId="79">
    <w:name w:val="xl10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eastAsia="宋体" w:cs="宋体"/>
      <w:b/>
      <w:bCs/>
      <w:kern w:val="0"/>
      <w:sz w:val="20"/>
      <w:szCs w:val="20"/>
    </w:rPr>
  </w:style>
  <w:style w:type="paragraph" w:customStyle="1" w:styleId="80">
    <w:name w:val="Default"/>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character" w:customStyle="1" w:styleId="81">
    <w:name w:val="cf01"/>
    <w:basedOn w:val="22"/>
    <w:qFormat/>
    <w:uiPriority w:val="0"/>
    <w:rPr>
      <w:rFonts w:hint="eastAsia" w:ascii="Microsoft YaHei UI" w:hAnsi="Microsoft YaHei UI" w:eastAsia="Microsoft YaHei UI"/>
      <w:sz w:val="18"/>
      <w:szCs w:val="18"/>
    </w:rPr>
  </w:style>
  <w:style w:type="paragraph" w:customStyle="1" w:styleId="82">
    <w:name w:val="修订1"/>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83">
    <w:name w:val="批注文字 字符"/>
    <w:basedOn w:val="22"/>
    <w:qFormat/>
    <w:uiPriority w:val="99"/>
    <w:rPr>
      <w:rFonts w:asciiTheme="minorHAnsi" w:hAnsiTheme="minorHAnsi" w:eastAsiaTheme="minorEastAsia" w:cstheme="minorBidi"/>
      <w:kern w:val="2"/>
      <w:sz w:val="21"/>
      <w:szCs w:val="22"/>
    </w:rPr>
  </w:style>
  <w:style w:type="character" w:customStyle="1" w:styleId="84">
    <w:name w:val="批注文字 Char"/>
    <w:basedOn w:val="22"/>
    <w:link w:val="7"/>
    <w:qFormat/>
    <w:uiPriority w:val="99"/>
    <w:rPr>
      <w:rFonts w:asciiTheme="minorHAnsi" w:hAnsiTheme="minorHAnsi" w:eastAsiaTheme="minorEastAsia" w:cstheme="minorBidi"/>
      <w:kern w:val="2"/>
      <w:sz w:val="21"/>
      <w:szCs w:val="22"/>
    </w:rPr>
  </w:style>
  <w:style w:type="character" w:customStyle="1" w:styleId="85">
    <w:name w:val="批注主题 Char"/>
    <w:basedOn w:val="84"/>
    <w:link w:val="18"/>
    <w:qFormat/>
    <w:uiPriority w:val="0"/>
    <w:rPr>
      <w:rFonts w:asciiTheme="minorHAnsi" w:hAnsiTheme="minorHAnsi" w:eastAsiaTheme="minorEastAsia" w:cstheme="minorBidi"/>
      <w:b/>
      <w:bCs/>
      <w:kern w:val="2"/>
      <w:sz w:val="21"/>
      <w:szCs w:val="22"/>
    </w:rPr>
  </w:style>
  <w:style w:type="paragraph" w:customStyle="1" w:styleId="86">
    <w:name w:val="修订1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87">
    <w:name w:val="pf0"/>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88">
    <w:name w:val="cf11"/>
    <w:basedOn w:val="22"/>
    <w:qFormat/>
    <w:uiPriority w:val="0"/>
    <w:rPr>
      <w:rFonts w:hint="eastAsia" w:ascii="Microsoft YaHei UI" w:hAnsi="Microsoft YaHei UI" w:eastAsia="Microsoft YaHei UI"/>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header" Target="header2.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8062E3-6527-4945-B372-F0664392E16F}">
  <ds:schemaRefs/>
</ds:datastoreItem>
</file>

<file path=docProps/app.xml><?xml version="1.0" encoding="utf-8"?>
<Properties xmlns="http://schemas.openxmlformats.org/officeDocument/2006/extended-properties" xmlns:vt="http://schemas.openxmlformats.org/officeDocument/2006/docPropsVTypes">
  <Template>Normal</Template>
  <Pages>19</Pages>
  <Words>505</Words>
  <Characters>514</Characters>
  <Lines>173</Lines>
  <Paragraphs>48</Paragraphs>
  <TotalTime>2</TotalTime>
  <ScaleCrop>false</ScaleCrop>
  <LinksUpToDate>false</LinksUpToDate>
  <CharactersWithSpaces>525</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2022-12-15T08:13:00Z</dcterms:created>
  <dc:creator>FENG</dc:creator>
  <cp:lastModifiedBy>轻描淡写</cp:lastModifiedBy>
  <cp:lastPrinted>2023-09-05T02:17:00Z</cp:lastPrinted>
  <dcterms:modified xsi:type="dcterms:W3CDTF">2025-11-06T01:31:44Z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8B75CCEFE8434DE4B6BB591FA9381856_13</vt:lpwstr>
  </property>
  <property fmtid="{D5CDD505-2E9C-101B-9397-08002B2CF9AE}" pid="4" name="KSOTemplateDocerSaveRecord">
    <vt:lpwstr>eyJoZGlkIjoiN2UyNGU2YTllM2QyMzdmYjFjOTc2Njc0OWViZDJmMWQiLCJ1c2VySWQiOiI0ODkxMDMzNDYifQ==</vt:lpwstr>
  </property>
</Properties>
</file>