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1A374">
      <w:pPr>
        <w:spacing w:line="360" w:lineRule="auto"/>
        <w:jc w:val="center"/>
        <w:rPr>
          <w:rFonts w:eastAsia="黑体"/>
          <w:b/>
          <w:sz w:val="54"/>
          <w:szCs w:val="54"/>
        </w:rPr>
      </w:pPr>
    </w:p>
    <w:p w14:paraId="2ACA9B1C">
      <w:pPr>
        <w:spacing w:line="360" w:lineRule="auto"/>
        <w:jc w:val="center"/>
        <w:rPr>
          <w:rFonts w:eastAsia="黑体"/>
          <w:b/>
          <w:sz w:val="54"/>
          <w:szCs w:val="54"/>
        </w:rPr>
      </w:pPr>
    </w:p>
    <w:p w14:paraId="06B8AD40">
      <w:pPr>
        <w:spacing w:line="360" w:lineRule="auto"/>
        <w:jc w:val="center"/>
        <w:rPr>
          <w:rFonts w:eastAsia="黑体"/>
          <w:b/>
          <w:sz w:val="48"/>
          <w:szCs w:val="48"/>
        </w:rPr>
      </w:pPr>
      <w:bookmarkStart w:id="0" w:name="_Toc264643771"/>
      <w:bookmarkStart w:id="1" w:name="_Toc264729017"/>
      <w:r>
        <w:rPr>
          <w:rFonts w:hint="eastAsia" w:ascii="黑体" w:hAnsi="黑体" w:eastAsia="黑体" w:cs="黑体"/>
          <w:b w:val="0"/>
          <w:bCs w:val="0"/>
          <w:sz w:val="48"/>
          <w:szCs w:val="48"/>
          <w:lang w:val="en-US" w:eastAsia="zh-CN"/>
        </w:rPr>
        <w:t>中关村商城二期-3项目2#楼西侧艺术雨棚工程“3·23”一般生产安全事故</w:t>
      </w:r>
      <w:r>
        <w:rPr>
          <w:rFonts w:hint="eastAsia" w:ascii="黑体" w:hAnsi="黑体" w:eastAsia="黑体"/>
          <w:sz w:val="48"/>
          <w:szCs w:val="48"/>
          <w:lang w:val="en-US" w:eastAsia="zh-CN"/>
        </w:rPr>
        <w:t>安全现状评估</w:t>
      </w:r>
      <w:r>
        <w:rPr>
          <w:rFonts w:hint="eastAsia" w:ascii="黑体" w:hAnsi="黑体" w:eastAsia="黑体"/>
          <w:sz w:val="48"/>
          <w:szCs w:val="48"/>
        </w:rPr>
        <w:t>报告</w:t>
      </w:r>
    </w:p>
    <w:bookmarkEnd w:id="0"/>
    <w:bookmarkEnd w:id="1"/>
    <w:p w14:paraId="2C5AB24E">
      <w:pPr>
        <w:spacing w:line="360" w:lineRule="auto"/>
        <w:jc w:val="center"/>
        <w:rPr>
          <w:rFonts w:eastAsia="黑体"/>
          <w:b/>
          <w:sz w:val="48"/>
          <w:szCs w:val="48"/>
        </w:rPr>
      </w:pPr>
    </w:p>
    <w:p w14:paraId="32E9B9A9">
      <w:pPr>
        <w:spacing w:line="360" w:lineRule="auto"/>
        <w:jc w:val="center"/>
        <w:rPr>
          <w:rFonts w:eastAsia="黑体"/>
          <w:b/>
          <w:sz w:val="48"/>
          <w:szCs w:val="48"/>
        </w:rPr>
      </w:pPr>
    </w:p>
    <w:p w14:paraId="648A9624">
      <w:pPr>
        <w:spacing w:line="360" w:lineRule="auto"/>
        <w:jc w:val="center"/>
        <w:rPr>
          <w:rFonts w:eastAsia="黑体"/>
          <w:b/>
          <w:sz w:val="48"/>
          <w:szCs w:val="48"/>
        </w:rPr>
      </w:pPr>
    </w:p>
    <w:p w14:paraId="050E2315">
      <w:pPr>
        <w:spacing w:line="360" w:lineRule="auto"/>
        <w:jc w:val="center"/>
        <w:rPr>
          <w:rFonts w:eastAsia="黑体"/>
          <w:b/>
          <w:sz w:val="48"/>
          <w:szCs w:val="48"/>
        </w:rPr>
      </w:pPr>
    </w:p>
    <w:p w14:paraId="4D2A1CEC">
      <w:pPr>
        <w:spacing w:line="360" w:lineRule="auto"/>
        <w:jc w:val="center"/>
        <w:rPr>
          <w:rFonts w:eastAsia="黑体"/>
          <w:b/>
          <w:sz w:val="48"/>
          <w:szCs w:val="48"/>
        </w:rPr>
      </w:pPr>
    </w:p>
    <w:p w14:paraId="68249C18">
      <w:pPr>
        <w:spacing w:line="360" w:lineRule="auto"/>
        <w:jc w:val="center"/>
        <w:rPr>
          <w:rFonts w:eastAsia="黑体"/>
          <w:b/>
          <w:sz w:val="48"/>
          <w:szCs w:val="48"/>
        </w:rPr>
      </w:pPr>
    </w:p>
    <w:p w14:paraId="36CF644C">
      <w:pPr>
        <w:spacing w:line="360" w:lineRule="auto"/>
        <w:jc w:val="center"/>
        <w:rPr>
          <w:rFonts w:eastAsia="黑体"/>
          <w:b/>
          <w:sz w:val="48"/>
          <w:szCs w:val="48"/>
        </w:rPr>
      </w:pPr>
    </w:p>
    <w:p w14:paraId="5FD003F1">
      <w:pPr>
        <w:spacing w:line="360" w:lineRule="auto"/>
        <w:jc w:val="center"/>
        <w:rPr>
          <w:rFonts w:eastAsia="黑体"/>
          <w:b/>
          <w:sz w:val="48"/>
          <w:szCs w:val="48"/>
        </w:rPr>
      </w:pPr>
    </w:p>
    <w:p w14:paraId="049DFFF7">
      <w:pPr>
        <w:spacing w:line="360" w:lineRule="auto"/>
        <w:jc w:val="center"/>
        <w:rPr>
          <w:rFonts w:hint="eastAsia" w:ascii="黑体" w:hAnsi="黑体" w:eastAsia="黑体"/>
          <w:sz w:val="48"/>
          <w:szCs w:val="48"/>
          <w:lang w:val="en-US" w:eastAsia="zh-CN"/>
        </w:rPr>
      </w:pPr>
      <w:r>
        <w:rPr>
          <w:rFonts w:hint="eastAsia" w:ascii="黑体" w:hAnsi="黑体" w:eastAsia="黑体"/>
          <w:sz w:val="48"/>
          <w:szCs w:val="48"/>
          <w:lang w:val="en-US" w:eastAsia="zh-CN"/>
        </w:rPr>
        <w:t>北京市科学技术研究院</w:t>
      </w:r>
    </w:p>
    <w:p w14:paraId="06B29270">
      <w:pPr>
        <w:spacing w:line="360" w:lineRule="auto"/>
        <w:jc w:val="center"/>
        <w:rPr>
          <w:rFonts w:hint="eastAsia" w:ascii="黑体" w:hAnsi="黑体" w:eastAsia="黑体"/>
          <w:sz w:val="48"/>
          <w:szCs w:val="48"/>
          <w:lang w:val="en-US" w:eastAsia="zh-CN"/>
        </w:rPr>
      </w:pPr>
      <w:r>
        <w:rPr>
          <w:rFonts w:hint="eastAsia" w:ascii="黑体" w:hAnsi="黑体" w:eastAsia="黑体"/>
          <w:sz w:val="48"/>
          <w:szCs w:val="48"/>
          <w:lang w:val="en-US" w:eastAsia="zh-CN"/>
        </w:rPr>
        <w:t xml:space="preserve">城市安全与环境科学研究所 </w:t>
      </w:r>
    </w:p>
    <w:p w14:paraId="4F888739">
      <w:pPr>
        <w:spacing w:line="360" w:lineRule="auto"/>
        <w:jc w:val="center"/>
        <w:rPr>
          <w:rFonts w:ascii="黑体" w:hAnsi="黑体" w:eastAsia="黑体"/>
          <w:sz w:val="48"/>
          <w:szCs w:val="48"/>
        </w:rPr>
      </w:pPr>
      <w:r>
        <w:rPr>
          <w:rFonts w:hint="eastAsia" w:ascii="黑体" w:hAnsi="黑体" w:eastAsia="黑体"/>
          <w:sz w:val="48"/>
          <w:szCs w:val="48"/>
        </w:rPr>
        <w:t>202</w:t>
      </w:r>
      <w:r>
        <w:rPr>
          <w:rFonts w:hint="eastAsia" w:ascii="黑体" w:hAnsi="黑体" w:eastAsia="黑体"/>
          <w:sz w:val="48"/>
          <w:szCs w:val="48"/>
          <w:lang w:val="en-US" w:eastAsia="zh-CN"/>
        </w:rPr>
        <w:t>5</w:t>
      </w:r>
      <w:r>
        <w:rPr>
          <w:rFonts w:ascii="黑体" w:hAnsi="黑体" w:eastAsia="黑体"/>
          <w:sz w:val="48"/>
          <w:szCs w:val="48"/>
        </w:rPr>
        <w:t>年</w:t>
      </w:r>
      <w:r>
        <w:rPr>
          <w:rFonts w:hint="eastAsia" w:ascii="黑体" w:hAnsi="黑体" w:eastAsia="黑体"/>
          <w:sz w:val="48"/>
          <w:szCs w:val="48"/>
          <w:lang w:val="en-US" w:eastAsia="zh-CN"/>
        </w:rPr>
        <w:t>9</w:t>
      </w:r>
      <w:bookmarkStart w:id="19" w:name="_GoBack"/>
      <w:bookmarkEnd w:id="19"/>
      <w:r>
        <w:rPr>
          <w:rFonts w:ascii="黑体" w:hAnsi="黑体" w:eastAsia="黑体"/>
          <w:sz w:val="48"/>
          <w:szCs w:val="48"/>
        </w:rPr>
        <w:t>月</w:t>
      </w:r>
    </w:p>
    <w:p w14:paraId="423E3FB1">
      <w:pPr>
        <w:spacing w:line="360" w:lineRule="auto"/>
        <w:jc w:val="center"/>
        <w:rPr>
          <w:rFonts w:ascii="黑体" w:hAnsi="黑体" w:eastAsia="黑体"/>
          <w:sz w:val="48"/>
          <w:szCs w:val="48"/>
        </w:rPr>
      </w:pPr>
    </w:p>
    <w:p w14:paraId="3503BD29">
      <w:pPr>
        <w:spacing w:line="360" w:lineRule="auto"/>
        <w:jc w:val="center"/>
        <w:rPr>
          <w:rFonts w:ascii="黑体" w:hAnsi="黑体" w:eastAsia="黑体"/>
          <w:sz w:val="48"/>
          <w:szCs w:val="48"/>
        </w:rPr>
        <w:sectPr>
          <w:footerReference r:id="rId3" w:type="default"/>
          <w:pgSz w:w="11906" w:h="16838"/>
          <w:pgMar w:top="1418" w:right="1588" w:bottom="1418" w:left="1531" w:header="851" w:footer="992" w:gutter="0"/>
          <w:cols w:space="425" w:num="1"/>
          <w:docGrid w:type="lines" w:linePitch="312" w:charSpace="0"/>
        </w:sectPr>
      </w:pPr>
    </w:p>
    <w:p w14:paraId="2BF47402">
      <w:pPr>
        <w:spacing w:before="0" w:beforeLines="0" w:after="0" w:afterLines="0" w:line="240" w:lineRule="auto"/>
        <w:ind w:left="0" w:leftChars="0" w:right="0" w:rightChars="0" w:firstLine="0" w:firstLineChars="0"/>
        <w:jc w:val="center"/>
        <w:rPr>
          <w:rFonts w:hint="eastAsia" w:ascii="黑体" w:hAnsi="黑体" w:eastAsia="黑体" w:cs="黑体"/>
          <w:sz w:val="28"/>
          <w:szCs w:val="32"/>
        </w:rPr>
      </w:pPr>
    </w:p>
    <w:p w14:paraId="6B4414E0">
      <w:pPr>
        <w:spacing w:before="0" w:beforeLines="0" w:after="0" w:afterLines="0" w:line="240" w:lineRule="auto"/>
        <w:ind w:left="0" w:leftChars="0" w:right="0" w:rightChars="0" w:firstLine="0" w:firstLineChars="0"/>
        <w:jc w:val="center"/>
        <w:rPr>
          <w:rFonts w:hint="eastAsia" w:ascii="黑体" w:hAnsi="黑体" w:eastAsia="黑体" w:cs="黑体"/>
          <w:sz w:val="28"/>
          <w:szCs w:val="32"/>
        </w:rPr>
      </w:pPr>
      <w:r>
        <w:rPr>
          <w:rFonts w:hint="eastAsia" w:ascii="黑体" w:hAnsi="黑体" w:eastAsia="黑体" w:cs="黑体"/>
          <w:sz w:val="28"/>
          <w:szCs w:val="32"/>
        </w:rPr>
        <w:t>目</w:t>
      </w:r>
      <w:r>
        <w:rPr>
          <w:rFonts w:hint="eastAsia" w:ascii="黑体" w:hAnsi="黑体" w:eastAsia="黑体" w:cs="黑体"/>
          <w:sz w:val="28"/>
          <w:szCs w:val="32"/>
          <w:lang w:val="en-US" w:eastAsia="zh-CN"/>
        </w:rPr>
        <w:t xml:space="preserve"> </w:t>
      </w:r>
      <w:r>
        <w:rPr>
          <w:rFonts w:hint="eastAsia" w:ascii="黑体" w:hAnsi="黑体" w:eastAsia="黑体" w:cs="黑体"/>
          <w:sz w:val="28"/>
          <w:szCs w:val="32"/>
        </w:rPr>
        <w:t>录</w:t>
      </w:r>
    </w:p>
    <w:p w14:paraId="6591CEE3">
      <w:pPr>
        <w:pStyle w:val="2"/>
      </w:pPr>
    </w:p>
    <w:p w14:paraId="5D812BB7">
      <w:pPr>
        <w:pStyle w:val="14"/>
        <w:pageBreakBefore w:val="0"/>
        <w:tabs>
          <w:tab w:val="right" w:leader="dot" w:pos="8787"/>
        </w:tabs>
        <w:kinsoku/>
        <w:wordWrap/>
        <w:overflowPunct/>
        <w:topLinePunct w:val="0"/>
        <w:autoSpaceDE/>
        <w:autoSpaceDN/>
        <w:bidi w:val="0"/>
        <w:adjustRightInd/>
        <w:snapToGrid/>
        <w:spacing w:after="0" w:line="360" w:lineRule="auto"/>
        <w:textAlignment w:val="auto"/>
        <w:rPr>
          <w:rFonts w:hint="default" w:ascii="Times New Roman" w:hAnsi="Times New Roman" w:cs="Times New Roman"/>
        </w:rPr>
      </w:pPr>
      <w:r>
        <w:rPr>
          <w:rFonts w:hint="default" w:ascii="Times New Roman" w:hAnsi="Times New Roman" w:eastAsia="黑体" w:cs="Times New Roman"/>
          <w:sz w:val="28"/>
          <w:szCs w:val="28"/>
          <w:lang w:val="en-US" w:eastAsia="zh-CN"/>
        </w:rPr>
        <w:fldChar w:fldCharType="begin"/>
      </w:r>
      <w:r>
        <w:rPr>
          <w:rFonts w:hint="default" w:ascii="Times New Roman" w:hAnsi="Times New Roman" w:eastAsia="黑体" w:cs="Times New Roman"/>
          <w:sz w:val="28"/>
          <w:szCs w:val="28"/>
          <w:lang w:val="en-US" w:eastAsia="zh-CN"/>
        </w:rPr>
        <w:instrText xml:space="preserve">TOC \o "1-3" \h \u </w:instrText>
      </w:r>
      <w:r>
        <w:rPr>
          <w:rFonts w:hint="default" w:ascii="Times New Roman" w:hAnsi="Times New Roman" w:eastAsia="黑体" w:cs="Times New Roman"/>
          <w:sz w:val="28"/>
          <w:szCs w:val="28"/>
          <w:lang w:val="en-US" w:eastAsia="zh-CN"/>
        </w:rPr>
        <w:fldChar w:fldCharType="separate"/>
      </w:r>
      <w:r>
        <w:rPr>
          <w:rFonts w:hint="default" w:ascii="Times New Roman" w:hAnsi="Times New Roman" w:eastAsia="黑体" w:cs="Times New Roman"/>
          <w:szCs w:val="28"/>
          <w:lang w:val="en-US" w:eastAsia="zh-CN"/>
        </w:rPr>
        <w:fldChar w:fldCharType="begin"/>
      </w:r>
      <w:r>
        <w:rPr>
          <w:rFonts w:hint="default" w:ascii="Times New Roman" w:hAnsi="Times New Roman" w:eastAsia="黑体" w:cs="Times New Roman"/>
          <w:szCs w:val="28"/>
          <w:lang w:val="en-US" w:eastAsia="zh-CN"/>
        </w:rPr>
        <w:instrText xml:space="preserve"> HYPERLINK \l _Toc26447 </w:instrText>
      </w:r>
      <w:r>
        <w:rPr>
          <w:rFonts w:hint="default" w:ascii="Times New Roman" w:hAnsi="Times New Roman" w:eastAsia="黑体" w:cs="Times New Roman"/>
          <w:szCs w:val="28"/>
          <w:lang w:val="en-US" w:eastAsia="zh-CN"/>
        </w:rPr>
        <w:fldChar w:fldCharType="separate"/>
      </w:r>
      <w:r>
        <w:rPr>
          <w:rFonts w:hint="default" w:ascii="Times New Roman" w:hAnsi="Times New Roman" w:eastAsia="黑体" w:cs="Times New Roman"/>
          <w:szCs w:val="28"/>
          <w:lang w:val="en-US" w:eastAsia="zh-CN"/>
        </w:rPr>
        <w:t>一、目的依据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_Toc26447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eastAsia="黑体" w:cs="Times New Roman"/>
          <w:szCs w:val="28"/>
          <w:lang w:val="en-US" w:eastAsia="zh-CN"/>
        </w:rPr>
        <w:fldChar w:fldCharType="end"/>
      </w:r>
    </w:p>
    <w:p w14:paraId="114F98D1">
      <w:pPr>
        <w:pStyle w:val="14"/>
        <w:pageBreakBefore w:val="0"/>
        <w:tabs>
          <w:tab w:val="right" w:leader="dot" w:pos="8787"/>
        </w:tabs>
        <w:kinsoku/>
        <w:wordWrap/>
        <w:overflowPunct/>
        <w:topLinePunct w:val="0"/>
        <w:autoSpaceDE/>
        <w:autoSpaceDN/>
        <w:bidi w:val="0"/>
        <w:adjustRightInd/>
        <w:snapToGrid/>
        <w:spacing w:after="0" w:line="360" w:lineRule="auto"/>
        <w:textAlignment w:val="auto"/>
        <w:rPr>
          <w:rFonts w:hint="default" w:ascii="Times New Roman" w:hAnsi="Times New Roman" w:cs="Times New Roman"/>
        </w:rPr>
      </w:pPr>
      <w:r>
        <w:rPr>
          <w:rFonts w:hint="default" w:ascii="Times New Roman" w:hAnsi="Times New Roman" w:eastAsia="黑体" w:cs="Times New Roman"/>
          <w:szCs w:val="28"/>
          <w:lang w:val="en-US" w:eastAsia="zh-CN"/>
        </w:rPr>
        <w:fldChar w:fldCharType="begin"/>
      </w:r>
      <w:r>
        <w:rPr>
          <w:rFonts w:hint="default" w:ascii="Times New Roman" w:hAnsi="Times New Roman" w:eastAsia="黑体" w:cs="Times New Roman"/>
          <w:szCs w:val="28"/>
          <w:lang w:val="en-US" w:eastAsia="zh-CN"/>
        </w:rPr>
        <w:instrText xml:space="preserve"> HYPERLINK \l _Toc14003 </w:instrText>
      </w:r>
      <w:r>
        <w:rPr>
          <w:rFonts w:hint="default" w:ascii="Times New Roman" w:hAnsi="Times New Roman" w:eastAsia="黑体" w:cs="Times New Roman"/>
          <w:szCs w:val="28"/>
          <w:lang w:val="en-US" w:eastAsia="zh-CN"/>
        </w:rPr>
        <w:fldChar w:fldCharType="separate"/>
      </w:r>
      <w:r>
        <w:rPr>
          <w:rFonts w:hint="default" w:ascii="Times New Roman" w:hAnsi="Times New Roman" w:eastAsia="黑体" w:cs="Times New Roman"/>
          <w:szCs w:val="28"/>
          <w:lang w:val="en-US" w:eastAsia="zh-CN"/>
        </w:rPr>
        <w:t>二、工作范围和方式</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_Toc14003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eastAsia="黑体" w:cs="Times New Roman"/>
          <w:szCs w:val="28"/>
          <w:lang w:val="en-US" w:eastAsia="zh-CN"/>
        </w:rPr>
        <w:fldChar w:fldCharType="end"/>
      </w:r>
    </w:p>
    <w:p w14:paraId="18F70BF5">
      <w:pPr>
        <w:pStyle w:val="15"/>
        <w:pageBreakBefore w:val="0"/>
        <w:tabs>
          <w:tab w:val="right" w:leader="dot" w:pos="8787"/>
        </w:tabs>
        <w:kinsoku/>
        <w:wordWrap/>
        <w:overflowPunct/>
        <w:topLinePunct w:val="0"/>
        <w:autoSpaceDE/>
        <w:autoSpaceDN/>
        <w:bidi w:val="0"/>
        <w:adjustRightInd/>
        <w:snapToGrid/>
        <w:spacing w:after="0" w:line="360" w:lineRule="auto"/>
        <w:ind w:left="0" w:firstLine="440" w:firstLineChars="200"/>
        <w:textAlignment w:val="auto"/>
        <w:rPr>
          <w:rFonts w:hint="default" w:ascii="Times New Roman" w:hAnsi="Times New Roman" w:cs="Times New Roman"/>
        </w:rPr>
      </w:pPr>
      <w:r>
        <w:rPr>
          <w:rFonts w:hint="default" w:ascii="Times New Roman" w:hAnsi="Times New Roman" w:eastAsia="黑体" w:cs="Times New Roman"/>
          <w:szCs w:val="28"/>
          <w:lang w:val="en-US" w:eastAsia="zh-CN"/>
        </w:rPr>
        <w:fldChar w:fldCharType="begin"/>
      </w:r>
      <w:r>
        <w:rPr>
          <w:rFonts w:hint="default" w:ascii="Times New Roman" w:hAnsi="Times New Roman" w:eastAsia="黑体" w:cs="Times New Roman"/>
          <w:szCs w:val="28"/>
          <w:lang w:val="en-US" w:eastAsia="zh-CN"/>
        </w:rPr>
        <w:instrText xml:space="preserve"> HYPERLINK \l _Toc24177 </w:instrText>
      </w:r>
      <w:r>
        <w:rPr>
          <w:rFonts w:hint="default" w:ascii="Times New Roman" w:hAnsi="Times New Roman" w:eastAsia="黑体" w:cs="Times New Roman"/>
          <w:szCs w:val="28"/>
          <w:lang w:val="en-US" w:eastAsia="zh-CN"/>
        </w:rPr>
        <w:fldChar w:fldCharType="separate"/>
      </w:r>
      <w:r>
        <w:rPr>
          <w:rFonts w:hint="default" w:ascii="Times New Roman" w:hAnsi="Times New Roman" w:cs="Times New Roman"/>
          <w:szCs w:val="21"/>
          <w:lang w:val="en-US" w:eastAsia="zh-CN"/>
        </w:rPr>
        <w:t>（一）资料查阅</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_Toc24177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eastAsia="黑体" w:cs="Times New Roman"/>
          <w:szCs w:val="28"/>
          <w:lang w:val="en-US" w:eastAsia="zh-CN"/>
        </w:rPr>
        <w:fldChar w:fldCharType="end"/>
      </w:r>
    </w:p>
    <w:p w14:paraId="582B5E72">
      <w:pPr>
        <w:pStyle w:val="15"/>
        <w:pageBreakBefore w:val="0"/>
        <w:tabs>
          <w:tab w:val="right" w:leader="dot" w:pos="8787"/>
        </w:tabs>
        <w:kinsoku/>
        <w:wordWrap/>
        <w:overflowPunct/>
        <w:topLinePunct w:val="0"/>
        <w:autoSpaceDE/>
        <w:autoSpaceDN/>
        <w:bidi w:val="0"/>
        <w:adjustRightInd/>
        <w:snapToGrid/>
        <w:spacing w:after="0" w:line="360" w:lineRule="auto"/>
        <w:ind w:left="0" w:firstLine="440" w:firstLineChars="200"/>
        <w:textAlignment w:val="auto"/>
        <w:rPr>
          <w:rFonts w:hint="default" w:ascii="Times New Roman" w:hAnsi="Times New Roman" w:cs="Times New Roman"/>
        </w:rPr>
      </w:pPr>
      <w:r>
        <w:rPr>
          <w:rFonts w:hint="default" w:ascii="Times New Roman" w:hAnsi="Times New Roman" w:eastAsia="黑体" w:cs="Times New Roman"/>
          <w:szCs w:val="28"/>
          <w:lang w:val="en-US" w:eastAsia="zh-CN"/>
        </w:rPr>
        <w:fldChar w:fldCharType="begin"/>
      </w:r>
      <w:r>
        <w:rPr>
          <w:rFonts w:hint="default" w:ascii="Times New Roman" w:hAnsi="Times New Roman" w:eastAsia="黑体" w:cs="Times New Roman"/>
          <w:szCs w:val="28"/>
          <w:lang w:val="en-US" w:eastAsia="zh-CN"/>
        </w:rPr>
        <w:instrText xml:space="preserve"> HYPERLINK \l _Toc27178 </w:instrText>
      </w:r>
      <w:r>
        <w:rPr>
          <w:rFonts w:hint="default" w:ascii="Times New Roman" w:hAnsi="Times New Roman" w:eastAsia="黑体" w:cs="Times New Roman"/>
          <w:szCs w:val="28"/>
          <w:lang w:val="en-US" w:eastAsia="zh-CN"/>
        </w:rPr>
        <w:fldChar w:fldCharType="separate"/>
      </w:r>
      <w:r>
        <w:rPr>
          <w:rFonts w:hint="default" w:ascii="Times New Roman" w:hAnsi="Times New Roman" w:cs="Times New Roman"/>
          <w:szCs w:val="21"/>
          <w:lang w:val="en-US" w:eastAsia="zh-CN"/>
        </w:rPr>
        <w:t>（二）座谈问询</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_Toc27178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eastAsia="黑体" w:cs="Times New Roman"/>
          <w:szCs w:val="28"/>
          <w:lang w:val="en-US" w:eastAsia="zh-CN"/>
        </w:rPr>
        <w:fldChar w:fldCharType="end"/>
      </w:r>
    </w:p>
    <w:p w14:paraId="61CB79BB">
      <w:pPr>
        <w:pStyle w:val="14"/>
        <w:pageBreakBefore w:val="0"/>
        <w:tabs>
          <w:tab w:val="right" w:leader="dot" w:pos="8787"/>
        </w:tabs>
        <w:kinsoku/>
        <w:wordWrap/>
        <w:overflowPunct/>
        <w:topLinePunct w:val="0"/>
        <w:autoSpaceDE/>
        <w:autoSpaceDN/>
        <w:bidi w:val="0"/>
        <w:adjustRightInd/>
        <w:snapToGrid/>
        <w:spacing w:after="0" w:line="360" w:lineRule="auto"/>
        <w:textAlignment w:val="auto"/>
        <w:rPr>
          <w:rFonts w:hint="default" w:ascii="Times New Roman" w:hAnsi="Times New Roman" w:cs="Times New Roman"/>
        </w:rPr>
      </w:pPr>
      <w:r>
        <w:rPr>
          <w:rFonts w:hint="default" w:ascii="Times New Roman" w:hAnsi="Times New Roman" w:eastAsia="黑体" w:cs="Times New Roman"/>
          <w:szCs w:val="28"/>
          <w:lang w:val="en-US" w:eastAsia="zh-CN"/>
        </w:rPr>
        <w:fldChar w:fldCharType="begin"/>
      </w:r>
      <w:r>
        <w:rPr>
          <w:rFonts w:hint="default" w:ascii="Times New Roman" w:hAnsi="Times New Roman" w:eastAsia="黑体" w:cs="Times New Roman"/>
          <w:szCs w:val="28"/>
          <w:lang w:val="en-US" w:eastAsia="zh-CN"/>
        </w:rPr>
        <w:instrText xml:space="preserve"> HYPERLINK \l _Toc12308 </w:instrText>
      </w:r>
      <w:r>
        <w:rPr>
          <w:rFonts w:hint="default" w:ascii="Times New Roman" w:hAnsi="Times New Roman" w:eastAsia="黑体" w:cs="Times New Roman"/>
          <w:szCs w:val="28"/>
          <w:lang w:val="en-US" w:eastAsia="zh-CN"/>
        </w:rPr>
        <w:fldChar w:fldCharType="separate"/>
      </w:r>
      <w:r>
        <w:rPr>
          <w:rFonts w:hint="default" w:ascii="Times New Roman" w:hAnsi="Times New Roman" w:eastAsia="黑体" w:cs="Times New Roman"/>
          <w:szCs w:val="28"/>
          <w:lang w:val="en-US" w:eastAsia="zh-CN"/>
        </w:rPr>
        <w:t>三、安全现状评估</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_Toc12308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eastAsia="黑体" w:cs="Times New Roman"/>
          <w:szCs w:val="28"/>
          <w:lang w:val="en-US" w:eastAsia="zh-CN"/>
        </w:rPr>
        <w:fldChar w:fldCharType="end"/>
      </w:r>
    </w:p>
    <w:p w14:paraId="7E95F71C">
      <w:pPr>
        <w:pStyle w:val="14"/>
        <w:pageBreakBefore w:val="0"/>
        <w:tabs>
          <w:tab w:val="right" w:leader="dot" w:pos="8787"/>
        </w:tabs>
        <w:kinsoku/>
        <w:wordWrap/>
        <w:overflowPunct/>
        <w:topLinePunct w:val="0"/>
        <w:autoSpaceDE/>
        <w:autoSpaceDN/>
        <w:bidi w:val="0"/>
        <w:adjustRightInd/>
        <w:snapToGrid/>
        <w:spacing w:after="0" w:line="360" w:lineRule="auto"/>
        <w:textAlignment w:val="auto"/>
        <w:rPr>
          <w:rFonts w:hint="default" w:ascii="Times New Roman" w:hAnsi="Times New Roman" w:cs="Times New Roman"/>
        </w:rPr>
      </w:pPr>
      <w:r>
        <w:rPr>
          <w:rFonts w:hint="default" w:ascii="Times New Roman" w:hAnsi="Times New Roman" w:eastAsia="黑体" w:cs="Times New Roman"/>
          <w:szCs w:val="28"/>
          <w:lang w:val="en-US" w:eastAsia="zh-CN"/>
        </w:rPr>
        <w:fldChar w:fldCharType="begin"/>
      </w:r>
      <w:r>
        <w:rPr>
          <w:rFonts w:hint="default" w:ascii="Times New Roman" w:hAnsi="Times New Roman" w:eastAsia="黑体" w:cs="Times New Roman"/>
          <w:szCs w:val="28"/>
          <w:lang w:val="en-US" w:eastAsia="zh-CN"/>
        </w:rPr>
        <w:instrText xml:space="preserve"> HYPERLINK \l _Toc27211 </w:instrText>
      </w:r>
      <w:r>
        <w:rPr>
          <w:rFonts w:hint="default" w:ascii="Times New Roman" w:hAnsi="Times New Roman" w:eastAsia="黑体" w:cs="Times New Roman"/>
          <w:szCs w:val="28"/>
          <w:lang w:val="en-US" w:eastAsia="zh-CN"/>
        </w:rPr>
        <w:fldChar w:fldCharType="separate"/>
      </w:r>
      <w:r>
        <w:rPr>
          <w:rFonts w:hint="default" w:ascii="Times New Roman" w:hAnsi="Times New Roman" w:eastAsia="黑体" w:cs="Times New Roman"/>
          <w:szCs w:val="28"/>
          <w:lang w:val="en-US" w:eastAsia="zh-CN"/>
        </w:rPr>
        <w:t>四、安全现状评估结论与建议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_Toc27211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eastAsia="黑体" w:cs="Times New Roman"/>
          <w:szCs w:val="28"/>
          <w:lang w:val="en-US" w:eastAsia="zh-CN"/>
        </w:rPr>
        <w:fldChar w:fldCharType="end"/>
      </w:r>
    </w:p>
    <w:p w14:paraId="55CCCF66">
      <w:pPr>
        <w:pStyle w:val="15"/>
        <w:pageBreakBefore w:val="0"/>
        <w:tabs>
          <w:tab w:val="right" w:leader="dot" w:pos="8787"/>
        </w:tabs>
        <w:kinsoku/>
        <w:wordWrap/>
        <w:overflowPunct/>
        <w:topLinePunct w:val="0"/>
        <w:autoSpaceDE/>
        <w:autoSpaceDN/>
        <w:bidi w:val="0"/>
        <w:adjustRightInd/>
        <w:snapToGrid/>
        <w:spacing w:after="0" w:line="360" w:lineRule="auto"/>
        <w:ind w:left="0" w:firstLine="440" w:firstLineChars="200"/>
        <w:textAlignment w:val="auto"/>
        <w:rPr>
          <w:rFonts w:hint="default" w:ascii="Times New Roman" w:hAnsi="Times New Roman" w:cs="Times New Roman"/>
        </w:rPr>
      </w:pPr>
      <w:r>
        <w:rPr>
          <w:rFonts w:hint="default" w:ascii="Times New Roman" w:hAnsi="Times New Roman" w:eastAsia="黑体" w:cs="Times New Roman"/>
          <w:szCs w:val="28"/>
          <w:lang w:val="en-US" w:eastAsia="zh-CN"/>
        </w:rPr>
        <w:fldChar w:fldCharType="begin"/>
      </w:r>
      <w:r>
        <w:rPr>
          <w:rFonts w:hint="default" w:ascii="Times New Roman" w:hAnsi="Times New Roman" w:eastAsia="黑体" w:cs="Times New Roman"/>
          <w:szCs w:val="28"/>
          <w:lang w:val="en-US" w:eastAsia="zh-CN"/>
        </w:rPr>
        <w:instrText xml:space="preserve"> HYPERLINK \l _Toc12572 </w:instrText>
      </w:r>
      <w:r>
        <w:rPr>
          <w:rFonts w:hint="default" w:ascii="Times New Roman" w:hAnsi="Times New Roman" w:eastAsia="黑体" w:cs="Times New Roman"/>
          <w:szCs w:val="28"/>
          <w:lang w:val="en-US" w:eastAsia="zh-CN"/>
        </w:rPr>
        <w:fldChar w:fldCharType="separate"/>
      </w:r>
      <w:r>
        <w:rPr>
          <w:rFonts w:hint="default" w:ascii="Times New Roman" w:hAnsi="Times New Roman" w:cs="Times New Roman"/>
          <w:szCs w:val="21"/>
          <w:lang w:val="en-US" w:eastAsia="zh-CN"/>
        </w:rPr>
        <w:t>（一）评估结论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_Toc12572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eastAsia="黑体" w:cs="Times New Roman"/>
          <w:szCs w:val="28"/>
          <w:lang w:val="en-US" w:eastAsia="zh-CN"/>
        </w:rPr>
        <w:fldChar w:fldCharType="end"/>
      </w:r>
    </w:p>
    <w:p w14:paraId="0C120924">
      <w:pPr>
        <w:pStyle w:val="15"/>
        <w:pageBreakBefore w:val="0"/>
        <w:tabs>
          <w:tab w:val="right" w:leader="dot" w:pos="8787"/>
        </w:tabs>
        <w:kinsoku/>
        <w:wordWrap/>
        <w:overflowPunct/>
        <w:topLinePunct w:val="0"/>
        <w:autoSpaceDE/>
        <w:autoSpaceDN/>
        <w:bidi w:val="0"/>
        <w:adjustRightInd/>
        <w:snapToGrid/>
        <w:spacing w:after="0" w:line="360" w:lineRule="auto"/>
        <w:ind w:left="0" w:firstLine="440" w:firstLineChars="200"/>
        <w:textAlignment w:val="auto"/>
        <w:rPr>
          <w:rFonts w:hint="default" w:ascii="Times New Roman" w:hAnsi="Times New Roman" w:cs="Times New Roman"/>
        </w:rPr>
      </w:pPr>
      <w:r>
        <w:rPr>
          <w:rFonts w:hint="default" w:ascii="Times New Roman" w:hAnsi="Times New Roman" w:eastAsia="黑体" w:cs="Times New Roman"/>
          <w:szCs w:val="28"/>
          <w:lang w:val="en-US" w:eastAsia="zh-CN"/>
        </w:rPr>
        <w:fldChar w:fldCharType="begin"/>
      </w:r>
      <w:r>
        <w:rPr>
          <w:rFonts w:hint="default" w:ascii="Times New Roman" w:hAnsi="Times New Roman" w:eastAsia="黑体" w:cs="Times New Roman"/>
          <w:szCs w:val="28"/>
          <w:lang w:val="en-US" w:eastAsia="zh-CN"/>
        </w:rPr>
        <w:instrText xml:space="preserve"> HYPERLINK \l _Toc20478 </w:instrText>
      </w:r>
      <w:r>
        <w:rPr>
          <w:rFonts w:hint="default" w:ascii="Times New Roman" w:hAnsi="Times New Roman" w:eastAsia="黑体" w:cs="Times New Roman"/>
          <w:szCs w:val="28"/>
          <w:lang w:val="en-US" w:eastAsia="zh-CN"/>
        </w:rPr>
        <w:fldChar w:fldCharType="separate"/>
      </w:r>
      <w:r>
        <w:rPr>
          <w:rFonts w:hint="default" w:ascii="Times New Roman" w:hAnsi="Times New Roman" w:cs="Times New Roman"/>
          <w:szCs w:val="21"/>
          <w:lang w:val="en-US" w:eastAsia="zh-CN"/>
        </w:rPr>
        <w:t>（二）工作提升建议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_Toc20478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eastAsia="黑体" w:cs="Times New Roman"/>
          <w:szCs w:val="28"/>
          <w:lang w:val="en-US" w:eastAsia="zh-CN"/>
        </w:rPr>
        <w:fldChar w:fldCharType="end"/>
      </w:r>
    </w:p>
    <w:p w14:paraId="150BAB94">
      <w:pPr>
        <w:pStyle w:val="4"/>
        <w:keepNext/>
        <w:keepLines/>
        <w:pageBreakBefore w:val="0"/>
        <w:widowControl w:val="0"/>
        <w:kinsoku/>
        <w:wordWrap/>
        <w:overflowPunct/>
        <w:topLinePunct w:val="0"/>
        <w:autoSpaceDE/>
        <w:autoSpaceDN/>
        <w:bidi w:val="0"/>
        <w:adjustRightInd/>
        <w:snapToGrid/>
        <w:spacing w:before="0" w:after="0" w:line="360" w:lineRule="auto"/>
        <w:ind w:left="0" w:firstLine="883" w:firstLineChars="200"/>
        <w:jc w:val="both"/>
        <w:textAlignment w:val="auto"/>
        <w:outlineLvl w:val="9"/>
        <w:rPr>
          <w:rFonts w:hint="eastAsia" w:ascii="黑体" w:hAnsi="黑体" w:eastAsia="黑体" w:cs="黑体"/>
          <w:sz w:val="28"/>
          <w:szCs w:val="28"/>
          <w:lang w:val="en-US" w:eastAsia="zh-CN"/>
        </w:rPr>
      </w:pPr>
      <w:r>
        <w:rPr>
          <w:rFonts w:hint="default" w:ascii="Times New Roman" w:hAnsi="Times New Roman" w:eastAsia="黑体" w:cs="Times New Roman"/>
          <w:szCs w:val="28"/>
          <w:lang w:val="en-US" w:eastAsia="zh-CN"/>
        </w:rPr>
        <w:fldChar w:fldCharType="end"/>
      </w:r>
    </w:p>
    <w:p w14:paraId="389DBCF7">
      <w:pPr>
        <w:bidi w:val="0"/>
        <w:rPr>
          <w:rFonts w:hint="eastAsia"/>
          <w:lang w:val="en-US" w:eastAsia="zh-CN"/>
        </w:rPr>
      </w:pPr>
    </w:p>
    <w:p w14:paraId="01734663">
      <w:pPr>
        <w:bidi w:val="0"/>
        <w:rPr>
          <w:rFonts w:hint="eastAsia"/>
          <w:lang w:val="en-US" w:eastAsia="zh-CN"/>
        </w:rPr>
      </w:pPr>
    </w:p>
    <w:p w14:paraId="063B5897">
      <w:pPr>
        <w:bidi w:val="0"/>
        <w:rPr>
          <w:rFonts w:hint="eastAsia"/>
          <w:lang w:val="en-US" w:eastAsia="zh-CN"/>
        </w:rPr>
      </w:pPr>
    </w:p>
    <w:p w14:paraId="3451528B">
      <w:pPr>
        <w:bidi w:val="0"/>
        <w:rPr>
          <w:rFonts w:hint="eastAsia"/>
          <w:lang w:val="en-US" w:eastAsia="zh-CN"/>
        </w:rPr>
      </w:pPr>
    </w:p>
    <w:p w14:paraId="7AC89E67">
      <w:pPr>
        <w:bidi w:val="0"/>
        <w:rPr>
          <w:rFonts w:hint="eastAsia"/>
          <w:lang w:val="en-US" w:eastAsia="zh-CN"/>
        </w:rPr>
      </w:pPr>
    </w:p>
    <w:p w14:paraId="2A11E709">
      <w:pPr>
        <w:bidi w:val="0"/>
        <w:rPr>
          <w:rFonts w:hint="eastAsia"/>
          <w:lang w:val="en-US" w:eastAsia="zh-CN"/>
        </w:rPr>
      </w:pPr>
    </w:p>
    <w:p w14:paraId="1AD28ED3">
      <w:pPr>
        <w:bidi w:val="0"/>
        <w:rPr>
          <w:rFonts w:hint="eastAsia"/>
          <w:lang w:val="en-US" w:eastAsia="zh-CN"/>
        </w:rPr>
      </w:pPr>
    </w:p>
    <w:p w14:paraId="6E2A7B75">
      <w:pPr>
        <w:bidi w:val="0"/>
        <w:rPr>
          <w:rFonts w:hint="eastAsia"/>
          <w:lang w:val="en-US" w:eastAsia="zh-CN"/>
        </w:rPr>
      </w:pPr>
    </w:p>
    <w:p w14:paraId="37B3EF44">
      <w:pPr>
        <w:bidi w:val="0"/>
        <w:rPr>
          <w:rFonts w:hint="eastAsia"/>
          <w:lang w:val="en-US" w:eastAsia="zh-CN"/>
        </w:rPr>
      </w:pPr>
    </w:p>
    <w:p w14:paraId="1A12CA62">
      <w:pPr>
        <w:tabs>
          <w:tab w:val="left" w:pos="417"/>
        </w:tabs>
        <w:bidi w:val="0"/>
        <w:jc w:val="left"/>
        <w:sectPr>
          <w:headerReference r:id="rId4" w:type="default"/>
          <w:footerReference r:id="rId5" w:type="default"/>
          <w:pgSz w:w="11906" w:h="16838"/>
          <w:pgMar w:top="1418" w:right="1588" w:bottom="1418" w:left="1531" w:header="851" w:footer="992" w:gutter="0"/>
          <w:cols w:space="425" w:num="1"/>
          <w:docGrid w:type="lines" w:linePitch="312" w:charSpace="0"/>
        </w:sectPr>
      </w:pPr>
      <w:r>
        <w:rPr>
          <w:rFonts w:hint="eastAsia"/>
          <w:lang w:val="en-US" w:eastAsia="zh-CN"/>
        </w:rPr>
        <w:tab/>
      </w:r>
    </w:p>
    <w:p w14:paraId="0416B717">
      <w:pPr>
        <w:pStyle w:val="4"/>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eastAsia" w:ascii="黑体" w:hAnsi="黑体" w:eastAsia="黑体" w:cs="黑体"/>
          <w:sz w:val="28"/>
          <w:szCs w:val="28"/>
          <w:lang w:val="en-US" w:eastAsia="zh-CN"/>
        </w:rPr>
      </w:pPr>
      <w:bookmarkStart w:id="2" w:name="_Toc4192"/>
      <w:bookmarkStart w:id="3" w:name="_Toc26447"/>
      <w:r>
        <w:rPr>
          <w:rFonts w:hint="eastAsia" w:ascii="黑体" w:hAnsi="黑体" w:eastAsia="黑体" w:cs="黑体"/>
          <w:sz w:val="28"/>
          <w:szCs w:val="28"/>
          <w:lang w:val="en-US" w:eastAsia="zh-CN"/>
        </w:rPr>
        <w:t>一、目的依据</w:t>
      </w:r>
      <w:bookmarkEnd w:id="2"/>
      <w:bookmarkEnd w:id="3"/>
    </w:p>
    <w:p w14:paraId="13D2D0F7">
      <w:pPr>
        <w:pStyle w:val="27"/>
        <w:spacing w:line="360" w:lineRule="auto"/>
        <w:ind w:firstLine="480"/>
        <w:rPr>
          <w:rFonts w:ascii="宋体" w:hAnsi="宋体" w:eastAsia="宋体"/>
          <w:sz w:val="28"/>
          <w:szCs w:val="28"/>
        </w:rPr>
      </w:pPr>
      <w:r>
        <w:rPr>
          <w:rFonts w:hint="eastAsia" w:ascii="宋体" w:hAnsi="宋体" w:eastAsia="宋体"/>
          <w:sz w:val="28"/>
          <w:szCs w:val="28"/>
          <w:lang w:val="en-US" w:eastAsia="zh-CN"/>
        </w:rPr>
        <w:t>为充分发挥事故调查处理对加强和改进安全生产工作的促进作用，督促</w:t>
      </w:r>
      <w:r>
        <w:rPr>
          <w:rFonts w:hint="eastAsia" w:ascii="宋体" w:hAnsi="宋体" w:eastAsia="宋体"/>
          <w:sz w:val="28"/>
          <w:szCs w:val="28"/>
        </w:rPr>
        <w:t>落实生产经营单位的安全生产主体责任，防范和减少事故发生，保障人民群众生命财产安全，依据</w:t>
      </w:r>
      <w:r>
        <w:rPr>
          <w:rFonts w:hint="eastAsia" w:ascii="宋体" w:hAnsi="宋体" w:eastAsia="宋体"/>
          <w:sz w:val="28"/>
          <w:szCs w:val="28"/>
          <w:lang w:val="en-US" w:eastAsia="zh-CN"/>
        </w:rPr>
        <w:t>《北京市生产安全事故整改和防范措施落实情况评估办法》</w:t>
      </w:r>
      <w:r>
        <w:rPr>
          <w:rFonts w:ascii="宋体" w:hAnsi="宋体" w:eastAsia="宋体"/>
          <w:sz w:val="28"/>
          <w:szCs w:val="28"/>
        </w:rPr>
        <w:t>等文件要求</w:t>
      </w:r>
      <w:r>
        <w:rPr>
          <w:rFonts w:hint="eastAsia" w:ascii="宋体" w:hAnsi="宋体" w:eastAsia="宋体"/>
          <w:sz w:val="28"/>
          <w:szCs w:val="28"/>
        </w:rPr>
        <w:t>，</w:t>
      </w:r>
      <w:r>
        <w:rPr>
          <w:rFonts w:hint="eastAsia" w:ascii="宋体" w:hAnsi="宋体" w:eastAsia="宋体"/>
          <w:sz w:val="28"/>
          <w:szCs w:val="28"/>
          <w:lang w:val="en-US" w:eastAsia="zh-CN"/>
        </w:rPr>
        <w:t>开展本次一般生产安全事故现场安全现状评估工作</w:t>
      </w:r>
      <w:r>
        <w:rPr>
          <w:rFonts w:hint="eastAsia" w:ascii="宋体" w:hAnsi="宋体" w:eastAsia="宋体"/>
          <w:sz w:val="28"/>
          <w:szCs w:val="28"/>
        </w:rPr>
        <w:t>。</w:t>
      </w:r>
    </w:p>
    <w:p w14:paraId="6D58ABA9">
      <w:pPr>
        <w:pStyle w:val="4"/>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eastAsia" w:ascii="黑体" w:hAnsi="黑体" w:eastAsia="黑体" w:cs="黑体"/>
          <w:sz w:val="28"/>
          <w:szCs w:val="28"/>
          <w:lang w:val="en-US" w:eastAsia="zh-CN"/>
        </w:rPr>
      </w:pPr>
      <w:bookmarkStart w:id="4" w:name="_Toc26337"/>
      <w:bookmarkStart w:id="5" w:name="_Toc14003"/>
      <w:r>
        <w:rPr>
          <w:rFonts w:hint="eastAsia" w:ascii="黑体" w:hAnsi="黑体" w:eastAsia="黑体" w:cs="黑体"/>
          <w:sz w:val="28"/>
          <w:szCs w:val="28"/>
          <w:lang w:val="en-US" w:eastAsia="zh-CN"/>
        </w:rPr>
        <w:t>二、工作</w:t>
      </w:r>
      <w:bookmarkEnd w:id="4"/>
      <w:r>
        <w:rPr>
          <w:rFonts w:hint="eastAsia" w:ascii="黑体" w:hAnsi="黑体" w:eastAsia="黑体" w:cs="黑体"/>
          <w:sz w:val="28"/>
          <w:szCs w:val="28"/>
          <w:lang w:val="en-US" w:eastAsia="zh-CN"/>
        </w:rPr>
        <w:t>范围和方式</w:t>
      </w:r>
      <w:bookmarkEnd w:id="5"/>
    </w:p>
    <w:p w14:paraId="0B534E69">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1.本次现场评估的对象是江苏中南建筑产业集团有限责任公司（以下简称：江苏中南建筑公司）和中星联丰建设集团有限公司（以下简称：中星联丰建设公司）。</w:t>
      </w:r>
    </w:p>
    <w:p w14:paraId="34883034">
      <w:pPr>
        <w:pStyle w:val="27"/>
        <w:spacing w:line="360" w:lineRule="auto"/>
        <w:ind w:firstLine="560"/>
        <w:rPr>
          <w:rFonts w:ascii="宋体" w:hAnsi="宋体" w:eastAsia="宋体"/>
          <w:sz w:val="28"/>
          <w:szCs w:val="28"/>
        </w:rPr>
      </w:pPr>
      <w:r>
        <w:rPr>
          <w:rFonts w:hint="eastAsia" w:ascii="宋体" w:hAnsi="宋体" w:eastAsia="宋体"/>
          <w:sz w:val="28"/>
          <w:szCs w:val="28"/>
          <w:lang w:val="en-US" w:eastAsia="zh-CN"/>
        </w:rPr>
        <w:t>2.经核实，事</w:t>
      </w:r>
      <w:r>
        <w:rPr>
          <w:rFonts w:hint="default" w:ascii="宋体" w:hAnsi="宋体" w:eastAsia="宋体"/>
          <w:sz w:val="28"/>
          <w:szCs w:val="28"/>
          <w:lang w:val="en-US" w:eastAsia="zh-CN"/>
        </w:rPr>
        <w:t>故现场装修已施工结束，已移交建设单位开展运营</w:t>
      </w:r>
      <w:r>
        <w:rPr>
          <w:rFonts w:hint="eastAsia" w:ascii="宋体" w:hAnsi="宋体" w:eastAsia="宋体"/>
          <w:sz w:val="28"/>
          <w:szCs w:val="28"/>
          <w:lang w:val="en-US" w:eastAsia="zh-CN"/>
        </w:rPr>
        <w:t>，</w:t>
      </w:r>
      <w:r>
        <w:rPr>
          <w:rFonts w:hint="eastAsia" w:ascii="宋体" w:hAnsi="宋体" w:eastAsia="宋体"/>
          <w:sz w:val="28"/>
          <w:szCs w:val="28"/>
        </w:rPr>
        <w:t>且两家事故责任单位</w:t>
      </w:r>
      <w:r>
        <w:rPr>
          <w:rFonts w:hint="eastAsia" w:ascii="宋体" w:hAnsi="宋体" w:eastAsia="宋体"/>
          <w:sz w:val="28"/>
          <w:szCs w:val="28"/>
          <w:lang w:val="en-US" w:eastAsia="zh-CN"/>
        </w:rPr>
        <w:t>目前</w:t>
      </w:r>
      <w:r>
        <w:rPr>
          <w:rFonts w:hint="eastAsia" w:ascii="宋体" w:hAnsi="宋体" w:eastAsia="宋体"/>
          <w:sz w:val="28"/>
          <w:szCs w:val="28"/>
        </w:rPr>
        <w:t>均无相关施工活动。本次评估主要通过内业资料调查，评估企业整改</w:t>
      </w:r>
      <w:r>
        <w:rPr>
          <w:rFonts w:hint="eastAsia" w:ascii="宋体" w:hAnsi="宋体" w:eastAsia="宋体"/>
          <w:sz w:val="28"/>
          <w:szCs w:val="28"/>
          <w:lang w:val="en-US" w:eastAsia="zh-CN"/>
        </w:rPr>
        <w:t>和现状落实</w:t>
      </w:r>
      <w:r>
        <w:rPr>
          <w:rFonts w:hint="eastAsia" w:ascii="宋体" w:hAnsi="宋体" w:eastAsia="宋体"/>
          <w:sz w:val="28"/>
          <w:szCs w:val="28"/>
        </w:rPr>
        <w:t>情况</w:t>
      </w:r>
      <w:r>
        <w:rPr>
          <w:rFonts w:hint="eastAsia" w:ascii="宋体" w:hAnsi="宋体" w:eastAsia="宋体"/>
          <w:sz w:val="28"/>
          <w:szCs w:val="28"/>
          <w:lang w:eastAsia="zh-CN"/>
        </w:rPr>
        <w:t>。</w:t>
      </w:r>
    </w:p>
    <w:p w14:paraId="16D882DD">
      <w:pPr>
        <w:pStyle w:val="5"/>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6" w:name="_Toc24177"/>
      <w:r>
        <w:rPr>
          <w:rFonts w:hint="eastAsia"/>
          <w:b/>
          <w:sz w:val="28"/>
          <w:szCs w:val="21"/>
          <w:lang w:val="en-US" w:eastAsia="zh-CN"/>
        </w:rPr>
        <w:t>（一）资料查阅</w:t>
      </w:r>
      <w:bookmarkEnd w:id="6"/>
    </w:p>
    <w:p w14:paraId="11E015D3">
      <w:pPr>
        <w:pStyle w:val="27"/>
        <w:spacing w:line="360" w:lineRule="auto"/>
        <w:ind w:firstLine="560"/>
        <w:rPr>
          <w:rFonts w:hint="eastAsia" w:ascii="宋体" w:hAnsi="宋体" w:eastAsia="宋体"/>
          <w:sz w:val="28"/>
          <w:szCs w:val="28"/>
          <w:lang w:val="en-US" w:eastAsia="zh-CN"/>
        </w:rPr>
      </w:pPr>
      <w:r>
        <w:rPr>
          <w:rFonts w:hint="eastAsia" w:ascii="宋体" w:hAnsi="宋体" w:eastAsia="宋体"/>
          <w:sz w:val="28"/>
          <w:szCs w:val="28"/>
          <w:lang w:eastAsia="zh-CN"/>
        </w:rPr>
        <w:t>江苏中南建筑</w:t>
      </w:r>
      <w:r>
        <w:rPr>
          <w:rFonts w:hint="eastAsia" w:ascii="宋体" w:hAnsi="宋体" w:eastAsia="宋体"/>
          <w:sz w:val="28"/>
          <w:szCs w:val="28"/>
        </w:rPr>
        <w:t>公司</w:t>
      </w:r>
      <w:r>
        <w:rPr>
          <w:rFonts w:hint="eastAsia" w:ascii="宋体" w:hAnsi="宋体" w:eastAsia="宋体"/>
          <w:sz w:val="28"/>
          <w:szCs w:val="28"/>
          <w:lang w:val="en-US" w:eastAsia="zh-CN"/>
        </w:rPr>
        <w:t>和中星联丰建设公司均</w:t>
      </w:r>
      <w:r>
        <w:rPr>
          <w:rFonts w:hint="eastAsia" w:ascii="宋体" w:hAnsi="宋体" w:eastAsia="宋体"/>
          <w:sz w:val="28"/>
          <w:szCs w:val="28"/>
        </w:rPr>
        <w:t>提供了</w:t>
      </w:r>
      <w:r>
        <w:rPr>
          <w:rFonts w:hint="eastAsia" w:ascii="宋体" w:hAnsi="宋体" w:eastAsia="宋体"/>
          <w:sz w:val="28"/>
          <w:szCs w:val="28"/>
          <w:lang w:val="en-US" w:eastAsia="zh-CN"/>
        </w:rPr>
        <w:t>企业现状经营说明，介绍了企业整改工作情况，以及企业正面临着严重的财务困境，各项业务活动已停滞，并表示自事故发生后未再开展施工活动。</w:t>
      </w:r>
    </w:p>
    <w:p w14:paraId="141DB85B">
      <w:pPr>
        <w:pStyle w:val="5"/>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7" w:name="_Toc27178"/>
      <w:r>
        <w:rPr>
          <w:rFonts w:hint="eastAsia"/>
          <w:b/>
          <w:sz w:val="28"/>
          <w:szCs w:val="21"/>
          <w:lang w:val="en-US" w:eastAsia="zh-CN"/>
        </w:rPr>
        <w:t>（二）座谈问询</w:t>
      </w:r>
      <w:bookmarkEnd w:id="7"/>
    </w:p>
    <w:p w14:paraId="727C28F8">
      <w:pPr>
        <w:pStyle w:val="27"/>
        <w:numPr>
          <w:ilvl w:val="0"/>
          <w:numId w:val="1"/>
        </w:numPr>
        <w:spacing w:line="360" w:lineRule="auto"/>
        <w:ind w:firstLine="560"/>
        <w:rPr>
          <w:rFonts w:ascii="宋体" w:hAnsi="宋体" w:eastAsia="宋体"/>
          <w:b/>
          <w:bCs/>
          <w:sz w:val="28"/>
          <w:szCs w:val="28"/>
        </w:rPr>
      </w:pPr>
      <w:r>
        <w:rPr>
          <w:rFonts w:hint="eastAsia" w:ascii="宋体" w:hAnsi="宋体" w:eastAsia="宋体"/>
          <w:b/>
          <w:bCs/>
          <w:sz w:val="28"/>
          <w:szCs w:val="28"/>
          <w:lang w:val="en-US" w:eastAsia="zh-CN"/>
        </w:rPr>
        <w:t>江苏中南建筑</w:t>
      </w:r>
      <w:r>
        <w:rPr>
          <w:rFonts w:hint="eastAsia" w:ascii="宋体" w:hAnsi="宋体" w:eastAsia="宋体"/>
          <w:b/>
          <w:bCs/>
          <w:sz w:val="28"/>
          <w:szCs w:val="28"/>
        </w:rPr>
        <w:t>公司</w:t>
      </w:r>
    </w:p>
    <w:p w14:paraId="2B920179">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评估组对江苏中南建筑公司相关负责人进行访谈。依据《事故调查报告》中的事故间接原因和整改防范措施，结合相关法律法规和提供的资料，该单位整改措施具体落实情况如下：</w:t>
      </w:r>
    </w:p>
    <w:p w14:paraId="0F507583">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一是强化企业安全生产主体责任，严格落实以法定代表人和实际控制人负责制为核心的全员安全生产责任制，建立健全自我约束、持续改进的机制，做到安全责任、投入、培训、管理、应急救援“五到位”，解决好当前企业存在的安全生产意识淡薄、安全防范不到位、制度执行不严格等问题，把安全生产主体责任制真正落实到企业生产经营全过程。</w:t>
      </w:r>
    </w:p>
    <w:p w14:paraId="79EAA068">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二是加强安全生产宣传教育培训。针对企业负责人和安全管理人员组织开展安全生产专题培训和考核，举办事故警示培训，对典型的事故案例进行分析，让企业员工汲取事故教训，积累经验。</w:t>
      </w:r>
    </w:p>
    <w:p w14:paraId="437F5A7D">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三是严格执行安全生产规章制度及安全操作规程，提高员工对安全的意识和责任感，员工可以按照规程进行工作，避免出现错误和失误，从而提高工作效率和准确性。</w:t>
      </w:r>
    </w:p>
    <w:p w14:paraId="64B54976">
      <w:pPr>
        <w:pStyle w:val="27"/>
        <w:spacing w:line="360" w:lineRule="auto"/>
        <w:ind w:firstLine="480"/>
        <w:rPr>
          <w:rFonts w:hint="default" w:ascii="宋体" w:hAnsi="宋体" w:eastAsia="宋体"/>
          <w:sz w:val="28"/>
          <w:szCs w:val="28"/>
          <w:lang w:val="en-US" w:eastAsia="zh-CN"/>
        </w:rPr>
      </w:pPr>
      <w:r>
        <w:rPr>
          <w:rFonts w:hint="eastAsia" w:ascii="宋体" w:hAnsi="宋体" w:eastAsia="宋体"/>
          <w:sz w:val="28"/>
          <w:szCs w:val="28"/>
          <w:lang w:val="en-US" w:eastAsia="zh-CN"/>
        </w:rPr>
        <w:t>四是专职安全生产管理人员时刻监督安全生产作业，检查违章行为，对重点设备、重点岗位、重点人员安全操作规程的执行情况进行检查，及时发现和纠正违章行为。检查劳动防护用品和防护设备使用情况，检查特殊作业人员持证上岗情况，重点是对特种作业人员的身体条件是否符合要求、特种作业人员教育培训及复审教育是否按规定进行、是否有无牌特种作业人员进行特种作业、特种作业人员作业是否有违章行为。</w:t>
      </w:r>
    </w:p>
    <w:p w14:paraId="4FC9CC4B">
      <w:pPr>
        <w:pStyle w:val="27"/>
        <w:numPr>
          <w:ilvl w:val="0"/>
          <w:numId w:val="1"/>
        </w:numPr>
        <w:spacing w:line="360" w:lineRule="auto"/>
        <w:ind w:firstLine="560"/>
        <w:rPr>
          <w:rFonts w:ascii="宋体" w:hAnsi="宋体" w:eastAsia="宋体"/>
          <w:b/>
          <w:bCs/>
          <w:sz w:val="28"/>
          <w:szCs w:val="28"/>
        </w:rPr>
      </w:pPr>
      <w:r>
        <w:rPr>
          <w:rFonts w:hint="eastAsia" w:ascii="宋体" w:hAnsi="宋体" w:eastAsia="宋体"/>
          <w:b/>
          <w:bCs/>
          <w:sz w:val="28"/>
          <w:szCs w:val="28"/>
          <w:lang w:eastAsia="zh-CN"/>
        </w:rPr>
        <w:t>中星联丰建设</w:t>
      </w:r>
      <w:r>
        <w:rPr>
          <w:rFonts w:hint="eastAsia" w:ascii="宋体" w:hAnsi="宋体" w:eastAsia="宋体"/>
          <w:b/>
          <w:bCs/>
          <w:sz w:val="28"/>
          <w:szCs w:val="28"/>
        </w:rPr>
        <w:t>公司</w:t>
      </w:r>
    </w:p>
    <w:p w14:paraId="7923BC83">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评估组对中星联丰建设公司相关负责人进行访谈。依据《事故调查报告》中的事故间接原因和整改防范措施，结合相关法律法规和提供的资料，该单位表示深刻汲取事故教训，将始终遵循安全无小事的管理理念，严把安全责任关，把安全责任落实到人，做到安全生产人人有责。</w:t>
      </w:r>
    </w:p>
    <w:p w14:paraId="74E991E6">
      <w:pPr>
        <w:pStyle w:val="4"/>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default" w:ascii="黑体" w:hAnsi="黑体" w:eastAsia="黑体" w:cs="黑体"/>
          <w:sz w:val="28"/>
          <w:szCs w:val="28"/>
          <w:lang w:val="en-US" w:eastAsia="zh-CN"/>
        </w:rPr>
      </w:pPr>
      <w:bookmarkStart w:id="8" w:name="_Toc12308"/>
      <w:r>
        <w:rPr>
          <w:rFonts w:hint="eastAsia" w:ascii="黑体" w:hAnsi="黑体" w:eastAsia="黑体" w:cs="黑体"/>
          <w:sz w:val="28"/>
          <w:szCs w:val="28"/>
          <w:lang w:val="en-US" w:eastAsia="zh-CN"/>
        </w:rPr>
        <w:t>三、安全现状评估</w:t>
      </w:r>
      <w:bookmarkEnd w:id="8"/>
    </w:p>
    <w:p w14:paraId="1786338C">
      <w:pPr>
        <w:pStyle w:val="27"/>
        <w:spacing w:line="360" w:lineRule="auto"/>
        <w:ind w:firstLine="560"/>
        <w:rPr>
          <w:rFonts w:hint="eastAsia" w:ascii="宋体" w:hAnsi="宋体" w:eastAsia="宋体"/>
          <w:sz w:val="28"/>
          <w:szCs w:val="28"/>
          <w:lang w:val="en-US" w:eastAsia="zh-CN"/>
        </w:rPr>
      </w:pPr>
      <w:r>
        <w:rPr>
          <w:rFonts w:hint="eastAsia" w:ascii="宋体" w:hAnsi="宋体" w:eastAsia="宋体"/>
          <w:sz w:val="28"/>
          <w:szCs w:val="28"/>
          <w:lang w:val="en-US" w:eastAsia="zh-CN"/>
        </w:rPr>
        <w:t>因江苏中南建筑公司、中星联丰建设公司两家单位经营情况问题，暂无法评估企业安全管理情况。</w:t>
      </w:r>
      <w:r>
        <w:rPr>
          <w:rFonts w:hint="default" w:ascii="宋体" w:hAnsi="宋体" w:eastAsia="宋体"/>
          <w:sz w:val="28"/>
          <w:szCs w:val="28"/>
          <w:lang w:val="en-US" w:eastAsia="zh-CN"/>
        </w:rPr>
        <w:t>若</w:t>
      </w:r>
      <w:r>
        <w:rPr>
          <w:rFonts w:hint="eastAsia" w:ascii="宋体" w:hAnsi="宋体" w:eastAsia="宋体"/>
          <w:sz w:val="28"/>
          <w:szCs w:val="28"/>
          <w:lang w:val="en-US" w:eastAsia="zh-CN"/>
        </w:rPr>
        <w:t>企业</w:t>
      </w:r>
      <w:r>
        <w:rPr>
          <w:rFonts w:hint="default" w:ascii="宋体" w:hAnsi="宋体" w:eastAsia="宋体"/>
          <w:sz w:val="28"/>
          <w:szCs w:val="28"/>
          <w:lang w:val="en-US" w:eastAsia="zh-CN"/>
        </w:rPr>
        <w:t>后续恢复运营，开展现场施工作业活动，除做好本次事故相关整改措施的落实工作外，还应吸取事故教训，按照安全生产、建筑施工等法律法规进一步完善，</w:t>
      </w:r>
      <w:r>
        <w:rPr>
          <w:rFonts w:hint="eastAsia" w:ascii="宋体" w:hAnsi="宋体" w:eastAsia="宋体"/>
          <w:sz w:val="28"/>
          <w:szCs w:val="28"/>
          <w:lang w:val="en-US" w:eastAsia="zh-CN"/>
        </w:rPr>
        <w:t>可从以下几点进行完善落实。</w:t>
      </w:r>
    </w:p>
    <w:p w14:paraId="06DE3BCA">
      <w:pPr>
        <w:pStyle w:val="27"/>
        <w:numPr>
          <w:ilvl w:val="0"/>
          <w:numId w:val="2"/>
        </w:numPr>
        <w:spacing w:line="360" w:lineRule="auto"/>
        <w:ind w:firstLine="560"/>
        <w:rPr>
          <w:rFonts w:hint="eastAsia" w:ascii="宋体" w:hAnsi="宋体" w:eastAsia="宋体"/>
          <w:b/>
          <w:bCs/>
          <w:sz w:val="28"/>
          <w:szCs w:val="28"/>
          <w:lang w:val="en-US" w:eastAsia="zh-CN"/>
        </w:rPr>
      </w:pPr>
      <w:r>
        <w:rPr>
          <w:rFonts w:hint="eastAsia" w:ascii="宋体" w:hAnsi="宋体" w:eastAsia="宋体"/>
          <w:b/>
          <w:bCs/>
          <w:sz w:val="28"/>
          <w:szCs w:val="28"/>
          <w:lang w:val="en-US" w:eastAsia="zh-CN"/>
        </w:rPr>
        <w:t>增加额外安全保障</w:t>
      </w:r>
    </w:p>
    <w:p w14:paraId="2CAD7353">
      <w:pPr>
        <w:pStyle w:val="27"/>
        <w:spacing w:line="360" w:lineRule="auto"/>
        <w:ind w:firstLine="560"/>
        <w:rPr>
          <w:rFonts w:hint="eastAsia" w:ascii="宋体" w:hAnsi="宋体" w:eastAsia="宋体"/>
          <w:sz w:val="28"/>
          <w:szCs w:val="28"/>
        </w:rPr>
      </w:pPr>
      <w:r>
        <w:rPr>
          <w:rFonts w:hint="eastAsia" w:ascii="宋体" w:hAnsi="宋体" w:eastAsia="宋体"/>
          <w:sz w:val="28"/>
          <w:szCs w:val="28"/>
        </w:rPr>
        <w:t>建筑行业安全风险较高，事故发生频次较高、施工后果也较为严重。建议按照法规要求，施工总包单位要求所有现场施工作业人员参保意外险，其中危险作业人员必须参保；且“</w:t>
      </w:r>
      <w:r>
        <w:rPr>
          <w:rFonts w:ascii="Times New Roman" w:hAnsi="Times New Roman" w:eastAsia="宋体" w:cs="Times New Roman"/>
          <w:sz w:val="28"/>
          <w:szCs w:val="28"/>
        </w:rPr>
        <w:t>意外伤害保险期限自建设工程开工之日起至竣工验收合格止</w:t>
      </w:r>
      <w:r>
        <w:rPr>
          <w:rFonts w:hint="eastAsia" w:ascii="宋体" w:hAnsi="宋体" w:eastAsia="宋体"/>
          <w:sz w:val="28"/>
          <w:szCs w:val="28"/>
        </w:rPr>
        <w:t>”；将参保资料妥善保存至工程安全施工档案中，若发生突发事件，需要启动保障时，可随时查找。</w:t>
      </w:r>
    </w:p>
    <w:p w14:paraId="65A9BCC0">
      <w:pPr>
        <w:pStyle w:val="27"/>
        <w:numPr>
          <w:ilvl w:val="0"/>
          <w:numId w:val="2"/>
        </w:numPr>
        <w:spacing w:line="360" w:lineRule="auto"/>
        <w:ind w:firstLine="560"/>
        <w:rPr>
          <w:rFonts w:hint="default" w:ascii="宋体" w:hAnsi="宋体" w:eastAsia="宋体"/>
          <w:b/>
          <w:bCs/>
          <w:sz w:val="28"/>
          <w:szCs w:val="28"/>
          <w:lang w:val="en-US" w:eastAsia="zh-CN"/>
        </w:rPr>
      </w:pPr>
      <w:r>
        <w:rPr>
          <w:rFonts w:hint="eastAsia" w:ascii="宋体" w:hAnsi="宋体" w:eastAsia="宋体"/>
          <w:b/>
          <w:bCs/>
          <w:sz w:val="28"/>
          <w:szCs w:val="28"/>
          <w:lang w:val="en-US" w:eastAsia="zh-CN"/>
        </w:rPr>
        <w:t>建立隐患排查和风险评估双重预防机制，严格落实相关工作。</w:t>
      </w:r>
    </w:p>
    <w:p w14:paraId="63F37E1B">
      <w:pPr>
        <w:pStyle w:val="27"/>
        <w:spacing w:line="360" w:lineRule="auto"/>
        <w:ind w:firstLine="560"/>
        <w:rPr>
          <w:rFonts w:ascii="宋体" w:hAnsi="宋体" w:eastAsia="宋体"/>
          <w:sz w:val="28"/>
          <w:szCs w:val="28"/>
        </w:rPr>
      </w:pPr>
      <w:r>
        <w:rPr>
          <w:rFonts w:ascii="宋体" w:hAnsi="宋体" w:eastAsia="宋体"/>
          <w:sz w:val="28"/>
          <w:szCs w:val="28"/>
        </w:rPr>
        <w:t>人的不安全行为始终是</w:t>
      </w:r>
      <w:r>
        <w:rPr>
          <w:rFonts w:hint="eastAsia" w:ascii="宋体" w:hAnsi="宋体" w:eastAsia="宋体"/>
          <w:sz w:val="28"/>
          <w:szCs w:val="28"/>
        </w:rPr>
        <w:t>导致突发事件</w:t>
      </w:r>
      <w:r>
        <w:rPr>
          <w:rFonts w:ascii="宋体" w:hAnsi="宋体" w:eastAsia="宋体"/>
          <w:sz w:val="28"/>
          <w:szCs w:val="28"/>
        </w:rPr>
        <w:t>的关键</w:t>
      </w:r>
      <w:r>
        <w:rPr>
          <w:rFonts w:hint="eastAsia" w:ascii="宋体" w:hAnsi="宋体" w:eastAsia="宋体"/>
          <w:sz w:val="28"/>
          <w:szCs w:val="28"/>
        </w:rPr>
        <w:t>因素</w:t>
      </w:r>
      <w:r>
        <w:rPr>
          <w:rFonts w:hint="eastAsia" w:ascii="宋体" w:hAnsi="宋体" w:eastAsia="宋体"/>
          <w:sz w:val="28"/>
          <w:szCs w:val="28"/>
          <w:lang w:eastAsia="zh-CN"/>
        </w:rPr>
        <w:t>。</w:t>
      </w:r>
      <w:r>
        <w:rPr>
          <w:rFonts w:hint="eastAsia" w:ascii="宋体" w:hAnsi="宋体" w:eastAsia="宋体"/>
          <w:sz w:val="28"/>
          <w:szCs w:val="28"/>
          <w:lang w:val="en-US" w:eastAsia="zh-CN"/>
        </w:rPr>
        <w:t>若作为施工的</w:t>
      </w:r>
      <w:r>
        <w:rPr>
          <w:rFonts w:ascii="宋体" w:hAnsi="宋体" w:eastAsia="宋体"/>
          <w:sz w:val="28"/>
          <w:szCs w:val="28"/>
        </w:rPr>
        <w:t>劳务单位，</w:t>
      </w:r>
      <w:r>
        <w:rPr>
          <w:rFonts w:hint="eastAsia" w:ascii="宋体" w:hAnsi="宋体" w:eastAsia="宋体"/>
          <w:sz w:val="28"/>
          <w:szCs w:val="28"/>
          <w:lang w:val="en-US" w:eastAsia="zh-CN"/>
        </w:rPr>
        <w:t>应按照</w:t>
      </w:r>
      <w:r>
        <w:rPr>
          <w:rFonts w:ascii="宋体" w:hAnsi="宋体" w:eastAsia="宋体"/>
          <w:sz w:val="28"/>
          <w:szCs w:val="28"/>
        </w:rPr>
        <w:t>总包、承包单位要求</w:t>
      </w:r>
      <w:r>
        <w:rPr>
          <w:rFonts w:hint="eastAsia" w:ascii="宋体" w:hAnsi="宋体" w:eastAsia="宋体"/>
          <w:sz w:val="28"/>
          <w:szCs w:val="28"/>
          <w:lang w:eastAsia="zh-CN"/>
        </w:rPr>
        <w:t>，</w:t>
      </w:r>
      <w:r>
        <w:rPr>
          <w:rFonts w:ascii="宋体" w:hAnsi="宋体" w:eastAsia="宋体"/>
          <w:sz w:val="28"/>
          <w:szCs w:val="28"/>
        </w:rPr>
        <w:t>严格按照安全管理制度、安全技术交底、安全操作规程进行落实，并要求各单位提供落实记录，包括人员安排、培训教育、现场检查等</w:t>
      </w:r>
      <w:r>
        <w:rPr>
          <w:rFonts w:hint="eastAsia" w:ascii="宋体" w:hAnsi="宋体" w:eastAsia="宋体"/>
          <w:sz w:val="28"/>
          <w:szCs w:val="28"/>
        </w:rPr>
        <w:t>。</w:t>
      </w:r>
    </w:p>
    <w:p w14:paraId="5EA84841">
      <w:pPr>
        <w:pStyle w:val="27"/>
        <w:spacing w:line="360" w:lineRule="auto"/>
        <w:ind w:firstLine="560"/>
        <w:rPr>
          <w:rFonts w:ascii="宋体" w:hAnsi="宋体" w:eastAsia="宋体"/>
          <w:sz w:val="28"/>
          <w:szCs w:val="28"/>
        </w:rPr>
      </w:pPr>
      <w:r>
        <w:rPr>
          <w:rFonts w:hint="eastAsia" w:ascii="宋体" w:hAnsi="宋体" w:eastAsia="宋体"/>
          <w:sz w:val="28"/>
          <w:szCs w:val="28"/>
          <w:lang w:val="en-US" w:eastAsia="zh-CN"/>
        </w:rPr>
        <w:t>劳务单位自身</w:t>
      </w:r>
      <w:r>
        <w:rPr>
          <w:rFonts w:ascii="宋体" w:hAnsi="宋体" w:eastAsia="宋体"/>
          <w:sz w:val="28"/>
          <w:szCs w:val="28"/>
        </w:rPr>
        <w:t>要</w:t>
      </w:r>
      <w:r>
        <w:rPr>
          <w:rFonts w:hint="eastAsia" w:ascii="宋体" w:hAnsi="宋体" w:eastAsia="宋体"/>
          <w:sz w:val="28"/>
          <w:szCs w:val="28"/>
        </w:rPr>
        <w:t>负起安全生产责任主体意识，要将施工安全风险分级管控和隐患排查治理工作纳入企业安全生产责任制</w:t>
      </w:r>
      <w:r>
        <w:rPr>
          <w:rFonts w:hint="eastAsia" w:ascii="宋体" w:hAnsi="宋体" w:eastAsia="宋体"/>
          <w:sz w:val="28"/>
          <w:szCs w:val="28"/>
          <w:lang w:eastAsia="zh-CN"/>
        </w:rPr>
        <w:t>，</w:t>
      </w:r>
      <w:r>
        <w:rPr>
          <w:rFonts w:hint="eastAsia" w:ascii="宋体" w:hAnsi="宋体" w:eastAsia="宋体"/>
          <w:sz w:val="28"/>
          <w:szCs w:val="28"/>
        </w:rPr>
        <w:t>明确工作职责、制定监督检查计划，重点管控重大和较大风险，重点落实重大事故隐患整改情况；安全管理人员要加强作业现场安全检查，及时发现并消除施工人员违反安全技术交底违规冒险的隐患。</w:t>
      </w:r>
    </w:p>
    <w:p w14:paraId="3EBCB785">
      <w:pPr>
        <w:pStyle w:val="27"/>
        <w:numPr>
          <w:ilvl w:val="0"/>
          <w:numId w:val="2"/>
        </w:numPr>
        <w:spacing w:line="360" w:lineRule="auto"/>
        <w:ind w:firstLine="560"/>
        <w:rPr>
          <w:rFonts w:hint="eastAsia" w:ascii="宋体" w:hAnsi="宋体" w:eastAsia="宋体"/>
          <w:b/>
          <w:bCs/>
          <w:sz w:val="28"/>
          <w:szCs w:val="28"/>
          <w:lang w:val="en-US" w:eastAsia="zh-CN"/>
        </w:rPr>
      </w:pPr>
      <w:r>
        <w:rPr>
          <w:rFonts w:hint="eastAsia" w:ascii="宋体" w:hAnsi="宋体" w:eastAsia="宋体"/>
          <w:b/>
          <w:bCs/>
          <w:sz w:val="28"/>
          <w:szCs w:val="28"/>
          <w:lang w:val="en-US" w:eastAsia="zh-CN"/>
        </w:rPr>
        <w:t>建立施工安全管理档案</w:t>
      </w:r>
    </w:p>
    <w:p w14:paraId="7AC69B82">
      <w:pPr>
        <w:pStyle w:val="27"/>
        <w:spacing w:line="360" w:lineRule="auto"/>
        <w:ind w:firstLine="560"/>
        <w:rPr>
          <w:rFonts w:ascii="宋体" w:hAnsi="宋体" w:eastAsia="宋体"/>
          <w:sz w:val="28"/>
          <w:szCs w:val="28"/>
        </w:rPr>
      </w:pPr>
      <w:r>
        <w:rPr>
          <w:rFonts w:hint="eastAsia" w:ascii="宋体" w:hAnsi="宋体" w:eastAsia="宋体"/>
          <w:sz w:val="28"/>
          <w:szCs w:val="28"/>
        </w:rPr>
        <w:t>施工项目一般划分为多个阶段，各阶段工序皆对应不同的安全管理需求，为规范施工过程的安全生产管理，安全档案必须建立完善、专人主管、妥善储存。安全档案的主要内容对应《建设工程安全生产管理条例》，包括且不限于安全生产责任制及考核、安全管理人员证书、安全生产协议、安全措施费用支出台账、安全教育培训、意外保险、安全操作规程、特种作业人员/特种设备管理（证书、资质、验收单等）、专项施工方案（包括防护措施）、危大工程管理（方案、论证、安全技术交底、现场监护检查）、文明施工管理、消防管理、应急救援管理等；各项内容的具体工作参考《建筑施工安全检查标准》（JGJ 59-2011）准备。安全档案管理工作贯穿项目建设全过程</w:t>
      </w:r>
      <w:r>
        <w:rPr>
          <w:rFonts w:hint="eastAsia" w:ascii="宋体" w:hAnsi="宋体" w:eastAsia="宋体"/>
          <w:sz w:val="28"/>
          <w:szCs w:val="28"/>
          <w:lang w:eastAsia="zh-CN"/>
        </w:rPr>
        <w:t>，</w:t>
      </w:r>
      <w:r>
        <w:rPr>
          <w:rFonts w:hint="eastAsia" w:ascii="宋体" w:hAnsi="宋体" w:eastAsia="宋体"/>
          <w:sz w:val="28"/>
          <w:szCs w:val="28"/>
        </w:rPr>
        <w:t>可以真实记录项目建设过程中所有信息资料</w:t>
      </w:r>
      <w:r>
        <w:rPr>
          <w:rFonts w:hint="eastAsia" w:ascii="宋体" w:hAnsi="宋体" w:eastAsia="宋体"/>
          <w:sz w:val="28"/>
          <w:szCs w:val="28"/>
          <w:lang w:eastAsia="zh-CN"/>
        </w:rPr>
        <w:t>，</w:t>
      </w:r>
      <w:r>
        <w:rPr>
          <w:rFonts w:hint="eastAsia" w:ascii="宋体" w:hAnsi="宋体" w:eastAsia="宋体"/>
          <w:sz w:val="28"/>
          <w:szCs w:val="28"/>
        </w:rPr>
        <w:t>还原项目建设全过程</w:t>
      </w:r>
      <w:r>
        <w:rPr>
          <w:rFonts w:hint="eastAsia" w:ascii="宋体" w:hAnsi="宋体" w:eastAsia="宋体"/>
          <w:sz w:val="28"/>
          <w:szCs w:val="28"/>
          <w:lang w:eastAsia="zh-CN"/>
        </w:rPr>
        <w:t>，</w:t>
      </w:r>
      <w:r>
        <w:rPr>
          <w:rFonts w:hint="eastAsia" w:ascii="宋体" w:hAnsi="宋体" w:eastAsia="宋体"/>
          <w:sz w:val="28"/>
          <w:szCs w:val="28"/>
        </w:rPr>
        <w:t>同时也是有效的工作落实凭证。</w:t>
      </w:r>
    </w:p>
    <w:p w14:paraId="35D1C752">
      <w:pPr>
        <w:pStyle w:val="4"/>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default" w:ascii="黑体" w:hAnsi="黑体" w:eastAsia="黑体" w:cs="黑体"/>
          <w:sz w:val="28"/>
          <w:szCs w:val="28"/>
          <w:lang w:val="en-US" w:eastAsia="zh-CN"/>
        </w:rPr>
      </w:pPr>
      <w:bookmarkStart w:id="9" w:name="_Toc27211"/>
      <w:bookmarkStart w:id="10" w:name="_Toc3080"/>
      <w:r>
        <w:rPr>
          <w:rFonts w:hint="eastAsia" w:ascii="黑体" w:hAnsi="黑体" w:eastAsia="黑体" w:cs="黑体"/>
          <w:sz w:val="28"/>
          <w:szCs w:val="28"/>
          <w:lang w:val="en-US" w:eastAsia="zh-CN"/>
        </w:rPr>
        <w:t>四、安全现状评估结论与建议</w:t>
      </w:r>
      <w:bookmarkEnd w:id="9"/>
    </w:p>
    <w:bookmarkEnd w:id="10"/>
    <w:p w14:paraId="1E68D766">
      <w:pPr>
        <w:pStyle w:val="5"/>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b/>
          <w:sz w:val="28"/>
          <w:szCs w:val="21"/>
          <w:lang w:val="en-US" w:eastAsia="zh-CN"/>
        </w:rPr>
      </w:pPr>
      <w:bookmarkStart w:id="11" w:name="_Toc8924"/>
      <w:bookmarkStart w:id="12" w:name="_Toc4980"/>
      <w:bookmarkStart w:id="13" w:name="_Toc9840"/>
      <w:bookmarkStart w:id="14" w:name="_Toc12572"/>
      <w:r>
        <w:rPr>
          <w:rFonts w:hint="eastAsia"/>
          <w:b/>
          <w:sz w:val="28"/>
          <w:szCs w:val="21"/>
          <w:lang w:val="en-US" w:eastAsia="zh-CN"/>
        </w:rPr>
        <w:t>（一）评估结论</w:t>
      </w:r>
      <w:bookmarkEnd w:id="11"/>
      <w:bookmarkEnd w:id="12"/>
      <w:bookmarkEnd w:id="13"/>
      <w:bookmarkEnd w:id="14"/>
    </w:p>
    <w:p w14:paraId="48125042">
      <w:pPr>
        <w:pStyle w:val="27"/>
        <w:spacing w:line="360" w:lineRule="auto"/>
        <w:ind w:firstLine="560"/>
        <w:rPr>
          <w:rFonts w:hint="eastAsia" w:ascii="宋体" w:hAnsi="宋体" w:eastAsia="宋体"/>
          <w:sz w:val="28"/>
          <w:szCs w:val="28"/>
          <w:lang w:val="en-US" w:eastAsia="zh-CN"/>
        </w:rPr>
      </w:pPr>
      <w:r>
        <w:rPr>
          <w:rFonts w:hint="eastAsia" w:ascii="宋体" w:hAnsi="宋体" w:eastAsia="宋体"/>
          <w:sz w:val="28"/>
          <w:szCs w:val="28"/>
          <w:lang w:eastAsia="zh-CN"/>
        </w:rPr>
        <w:t>评估组通过对事故单位的调研访谈</w:t>
      </w:r>
      <w:r>
        <w:rPr>
          <w:rFonts w:hint="eastAsia" w:ascii="宋体" w:hAnsi="宋体" w:eastAsia="宋体"/>
          <w:sz w:val="28"/>
          <w:szCs w:val="28"/>
          <w:lang w:val="en-US" w:eastAsia="zh-CN"/>
        </w:rPr>
        <w:t>和</w:t>
      </w:r>
      <w:r>
        <w:rPr>
          <w:rFonts w:hint="eastAsia" w:ascii="宋体" w:hAnsi="宋体" w:eastAsia="宋体"/>
          <w:sz w:val="28"/>
          <w:szCs w:val="28"/>
          <w:lang w:eastAsia="zh-CN"/>
        </w:rPr>
        <w:t>相关单位提供的资料进行审阅，可证明各相关部门、单位已依据《事故调查报告》追究江苏中南建筑公司、中星联丰建设公司刑事责任及行政责任。因两家单位经营情况问题，暂无法评估企业安全管理情况，若后续恢复运营，应严格落实北京市及行业监管部门要求，认真执行《安全现状评估报告》的建议，不断完善本单位各项工作的安全责任制度</w:t>
      </w:r>
    </w:p>
    <w:p w14:paraId="08D371FD">
      <w:pPr>
        <w:pStyle w:val="5"/>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b/>
          <w:sz w:val="28"/>
          <w:szCs w:val="21"/>
          <w:lang w:val="en-US" w:eastAsia="zh-CN"/>
        </w:rPr>
      </w:pPr>
      <w:bookmarkStart w:id="15" w:name="_Toc20081"/>
      <w:bookmarkStart w:id="16" w:name="_Toc20801"/>
      <w:bookmarkStart w:id="17" w:name="_Toc28170"/>
      <w:bookmarkStart w:id="18" w:name="_Toc20478"/>
      <w:r>
        <w:rPr>
          <w:rFonts w:hint="eastAsia"/>
          <w:b/>
          <w:sz w:val="28"/>
          <w:szCs w:val="21"/>
          <w:lang w:val="en-US" w:eastAsia="zh-CN"/>
        </w:rPr>
        <w:t>（二）工作提升建议</w:t>
      </w:r>
      <w:bookmarkEnd w:id="15"/>
      <w:bookmarkEnd w:id="16"/>
      <w:bookmarkEnd w:id="17"/>
      <w:bookmarkEnd w:id="18"/>
    </w:p>
    <w:p w14:paraId="3B68DD1A">
      <w:pPr>
        <w:pStyle w:val="27"/>
        <w:spacing w:line="360" w:lineRule="auto"/>
        <w:ind w:firstLine="560"/>
        <w:rPr>
          <w:rFonts w:hint="default" w:ascii="宋体" w:hAnsi="宋体" w:eastAsia="宋体"/>
          <w:sz w:val="28"/>
          <w:szCs w:val="28"/>
          <w:lang w:val="en-US" w:eastAsia="zh-CN"/>
        </w:rPr>
      </w:pPr>
      <w:r>
        <w:rPr>
          <w:rFonts w:ascii="宋体" w:hAnsi="宋体" w:eastAsia="宋体"/>
          <w:sz w:val="28"/>
          <w:szCs w:val="28"/>
          <w:lang w:val="zh-CN"/>
        </w:rPr>
        <w:t>根据本次评估过程及结论，</w:t>
      </w:r>
      <w:r>
        <w:rPr>
          <w:rFonts w:hint="eastAsia" w:ascii="宋体" w:hAnsi="宋体" w:eastAsia="宋体"/>
          <w:sz w:val="28"/>
          <w:szCs w:val="28"/>
          <w:lang w:val="en-US" w:eastAsia="zh-CN"/>
        </w:rPr>
        <w:t>事故相关单位无论后续是否继续开展施工作业活动，均应按照相关法律法规要求，履行安全生产主体责任，加强安全生产管理，提高安全生产水平，并对未履行安全生产主体责任导致的后果负责。</w:t>
      </w:r>
    </w:p>
    <w:p w14:paraId="391523EC">
      <w:pPr>
        <w:pStyle w:val="27"/>
        <w:spacing w:line="360" w:lineRule="auto"/>
        <w:ind w:firstLine="560"/>
        <w:rPr>
          <w:rFonts w:ascii="宋体" w:hAnsi="宋体" w:eastAsia="宋体"/>
          <w:sz w:val="28"/>
          <w:szCs w:val="28"/>
          <w:lang w:val="zh-CN"/>
        </w:rPr>
      </w:pPr>
      <w:r>
        <w:rPr>
          <w:rFonts w:hint="eastAsia" w:ascii="宋体" w:hAnsi="宋体" w:eastAsia="宋体"/>
          <w:sz w:val="28"/>
          <w:szCs w:val="28"/>
          <w:lang w:val="en-US" w:eastAsia="zh-CN"/>
        </w:rPr>
        <w:t>此外，评估组还对此次事故暴露出的重点问题，</w:t>
      </w:r>
      <w:r>
        <w:rPr>
          <w:rFonts w:ascii="宋体" w:hAnsi="宋体" w:eastAsia="宋体"/>
          <w:sz w:val="28"/>
          <w:szCs w:val="28"/>
          <w:lang w:val="zh-CN"/>
        </w:rPr>
        <w:t>提出以下</w:t>
      </w:r>
      <w:r>
        <w:rPr>
          <w:rFonts w:hint="eastAsia" w:ascii="宋体" w:hAnsi="宋体" w:eastAsia="宋体"/>
          <w:sz w:val="28"/>
          <w:szCs w:val="28"/>
          <w:lang w:val="en-US" w:eastAsia="zh-CN"/>
        </w:rPr>
        <w:t>行业安全管理</w:t>
      </w:r>
      <w:r>
        <w:rPr>
          <w:rFonts w:hint="eastAsia" w:ascii="宋体" w:hAnsi="宋体" w:eastAsia="宋体"/>
          <w:sz w:val="28"/>
          <w:szCs w:val="28"/>
        </w:rPr>
        <w:t>工作</w:t>
      </w:r>
      <w:r>
        <w:rPr>
          <w:rFonts w:ascii="宋体" w:hAnsi="宋体" w:eastAsia="宋体"/>
          <w:sz w:val="28"/>
          <w:szCs w:val="28"/>
          <w:lang w:val="zh-CN"/>
        </w:rPr>
        <w:t>建议措施：</w:t>
      </w:r>
    </w:p>
    <w:p w14:paraId="57AA1A97">
      <w:pPr>
        <w:pStyle w:val="27"/>
        <w:numPr>
          <w:ilvl w:val="0"/>
          <w:numId w:val="2"/>
        </w:numPr>
        <w:spacing w:line="360" w:lineRule="auto"/>
        <w:ind w:firstLine="560"/>
        <w:rPr>
          <w:rFonts w:ascii="宋体" w:hAnsi="宋体" w:eastAsia="宋体"/>
          <w:b/>
          <w:bCs/>
          <w:sz w:val="28"/>
          <w:szCs w:val="28"/>
        </w:rPr>
      </w:pPr>
      <w:r>
        <w:rPr>
          <w:rFonts w:hint="eastAsia" w:ascii="宋体" w:hAnsi="宋体" w:eastAsia="宋体"/>
          <w:b/>
          <w:bCs/>
          <w:sz w:val="28"/>
          <w:szCs w:val="28"/>
          <w:lang w:val="en-US" w:eastAsia="zh-CN"/>
        </w:rPr>
        <w:t>高处作业安全管理</w:t>
      </w:r>
    </w:p>
    <w:p w14:paraId="1C7C2A12">
      <w:pPr>
        <w:pStyle w:val="27"/>
        <w:spacing w:line="360" w:lineRule="auto"/>
        <w:ind w:firstLine="56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（1）住建部门</w:t>
      </w:r>
    </w:p>
    <w:p w14:paraId="723953F7">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住建部《建筑施工高处作业安全技术规范》JGJ80-2016等技术标准要求了作业安全标准、实施安全生产许可制度、规范特种作业人员持证上岗、要求危险性较大工程编制专项方案等。《北京市建设工程施工现场管理办法》等地方性法规，明确了5级以上风力停止高处作业、吊篮作业专人监督等特殊要求。依据各项规章要求，住建部门应对施工企业安全生产条件的做好日常监督检查、专项整治、包括安全生产许可证的管理，现场施工巡查，以及对企业“三类人员”（主要负责人、项目负责人、专职安全员）的考核管理等。此外，还应指导建立生产安全事故应急救援体系，并与其他部门形成联动机制，共同保障建筑施工安全。</w:t>
      </w:r>
    </w:p>
    <w:p w14:paraId="5196036F">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（2）属地街镇</w:t>
      </w:r>
    </w:p>
    <w:p w14:paraId="688FF7A4">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属地监管的重点包括，安全生产条件的动态巡查、违法违规行为的行政处罚等，确保企业落实主体责任。</w:t>
      </w:r>
    </w:p>
    <w:p w14:paraId="606639D0">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（3）施工企业</w:t>
      </w:r>
    </w:p>
    <w:p w14:paraId="4F36876C">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施工企业作为高处作业安全的责任主体，需要全面落实安全生产责任制，从管理制度、现场执行、技术措施三个维度构建完整的安全管理体系。企业主要负责人对安全生产工作全面负责，确保安全投入、制定规章制度、组织安全检查和应急演练。现场管理方面，要求配备专职安全管理人员，设置安全警示标志，为作业人员提供合格的安全防护用品，并严格执行特种作业人员持证上岗制度。技术管理方面，必须编制高处作业专项施工方案，对危险性较大的分部分项工程进行专家论证，实施安全技术交底制度，并确保安全防护设施经过验收合格后使用。同时，企业还需建立安全隐患排查治理机制，对发现的隐患及时整改，形成闭环管理。</w:t>
      </w:r>
    </w:p>
    <w:p w14:paraId="15649182">
      <w:pPr>
        <w:pStyle w:val="27"/>
        <w:numPr>
          <w:ilvl w:val="0"/>
          <w:numId w:val="2"/>
        </w:numPr>
        <w:spacing w:line="360" w:lineRule="auto"/>
        <w:ind w:firstLine="560"/>
        <w:rPr>
          <w:rFonts w:hint="default" w:ascii="宋体" w:hAnsi="宋体" w:eastAsia="宋体"/>
          <w:b/>
          <w:bCs/>
          <w:sz w:val="28"/>
          <w:szCs w:val="28"/>
          <w:lang w:val="en-US" w:eastAsia="zh-CN"/>
        </w:rPr>
      </w:pPr>
      <w:r>
        <w:rPr>
          <w:rFonts w:hint="eastAsia" w:ascii="宋体" w:hAnsi="宋体" w:eastAsia="宋体"/>
          <w:b/>
          <w:bCs/>
          <w:sz w:val="28"/>
          <w:szCs w:val="28"/>
          <w:lang w:val="en-US" w:eastAsia="zh-CN"/>
        </w:rPr>
        <w:t>加强相关方安全管理</w:t>
      </w:r>
    </w:p>
    <w:p w14:paraId="44B74D92">
      <w:pPr>
        <w:pStyle w:val="27"/>
        <w:spacing w:line="360" w:lineRule="auto"/>
        <w:ind w:firstLine="480"/>
        <w:rPr>
          <w:rFonts w:hint="default" w:ascii="宋体" w:hAnsi="宋体" w:eastAsia="宋体"/>
          <w:sz w:val="28"/>
          <w:szCs w:val="28"/>
          <w:lang w:val="en-US" w:eastAsia="zh-CN"/>
        </w:rPr>
      </w:pPr>
      <w:r>
        <w:rPr>
          <w:rFonts w:hint="eastAsia" w:ascii="宋体" w:hAnsi="宋体" w:eastAsia="宋体" w:cs="宋体"/>
          <w:sz w:val="28"/>
          <w:szCs w:val="28"/>
          <w:lang w:val="en-US" w:eastAsia="zh-CN"/>
        </w:rPr>
        <w:t>无论是施工作业活动，还是部分业务委托，发包单位和承包单位都应做好安全生产管理，按照</w:t>
      </w:r>
      <w:r>
        <w:rPr>
          <w:rFonts w:hint="eastAsia" w:ascii="宋体" w:hAnsi="宋体" w:eastAsia="宋体"/>
          <w:sz w:val="28"/>
          <w:szCs w:val="28"/>
          <w:lang w:val="en-US" w:eastAsia="zh-CN"/>
        </w:rPr>
        <w:t>北京市安全生产委员会办公室《关于进一步加强生产经营单位外包外租安全生产管理工作的通知》，发包方要做到：纳入本单位安全生产管理体系、严格资质条件审查、规范签订安全生产管理协议、定期开展安全检查、强化高风险作业管控、保障场所及设施设备安全、督促开展应急演练等工作；承包方要做到：落实安全生产主体责任、规范使用场所和设施、加强作业现场安全管理、落实安全教育培训、加强现场应急处置等工作。</w:t>
      </w:r>
    </w:p>
    <w:p w14:paraId="75239852">
      <w:pPr>
        <w:pStyle w:val="27"/>
        <w:spacing w:line="360" w:lineRule="auto"/>
        <w:ind w:firstLine="480"/>
        <w:rPr>
          <w:rFonts w:hint="default" w:ascii="宋体" w:hAnsi="宋体" w:eastAsia="宋体" w:cs="宋体"/>
          <w:sz w:val="28"/>
          <w:szCs w:val="28"/>
          <w:lang w:val="en-US" w:eastAsia="zh-CN"/>
        </w:rPr>
      </w:pPr>
      <w:r>
        <w:rPr>
          <w:rFonts w:hint="eastAsia" w:ascii="宋体" w:hAnsi="宋体" w:eastAsia="宋体"/>
          <w:sz w:val="28"/>
          <w:szCs w:val="28"/>
          <w:lang w:val="en-US" w:eastAsia="zh-CN"/>
        </w:rPr>
        <w:t>特别是在涉及管线的小型工程中，双方应明确工程信息、提供的场所环境基本情况和地下管线资料清单，情况不明的区域应提前做好现场排查工作，编制具体的施工方案，施工单位要对从业人员做好安全技术交底，发包单位对有限空间等危险作业做好监督管理。</w:t>
      </w:r>
    </w:p>
    <w:p w14:paraId="3C885B0B">
      <w:pPr>
        <w:bidi w:val="0"/>
        <w:rPr>
          <w:rFonts w:hint="default"/>
          <w:lang w:val="en-US" w:eastAsia="zh-CN"/>
        </w:rPr>
      </w:pPr>
    </w:p>
    <w:sectPr>
      <w:headerReference r:id="rId6" w:type="default"/>
      <w:footerReference r:id="rId7" w:type="default"/>
      <w:pgSz w:w="11906" w:h="16838"/>
      <w:pgMar w:top="1418" w:right="1644" w:bottom="1418" w:left="1531" w:header="851" w:footer="992" w:gutter="0"/>
      <w:pgNumType w:start="1"/>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8AC00">
    <w:pPr>
      <w:pStyle w:val="12"/>
      <w:jc w:val="center"/>
    </w:pPr>
  </w:p>
  <w:p w14:paraId="112760FF">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3C8C7">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rPr>
      <w:id w:val="147472909"/>
    </w:sdtPr>
    <w:sdtEndPr>
      <w:rPr>
        <w:rFonts w:hint="default" w:ascii="Times New Roman" w:hAnsi="Times New Roman" w:cs="Times New Roman"/>
      </w:rPr>
    </w:sdtEndPr>
    <w:sdtContent>
      <w:p w14:paraId="6B0709B4">
        <w:pPr>
          <w:pStyle w:val="12"/>
          <w:jc w:val="center"/>
        </w:pPr>
        <w:r>
          <w:rPr>
            <w:rFonts w:hint="default" w:ascii="Times New Roman" w:hAnsi="Times New Roman" w:cs="Times New Roman"/>
          </w:rPr>
          <w:fldChar w:fldCharType="begin"/>
        </w:r>
        <w:r>
          <w:rPr>
            <w:rFonts w:hint="default" w:ascii="Times New Roman" w:hAnsi="Times New Roman" w:cs="Times New Roman"/>
          </w:rPr>
          <w:instrText xml:space="preserve">PAGE   \* MERGEFORMAT</w:instrText>
        </w:r>
        <w:r>
          <w:rPr>
            <w:rFonts w:hint="default" w:ascii="Times New Roman" w:hAnsi="Times New Roman" w:cs="Times New Roman"/>
          </w:rPr>
          <w:fldChar w:fldCharType="separate"/>
        </w:r>
        <w:r>
          <w:rPr>
            <w:rFonts w:hint="default" w:ascii="Times New Roman" w:hAnsi="Times New Roman" w:cs="Times New Roman"/>
            <w:lang w:val="zh-CN"/>
          </w:rPr>
          <w:t>7</w:t>
        </w:r>
        <w:r>
          <w:rPr>
            <w:rFonts w:hint="default" w:ascii="Times New Roman" w:hAnsi="Times New Roman" w:cs="Times New Roma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2E7B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92D9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9BCB51"/>
    <w:multiLevelType w:val="singleLevel"/>
    <w:tmpl w:val="FF9BCB51"/>
    <w:lvl w:ilvl="0" w:tentative="0">
      <w:start w:val="1"/>
      <w:numFmt w:val="decimal"/>
      <w:suff w:val="nothing"/>
      <w:lvlText w:val="%1、"/>
      <w:lvlJc w:val="left"/>
    </w:lvl>
  </w:abstractNum>
  <w:abstractNum w:abstractNumId="1">
    <w:nsid w:val="65397192"/>
    <w:multiLevelType w:val="singleLevel"/>
    <w:tmpl w:val="65397192"/>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iMGFmMGEzYWQ0ZTkzYjc2NjIzMmZkMWQ5NzU3N2YifQ=="/>
  </w:docVars>
  <w:rsids>
    <w:rsidRoot w:val="00285FDF"/>
    <w:rsid w:val="00033FC3"/>
    <w:rsid w:val="00035633"/>
    <w:rsid w:val="0004493C"/>
    <w:rsid w:val="000661DA"/>
    <w:rsid w:val="0007127B"/>
    <w:rsid w:val="000D68EE"/>
    <w:rsid w:val="000F5A8B"/>
    <w:rsid w:val="00100F64"/>
    <w:rsid w:val="0010441E"/>
    <w:rsid w:val="00124065"/>
    <w:rsid w:val="001918DD"/>
    <w:rsid w:val="001A4E27"/>
    <w:rsid w:val="001D73DD"/>
    <w:rsid w:val="001F11A0"/>
    <w:rsid w:val="001F5F52"/>
    <w:rsid w:val="0020432B"/>
    <w:rsid w:val="00206050"/>
    <w:rsid w:val="00216BDE"/>
    <w:rsid w:val="0024609C"/>
    <w:rsid w:val="002525EF"/>
    <w:rsid w:val="00265D8A"/>
    <w:rsid w:val="00276841"/>
    <w:rsid w:val="00285FDF"/>
    <w:rsid w:val="00293808"/>
    <w:rsid w:val="002C18B5"/>
    <w:rsid w:val="002E54FA"/>
    <w:rsid w:val="002F42B3"/>
    <w:rsid w:val="00312755"/>
    <w:rsid w:val="003652DC"/>
    <w:rsid w:val="00392D5E"/>
    <w:rsid w:val="00394E2E"/>
    <w:rsid w:val="003A5EF0"/>
    <w:rsid w:val="00421CD2"/>
    <w:rsid w:val="00427EC7"/>
    <w:rsid w:val="004335F3"/>
    <w:rsid w:val="0046075B"/>
    <w:rsid w:val="004B45DB"/>
    <w:rsid w:val="004C14AE"/>
    <w:rsid w:val="004F3DD5"/>
    <w:rsid w:val="00500508"/>
    <w:rsid w:val="00516A53"/>
    <w:rsid w:val="00525288"/>
    <w:rsid w:val="00526DFE"/>
    <w:rsid w:val="00560B1C"/>
    <w:rsid w:val="005735B4"/>
    <w:rsid w:val="0059462D"/>
    <w:rsid w:val="005A7985"/>
    <w:rsid w:val="005C7C6E"/>
    <w:rsid w:val="00602FA4"/>
    <w:rsid w:val="00612973"/>
    <w:rsid w:val="00621377"/>
    <w:rsid w:val="00621BC5"/>
    <w:rsid w:val="00622D25"/>
    <w:rsid w:val="00623CA5"/>
    <w:rsid w:val="0064528A"/>
    <w:rsid w:val="00657D5D"/>
    <w:rsid w:val="00664357"/>
    <w:rsid w:val="0067215B"/>
    <w:rsid w:val="00685AE8"/>
    <w:rsid w:val="0068657E"/>
    <w:rsid w:val="006A48DC"/>
    <w:rsid w:val="006A7018"/>
    <w:rsid w:val="006F5C9D"/>
    <w:rsid w:val="006F623D"/>
    <w:rsid w:val="00704DA4"/>
    <w:rsid w:val="00722B11"/>
    <w:rsid w:val="007231B2"/>
    <w:rsid w:val="00740EDE"/>
    <w:rsid w:val="007457D2"/>
    <w:rsid w:val="007504CD"/>
    <w:rsid w:val="00751E0C"/>
    <w:rsid w:val="00756B9D"/>
    <w:rsid w:val="0079226E"/>
    <w:rsid w:val="007B185F"/>
    <w:rsid w:val="007D0737"/>
    <w:rsid w:val="007D7F25"/>
    <w:rsid w:val="007E7BED"/>
    <w:rsid w:val="007F21CF"/>
    <w:rsid w:val="007F5965"/>
    <w:rsid w:val="007F62C7"/>
    <w:rsid w:val="00804A15"/>
    <w:rsid w:val="00827BA8"/>
    <w:rsid w:val="00835E4B"/>
    <w:rsid w:val="00860D5D"/>
    <w:rsid w:val="00860D77"/>
    <w:rsid w:val="00860F0F"/>
    <w:rsid w:val="008A7E92"/>
    <w:rsid w:val="008B6603"/>
    <w:rsid w:val="008D096F"/>
    <w:rsid w:val="008D39F0"/>
    <w:rsid w:val="008F2364"/>
    <w:rsid w:val="008F79A1"/>
    <w:rsid w:val="009010E1"/>
    <w:rsid w:val="00905FCF"/>
    <w:rsid w:val="00921852"/>
    <w:rsid w:val="00977D59"/>
    <w:rsid w:val="00982048"/>
    <w:rsid w:val="00986675"/>
    <w:rsid w:val="00996894"/>
    <w:rsid w:val="009A0772"/>
    <w:rsid w:val="009A492D"/>
    <w:rsid w:val="009B19DD"/>
    <w:rsid w:val="009E52CD"/>
    <w:rsid w:val="009E588A"/>
    <w:rsid w:val="009F3D38"/>
    <w:rsid w:val="00A43CA0"/>
    <w:rsid w:val="00A43CE8"/>
    <w:rsid w:val="00A52C59"/>
    <w:rsid w:val="00A64E51"/>
    <w:rsid w:val="00A826B8"/>
    <w:rsid w:val="00AA16EA"/>
    <w:rsid w:val="00AA34A4"/>
    <w:rsid w:val="00AA454F"/>
    <w:rsid w:val="00AB0554"/>
    <w:rsid w:val="00AB39CE"/>
    <w:rsid w:val="00AD1929"/>
    <w:rsid w:val="00AE0F20"/>
    <w:rsid w:val="00AE2E97"/>
    <w:rsid w:val="00AF6861"/>
    <w:rsid w:val="00B0045A"/>
    <w:rsid w:val="00B145E9"/>
    <w:rsid w:val="00B33A8F"/>
    <w:rsid w:val="00B54F6F"/>
    <w:rsid w:val="00B754B8"/>
    <w:rsid w:val="00BA6F2E"/>
    <w:rsid w:val="00BA719E"/>
    <w:rsid w:val="00BC07F9"/>
    <w:rsid w:val="00BF3D4E"/>
    <w:rsid w:val="00BF3E7A"/>
    <w:rsid w:val="00BF4191"/>
    <w:rsid w:val="00C13A45"/>
    <w:rsid w:val="00C2450C"/>
    <w:rsid w:val="00C47644"/>
    <w:rsid w:val="00C6109B"/>
    <w:rsid w:val="00C6750F"/>
    <w:rsid w:val="00CA6FC6"/>
    <w:rsid w:val="00CA7CD9"/>
    <w:rsid w:val="00CE2B07"/>
    <w:rsid w:val="00CE5D44"/>
    <w:rsid w:val="00D05A8E"/>
    <w:rsid w:val="00D05F1E"/>
    <w:rsid w:val="00D1095E"/>
    <w:rsid w:val="00D24999"/>
    <w:rsid w:val="00D40F88"/>
    <w:rsid w:val="00D63D4F"/>
    <w:rsid w:val="00D83316"/>
    <w:rsid w:val="00D93ECE"/>
    <w:rsid w:val="00D962D4"/>
    <w:rsid w:val="00DB74D4"/>
    <w:rsid w:val="00DC2FAA"/>
    <w:rsid w:val="00DF1CA1"/>
    <w:rsid w:val="00E46AA2"/>
    <w:rsid w:val="00E52B35"/>
    <w:rsid w:val="00E8104B"/>
    <w:rsid w:val="00E81FE2"/>
    <w:rsid w:val="00EA6877"/>
    <w:rsid w:val="00ED2273"/>
    <w:rsid w:val="00ED79DA"/>
    <w:rsid w:val="00EF37D2"/>
    <w:rsid w:val="00F0015F"/>
    <w:rsid w:val="00F0390F"/>
    <w:rsid w:val="00F26953"/>
    <w:rsid w:val="00F34F30"/>
    <w:rsid w:val="00F36DE9"/>
    <w:rsid w:val="00F42427"/>
    <w:rsid w:val="00F53279"/>
    <w:rsid w:val="00FA7A84"/>
    <w:rsid w:val="00FC5229"/>
    <w:rsid w:val="00FD1A37"/>
    <w:rsid w:val="00FE172C"/>
    <w:rsid w:val="00FF0A5A"/>
    <w:rsid w:val="021311B0"/>
    <w:rsid w:val="05576FA5"/>
    <w:rsid w:val="05F633D4"/>
    <w:rsid w:val="069A1A15"/>
    <w:rsid w:val="071F6E1C"/>
    <w:rsid w:val="07E46313"/>
    <w:rsid w:val="08A01F6E"/>
    <w:rsid w:val="0A63769A"/>
    <w:rsid w:val="0ABB77C9"/>
    <w:rsid w:val="0C615FF1"/>
    <w:rsid w:val="0F926C00"/>
    <w:rsid w:val="100C51FC"/>
    <w:rsid w:val="10135660"/>
    <w:rsid w:val="11C8395F"/>
    <w:rsid w:val="12BF40AA"/>
    <w:rsid w:val="180D715A"/>
    <w:rsid w:val="18504EAC"/>
    <w:rsid w:val="19CA4A8E"/>
    <w:rsid w:val="1CAF2D27"/>
    <w:rsid w:val="1D13560D"/>
    <w:rsid w:val="1D364A2A"/>
    <w:rsid w:val="1F58750D"/>
    <w:rsid w:val="218A4E78"/>
    <w:rsid w:val="21A644C5"/>
    <w:rsid w:val="248E07B8"/>
    <w:rsid w:val="27697D30"/>
    <w:rsid w:val="2878627F"/>
    <w:rsid w:val="29BD5C6D"/>
    <w:rsid w:val="2FD64ACE"/>
    <w:rsid w:val="3256748E"/>
    <w:rsid w:val="32F86C10"/>
    <w:rsid w:val="341A1D21"/>
    <w:rsid w:val="34EF0345"/>
    <w:rsid w:val="36A15CF3"/>
    <w:rsid w:val="3729169F"/>
    <w:rsid w:val="387173B3"/>
    <w:rsid w:val="38A66CE8"/>
    <w:rsid w:val="38C765BA"/>
    <w:rsid w:val="38D220DF"/>
    <w:rsid w:val="396D3D9E"/>
    <w:rsid w:val="3A330AC8"/>
    <w:rsid w:val="3AC76232"/>
    <w:rsid w:val="3C146687"/>
    <w:rsid w:val="3DB94D57"/>
    <w:rsid w:val="3DFA0B12"/>
    <w:rsid w:val="440A1684"/>
    <w:rsid w:val="442844F7"/>
    <w:rsid w:val="46B45C34"/>
    <w:rsid w:val="49FE7B06"/>
    <w:rsid w:val="4B2F4419"/>
    <w:rsid w:val="4C710A10"/>
    <w:rsid w:val="4DED40AD"/>
    <w:rsid w:val="4F4B16C4"/>
    <w:rsid w:val="500550D8"/>
    <w:rsid w:val="522220AF"/>
    <w:rsid w:val="52855DD2"/>
    <w:rsid w:val="52903990"/>
    <w:rsid w:val="52B16FC2"/>
    <w:rsid w:val="52F90024"/>
    <w:rsid w:val="540F4C1F"/>
    <w:rsid w:val="555B55F4"/>
    <w:rsid w:val="556E38DA"/>
    <w:rsid w:val="55882F61"/>
    <w:rsid w:val="55AC1F4E"/>
    <w:rsid w:val="56420F92"/>
    <w:rsid w:val="573F7F9B"/>
    <w:rsid w:val="57890AF4"/>
    <w:rsid w:val="59324BF8"/>
    <w:rsid w:val="5AF57FF0"/>
    <w:rsid w:val="5B4052B6"/>
    <w:rsid w:val="5D577820"/>
    <w:rsid w:val="5E2570C5"/>
    <w:rsid w:val="60E53FC2"/>
    <w:rsid w:val="632F6185"/>
    <w:rsid w:val="63C93C9A"/>
    <w:rsid w:val="662D164C"/>
    <w:rsid w:val="67847CC8"/>
    <w:rsid w:val="6A732C5E"/>
    <w:rsid w:val="6B8C1AB4"/>
    <w:rsid w:val="6C0E2107"/>
    <w:rsid w:val="6F68734C"/>
    <w:rsid w:val="79E729F7"/>
    <w:rsid w:val="7BAF1437"/>
    <w:rsid w:val="7C6A0859"/>
    <w:rsid w:val="7CF0780B"/>
    <w:rsid w:val="7DF9761A"/>
    <w:rsid w:val="7ED67EC7"/>
    <w:rsid w:val="7F36188A"/>
    <w:rsid w:val="7FE207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5">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6">
    <w:name w:val="heading 3"/>
    <w:basedOn w:val="1"/>
    <w:next w:val="1"/>
    <w:qFormat/>
    <w:uiPriority w:val="9"/>
    <w:pPr>
      <w:keepNext/>
      <w:keepLines/>
      <w:spacing w:after="50" w:afterLines="50" w:line="480" w:lineRule="exact"/>
      <w:outlineLvl w:val="2"/>
    </w:pPr>
    <w:rPr>
      <w:rFonts w:ascii="仿宋" w:hAnsi="仿宋"/>
      <w:b/>
      <w:sz w:val="28"/>
      <w:szCs w:val="24"/>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style>
  <w:style w:type="paragraph" w:customStyle="1" w:styleId="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7">
    <w:name w:val="toa heading"/>
    <w:basedOn w:val="1"/>
    <w:next w:val="1"/>
    <w:unhideWhenUsed/>
    <w:qFormat/>
    <w:uiPriority w:val="99"/>
    <w:pPr>
      <w:spacing w:before="120"/>
    </w:pPr>
    <w:rPr>
      <w:rFonts w:ascii="等线 Light" w:hAnsi="等线 Light"/>
      <w:szCs w:val="24"/>
    </w:rPr>
  </w:style>
  <w:style w:type="paragraph" w:styleId="8">
    <w:name w:val="annotation text"/>
    <w:basedOn w:val="1"/>
    <w:link w:val="84"/>
    <w:unhideWhenUsed/>
    <w:qFormat/>
    <w:uiPriority w:val="99"/>
    <w:pPr>
      <w:jc w:val="left"/>
    </w:pPr>
  </w:style>
  <w:style w:type="paragraph" w:styleId="9">
    <w:name w:val="Body Text Indent"/>
    <w:basedOn w:val="1"/>
    <w:next w:val="1"/>
    <w:qFormat/>
    <w:uiPriority w:val="0"/>
    <w:pPr>
      <w:spacing w:after="120"/>
      <w:ind w:left="420" w:leftChars="200"/>
    </w:pPr>
  </w:style>
  <w:style w:type="paragraph" w:styleId="10">
    <w:name w:val="toc 3"/>
    <w:basedOn w:val="1"/>
    <w:next w:val="1"/>
    <w:unhideWhenUsed/>
    <w:qFormat/>
    <w:uiPriority w:val="39"/>
    <w:pPr>
      <w:widowControl/>
      <w:spacing w:after="100" w:line="259" w:lineRule="auto"/>
      <w:ind w:left="440"/>
      <w:jc w:val="left"/>
    </w:pPr>
    <w:rPr>
      <w:rFonts w:cs="Times New Roman"/>
      <w:kern w:val="0"/>
      <w:sz w:val="22"/>
    </w:rPr>
  </w:style>
  <w:style w:type="paragraph" w:styleId="11">
    <w:name w:val="Balloon Text"/>
    <w:basedOn w:val="1"/>
    <w:link w:val="33"/>
    <w:unhideWhenUsed/>
    <w:qFormat/>
    <w:uiPriority w:val="0"/>
    <w:rPr>
      <w:sz w:val="18"/>
      <w:szCs w:val="18"/>
    </w:rPr>
  </w:style>
  <w:style w:type="paragraph" w:styleId="12">
    <w:name w:val="footer"/>
    <w:basedOn w:val="1"/>
    <w:link w:val="30"/>
    <w:unhideWhenUsed/>
    <w:qFormat/>
    <w:uiPriority w:val="0"/>
    <w:pPr>
      <w:tabs>
        <w:tab w:val="center" w:pos="4153"/>
        <w:tab w:val="right" w:pos="8306"/>
      </w:tabs>
      <w:snapToGrid w:val="0"/>
      <w:jc w:val="left"/>
    </w:pPr>
    <w:rPr>
      <w:sz w:val="18"/>
      <w:szCs w:val="18"/>
    </w:rPr>
  </w:style>
  <w:style w:type="paragraph" w:styleId="13">
    <w:name w:val="header"/>
    <w:basedOn w:val="1"/>
    <w:link w:val="29"/>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59" w:lineRule="auto"/>
      <w:jc w:val="left"/>
    </w:pPr>
    <w:rPr>
      <w:rFonts w:cs="Times New Roman"/>
      <w:kern w:val="0"/>
      <w:sz w:val="22"/>
    </w:rPr>
  </w:style>
  <w:style w:type="paragraph" w:styleId="15">
    <w:name w:val="toc 2"/>
    <w:basedOn w:val="1"/>
    <w:next w:val="1"/>
    <w:unhideWhenUsed/>
    <w:qFormat/>
    <w:uiPriority w:val="39"/>
    <w:pPr>
      <w:widowControl/>
      <w:spacing w:after="100" w:line="259" w:lineRule="auto"/>
      <w:ind w:left="220"/>
      <w:jc w:val="left"/>
    </w:pPr>
    <w:rPr>
      <w:rFonts w:cs="Times New Roman"/>
      <w:kern w:val="0"/>
      <w:sz w:val="22"/>
    </w:rPr>
  </w:style>
  <w:style w:type="paragraph" w:styleId="16">
    <w:name w:val="HTML Preformatted"/>
    <w:basedOn w:val="1"/>
    <w:link w:val="31"/>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8">
    <w:name w:val="annotation subject"/>
    <w:basedOn w:val="8"/>
    <w:next w:val="8"/>
    <w:link w:val="85"/>
    <w:qFormat/>
    <w:uiPriority w:val="0"/>
    <w:rPr>
      <w:b/>
      <w:bCs/>
    </w:rPr>
  </w:style>
  <w:style w:type="paragraph" w:styleId="19">
    <w:name w:val="Body Text First Indent 2"/>
    <w:basedOn w:val="9"/>
    <w:next w:val="1"/>
    <w:qFormat/>
    <w:uiPriority w:val="0"/>
    <w:pPr>
      <w:ind w:left="420" w:firstLine="210"/>
    </w:pPr>
    <w:rPr>
      <w:sz w:val="21"/>
      <w:szCs w:val="20"/>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yperlink"/>
    <w:basedOn w:val="22"/>
    <w:unhideWhenUsed/>
    <w:qFormat/>
    <w:uiPriority w:val="99"/>
    <w:rPr>
      <w:color w:val="0563C1" w:themeColor="hyperlink"/>
      <w:u w:val="single"/>
      <w14:textFill>
        <w14:solidFill>
          <w14:schemeClr w14:val="hlink"/>
        </w14:solidFill>
      </w14:textFill>
    </w:rPr>
  </w:style>
  <w:style w:type="character" w:styleId="26">
    <w:name w:val="annotation reference"/>
    <w:basedOn w:val="22"/>
    <w:qFormat/>
    <w:uiPriority w:val="0"/>
    <w:rPr>
      <w:sz w:val="21"/>
      <w:szCs w:val="21"/>
    </w:rPr>
  </w:style>
  <w:style w:type="paragraph" w:styleId="27">
    <w:name w:val="List Paragraph"/>
    <w:basedOn w:val="1"/>
    <w:qFormat/>
    <w:uiPriority w:val="34"/>
    <w:pPr>
      <w:ind w:firstLine="420" w:firstLineChars="200"/>
    </w:pPr>
  </w:style>
  <w:style w:type="character" w:customStyle="1" w:styleId="28">
    <w:name w:val="标题 1 Char"/>
    <w:basedOn w:val="22"/>
    <w:link w:val="4"/>
    <w:qFormat/>
    <w:uiPriority w:val="9"/>
    <w:rPr>
      <w:b/>
      <w:bCs/>
      <w:kern w:val="44"/>
      <w:sz w:val="44"/>
      <w:szCs w:val="44"/>
    </w:rPr>
  </w:style>
  <w:style w:type="character" w:customStyle="1" w:styleId="29">
    <w:name w:val="页眉 Char"/>
    <w:basedOn w:val="22"/>
    <w:link w:val="13"/>
    <w:qFormat/>
    <w:uiPriority w:val="0"/>
    <w:rPr>
      <w:sz w:val="18"/>
      <w:szCs w:val="18"/>
    </w:rPr>
  </w:style>
  <w:style w:type="character" w:customStyle="1" w:styleId="30">
    <w:name w:val="页脚 Char"/>
    <w:basedOn w:val="22"/>
    <w:link w:val="12"/>
    <w:qFormat/>
    <w:uiPriority w:val="0"/>
    <w:rPr>
      <w:sz w:val="18"/>
      <w:szCs w:val="18"/>
    </w:rPr>
  </w:style>
  <w:style w:type="character" w:customStyle="1" w:styleId="31">
    <w:name w:val="HTML 预设格式 Char"/>
    <w:basedOn w:val="22"/>
    <w:link w:val="16"/>
    <w:semiHidden/>
    <w:qFormat/>
    <w:uiPriority w:val="99"/>
    <w:rPr>
      <w:rFonts w:ascii="宋体" w:hAnsi="宋体" w:eastAsia="宋体" w:cs="宋体"/>
      <w:kern w:val="0"/>
      <w:sz w:val="24"/>
      <w:szCs w:val="24"/>
    </w:rPr>
  </w:style>
  <w:style w:type="paragraph" w:customStyle="1" w:styleId="32">
    <w:name w:val="TOC 标题1"/>
    <w:basedOn w:val="4"/>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3">
    <w:name w:val="批注框文本 Char"/>
    <w:basedOn w:val="22"/>
    <w:link w:val="11"/>
    <w:qFormat/>
    <w:uiPriority w:val="0"/>
    <w:rPr>
      <w:sz w:val="18"/>
      <w:szCs w:val="18"/>
    </w:rPr>
  </w:style>
  <w:style w:type="paragraph" w:customStyle="1" w:styleId="34">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35">
    <w:name w:val="xl65"/>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6">
    <w:name w:val="xl66"/>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37">
    <w:name w:val="xl67"/>
    <w:basedOn w:val="1"/>
    <w:qFormat/>
    <w:uiPriority w:val="0"/>
    <w:pPr>
      <w:widowControl/>
      <w:spacing w:before="100" w:beforeAutospacing="1" w:after="100" w:afterAutospacing="1"/>
      <w:jc w:val="center"/>
      <w:textAlignment w:val="center"/>
    </w:pPr>
    <w:rPr>
      <w:rFonts w:ascii="宋体" w:hAnsi="宋体" w:eastAsia="宋体" w:cs="宋体"/>
      <w:kern w:val="0"/>
      <w:sz w:val="32"/>
      <w:szCs w:val="32"/>
    </w:rPr>
  </w:style>
  <w:style w:type="paragraph" w:customStyle="1" w:styleId="38">
    <w:name w:val="xl68"/>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9">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40">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4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43">
    <w:name w:val="xl73"/>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5">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6">
    <w:name w:val="xl76"/>
    <w:basedOn w:val="1"/>
    <w:qFormat/>
    <w:uiPriority w:val="0"/>
    <w:pPr>
      <w:widowControl/>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7">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8">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9">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50">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1">
    <w:name w:val="xl81"/>
    <w:basedOn w:val="1"/>
    <w:qFormat/>
    <w:uiPriority w:val="0"/>
    <w:pPr>
      <w:widowControl/>
      <w:spacing w:before="100" w:beforeAutospacing="1" w:after="100" w:afterAutospacing="1"/>
      <w:jc w:val="left"/>
      <w:textAlignment w:val="center"/>
    </w:pPr>
    <w:rPr>
      <w:rFonts w:ascii="宋体" w:hAnsi="宋体" w:eastAsia="宋体" w:cs="宋体"/>
      <w:kern w:val="0"/>
      <w:sz w:val="18"/>
      <w:szCs w:val="18"/>
    </w:rPr>
  </w:style>
  <w:style w:type="paragraph" w:customStyle="1" w:styleId="52">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53">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4">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55">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6">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7">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58">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9">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0">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1">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2">
    <w:name w:val="xl9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3">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4">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Calibri" w:hAnsi="Calibri" w:eastAsia="宋体" w:cs="Calibri"/>
      <w:kern w:val="0"/>
      <w:szCs w:val="21"/>
    </w:rPr>
  </w:style>
  <w:style w:type="paragraph" w:customStyle="1" w:styleId="65">
    <w:name w:val="xl9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6">
    <w:name w:val="xl9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7">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8">
    <w:name w:val="xl9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9">
    <w:name w:val="xl98"/>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0">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1">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2">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3">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74">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5">
    <w:name w:val="xl104"/>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6">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77">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8">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b/>
      <w:bCs/>
      <w:kern w:val="0"/>
      <w:sz w:val="20"/>
      <w:szCs w:val="20"/>
    </w:rPr>
  </w:style>
  <w:style w:type="paragraph" w:customStyle="1" w:styleId="79">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b/>
      <w:bCs/>
      <w:kern w:val="0"/>
      <w:sz w:val="20"/>
      <w:szCs w:val="20"/>
    </w:rPr>
  </w:style>
  <w:style w:type="paragraph" w:customStyle="1" w:styleId="80">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81">
    <w:name w:val="cf01"/>
    <w:basedOn w:val="22"/>
    <w:qFormat/>
    <w:uiPriority w:val="0"/>
    <w:rPr>
      <w:rFonts w:hint="eastAsia" w:ascii="Microsoft YaHei UI" w:hAnsi="Microsoft YaHei UI" w:eastAsia="Microsoft YaHei UI"/>
      <w:sz w:val="18"/>
      <w:szCs w:val="18"/>
    </w:rPr>
  </w:style>
  <w:style w:type="paragraph" w:customStyle="1" w:styleId="82">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83">
    <w:name w:val="批注文字 字符"/>
    <w:basedOn w:val="22"/>
    <w:qFormat/>
    <w:uiPriority w:val="99"/>
    <w:rPr>
      <w:rFonts w:asciiTheme="minorHAnsi" w:hAnsiTheme="minorHAnsi" w:eastAsiaTheme="minorEastAsia" w:cstheme="minorBidi"/>
      <w:kern w:val="2"/>
      <w:sz w:val="21"/>
      <w:szCs w:val="22"/>
    </w:rPr>
  </w:style>
  <w:style w:type="character" w:customStyle="1" w:styleId="84">
    <w:name w:val="批注文字 Char"/>
    <w:basedOn w:val="22"/>
    <w:link w:val="8"/>
    <w:qFormat/>
    <w:uiPriority w:val="99"/>
    <w:rPr>
      <w:rFonts w:asciiTheme="minorHAnsi" w:hAnsiTheme="minorHAnsi" w:eastAsiaTheme="minorEastAsia" w:cstheme="minorBidi"/>
      <w:kern w:val="2"/>
      <w:sz w:val="21"/>
      <w:szCs w:val="22"/>
    </w:rPr>
  </w:style>
  <w:style w:type="character" w:customStyle="1" w:styleId="85">
    <w:name w:val="批注主题 Char"/>
    <w:basedOn w:val="84"/>
    <w:link w:val="18"/>
    <w:qFormat/>
    <w:uiPriority w:val="0"/>
    <w:rPr>
      <w:rFonts w:asciiTheme="minorHAnsi" w:hAnsiTheme="minorHAnsi" w:eastAsiaTheme="minorEastAsia" w:cstheme="minorBidi"/>
      <w:b/>
      <w:bCs/>
      <w:kern w:val="2"/>
      <w:sz w:val="21"/>
      <w:szCs w:val="22"/>
    </w:rPr>
  </w:style>
  <w:style w:type="paragraph" w:customStyle="1" w:styleId="86">
    <w:name w:val="修订1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87">
    <w:name w:val="pf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8">
    <w:name w:val="cf11"/>
    <w:basedOn w:val="22"/>
    <w:qFormat/>
    <w:uiPriority w:val="0"/>
    <w:rPr>
      <w:rFonts w:hint="eastAsia" w:ascii="Microsoft YaHei UI" w:hAnsi="Microsoft YaHei UI" w:eastAsia="Microsoft YaHei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062E3-6527-4945-B372-F0664392E16F}">
  <ds:schemaRefs/>
</ds:datastoreItem>
</file>

<file path=docProps/app.xml><?xml version="1.0" encoding="utf-8"?>
<Properties xmlns="http://schemas.openxmlformats.org/officeDocument/2006/extended-properties" xmlns:vt="http://schemas.openxmlformats.org/officeDocument/2006/docPropsVTypes">
  <Template>Normal</Template>
  <Pages>9</Pages>
  <Words>544</Words>
  <Characters>552</Characters>
  <Lines>173</Lines>
  <Paragraphs>48</Paragraphs>
  <TotalTime>1</TotalTime>
  <ScaleCrop>false</ScaleCrop>
  <LinksUpToDate>false</LinksUpToDate>
  <CharactersWithSpaces>563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2022-12-15T08:13:00Z</dcterms:created>
  <dc:creator>FENG</dc:creator>
  <cp:lastModifiedBy>轻描淡写</cp:lastModifiedBy>
  <cp:lastPrinted>2023-09-05T02:17:00Z</cp:lastPrinted>
  <dcterms:modified xsi:type="dcterms:W3CDTF">2025-11-06T01:31:40Z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A9E281759D874C5795196009F278F902_13</vt:lpwstr>
  </property>
  <property fmtid="{D5CDD505-2E9C-101B-9397-08002B2CF9AE}" pid="4" name="KSOTemplateDocerSaveRecord">
    <vt:lpwstr>eyJoZGlkIjoiN2UyNGU2YTllM2QyMzdmYjFjOTc2Njc0OWViZDJmMWQiLCJ1c2VySWQiOiI0ODkxMDMzNDYifQ==</vt:lpwstr>
  </property>
</Properties>
</file>