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0D733">
      <w:pPr>
        <w:spacing w:line="360" w:lineRule="auto"/>
        <w:jc w:val="center"/>
        <w:rPr>
          <w:rFonts w:ascii="Times New Roman" w:hAnsi="Times New Roman" w:eastAsia="黑体"/>
          <w:sz w:val="52"/>
          <w:szCs w:val="52"/>
        </w:rPr>
      </w:pPr>
      <w:bookmarkStart w:id="0" w:name="_Toc264729017"/>
      <w:bookmarkStart w:id="1" w:name="_Toc264643771"/>
      <w:r>
        <w:rPr>
          <w:rFonts w:ascii="Times New Roman" w:hAnsi="Times New Roman" w:eastAsia="黑体"/>
          <w:sz w:val="52"/>
          <w:szCs w:val="52"/>
        </w:rPr>
        <w:fldChar w:fldCharType="begin">
          <w:fldData xml:space="preserve">ZQBKAHoAdABYAFEAMQAwAEcAOABXAGQAMwA3AFYAawBhAFQAMQB4AEwAMABaAEEANgBwAHIAMgBF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</w:fldData>
        </w:fldChar>
      </w:r>
      <w:r>
        <w:rPr>
          <w:rFonts w:ascii="Times New Roman" w:hAnsi="Times New Roman" w:eastAsia="黑体"/>
          <w:sz w:val="52"/>
          <w:szCs w:val="52"/>
        </w:rPr>
        <w:instrText xml:space="preserve">ADDIN CNKISM.UserStyle</w:instrText>
      </w:r>
      <w:r>
        <w:rPr>
          <w:rFonts w:ascii="Times New Roman" w:hAnsi="Times New Roman" w:eastAsia="黑体"/>
          <w:sz w:val="52"/>
          <w:szCs w:val="52"/>
        </w:rPr>
        <w:fldChar w:fldCharType="separate"/>
      </w:r>
      <w:r>
        <w:rPr>
          <w:rFonts w:ascii="Times New Roman" w:hAnsi="Times New Roman" w:eastAsia="黑体"/>
          <w:sz w:val="52"/>
          <w:szCs w:val="52"/>
        </w:rPr>
        <w:fldChar w:fldCharType="end"/>
      </w:r>
    </w:p>
    <w:p w14:paraId="4D2CB910">
      <w:pPr>
        <w:spacing w:line="360" w:lineRule="auto"/>
        <w:jc w:val="center"/>
        <w:rPr>
          <w:rFonts w:ascii="Times New Roman" w:hAnsi="Times New Roman" w:eastAsia="黑体"/>
          <w:b/>
          <w:sz w:val="48"/>
          <w:szCs w:val="48"/>
        </w:rPr>
      </w:pPr>
      <w:r>
        <w:rPr>
          <w:rFonts w:hint="eastAsia" w:ascii="Times New Roman" w:hAnsi="Times New Roman" w:eastAsia="黑体" w:cs="黑体"/>
          <w:sz w:val="48"/>
          <w:szCs w:val="48"/>
        </w:rPr>
        <w:t>南邵镇麓鸣花园居住及公共服务设施项目二次供水工程“11·29”一般生产安全事故</w:t>
      </w:r>
      <w:r>
        <w:rPr>
          <w:rFonts w:hint="eastAsia" w:ascii="Times New Roman" w:hAnsi="Times New Roman" w:eastAsia="黑体"/>
          <w:sz w:val="48"/>
          <w:szCs w:val="48"/>
        </w:rPr>
        <w:t>现场安全现状评估报告</w:t>
      </w:r>
    </w:p>
    <w:bookmarkEnd w:id="0"/>
    <w:bookmarkEnd w:id="1"/>
    <w:p w14:paraId="47C46644">
      <w:pPr>
        <w:spacing w:line="360" w:lineRule="auto"/>
        <w:jc w:val="center"/>
        <w:rPr>
          <w:rFonts w:ascii="Times New Roman" w:hAnsi="Times New Roman" w:eastAsia="黑体"/>
          <w:b/>
          <w:sz w:val="48"/>
          <w:szCs w:val="48"/>
        </w:rPr>
      </w:pPr>
    </w:p>
    <w:p w14:paraId="5494152B">
      <w:pPr>
        <w:spacing w:line="360" w:lineRule="auto"/>
        <w:jc w:val="center"/>
        <w:rPr>
          <w:rFonts w:ascii="Times New Roman" w:hAnsi="Times New Roman" w:eastAsia="黑体"/>
          <w:b/>
          <w:sz w:val="48"/>
          <w:szCs w:val="48"/>
        </w:rPr>
      </w:pPr>
    </w:p>
    <w:p w14:paraId="4FFD03FD">
      <w:pPr>
        <w:spacing w:line="360" w:lineRule="auto"/>
        <w:jc w:val="center"/>
        <w:rPr>
          <w:rFonts w:ascii="Times New Roman" w:hAnsi="Times New Roman" w:eastAsia="黑体"/>
          <w:b/>
          <w:sz w:val="48"/>
          <w:szCs w:val="48"/>
        </w:rPr>
      </w:pPr>
    </w:p>
    <w:p w14:paraId="388ED3EE">
      <w:pPr>
        <w:spacing w:line="360" w:lineRule="auto"/>
        <w:jc w:val="center"/>
        <w:rPr>
          <w:rFonts w:ascii="Times New Roman" w:hAnsi="Times New Roman" w:eastAsia="黑体"/>
          <w:b/>
          <w:sz w:val="48"/>
          <w:szCs w:val="48"/>
        </w:rPr>
      </w:pPr>
    </w:p>
    <w:p w14:paraId="5A653530">
      <w:pPr>
        <w:spacing w:line="360" w:lineRule="auto"/>
        <w:jc w:val="center"/>
        <w:rPr>
          <w:rFonts w:ascii="Times New Roman" w:hAnsi="Times New Roman" w:eastAsia="黑体"/>
          <w:b/>
          <w:sz w:val="48"/>
          <w:szCs w:val="48"/>
        </w:rPr>
      </w:pPr>
    </w:p>
    <w:p w14:paraId="77B66992">
      <w:pPr>
        <w:spacing w:line="360" w:lineRule="auto"/>
        <w:jc w:val="center"/>
        <w:rPr>
          <w:rFonts w:ascii="Times New Roman" w:hAnsi="Times New Roman" w:eastAsia="黑体"/>
          <w:b/>
          <w:sz w:val="48"/>
          <w:szCs w:val="48"/>
        </w:rPr>
      </w:pPr>
    </w:p>
    <w:p w14:paraId="2BFCFEE6">
      <w:pPr>
        <w:spacing w:line="360" w:lineRule="auto"/>
        <w:jc w:val="center"/>
        <w:rPr>
          <w:rFonts w:ascii="Times New Roman" w:hAnsi="Times New Roman" w:eastAsia="黑体"/>
          <w:b/>
          <w:sz w:val="48"/>
          <w:szCs w:val="48"/>
        </w:rPr>
      </w:pPr>
    </w:p>
    <w:p w14:paraId="23CB96F2">
      <w:pPr>
        <w:spacing w:line="360" w:lineRule="auto"/>
        <w:jc w:val="center"/>
        <w:rPr>
          <w:rFonts w:ascii="Times New Roman" w:hAnsi="Times New Roman" w:eastAsia="黑体"/>
          <w:b/>
          <w:sz w:val="48"/>
          <w:szCs w:val="48"/>
        </w:rPr>
      </w:pPr>
    </w:p>
    <w:p w14:paraId="546A9023">
      <w:pPr>
        <w:spacing w:line="360" w:lineRule="auto"/>
        <w:jc w:val="center"/>
        <w:rPr>
          <w:rFonts w:ascii="Times New Roman" w:hAnsi="Times New Roman" w:eastAsia="黑体"/>
          <w:b/>
          <w:sz w:val="48"/>
          <w:szCs w:val="48"/>
        </w:rPr>
      </w:pPr>
    </w:p>
    <w:p w14:paraId="172880D5">
      <w:pPr>
        <w:spacing w:line="360" w:lineRule="auto"/>
        <w:jc w:val="center"/>
        <w:rPr>
          <w:rFonts w:ascii="Times New Roman" w:hAnsi="Times New Roman" w:eastAsia="黑体"/>
          <w:b/>
          <w:sz w:val="48"/>
          <w:szCs w:val="48"/>
        </w:rPr>
      </w:pPr>
    </w:p>
    <w:p w14:paraId="07E3375C">
      <w:pPr>
        <w:spacing w:line="360" w:lineRule="auto"/>
        <w:jc w:val="center"/>
        <w:rPr>
          <w:rFonts w:ascii="Times New Roman" w:hAnsi="Times New Roman" w:eastAsia="黑体"/>
          <w:b/>
          <w:sz w:val="48"/>
          <w:szCs w:val="48"/>
        </w:rPr>
      </w:pPr>
    </w:p>
    <w:p w14:paraId="32CF7EF1">
      <w:pPr>
        <w:spacing w:line="360" w:lineRule="auto"/>
        <w:jc w:val="center"/>
        <w:rPr>
          <w:rFonts w:ascii="Times New Roman" w:hAnsi="Times New Roman" w:eastAsia="黑体"/>
          <w:b/>
          <w:sz w:val="48"/>
          <w:szCs w:val="48"/>
        </w:rPr>
      </w:pPr>
    </w:p>
    <w:p w14:paraId="5D45B812">
      <w:pPr>
        <w:spacing w:line="360" w:lineRule="auto"/>
        <w:jc w:val="center"/>
        <w:rPr>
          <w:rFonts w:ascii="Times New Roman" w:hAnsi="Times New Roman" w:eastAsia="黑体"/>
          <w:b/>
          <w:sz w:val="48"/>
          <w:szCs w:val="48"/>
        </w:rPr>
      </w:pPr>
    </w:p>
    <w:p w14:paraId="56B3602E">
      <w:pPr>
        <w:spacing w:line="360" w:lineRule="auto"/>
        <w:jc w:val="center"/>
        <w:rPr>
          <w:rFonts w:ascii="Times New Roman" w:hAnsi="Times New Roman" w:eastAsia="黑体"/>
          <w:b/>
          <w:sz w:val="48"/>
          <w:szCs w:val="48"/>
        </w:rPr>
      </w:pPr>
    </w:p>
    <w:p w14:paraId="3A7DB627">
      <w:pPr>
        <w:spacing w:line="360" w:lineRule="auto"/>
        <w:jc w:val="center"/>
        <w:rPr>
          <w:rFonts w:ascii="Times New Roman" w:hAnsi="Times New Roman" w:eastAsia="黑体"/>
          <w:b/>
          <w:sz w:val="48"/>
          <w:szCs w:val="48"/>
        </w:rPr>
      </w:pPr>
    </w:p>
    <w:p w14:paraId="03C1D029">
      <w:pPr>
        <w:spacing w:line="360" w:lineRule="auto"/>
        <w:jc w:val="center"/>
        <w:rPr>
          <w:rFonts w:ascii="Times New Roman" w:hAnsi="Times New Roman" w:eastAsia="黑体"/>
          <w:sz w:val="48"/>
          <w:szCs w:val="48"/>
        </w:rPr>
      </w:pPr>
      <w:r>
        <w:rPr>
          <w:rFonts w:hint="eastAsia" w:ascii="Times New Roman" w:hAnsi="Times New Roman" w:eastAsia="黑体"/>
          <w:sz w:val="48"/>
          <w:szCs w:val="48"/>
        </w:rPr>
        <w:t>北京市科学技术研究院</w:t>
      </w:r>
    </w:p>
    <w:p w14:paraId="3D5B6E24">
      <w:pPr>
        <w:spacing w:line="360" w:lineRule="auto"/>
        <w:jc w:val="center"/>
        <w:rPr>
          <w:rFonts w:ascii="Times New Roman" w:hAnsi="Times New Roman" w:eastAsia="黑体"/>
          <w:sz w:val="48"/>
          <w:szCs w:val="48"/>
        </w:rPr>
      </w:pPr>
      <w:r>
        <w:rPr>
          <w:rFonts w:hint="eastAsia" w:ascii="Times New Roman" w:hAnsi="Times New Roman" w:eastAsia="黑体"/>
          <w:sz w:val="48"/>
          <w:szCs w:val="48"/>
        </w:rPr>
        <w:t xml:space="preserve">城市安全与环境科学研究所 </w:t>
      </w:r>
    </w:p>
    <w:p w14:paraId="779D2C39">
      <w:pPr>
        <w:spacing w:line="360" w:lineRule="auto"/>
        <w:jc w:val="center"/>
        <w:rPr>
          <w:rFonts w:ascii="Times New Roman" w:hAnsi="Times New Roman" w:eastAsia="黑体"/>
          <w:sz w:val="48"/>
          <w:szCs w:val="48"/>
        </w:rPr>
        <w:sectPr>
          <w:footerReference r:id="rId3" w:type="default"/>
          <w:pgSz w:w="11906" w:h="16838"/>
          <w:pgMar w:top="1440" w:right="1800" w:bottom="1440" w:left="1800" w:header="851" w:footer="992" w:gutter="0"/>
          <w:cols w:space="425" w:num="1"/>
          <w:docGrid w:type="lines" w:linePitch="312" w:charSpace="0"/>
        </w:sectPr>
      </w:pPr>
      <w:r>
        <w:rPr>
          <w:rFonts w:hint="eastAsia" w:ascii="Times New Roman" w:hAnsi="Times New Roman" w:eastAsia="黑体"/>
          <w:sz w:val="48"/>
          <w:szCs w:val="48"/>
        </w:rPr>
        <w:t>2025</w:t>
      </w:r>
      <w:r>
        <w:rPr>
          <w:rFonts w:ascii="Times New Roman" w:hAnsi="Times New Roman" w:eastAsia="黑体"/>
          <w:sz w:val="48"/>
          <w:szCs w:val="48"/>
        </w:rPr>
        <w:t>年</w:t>
      </w:r>
      <w:r>
        <w:rPr>
          <w:rFonts w:hint="eastAsia" w:ascii="Times New Roman" w:hAnsi="Times New Roman" w:eastAsia="黑体"/>
          <w:sz w:val="48"/>
          <w:szCs w:val="48"/>
          <w:lang w:val="en-US" w:eastAsia="zh-CN"/>
        </w:rPr>
        <w:t>9</w:t>
      </w:r>
      <w:bookmarkStart w:id="31" w:name="_GoBack"/>
      <w:bookmarkEnd w:id="31"/>
      <w:r>
        <w:rPr>
          <w:rFonts w:ascii="Times New Roman" w:hAnsi="Times New Roman" w:eastAsia="黑体"/>
          <w:sz w:val="48"/>
          <w:szCs w:val="48"/>
        </w:rPr>
        <w:t>月</w:t>
      </w:r>
    </w:p>
    <w:p w14:paraId="63B67C0B">
      <w:pPr>
        <w:spacing w:line="360" w:lineRule="auto"/>
        <w:jc w:val="center"/>
        <w:rPr>
          <w:rFonts w:ascii="Times New Roman" w:hAnsi="Times New Roman" w:eastAsia="黑体"/>
          <w:sz w:val="48"/>
          <w:szCs w:val="48"/>
        </w:rPr>
        <w:sectPr>
          <w:pgSz w:w="11906" w:h="16838"/>
          <w:pgMar w:top="1440" w:right="1800" w:bottom="1440" w:left="1800" w:header="851" w:footer="992" w:gutter="0"/>
          <w:cols w:space="425" w:num="1"/>
          <w:docGrid w:type="lines" w:linePitch="312" w:charSpace="0"/>
        </w:sectPr>
      </w:pPr>
    </w:p>
    <w:p w14:paraId="6AC19D37">
      <w:pPr>
        <w:jc w:val="center"/>
        <w:rPr>
          <w:rFonts w:ascii="Times New Roman" w:hAnsi="Times New Roman" w:eastAsia="黑体" w:cs="黑体"/>
          <w:sz w:val="32"/>
          <w:szCs w:val="32"/>
        </w:rPr>
      </w:pPr>
      <w:bookmarkStart w:id="2" w:name="_Toc4192"/>
      <w:r>
        <w:rPr>
          <w:rFonts w:hint="eastAsia" w:ascii="Times New Roman" w:hAnsi="Times New Roman" w:eastAsia="黑体" w:cs="黑体"/>
          <w:sz w:val="32"/>
          <w:szCs w:val="32"/>
        </w:rPr>
        <w:t>目 录</w:t>
      </w:r>
    </w:p>
    <w:p w14:paraId="20B9446A">
      <w:pPr>
        <w:pStyle w:val="6"/>
        <w:spacing w:after="0" w:line="360" w:lineRule="auto"/>
        <w:rPr>
          <w:rFonts w:ascii="Times New Roman" w:hAnsi="Times New Roman"/>
        </w:rPr>
      </w:pPr>
    </w:p>
    <w:p w14:paraId="7E824C87">
      <w:pPr>
        <w:pStyle w:val="13"/>
        <w:tabs>
          <w:tab w:val="right" w:leader="dot" w:pos="8296"/>
        </w:tabs>
        <w:rPr>
          <w:rFonts w:hint="eastAsia" w:ascii="Times New Roman" w:hAnsi="Times New Roman" w:cstheme="minorBidi"/>
          <w:kern w:val="2"/>
          <w:sz w:val="28"/>
          <w:szCs w:val="28"/>
          <w14:ligatures w14:val="standardContextual"/>
        </w:rPr>
      </w:pPr>
      <w:r>
        <w:rPr>
          <w:rFonts w:ascii="Times New Roman" w:hAnsi="Times New Roman" w:eastAsia="黑体"/>
          <w:sz w:val="28"/>
          <w:szCs w:val="28"/>
        </w:rPr>
        <w:fldChar w:fldCharType="begin"/>
      </w:r>
      <w:r>
        <w:rPr>
          <w:rFonts w:ascii="Times New Roman" w:hAnsi="Times New Roman" w:eastAsia="黑体"/>
          <w:sz w:val="28"/>
          <w:szCs w:val="28"/>
        </w:rPr>
        <w:instrText xml:space="preserve">TOC \o "1-3" \h \u </w:instrText>
      </w:r>
      <w:r>
        <w:rPr>
          <w:rFonts w:ascii="Times New Roman" w:hAnsi="Times New Roman" w:eastAsia="黑体"/>
          <w:sz w:val="28"/>
          <w:szCs w:val="28"/>
        </w:rPr>
        <w:fldChar w:fldCharType="separate"/>
      </w: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"_Toc205900665"</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eastAsia="黑体" w:cs="黑体"/>
          <w:sz w:val="28"/>
          <w:szCs w:val="28"/>
        </w:rPr>
        <w:t>一、目的依据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_Toc205900665 \h </w:instrText>
      </w:r>
      <w:r>
        <w:rPr>
          <w:rFonts w:hint="eastAsia" w:ascii="Times New Roman" w:hAnsi="Times New Roman"/>
          <w:sz w:val="28"/>
          <w:szCs w:val="28"/>
        </w:rPr>
        <w:fldChar w:fldCharType="separate"/>
      </w:r>
      <w:r>
        <w:rPr>
          <w:rFonts w:hint="eastAsia" w:ascii="Times New Roman" w:hAnsi="Times New Roman"/>
          <w:sz w:val="28"/>
          <w:szCs w:val="28"/>
        </w:rPr>
        <w:t>1</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67BED5D2">
      <w:pPr>
        <w:pStyle w:val="13"/>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"_Toc205900666"</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eastAsia="黑体" w:cs="黑体"/>
          <w:sz w:val="28"/>
          <w:szCs w:val="28"/>
        </w:rPr>
        <w:t>二、工作范围和方式</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_Toc205900666 \h </w:instrText>
      </w:r>
      <w:r>
        <w:rPr>
          <w:rFonts w:hint="eastAsia" w:ascii="Times New Roman" w:hAnsi="Times New Roman"/>
          <w:sz w:val="28"/>
          <w:szCs w:val="28"/>
        </w:rPr>
        <w:fldChar w:fldCharType="separate"/>
      </w:r>
      <w:r>
        <w:rPr>
          <w:rFonts w:hint="eastAsia" w:ascii="Times New Roman" w:hAnsi="Times New Roman"/>
          <w:sz w:val="28"/>
          <w:szCs w:val="28"/>
        </w:rPr>
        <w:t>1</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1F1DC005">
      <w:pPr>
        <w:pStyle w:val="14"/>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"_Toc205900667"</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sz w:val="28"/>
          <w:szCs w:val="28"/>
        </w:rPr>
        <w:t>（一）资料查阅</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_Toc205900667 \h </w:instrText>
      </w:r>
      <w:r>
        <w:rPr>
          <w:rFonts w:hint="eastAsia" w:ascii="Times New Roman" w:hAnsi="Times New Roman"/>
          <w:sz w:val="28"/>
          <w:szCs w:val="28"/>
        </w:rPr>
        <w:fldChar w:fldCharType="separate"/>
      </w:r>
      <w:r>
        <w:rPr>
          <w:rFonts w:hint="eastAsia" w:ascii="Times New Roman" w:hAnsi="Times New Roman"/>
          <w:sz w:val="28"/>
          <w:szCs w:val="28"/>
        </w:rPr>
        <w:t>1</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535C346A">
      <w:pPr>
        <w:pStyle w:val="14"/>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"_Toc205900668"</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sz w:val="28"/>
          <w:szCs w:val="28"/>
        </w:rPr>
        <w:t>（二）座谈问询</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_Toc205900668 \h </w:instrText>
      </w:r>
      <w:r>
        <w:rPr>
          <w:rFonts w:hint="eastAsia" w:ascii="Times New Roman" w:hAnsi="Times New Roman"/>
          <w:sz w:val="28"/>
          <w:szCs w:val="28"/>
        </w:rPr>
        <w:fldChar w:fldCharType="separate"/>
      </w:r>
      <w:r>
        <w:rPr>
          <w:rFonts w:hint="eastAsia" w:ascii="Times New Roman" w:hAnsi="Times New Roman"/>
          <w:sz w:val="28"/>
          <w:szCs w:val="28"/>
        </w:rPr>
        <w:t>3</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1353B3FB">
      <w:pPr>
        <w:pStyle w:val="14"/>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"_Toc205900669"</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sz w:val="28"/>
          <w:szCs w:val="28"/>
        </w:rPr>
        <w:t>（三）走访核查</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_Toc205900669 \h </w:instrText>
      </w:r>
      <w:r>
        <w:rPr>
          <w:rFonts w:hint="eastAsia" w:ascii="Times New Roman" w:hAnsi="Times New Roman"/>
          <w:sz w:val="28"/>
          <w:szCs w:val="28"/>
        </w:rPr>
        <w:fldChar w:fldCharType="separate"/>
      </w:r>
      <w:r>
        <w:rPr>
          <w:rFonts w:hint="eastAsia" w:ascii="Times New Roman" w:hAnsi="Times New Roman"/>
          <w:sz w:val="28"/>
          <w:szCs w:val="28"/>
        </w:rPr>
        <w:t>4</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0D2C6620">
      <w:pPr>
        <w:pStyle w:val="13"/>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"_Toc205900670"</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eastAsia="黑体" w:cs="黑体"/>
          <w:sz w:val="28"/>
          <w:szCs w:val="28"/>
        </w:rPr>
        <w:t>三、安全现状评估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_Toc205900670 \h </w:instrText>
      </w:r>
      <w:r>
        <w:rPr>
          <w:rFonts w:hint="eastAsia" w:ascii="Times New Roman" w:hAnsi="Times New Roman"/>
          <w:sz w:val="28"/>
          <w:szCs w:val="28"/>
        </w:rPr>
        <w:fldChar w:fldCharType="separate"/>
      </w:r>
      <w:r>
        <w:rPr>
          <w:rFonts w:hint="eastAsia" w:ascii="Times New Roman" w:hAnsi="Times New Roman"/>
          <w:sz w:val="28"/>
          <w:szCs w:val="28"/>
        </w:rPr>
        <w:t>4</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7B56871A">
      <w:pPr>
        <w:pStyle w:val="14"/>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"_Toc205900671"</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sz w:val="28"/>
          <w:szCs w:val="28"/>
        </w:rPr>
        <w:t>（一）现行安全管理制度制定及落实情况评估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_Toc205900671 \h </w:instrText>
      </w:r>
      <w:r>
        <w:rPr>
          <w:rFonts w:hint="eastAsia" w:ascii="Times New Roman" w:hAnsi="Times New Roman"/>
          <w:sz w:val="28"/>
          <w:szCs w:val="28"/>
        </w:rPr>
        <w:fldChar w:fldCharType="separate"/>
      </w:r>
      <w:r>
        <w:rPr>
          <w:rFonts w:hint="eastAsia" w:ascii="Times New Roman" w:hAnsi="Times New Roman"/>
          <w:sz w:val="28"/>
          <w:szCs w:val="28"/>
        </w:rPr>
        <w:t>4</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4189FA77">
      <w:pPr>
        <w:pStyle w:val="14"/>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"_Toc205900672"</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sz w:val="28"/>
          <w:szCs w:val="28"/>
        </w:rPr>
        <w:t>（二）现场运营环境安全评估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_Toc205900672 \h </w:instrText>
      </w:r>
      <w:r>
        <w:rPr>
          <w:rFonts w:hint="eastAsia" w:ascii="Times New Roman" w:hAnsi="Times New Roman"/>
          <w:sz w:val="28"/>
          <w:szCs w:val="28"/>
        </w:rPr>
        <w:fldChar w:fldCharType="separate"/>
      </w:r>
      <w:r>
        <w:rPr>
          <w:rFonts w:hint="eastAsia" w:ascii="Times New Roman" w:hAnsi="Times New Roman"/>
          <w:sz w:val="28"/>
          <w:szCs w:val="28"/>
        </w:rPr>
        <w:t>15</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655A712F">
      <w:pPr>
        <w:pStyle w:val="13"/>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"_Toc205900673"</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eastAsia="黑体" w:cs="黑体"/>
          <w:sz w:val="28"/>
          <w:szCs w:val="28"/>
        </w:rPr>
        <w:t>四、安全现状评估结论与建议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_Toc205900673 \h </w:instrText>
      </w:r>
      <w:r>
        <w:rPr>
          <w:rFonts w:hint="eastAsia" w:ascii="Times New Roman" w:hAnsi="Times New Roman"/>
          <w:sz w:val="28"/>
          <w:szCs w:val="28"/>
        </w:rPr>
        <w:fldChar w:fldCharType="separate"/>
      </w:r>
      <w:r>
        <w:rPr>
          <w:rFonts w:hint="eastAsia" w:ascii="Times New Roman" w:hAnsi="Times New Roman"/>
          <w:sz w:val="28"/>
          <w:szCs w:val="28"/>
        </w:rPr>
        <w:t>19</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59B4FCA0">
      <w:pPr>
        <w:pStyle w:val="14"/>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"_Toc205900674"</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sz w:val="28"/>
          <w:szCs w:val="28"/>
        </w:rPr>
        <w:t>（一）评估结论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_Toc205900674 \h </w:instrText>
      </w:r>
      <w:r>
        <w:rPr>
          <w:rFonts w:hint="eastAsia" w:ascii="Times New Roman" w:hAnsi="Times New Roman"/>
          <w:sz w:val="28"/>
          <w:szCs w:val="28"/>
        </w:rPr>
        <w:fldChar w:fldCharType="separate"/>
      </w:r>
      <w:r>
        <w:rPr>
          <w:rFonts w:hint="eastAsia" w:ascii="Times New Roman" w:hAnsi="Times New Roman"/>
          <w:sz w:val="28"/>
          <w:szCs w:val="28"/>
        </w:rPr>
        <w:t>19</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0F4C7D30">
      <w:pPr>
        <w:pStyle w:val="14"/>
        <w:tabs>
          <w:tab w:val="right" w:leader="dot" w:pos="8296"/>
        </w:tabs>
        <w:rPr>
          <w:rFonts w:hint="eastAsia" w:ascii="Times New Roman" w:hAnsi="Times New Roman" w:cstheme="minorBidi"/>
          <w:kern w:val="2"/>
          <w:sz w:val="28"/>
          <w:szCs w:val="28"/>
          <w14:ligatures w14:val="standardContextual"/>
        </w:rPr>
      </w:pPr>
      <w:r>
        <w:rPr>
          <w:rStyle w:val="24"/>
          <w:rFonts w:hint="eastAsia" w:ascii="Times New Roman" w:hAnsi="Times New Roman"/>
          <w:sz w:val="28"/>
          <w:szCs w:val="28"/>
        </w:rPr>
        <w:fldChar w:fldCharType="begin"/>
      </w:r>
      <w:r>
        <w:rPr>
          <w:rStyle w:val="24"/>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"_Toc205900675"</w:instrText>
      </w:r>
      <w:r>
        <w:rPr>
          <w:rStyle w:val="24"/>
          <w:rFonts w:hint="eastAsia" w:ascii="Times New Roman" w:hAnsi="Times New Roman"/>
          <w:sz w:val="28"/>
          <w:szCs w:val="28"/>
        </w:rPr>
        <w:instrText xml:space="preserve"> </w:instrText>
      </w:r>
      <w:r>
        <w:rPr>
          <w:rStyle w:val="24"/>
          <w:rFonts w:hint="eastAsia" w:ascii="Times New Roman" w:hAnsi="Times New Roman"/>
          <w:sz w:val="28"/>
          <w:szCs w:val="28"/>
        </w:rPr>
        <w:fldChar w:fldCharType="separate"/>
      </w:r>
      <w:r>
        <w:rPr>
          <w:rStyle w:val="24"/>
          <w:rFonts w:hint="eastAsia" w:ascii="Times New Roman" w:hAnsi="Times New Roman"/>
          <w:sz w:val="28"/>
          <w:szCs w:val="28"/>
        </w:rPr>
        <w:t>（二）工作提升建议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PAGEREF _Toc205900675 \h </w:instrText>
      </w:r>
      <w:r>
        <w:rPr>
          <w:rFonts w:hint="eastAsia" w:ascii="Times New Roman" w:hAnsi="Times New Roman"/>
          <w:sz w:val="28"/>
          <w:szCs w:val="28"/>
        </w:rPr>
        <w:fldChar w:fldCharType="separate"/>
      </w:r>
      <w:r>
        <w:rPr>
          <w:rFonts w:hint="eastAsia" w:ascii="Times New Roman" w:hAnsi="Times New Roman"/>
          <w:sz w:val="28"/>
          <w:szCs w:val="28"/>
        </w:rPr>
        <w:t>20</w:t>
      </w:r>
      <w:r>
        <w:rPr>
          <w:rFonts w:hint="eastAsia" w:ascii="Times New Roman" w:hAnsi="Times New Roman"/>
          <w:sz w:val="28"/>
          <w:szCs w:val="28"/>
        </w:rPr>
        <w:fldChar w:fldCharType="end"/>
      </w:r>
      <w:r>
        <w:rPr>
          <w:rStyle w:val="24"/>
          <w:rFonts w:hint="eastAsia" w:ascii="Times New Roman" w:hAnsi="Times New Roman"/>
          <w:sz w:val="28"/>
          <w:szCs w:val="28"/>
        </w:rPr>
        <w:fldChar w:fldCharType="end"/>
      </w:r>
    </w:p>
    <w:p w14:paraId="297FA5C3">
      <w:pPr>
        <w:pStyle w:val="2"/>
        <w:spacing w:before="0" w:after="156" w:afterLines="50" w:line="360" w:lineRule="auto"/>
        <w:rPr>
          <w:rFonts w:ascii="Times New Roman" w:hAnsi="Times New Roman" w:eastAsia="黑体" w:cs="Times New Roman"/>
          <w:sz w:val="28"/>
          <w:szCs w:val="28"/>
        </w:rPr>
        <w:sectPr>
          <w:headerReference r:id="rId4" w:type="default"/>
          <w:footerReference r:id="rId5" w:type="default"/>
          <w:pgSz w:w="11906" w:h="16838"/>
          <w:pgMar w:top="1440" w:right="1800" w:bottom="1440" w:left="1800" w:header="851" w:footer="992" w:gutter="0"/>
          <w:cols w:space="425" w:num="1"/>
          <w:docGrid w:type="lines" w:linePitch="312" w:charSpace="0"/>
        </w:sectPr>
      </w:pPr>
      <w:r>
        <w:rPr>
          <w:rFonts w:ascii="Times New Roman" w:hAnsi="Times New Roman" w:eastAsia="黑体" w:cs="Times New Roman"/>
          <w:sz w:val="28"/>
          <w:szCs w:val="28"/>
        </w:rPr>
        <w:fldChar w:fldCharType="end"/>
      </w:r>
    </w:p>
    <w:p w14:paraId="2106FFC9">
      <w:pPr>
        <w:rPr>
          <w:rFonts w:hint="eastAsia" w:ascii="Times New Roman" w:hAnsi="Times New Roman"/>
        </w:rPr>
        <w:sectPr>
          <w:pgSz w:w="11906" w:h="16838"/>
          <w:pgMar w:top="1440" w:right="1800" w:bottom="1440" w:left="1800" w:header="851" w:footer="992" w:gutter="0"/>
          <w:cols w:space="425" w:num="1"/>
          <w:docGrid w:type="lines" w:linePitch="312" w:charSpace="0"/>
        </w:sectPr>
      </w:pPr>
    </w:p>
    <w:p w14:paraId="248F8E1C">
      <w:pPr>
        <w:pStyle w:val="2"/>
        <w:spacing w:before="0" w:after="156" w:afterLines="50" w:line="360" w:lineRule="auto"/>
        <w:rPr>
          <w:rFonts w:ascii="Times New Roman" w:hAnsi="Times New Roman" w:eastAsia="黑体" w:cs="黑体"/>
          <w:sz w:val="28"/>
          <w:szCs w:val="28"/>
        </w:rPr>
      </w:pPr>
      <w:bookmarkStart w:id="3" w:name="_Toc205900665"/>
      <w:r>
        <w:rPr>
          <w:rFonts w:hint="eastAsia" w:ascii="Times New Roman" w:hAnsi="Times New Roman" w:eastAsia="黑体" w:cs="黑体"/>
          <w:sz w:val="28"/>
          <w:szCs w:val="28"/>
        </w:rPr>
        <w:t>一、目的依据</w:t>
      </w:r>
      <w:bookmarkEnd w:id="2"/>
      <w:bookmarkEnd w:id="3"/>
    </w:p>
    <w:p w14:paraId="324BA054">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w:t>
      </w:r>
      <w:r>
        <w:rPr>
          <w:rFonts w:ascii="Times New Roman" w:hAnsi="Times New Roman" w:eastAsia="宋体"/>
          <w:sz w:val="28"/>
          <w:szCs w:val="28"/>
        </w:rPr>
        <w:t>等文件要求</w:t>
      </w:r>
      <w:r>
        <w:rPr>
          <w:rFonts w:hint="eastAsia" w:ascii="Times New Roman" w:hAnsi="Times New Roman" w:eastAsia="宋体"/>
          <w:sz w:val="28"/>
          <w:szCs w:val="28"/>
        </w:rPr>
        <w:t>，开展本次一般生产安全事故现场安全现状评估工作。</w:t>
      </w:r>
    </w:p>
    <w:p w14:paraId="1A5271AD">
      <w:pPr>
        <w:pStyle w:val="2"/>
        <w:spacing w:before="240" w:after="240" w:line="360" w:lineRule="auto"/>
        <w:rPr>
          <w:rFonts w:ascii="Times New Roman" w:hAnsi="Times New Roman" w:eastAsia="黑体" w:cs="黑体"/>
          <w:sz w:val="28"/>
          <w:szCs w:val="28"/>
        </w:rPr>
      </w:pPr>
      <w:bookmarkStart w:id="4" w:name="_Toc26337"/>
      <w:bookmarkStart w:id="5" w:name="_Toc205900666"/>
      <w:r>
        <w:rPr>
          <w:rFonts w:hint="eastAsia" w:ascii="Times New Roman" w:hAnsi="Times New Roman" w:eastAsia="黑体" w:cs="黑体"/>
          <w:sz w:val="28"/>
          <w:szCs w:val="28"/>
        </w:rPr>
        <w:t>二、工作</w:t>
      </w:r>
      <w:bookmarkEnd w:id="4"/>
      <w:r>
        <w:rPr>
          <w:rFonts w:hint="eastAsia" w:ascii="Times New Roman" w:hAnsi="Times New Roman" w:eastAsia="黑体" w:cs="黑体"/>
          <w:sz w:val="28"/>
          <w:szCs w:val="28"/>
        </w:rPr>
        <w:t>范围和方式</w:t>
      </w:r>
      <w:bookmarkEnd w:id="5"/>
    </w:p>
    <w:p w14:paraId="67DFA9B0">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本次现场评估的对象是北京兴昌达博房地产开发有限公司（以下简称：兴昌达博房地产公司）、北京劲旅建筑工程有限公司（以下简称：劲旅建筑公司）。</w:t>
      </w:r>
    </w:p>
    <w:p w14:paraId="0A7DB11A">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南邵镇麓鸣花园居住及公共服务设施项目二次供水工程中，工程已完工，兴昌达博房地产公司安排1名人员在现场配合工作。</w:t>
      </w:r>
    </w:p>
    <w:p w14:paraId="12FFDA4F">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本次评估主要通过内业和外业调查，评估企业整改和现状落实情况。</w:t>
      </w:r>
    </w:p>
    <w:p w14:paraId="7C66D473">
      <w:pPr>
        <w:pStyle w:val="3"/>
        <w:spacing w:before="120" w:after="120" w:line="360" w:lineRule="auto"/>
        <w:rPr>
          <w:rFonts w:ascii="Times New Roman" w:hAnsi="Times New Roman"/>
          <w:sz w:val="28"/>
          <w:szCs w:val="21"/>
        </w:rPr>
      </w:pPr>
      <w:bookmarkStart w:id="6" w:name="_Toc205900667"/>
      <w:r>
        <w:rPr>
          <w:rFonts w:hint="eastAsia" w:ascii="Times New Roman" w:hAnsi="Times New Roman"/>
          <w:sz w:val="28"/>
          <w:szCs w:val="21"/>
        </w:rPr>
        <w:t>（一）资料查阅</w:t>
      </w:r>
      <w:bookmarkEnd w:id="6"/>
    </w:p>
    <w:p w14:paraId="0FF1321F">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1、兴昌达博房地产公司</w:t>
      </w:r>
    </w:p>
    <w:p w14:paraId="331C89EF">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兴昌达博房地产公司提供了相关资质证书（营业执照、开发资质）、管理制度（操作规程、安全管理体系架构及人员组成、安全生产责任制）、事故位置当前照片、安全生产管理协议书、事故整改报告、安全质量整改通知单、安全教育培训记录、应急预案、劳保用品购买记录、工伤保险记录等文件资料。评估组按照安全生产和《事故调查报告》中的事故间接原因、整改防范措施，对上述资料进行查阅。兴昌达博房地产公司的整改措施具体落实情况如下：</w:t>
      </w:r>
    </w:p>
    <w:p w14:paraId="68E451EA">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1）检查和监督劳保用品的正确佩戴，确保施工现场配备足够的消防器材、逃生设施等，并定期检查其有效性；同时为工人提供符合标准的个人防护用品，如安全帽、防尘口罩、绝缘手套等，并监督他们正确佩戴使用。</w:t>
      </w:r>
    </w:p>
    <w:p w14:paraId="1A2771C6">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（2）提升操作规范的落实，要求工人严格按照施工方案和安全技术交底的要求进行作业，不得擅自更改设计或违反规定。对于高风险工序如高空作业、电器安装等要特别注意防护措施的落实。</w:t>
      </w:r>
    </w:p>
    <w:p w14:paraId="764484C1">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（3）提高员工安全意识，增加安全教育培训次数，再次提高所有参与施工人员的安全意识。让每位员工都了解工作环境中的潜在危险及应对措施，熟练掌握必要的安全知识与技能。</w:t>
      </w:r>
    </w:p>
    <w:p w14:paraId="3DA5D96C">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2、劲旅建筑公司</w:t>
      </w:r>
    </w:p>
    <w:p w14:paraId="1E92E113">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劲旅建筑公司提供了相关资质证书（营业执照、资质）、管理制度（操作规程、安全管理体系架构及人员组成、安全生产责任制）、事故位置当前照片、安全生产管理协议书、事故整改报告、事故隐患整改通知单等文件资料。评估组按照安全生产和《事故调查报告》中的事故间接原因、整改防范措施，对上述资料进行查阅。劲旅建筑公司的整改措施具体落实情况如下：</w:t>
      </w:r>
    </w:p>
    <w:p w14:paraId="03D14B68">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（1）组建安全生产委员会，配备1名专职安全生产管理人员，负责施工现场日常安全监督检查工作，并明确相关机构和人员的岗位职责。</w:t>
      </w:r>
    </w:p>
    <w:p w14:paraId="0F467C6C">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（2）制定安全生产教育培训计划，根据不同岗位特点，对全员进行安全生产教育培训。</w:t>
      </w:r>
    </w:p>
    <w:p w14:paraId="1E1FF216">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（3）隐患排查治理，对施工现场的高处作业、临时用电等重点部位进行检查。</w:t>
      </w:r>
    </w:p>
    <w:p w14:paraId="4A96E7F8">
      <w:pPr>
        <w:pStyle w:val="3"/>
        <w:spacing w:before="120" w:after="120" w:line="360" w:lineRule="auto"/>
        <w:rPr>
          <w:rFonts w:ascii="Times New Roman" w:hAnsi="Times New Roman"/>
          <w:sz w:val="28"/>
          <w:szCs w:val="21"/>
        </w:rPr>
      </w:pPr>
      <w:bookmarkStart w:id="7" w:name="_Toc205900668"/>
      <w:r>
        <w:rPr>
          <w:rFonts w:hint="eastAsia" w:ascii="Times New Roman" w:hAnsi="Times New Roman"/>
          <w:sz w:val="28"/>
          <w:szCs w:val="21"/>
        </w:rPr>
        <w:t>（二）座谈问询</w:t>
      </w:r>
      <w:bookmarkEnd w:id="7"/>
    </w:p>
    <w:p w14:paraId="1A4DF4DB">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评估组在南邵镇麓鸣花园居住及公共服务设施项目二次供水工程所在地会议室组织召开了专题会议，听取了兴昌达博房地产公司现场负责人关于事故整改工作开展情况的汇报。主要开展的工作包括：</w:t>
      </w:r>
    </w:p>
    <w:p w14:paraId="3BB72E48">
      <w:pPr>
        <w:pStyle w:val="27"/>
        <w:spacing w:line="360" w:lineRule="auto"/>
        <w:ind w:firstLine="560"/>
        <w:rPr>
          <w:rFonts w:ascii="Times New Roman" w:hAnsi="Times New Roman" w:eastAsia="宋体"/>
          <w:sz w:val="28"/>
          <w:szCs w:val="28"/>
        </w:rPr>
      </w:pPr>
      <w:r>
        <w:rPr>
          <w:rFonts w:ascii="Times New Roman" w:hAnsi="Times New Roman" w:eastAsia="宋体"/>
          <w:sz w:val="28"/>
          <w:szCs w:val="28"/>
        </w:rPr>
        <w:t>1、再次提高员工安全意识，增加安全教育培训次数，再次提高所有参与施工人员的安全意识。让员工了解工作环境中的潜在危险及应对措施，熟练掌握必要的安全知识与技能。</w:t>
      </w:r>
    </w:p>
    <w:p w14:paraId="7D7746E3">
      <w:pPr>
        <w:pStyle w:val="27"/>
        <w:spacing w:line="360" w:lineRule="auto"/>
        <w:ind w:firstLine="560"/>
        <w:rPr>
          <w:rFonts w:ascii="Times New Roman" w:hAnsi="Times New Roman" w:eastAsia="宋体"/>
          <w:sz w:val="28"/>
          <w:szCs w:val="28"/>
        </w:rPr>
      </w:pPr>
      <w:r>
        <w:rPr>
          <w:rFonts w:ascii="Times New Roman" w:hAnsi="Times New Roman" w:eastAsia="宋体"/>
          <w:sz w:val="28"/>
          <w:szCs w:val="28"/>
        </w:rPr>
        <w:t>2、提升操作规范的执行力，要求工人严格按照施工方案和安全技术交底的要求进行作业，不得擅自更改设计或违反规定。对于高风险工序如高空作业、电器安装等要特别注意防护措施的落实。</w:t>
      </w:r>
    </w:p>
    <w:p w14:paraId="63E75E49">
      <w:pPr>
        <w:pStyle w:val="27"/>
        <w:spacing w:line="360" w:lineRule="auto"/>
        <w:ind w:firstLine="560"/>
        <w:rPr>
          <w:rFonts w:ascii="Times New Roman" w:hAnsi="Times New Roman" w:eastAsia="宋体"/>
          <w:sz w:val="28"/>
          <w:szCs w:val="28"/>
        </w:rPr>
      </w:pPr>
      <w:r>
        <w:rPr>
          <w:rFonts w:ascii="Times New Roman" w:hAnsi="Times New Roman" w:eastAsia="宋体"/>
          <w:sz w:val="28"/>
          <w:szCs w:val="28"/>
        </w:rPr>
        <w:t>3、加强使用安全设备和个人防护装备，确保施工现场配备足够的消防器材、逃生设施等，并定期检查其有效性；同时为工人提供符合标准的个人防护用品，如安全帽、防尘口罩、绝缘手套等，并监督他们正确佩戴使用。</w:t>
      </w:r>
    </w:p>
    <w:p w14:paraId="3E18FF0C">
      <w:pPr>
        <w:jc w:val="center"/>
        <w:rPr>
          <w:rFonts w:ascii="Times New Roman" w:hAnsi="Times New Roman"/>
          <w:b/>
          <w:bCs/>
        </w:rPr>
      </w:pPr>
    </w:p>
    <w:p w14:paraId="5FFD31BF">
      <w:pPr>
        <w:jc w:val="center"/>
        <w:rPr>
          <w:rFonts w:ascii="Times New Roman" w:hAnsi="Times New Roman"/>
          <w:b/>
          <w:bCs/>
        </w:rPr>
      </w:pPr>
      <w:r>
        <w:rPr>
          <w:rFonts w:ascii="Times New Roman" w:hAnsi="Times New Roman"/>
          <w:b/>
          <w:bCs/>
        </w:rPr>
        <w:drawing>
          <wp:inline distT="0" distB="0" distL="114300" distR="114300">
            <wp:extent cx="2827655" cy="2121535"/>
            <wp:effectExtent l="0" t="0" r="6985" b="12065"/>
            <wp:docPr id="24" name="图片 24" descr="1114c4dbe25aae3619249481044cc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114c4dbe25aae3619249481044ccb1"/>
                    <pic:cNvPicPr>
                      <a:picLocks noChangeAspect="1"/>
                    </pic:cNvPicPr>
                  </pic:nvPicPr>
                  <pic:blipFill>
                    <a:blip r:embed="rId13"/>
                    <a:stretch>
                      <a:fillRect/>
                    </a:stretch>
                  </pic:blipFill>
                  <pic:spPr>
                    <a:xfrm>
                      <a:off x="0" y="0"/>
                      <a:ext cx="2827655" cy="2121535"/>
                    </a:xfrm>
                    <a:prstGeom prst="rect">
                      <a:avLst/>
                    </a:prstGeom>
                  </pic:spPr>
                </pic:pic>
              </a:graphicData>
            </a:graphic>
          </wp:inline>
        </w:drawing>
      </w:r>
    </w:p>
    <w:p w14:paraId="0F6A43AE">
      <w:pPr>
        <w:pStyle w:val="27"/>
        <w:spacing w:line="360" w:lineRule="auto"/>
        <w:ind w:firstLine="0" w:firstLineChars="0"/>
        <w:jc w:val="center"/>
        <w:rPr>
          <w:rFonts w:ascii="Times New Roman" w:hAnsi="Times New Roman" w:eastAsia="宋体"/>
          <w:sz w:val="24"/>
          <w:szCs w:val="24"/>
        </w:rPr>
      </w:pPr>
      <w:bookmarkStart w:id="8" w:name="_Toc12274"/>
      <w:r>
        <w:rPr>
          <w:rFonts w:hint="eastAsia" w:ascii="Times New Roman" w:hAnsi="Times New Roman" w:eastAsia="宋体"/>
          <w:sz w:val="24"/>
          <w:szCs w:val="24"/>
        </w:rPr>
        <w:t>图1  兴昌达博房地产公司座谈问询</w:t>
      </w:r>
      <w:bookmarkEnd w:id="8"/>
    </w:p>
    <w:p w14:paraId="7AB33523">
      <w:pPr>
        <w:pStyle w:val="3"/>
        <w:spacing w:before="120" w:after="120" w:line="360" w:lineRule="auto"/>
        <w:rPr>
          <w:rFonts w:ascii="Times New Roman" w:hAnsi="Times New Roman"/>
          <w:sz w:val="28"/>
          <w:szCs w:val="21"/>
        </w:rPr>
      </w:pPr>
      <w:bookmarkStart w:id="9" w:name="_Toc205900669"/>
      <w:r>
        <w:rPr>
          <w:rFonts w:hint="eastAsia" w:ascii="Times New Roman" w:hAnsi="Times New Roman"/>
          <w:sz w:val="28"/>
          <w:szCs w:val="21"/>
        </w:rPr>
        <w:t>（三）走访核查</w:t>
      </w:r>
      <w:bookmarkEnd w:id="9"/>
    </w:p>
    <w:p w14:paraId="480A7221">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本次评估评估组邀请了建筑施工专家共同对现场进行实地安全现状评估，依次走访了事故发生地点、施工现场等区域。</w:t>
      </w:r>
    </w:p>
    <w:p w14:paraId="53C943EA">
      <w:pPr>
        <w:pStyle w:val="27"/>
        <w:spacing w:line="360" w:lineRule="auto"/>
        <w:ind w:firstLine="0" w:firstLineChars="0"/>
        <w:jc w:val="center"/>
        <w:rPr>
          <w:rFonts w:ascii="Times New Roman" w:hAnsi="Times New Roman"/>
          <w:b/>
          <w:bCs/>
        </w:rPr>
      </w:pPr>
      <w:r>
        <w:rPr>
          <w:rFonts w:ascii="Times New Roman" w:hAnsi="Times New Roman"/>
          <w:b/>
          <w:bCs/>
        </w:rPr>
        <w:drawing>
          <wp:inline distT="0" distB="0" distL="114300" distR="114300">
            <wp:extent cx="2046605" cy="1534795"/>
            <wp:effectExtent l="0" t="0" r="10795" b="4445"/>
            <wp:docPr id="19" name="图片 19" descr="37da5843d40c66470dd2319f5990c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7da5843d40c66470dd2319f5990cf9"/>
                    <pic:cNvPicPr>
                      <a:picLocks noChangeAspect="1"/>
                    </pic:cNvPicPr>
                  </pic:nvPicPr>
                  <pic:blipFill>
                    <a:blip r:embed="rId14"/>
                    <a:stretch>
                      <a:fillRect/>
                    </a:stretch>
                  </pic:blipFill>
                  <pic:spPr>
                    <a:xfrm>
                      <a:off x="0" y="0"/>
                      <a:ext cx="2046605" cy="1534795"/>
                    </a:xfrm>
                    <a:prstGeom prst="rect">
                      <a:avLst/>
                    </a:prstGeom>
                  </pic:spPr>
                </pic:pic>
              </a:graphicData>
            </a:graphic>
          </wp:inline>
        </w:drawing>
      </w:r>
      <w:r>
        <w:rPr>
          <w:rFonts w:ascii="Times New Roman" w:hAnsi="Times New Roman"/>
          <w:b/>
          <w:bCs/>
        </w:rPr>
        <w:drawing>
          <wp:inline distT="0" distB="0" distL="114300" distR="114300">
            <wp:extent cx="2467610" cy="1550035"/>
            <wp:effectExtent l="0" t="0" r="1270" b="4445"/>
            <wp:docPr id="18" name="图片 18" descr="6c36e3b639df5b41de2738a9713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c36e3b639df5b41de2738a97138679"/>
                    <pic:cNvPicPr>
                      <a:picLocks noChangeAspect="1"/>
                    </pic:cNvPicPr>
                  </pic:nvPicPr>
                  <pic:blipFill>
                    <a:blip r:embed="rId15"/>
                    <a:stretch>
                      <a:fillRect/>
                    </a:stretch>
                  </pic:blipFill>
                  <pic:spPr>
                    <a:xfrm>
                      <a:off x="0" y="0"/>
                      <a:ext cx="2467610" cy="1550035"/>
                    </a:xfrm>
                    <a:prstGeom prst="rect">
                      <a:avLst/>
                    </a:prstGeom>
                  </pic:spPr>
                </pic:pic>
              </a:graphicData>
            </a:graphic>
          </wp:inline>
        </w:drawing>
      </w:r>
    </w:p>
    <w:p w14:paraId="6B3F3F5F">
      <w:pPr>
        <w:pStyle w:val="27"/>
        <w:spacing w:line="360" w:lineRule="auto"/>
        <w:ind w:firstLine="0" w:firstLineChars="0"/>
        <w:jc w:val="center"/>
        <w:rPr>
          <w:rFonts w:ascii="Times New Roman" w:hAnsi="Times New Roman" w:eastAsia="宋体"/>
          <w:sz w:val="24"/>
          <w:szCs w:val="24"/>
        </w:rPr>
      </w:pPr>
      <w:r>
        <w:rPr>
          <w:rFonts w:hint="eastAsia" w:ascii="Times New Roman" w:hAnsi="Times New Roman" w:eastAsia="宋体"/>
          <w:sz w:val="24"/>
          <w:szCs w:val="24"/>
        </w:rPr>
        <w:t>图2 南邵镇麓鸣花园居住及公共服务设施项目二次供水工程现场走访核查</w:t>
      </w:r>
    </w:p>
    <w:p w14:paraId="746F17C5">
      <w:pPr>
        <w:pStyle w:val="2"/>
        <w:spacing w:before="240" w:after="240" w:line="360" w:lineRule="auto"/>
        <w:rPr>
          <w:rFonts w:ascii="Times New Roman" w:hAnsi="Times New Roman" w:eastAsia="黑体" w:cs="黑体"/>
          <w:sz w:val="28"/>
          <w:szCs w:val="28"/>
        </w:rPr>
      </w:pPr>
      <w:bookmarkStart w:id="10" w:name="_Toc205900670"/>
      <w:r>
        <w:rPr>
          <w:rFonts w:hint="eastAsia" w:ascii="Times New Roman" w:hAnsi="Times New Roman" w:eastAsia="黑体" w:cs="黑体"/>
          <w:sz w:val="28"/>
          <w:szCs w:val="28"/>
        </w:rPr>
        <w:t>三、安全现状评估</w:t>
      </w:r>
      <w:bookmarkEnd w:id="10"/>
    </w:p>
    <w:p w14:paraId="64EFCEEF">
      <w:pPr>
        <w:pStyle w:val="3"/>
        <w:spacing w:before="120" w:after="120" w:line="360" w:lineRule="auto"/>
        <w:rPr>
          <w:rFonts w:ascii="Times New Roman" w:hAnsi="Times New Roman"/>
          <w:sz w:val="28"/>
          <w:szCs w:val="21"/>
        </w:rPr>
      </w:pPr>
      <w:bookmarkStart w:id="11" w:name="_Toc205900671"/>
      <w:r>
        <w:rPr>
          <w:rFonts w:hint="eastAsia" w:ascii="Times New Roman" w:hAnsi="Times New Roman"/>
          <w:sz w:val="28"/>
          <w:szCs w:val="21"/>
        </w:rPr>
        <w:t>（一）现行安全管理制度制定及落实情况评估</w:t>
      </w:r>
      <w:bookmarkEnd w:id="11"/>
    </w:p>
    <w:p w14:paraId="5EE29617">
      <w:pPr>
        <w:pStyle w:val="27"/>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1、兴昌达博房地产公司</w:t>
      </w:r>
    </w:p>
    <w:p w14:paraId="35A4E672">
      <w:pPr>
        <w:pStyle w:val="27"/>
        <w:spacing w:line="360" w:lineRule="auto"/>
        <w:ind w:firstLine="560"/>
        <w:rPr>
          <w:rFonts w:ascii="Times New Roman" w:hAnsi="Times New Roman" w:eastAsia="宋体"/>
          <w:sz w:val="28"/>
          <w:szCs w:val="28"/>
        </w:rPr>
        <w:sectPr>
          <w:headerReference r:id="rId6" w:type="default"/>
          <w:footerReference r:id="rId7" w:type="default"/>
          <w:pgSz w:w="11906" w:h="16838"/>
          <w:pgMar w:top="1440" w:right="1800" w:bottom="1440" w:left="1800" w:header="851" w:footer="992" w:gutter="0"/>
          <w:pgNumType w:start="1"/>
          <w:cols w:space="425" w:num="1"/>
          <w:docGrid w:type="lines" w:linePitch="312" w:charSpace="0"/>
        </w:sectPr>
      </w:pPr>
      <w:r>
        <w:rPr>
          <w:rFonts w:hint="eastAsia" w:ascii="Times New Roman" w:hAnsi="Times New Roman" w:eastAsia="宋体"/>
          <w:sz w:val="28"/>
          <w:szCs w:val="28"/>
        </w:rPr>
        <w:t>评估组对兴昌达博房地产公司提供的制度文件、台账、记录、档案等资料进行了评估，该单位现行安全管理制度基本符合《中华人民共和国安全生产法》相关规定，但具体落实工作还需按照安全生产相关法律法规进一步提升，详见表1。</w:t>
      </w:r>
    </w:p>
    <w:p w14:paraId="12296115">
      <w:pPr>
        <w:pStyle w:val="27"/>
        <w:spacing w:line="360" w:lineRule="auto"/>
        <w:ind w:firstLine="0" w:firstLineChars="0"/>
        <w:jc w:val="center"/>
        <w:rPr>
          <w:rFonts w:ascii="Times New Roman" w:hAnsi="Times New Roman" w:eastAsia="宋体" w:cs="Times New Roman"/>
          <w:bCs/>
          <w:sz w:val="28"/>
          <w:szCs w:val="28"/>
        </w:rPr>
      </w:pPr>
      <w:bookmarkStart w:id="12" w:name="_Toc27466"/>
      <w:bookmarkStart w:id="13" w:name="_Toc17894"/>
      <w:bookmarkStart w:id="14" w:name="_Toc3770"/>
      <w:bookmarkStart w:id="15" w:name="_Toc10908"/>
      <w:bookmarkStart w:id="16" w:name="_Toc107394549"/>
      <w:bookmarkStart w:id="17" w:name="_Toc107394620"/>
      <w:r>
        <w:rPr>
          <w:rFonts w:ascii="Times New Roman" w:hAnsi="Times New Roman" w:eastAsia="宋体" w:cs="Times New Roman"/>
          <w:bCs/>
          <w:sz w:val="28"/>
          <w:szCs w:val="28"/>
        </w:rPr>
        <w:t xml:space="preserve">表1  </w:t>
      </w:r>
      <w:r>
        <w:rPr>
          <w:rFonts w:hint="eastAsia" w:ascii="Times New Roman" w:hAnsi="Times New Roman" w:eastAsia="宋体" w:cs="Times New Roman"/>
          <w:bCs/>
          <w:sz w:val="28"/>
          <w:szCs w:val="28"/>
        </w:rPr>
        <w:t>兴昌达博房地产公司</w:t>
      </w:r>
      <w:r>
        <w:rPr>
          <w:rFonts w:ascii="Times New Roman" w:hAnsi="Times New Roman" w:eastAsia="宋体" w:cs="Times New Roman"/>
          <w:bCs/>
          <w:sz w:val="28"/>
          <w:szCs w:val="28"/>
        </w:rPr>
        <w:t>安全管理制度制定情况评估</w:t>
      </w:r>
      <w:bookmarkEnd w:id="12"/>
      <w:bookmarkEnd w:id="13"/>
      <w:bookmarkEnd w:id="14"/>
      <w:bookmarkEnd w:id="15"/>
    </w:p>
    <w:bookmarkEnd w:id="16"/>
    <w:bookmarkEnd w:id="17"/>
    <w:tbl>
      <w:tblPr>
        <w:tblStyle w:val="19"/>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14:paraId="72BC61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587E28E9">
            <w:pPr>
              <w:overflowPunct w:val="0"/>
              <w:autoSpaceDE w:val="0"/>
              <w:autoSpaceDN w:val="0"/>
              <w:adjustRightInd w:val="0"/>
              <w:spacing w:line="440" w:lineRule="exact"/>
              <w:jc w:val="center"/>
              <w:rPr>
                <w:rFonts w:ascii="Times New Roman" w:hAnsi="Times New Roman" w:eastAsia="宋体" w:cs="宋体"/>
                <w:b/>
                <w:sz w:val="28"/>
                <w:szCs w:val="28"/>
                <w:lang w:val="zh-CN"/>
              </w:rPr>
            </w:pPr>
            <w:bookmarkStart w:id="18" w:name="_Toc17157"/>
            <w:bookmarkStart w:id="19" w:name="_Toc32696"/>
            <w:r>
              <w:rPr>
                <w:rFonts w:hint="eastAsia" w:ascii="Times New Roman" w:hAnsi="Times New Roman" w:eastAsia="宋体" w:cs="宋体"/>
                <w:b/>
                <w:sz w:val="28"/>
                <w:szCs w:val="28"/>
                <w:lang w:val="zh-CN"/>
              </w:rPr>
              <w:t>序号</w:t>
            </w:r>
          </w:p>
        </w:tc>
        <w:tc>
          <w:tcPr>
            <w:tcW w:w="2148" w:type="pct"/>
            <w:tcBorders>
              <w:top w:val="single" w:color="auto" w:sz="12" w:space="0"/>
            </w:tcBorders>
            <w:vAlign w:val="center"/>
          </w:tcPr>
          <w:p w14:paraId="7AF45B04">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评估项目</w:t>
            </w:r>
          </w:p>
        </w:tc>
        <w:tc>
          <w:tcPr>
            <w:tcW w:w="995" w:type="pct"/>
            <w:tcBorders>
              <w:top w:val="single" w:color="auto" w:sz="12" w:space="0"/>
            </w:tcBorders>
            <w:vAlign w:val="center"/>
          </w:tcPr>
          <w:p w14:paraId="0B54A9A2">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评估依据</w:t>
            </w:r>
          </w:p>
        </w:tc>
        <w:tc>
          <w:tcPr>
            <w:tcW w:w="1564" w:type="pct"/>
            <w:tcBorders>
              <w:top w:val="single" w:color="auto" w:sz="12" w:space="0"/>
            </w:tcBorders>
            <w:vAlign w:val="center"/>
          </w:tcPr>
          <w:p w14:paraId="49FC6506">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评估情况</w:t>
            </w:r>
          </w:p>
        </w:tc>
      </w:tr>
      <w:tr w14:paraId="7705F3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FEFD985">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F7887B9">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7DFBBE30">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《中华人民共和国安全生产法》第四条</w:t>
            </w:r>
          </w:p>
        </w:tc>
        <w:tc>
          <w:tcPr>
            <w:tcW w:w="1564" w:type="pct"/>
            <w:vAlign w:val="center"/>
          </w:tcPr>
          <w:p w14:paraId="3DBC2C8D">
            <w:pPr>
              <w:overflowPunct w:val="0"/>
              <w:spacing w:line="440" w:lineRule="exact"/>
              <w:rPr>
                <w:rFonts w:ascii="Times New Roman" w:hAnsi="Times New Roman" w:eastAsia="宋体" w:cs="宋体"/>
                <w:sz w:val="28"/>
                <w:szCs w:val="28"/>
              </w:rPr>
            </w:pPr>
            <w:r>
              <w:rPr>
                <w:rFonts w:hint="eastAsia" w:ascii="Times New Roman" w:hAnsi="Times New Roman" w:eastAsia="宋体" w:cs="宋体"/>
                <w:bCs/>
                <w:sz w:val="28"/>
                <w:szCs w:val="28"/>
              </w:rPr>
              <w:t>兴昌达博房地产公司</w:t>
            </w:r>
            <w:r>
              <w:rPr>
                <w:rFonts w:hint="eastAsia" w:ascii="Times New Roman" w:hAnsi="Times New Roman" w:eastAsia="宋体" w:cs="宋体"/>
                <w:sz w:val="28"/>
                <w:szCs w:val="28"/>
              </w:rPr>
              <w:t>提供了安全生产规章制度及操作规程、安全生产管理体系架构及人员组成、全员安全生产责任制等文件，落实了相关要求。</w:t>
            </w:r>
          </w:p>
        </w:tc>
      </w:tr>
      <w:tr w14:paraId="5F9D8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A59F8B1">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8A67DD6">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生产经营单位的全员安全生产责任制应当明确各岗位的责任人员、责任范围和考核标准等内容。</w:t>
            </w:r>
          </w:p>
        </w:tc>
        <w:tc>
          <w:tcPr>
            <w:tcW w:w="995" w:type="pct"/>
            <w:vAlign w:val="center"/>
          </w:tcPr>
          <w:p w14:paraId="163644ED">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《中华人民共和国安全生产法》第二十二条</w:t>
            </w:r>
          </w:p>
        </w:tc>
        <w:tc>
          <w:tcPr>
            <w:tcW w:w="1564" w:type="pct"/>
            <w:vAlign w:val="center"/>
          </w:tcPr>
          <w:p w14:paraId="3AFEE4D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兴昌达博房地产公司提供了全员安全生产责任制，明确了不同岗位人员职责，未见具体考核标准。</w:t>
            </w:r>
          </w:p>
        </w:tc>
      </w:tr>
      <w:tr w14:paraId="5032EB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8D2D02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A877B3A">
            <w:pPr>
              <w:overflowPunct w:val="0"/>
              <w:spacing w:line="440" w:lineRule="exact"/>
              <w:rPr>
                <w:rFonts w:ascii="Times New Roman" w:hAnsi="Times New Roman" w:eastAsia="宋体" w:cs="宋体"/>
                <w:sz w:val="28"/>
                <w:szCs w:val="28"/>
              </w:rPr>
            </w:pPr>
            <w:r>
              <w:rPr>
                <w:rFonts w:hint="eastAsia" w:ascii="Times New Roman" w:hAnsi="Times New Roman" w:eastAsia="宋体" w:cs="宋体"/>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0A8F0F81">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《中华人民共和国安全生产法》第二十三条</w:t>
            </w:r>
          </w:p>
        </w:tc>
        <w:tc>
          <w:tcPr>
            <w:tcW w:w="1564" w:type="pct"/>
            <w:vAlign w:val="center"/>
          </w:tcPr>
          <w:p w14:paraId="2D527A8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兴昌达博房地产公司提供了相关项目的劳保用品、警示标识牌购买记录，工伤保险记录等，落实了相关要求。</w:t>
            </w:r>
          </w:p>
        </w:tc>
      </w:tr>
      <w:tr w14:paraId="3B6682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C89126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41932A12">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45C1C0AB">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《中华人民共和国安全生产法》第二十四条</w:t>
            </w:r>
          </w:p>
        </w:tc>
        <w:tc>
          <w:tcPr>
            <w:tcW w:w="1564" w:type="pct"/>
            <w:vAlign w:val="center"/>
          </w:tcPr>
          <w:p w14:paraId="3509289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兴昌达博房地产公司提供了安全生产管理体系架构及人员组成，未见具体人员配备及任命情况。</w:t>
            </w:r>
          </w:p>
        </w:tc>
      </w:tr>
      <w:tr w14:paraId="3F2C71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697B663">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53CDE5C">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生产经营单位的安全生产管理机构以及安全生产管理人员履行下列职责：</w:t>
            </w:r>
          </w:p>
          <w:p w14:paraId="6B2B6CED">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（一）组织或者参与拟订本单位安全生产规章制度、操作规程和生产安全事故应急救援预案；</w:t>
            </w:r>
          </w:p>
          <w:p w14:paraId="7BFEA373">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（二）组织或者参与本单位安全生产教育和培训，如实记录安全生产教育和培训情况；</w:t>
            </w:r>
          </w:p>
          <w:p w14:paraId="72D16D9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（三）组织开展危险源辨识和评估，督促落实本单位重大危险源的安全管理措施；</w:t>
            </w:r>
          </w:p>
          <w:p w14:paraId="6765E23D">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（四）组织或者参与本单位应急救援演练；</w:t>
            </w:r>
          </w:p>
          <w:p w14:paraId="4AA53AC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（五）检查本单位的安全生产状况，及时排查生产安全事故隐患，提出改进安全生产管理的建议；</w:t>
            </w:r>
          </w:p>
          <w:p w14:paraId="3FCC4DAA">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（六）制止和纠正违章指挥、强令冒险作业、违反操作规程的行为；</w:t>
            </w:r>
          </w:p>
          <w:p w14:paraId="1BCC522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（七）督促落实本单位安全生产整改措施。</w:t>
            </w:r>
          </w:p>
        </w:tc>
        <w:tc>
          <w:tcPr>
            <w:tcW w:w="995" w:type="pct"/>
            <w:vAlign w:val="center"/>
          </w:tcPr>
          <w:p w14:paraId="087811B0">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《中华人民共和国安全生产法》第二十五条</w:t>
            </w:r>
          </w:p>
        </w:tc>
        <w:tc>
          <w:tcPr>
            <w:tcW w:w="1564" w:type="pct"/>
            <w:vAlign w:val="center"/>
          </w:tcPr>
          <w:p w14:paraId="014B41EA">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w:t>
            </w:r>
            <w:r>
              <w:rPr>
                <w:rFonts w:hint="eastAsia" w:ascii="Times New Roman" w:hAnsi="Times New Roman" w:eastAsia="宋体"/>
                <w:sz w:val="28"/>
                <w:szCs w:val="28"/>
              </w:rPr>
              <w:t>提供了</w:t>
            </w:r>
            <w:r>
              <w:rPr>
                <w:rFonts w:hint="eastAsia" w:ascii="Times New Roman" w:hAnsi="Times New Roman" w:eastAsia="宋体" w:cs="宋体"/>
                <w:sz w:val="28"/>
                <w:szCs w:val="28"/>
              </w:rPr>
              <w:t>安全生产规章制度及操作规程、安全生产管理体系架构及人员组成、全员安全生产责任制、应急预案、安全质量整改通知单、安全整改通知回复单、安全培训记录、应急演练照片</w:t>
            </w:r>
            <w:r>
              <w:rPr>
                <w:rFonts w:hint="eastAsia" w:ascii="Times New Roman" w:hAnsi="Times New Roman" w:eastAsia="宋体"/>
                <w:sz w:val="28"/>
                <w:szCs w:val="28"/>
              </w:rPr>
              <w:t>等文件资料，</w:t>
            </w:r>
            <w:r>
              <w:rPr>
                <w:rFonts w:hint="eastAsia" w:ascii="Times New Roman" w:hAnsi="Times New Roman" w:eastAsia="宋体" w:cs="宋体"/>
                <w:sz w:val="28"/>
                <w:szCs w:val="28"/>
              </w:rPr>
              <w:t>落实了相关要求。</w:t>
            </w:r>
          </w:p>
        </w:tc>
      </w:tr>
      <w:tr w14:paraId="305766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70EA7EB">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84C9D30">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生产经营单位的主要负责人和安全生产管理人员必须具备与本单位所从事的生产经营活动相应的安全生产知识和管理能力。</w:t>
            </w:r>
          </w:p>
          <w:p w14:paraId="2E372AD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1572F28A">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《中华人民共和国安全生产法》第二十七条</w:t>
            </w:r>
          </w:p>
        </w:tc>
        <w:tc>
          <w:tcPr>
            <w:tcW w:w="1564" w:type="pct"/>
            <w:vAlign w:val="center"/>
          </w:tcPr>
          <w:p w14:paraId="75CF64B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兴昌达博房地产公司未提供</w:t>
            </w:r>
            <w:r>
              <w:rPr>
                <w:rFonts w:hint="eastAsia" w:ascii="Times New Roman" w:hAnsi="Times New Roman" w:eastAsia="宋体" w:cs="宋体"/>
                <w:sz w:val="28"/>
                <w:szCs w:val="28"/>
                <w:lang w:val="en-US" w:eastAsia="zh-CN"/>
              </w:rPr>
              <w:t>证明安全管理人员安全生产知识和管理能力的相关</w:t>
            </w:r>
            <w:r>
              <w:rPr>
                <w:rFonts w:hint="eastAsia" w:ascii="Times New Roman" w:hAnsi="Times New Roman" w:eastAsia="宋体" w:cs="宋体"/>
                <w:sz w:val="28"/>
                <w:szCs w:val="28"/>
              </w:rPr>
              <w:t>材料。</w:t>
            </w:r>
          </w:p>
        </w:tc>
      </w:tr>
      <w:tr w14:paraId="495475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3F1A7CF">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8BF6973">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323D0B90">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《中华人民共和国安全生产法》第二十八条</w:t>
            </w:r>
          </w:p>
        </w:tc>
        <w:tc>
          <w:tcPr>
            <w:tcW w:w="1564" w:type="pct"/>
            <w:vAlign w:val="center"/>
          </w:tcPr>
          <w:p w14:paraId="6AF16249">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兴昌达博房地产公司提供了安全会议记录、安全培训等材料。</w:t>
            </w:r>
          </w:p>
        </w:tc>
      </w:tr>
      <w:tr w14:paraId="25B8E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830116C">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71947D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生产经营单位应当建立安全风险分级管控制度，按照安全风险分级采取相应的管控措施。</w:t>
            </w:r>
          </w:p>
          <w:p w14:paraId="1FE589ED">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生产经营单位应当建立健全并落实生产安全事故隐患排查治理制度，采取技术、管理措施，及时发现并消除事故隐患。</w:t>
            </w:r>
          </w:p>
        </w:tc>
        <w:tc>
          <w:tcPr>
            <w:tcW w:w="995" w:type="pct"/>
            <w:vAlign w:val="center"/>
          </w:tcPr>
          <w:p w14:paraId="43E910F4">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《中华人民共和国安全生产法》第四十一条</w:t>
            </w:r>
          </w:p>
        </w:tc>
        <w:tc>
          <w:tcPr>
            <w:tcW w:w="1564" w:type="pct"/>
            <w:vAlign w:val="center"/>
          </w:tcPr>
          <w:p w14:paraId="5F3C41E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兴昌达博房地产公司提供了安全质量整改通知单、安全整改通知回复单，未见安全生产风险分级管控制度。</w:t>
            </w:r>
          </w:p>
        </w:tc>
      </w:tr>
      <w:tr w14:paraId="672BBD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14B39A0">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DEE7C13">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411AD3A6">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《中华人民共和国安全生产法》第四十四条</w:t>
            </w:r>
          </w:p>
        </w:tc>
        <w:tc>
          <w:tcPr>
            <w:tcW w:w="1564" w:type="pct"/>
            <w:vAlign w:val="center"/>
          </w:tcPr>
          <w:p w14:paraId="3D364CC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兴昌达博房地产公司提供了安全生产规章制度及操作规程。</w:t>
            </w:r>
          </w:p>
        </w:tc>
      </w:tr>
      <w:tr w14:paraId="033D6A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409A1AB">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08BD22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生产经营单位必须为从业人员提供符合国家标准或者行业标准的劳动防护用品，并监督、教育从业人员按照使用规则佩戴、使用。</w:t>
            </w:r>
          </w:p>
        </w:tc>
        <w:tc>
          <w:tcPr>
            <w:tcW w:w="995" w:type="pct"/>
            <w:vAlign w:val="center"/>
          </w:tcPr>
          <w:p w14:paraId="1F0AAC8A">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《中华人民共和国安全生产法》第四十五条</w:t>
            </w:r>
          </w:p>
        </w:tc>
        <w:tc>
          <w:tcPr>
            <w:tcW w:w="1564" w:type="pct"/>
            <w:vAlign w:val="center"/>
          </w:tcPr>
          <w:p w14:paraId="7789F9B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兴昌达博房地产公司提供了劳保用品、警示标识牌购买记录，工伤保险记录，落实了相关要求。</w:t>
            </w:r>
          </w:p>
        </w:tc>
      </w:tr>
      <w:tr w14:paraId="5EDBB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638D56E">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D60CB8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756DFB52">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《中华人民共和国安全生产法》第四十六条</w:t>
            </w:r>
          </w:p>
        </w:tc>
        <w:tc>
          <w:tcPr>
            <w:tcW w:w="1564" w:type="pct"/>
            <w:vAlign w:val="center"/>
          </w:tcPr>
          <w:p w14:paraId="174F78D8">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兴昌达博房地产公司提供了安全质量整改通知单、安全整改通知回复单，落实了相关要求。</w:t>
            </w:r>
          </w:p>
        </w:tc>
      </w:tr>
      <w:tr w14:paraId="1B16FB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E861E65">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A48D20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生产经营单位应当安排用于配备劳动防护用品、进行安全生产培训的经费。</w:t>
            </w:r>
          </w:p>
        </w:tc>
        <w:tc>
          <w:tcPr>
            <w:tcW w:w="995" w:type="pct"/>
            <w:vAlign w:val="center"/>
          </w:tcPr>
          <w:p w14:paraId="06AEE989">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《中华人民共和国安全生产法》第四十七条</w:t>
            </w:r>
          </w:p>
        </w:tc>
        <w:tc>
          <w:tcPr>
            <w:tcW w:w="1564" w:type="pct"/>
            <w:vAlign w:val="center"/>
          </w:tcPr>
          <w:p w14:paraId="7F41D1B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兴昌达博房地产公司提供了劳保用品、警示标识牌购买记录，工伤保险记录等，落实了相关要求。</w:t>
            </w:r>
          </w:p>
        </w:tc>
      </w:tr>
      <w:tr w14:paraId="0E7680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BC0E28C">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1C00D7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生产经营单位必须依法参加工伤保险，为从业人员缴纳保险费。</w:t>
            </w:r>
          </w:p>
        </w:tc>
        <w:tc>
          <w:tcPr>
            <w:tcW w:w="995" w:type="pct"/>
            <w:vAlign w:val="center"/>
          </w:tcPr>
          <w:p w14:paraId="0FD2858D">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《中华人民共和国安全生产法》第五十一条</w:t>
            </w:r>
          </w:p>
        </w:tc>
        <w:tc>
          <w:tcPr>
            <w:tcW w:w="1564" w:type="pct"/>
            <w:vAlign w:val="center"/>
          </w:tcPr>
          <w:p w14:paraId="1A5A1F7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兴昌达博房地产公司提供了2024年12月工伤保险记录，落实了相关要求。</w:t>
            </w:r>
          </w:p>
        </w:tc>
      </w:tr>
      <w:tr w14:paraId="3DCD4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329F87D">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C2ECF4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1AD24749">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《中华人民共和国安全生产法》第八十一条</w:t>
            </w:r>
          </w:p>
        </w:tc>
        <w:tc>
          <w:tcPr>
            <w:tcW w:w="1564" w:type="pct"/>
            <w:vAlign w:val="center"/>
          </w:tcPr>
          <w:p w14:paraId="10057E5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w:t>
            </w:r>
            <w:r>
              <w:rPr>
                <w:rFonts w:hint="eastAsia" w:ascii="Times New Roman" w:hAnsi="Times New Roman" w:eastAsia="宋体" w:cs="宋体"/>
                <w:sz w:val="28"/>
                <w:szCs w:val="32"/>
              </w:rPr>
              <w:t>了演练照片、安全培训记录等材料，落实了相关要求。</w:t>
            </w:r>
          </w:p>
        </w:tc>
      </w:tr>
      <w:tr w14:paraId="49B352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6AEC1AE">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948D82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生产经营单位应当遵守安全生产法律、法规、规章的规定，建立健全安全生产规章制度和覆盖全体人员、全部生产经营活动的全员安全生产责任制，确保安全生产。</w:t>
            </w:r>
          </w:p>
          <w:p w14:paraId="7A98FC8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生产经营单位的主要负责人是本单位安全生产第一责任人，对本单位的安全生产工作全面负责。其他负责人对职责范围内的安全生产工作负责。</w:t>
            </w:r>
          </w:p>
        </w:tc>
        <w:tc>
          <w:tcPr>
            <w:tcW w:w="995" w:type="pct"/>
            <w:vAlign w:val="center"/>
          </w:tcPr>
          <w:p w14:paraId="5A1C8EE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《北京市安全生产条例》第四条</w:t>
            </w:r>
          </w:p>
        </w:tc>
        <w:tc>
          <w:tcPr>
            <w:tcW w:w="1564" w:type="pct"/>
            <w:vAlign w:val="center"/>
          </w:tcPr>
          <w:p w14:paraId="14A2EEE4">
            <w:pPr>
              <w:spacing w:line="440" w:lineRule="exact"/>
              <w:rPr>
                <w:rFonts w:ascii="Times New Roman" w:hAnsi="Times New Roman" w:eastAsia="宋体" w:cs="宋体"/>
                <w:sz w:val="28"/>
                <w:szCs w:val="28"/>
              </w:rPr>
            </w:pPr>
            <w:r>
              <w:rPr>
                <w:rFonts w:hint="eastAsia" w:ascii="Times New Roman" w:hAnsi="Times New Roman" w:eastAsia="宋体" w:cs="宋体"/>
                <w:bCs/>
                <w:sz w:val="28"/>
                <w:szCs w:val="28"/>
              </w:rPr>
              <w:t>兴昌达博房地产公司</w:t>
            </w:r>
            <w:r>
              <w:rPr>
                <w:rFonts w:hint="eastAsia" w:ascii="Times New Roman" w:hAnsi="Times New Roman" w:eastAsia="宋体" w:cs="宋体"/>
                <w:sz w:val="28"/>
                <w:szCs w:val="28"/>
              </w:rPr>
              <w:t>提供了安全生产规章制度及操作规程、安全生产管理体系架构及人员组成、全员安全生产责任制等文件。</w:t>
            </w:r>
          </w:p>
        </w:tc>
      </w:tr>
      <w:tr w14:paraId="5351C0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F6E293D">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4030FCD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生产经营单位的主要负责人应当依照安全生产法的规定，组织落实全员安全生产责任制，明确各岗位的责任人员、责任范围和考核标准等内容，并加强对落实情况的监督考核。</w:t>
            </w:r>
          </w:p>
        </w:tc>
        <w:tc>
          <w:tcPr>
            <w:tcW w:w="995" w:type="pct"/>
            <w:vAlign w:val="center"/>
          </w:tcPr>
          <w:p w14:paraId="3260FC0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《北京市安全生产条例》第十四条</w:t>
            </w:r>
          </w:p>
        </w:tc>
        <w:tc>
          <w:tcPr>
            <w:tcW w:w="1564" w:type="pct"/>
            <w:vAlign w:val="center"/>
          </w:tcPr>
          <w:p w14:paraId="4DB27C2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兴昌达博房地产公司提供了全员安全生产责任制，明确了不同岗位人员职责，未见具体考核标准。</w:t>
            </w:r>
          </w:p>
        </w:tc>
      </w:tr>
      <w:tr w14:paraId="4857C0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254E001">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D2246B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生产经营单位的主要负责人应当依照安全生产法的规定，组织制定下列安全生产规章制度并督促落实：</w:t>
            </w:r>
          </w:p>
          <w:p w14:paraId="7700288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（1）安全生产教育和培训制度；</w:t>
            </w:r>
          </w:p>
          <w:p w14:paraId="5C1FEDD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（2）安全生产检查制度；</w:t>
            </w:r>
          </w:p>
          <w:p w14:paraId="4FF5541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（3）安全风险分级管控制度；</w:t>
            </w:r>
          </w:p>
          <w:p w14:paraId="11A896A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（4）生产安全事故隐患排查治理制度；</w:t>
            </w:r>
          </w:p>
          <w:p w14:paraId="0BA9694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（5）劳动防护用品配备和管理制度；</w:t>
            </w:r>
          </w:p>
          <w:p w14:paraId="7D37A67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（6）生产安全事故报告和处理制度；</w:t>
            </w:r>
          </w:p>
          <w:p w14:paraId="5AFB45B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（7）其他保障安全生产的规章制度。</w:t>
            </w:r>
          </w:p>
        </w:tc>
        <w:tc>
          <w:tcPr>
            <w:tcW w:w="995" w:type="pct"/>
            <w:vAlign w:val="center"/>
          </w:tcPr>
          <w:p w14:paraId="74ADF60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《北京市安全生产条例》第十五条</w:t>
            </w:r>
          </w:p>
        </w:tc>
        <w:tc>
          <w:tcPr>
            <w:tcW w:w="1564" w:type="pct"/>
            <w:vAlign w:val="center"/>
          </w:tcPr>
          <w:p w14:paraId="50C59E5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w:t>
            </w:r>
            <w:r>
              <w:rPr>
                <w:rFonts w:hint="eastAsia" w:ascii="Times New Roman" w:hAnsi="Times New Roman" w:eastAsia="宋体"/>
                <w:sz w:val="28"/>
                <w:szCs w:val="28"/>
              </w:rPr>
              <w:t>提供了安全生产规章制度，未见安全生产教育和培训制度、检查制度、风险分级、隐患排查等制度内容</w:t>
            </w:r>
            <w:r>
              <w:rPr>
                <w:rFonts w:hint="eastAsia" w:ascii="Times New Roman" w:hAnsi="Times New Roman" w:eastAsia="宋体" w:cs="宋体"/>
                <w:sz w:val="28"/>
                <w:szCs w:val="28"/>
              </w:rPr>
              <w:t>。</w:t>
            </w:r>
          </w:p>
        </w:tc>
      </w:tr>
      <w:tr w14:paraId="1AEAD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974590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F8799B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生产经营单位的决策机构、主要负责人或者个人经营的投资人应当保证安全生产所必需的资金投入，并专项用于下列安全生产事项：</w:t>
            </w:r>
          </w:p>
          <w:p w14:paraId="001FC75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（1）安全技术措施工程建设；</w:t>
            </w:r>
          </w:p>
          <w:p w14:paraId="5E2FE6C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（2）安全设备、设施的更新和维护；</w:t>
            </w:r>
          </w:p>
          <w:p w14:paraId="6EB4DEF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（3）安全生产宣传、教育和培训；</w:t>
            </w:r>
          </w:p>
          <w:p w14:paraId="2BD9C7C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（4）劳动防护用品配备；</w:t>
            </w:r>
          </w:p>
          <w:p w14:paraId="5CD2CDE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（5）重大危险源监控；</w:t>
            </w:r>
          </w:p>
          <w:p w14:paraId="1E30F26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（6）安全风险评估和隐患排查治理；</w:t>
            </w:r>
          </w:p>
          <w:p w14:paraId="56CF2B3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（7）生产安全事故应急救援演练；</w:t>
            </w:r>
          </w:p>
          <w:p w14:paraId="64B9846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（8）应急救援队伍建设或者救援服务；</w:t>
            </w:r>
          </w:p>
          <w:p w14:paraId="3C18DEF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（9）其他保障安全生产的事项。</w:t>
            </w:r>
          </w:p>
        </w:tc>
        <w:tc>
          <w:tcPr>
            <w:tcW w:w="995" w:type="pct"/>
            <w:vAlign w:val="center"/>
          </w:tcPr>
          <w:p w14:paraId="212FC15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《北京市安全生产条例》第十八条</w:t>
            </w:r>
          </w:p>
        </w:tc>
        <w:tc>
          <w:tcPr>
            <w:tcW w:w="1564" w:type="pct"/>
            <w:vAlign w:val="center"/>
          </w:tcPr>
          <w:p w14:paraId="4019053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兴昌达博房地产公司提供了劳保用品、警示标识牌购买记录，工伤保险记录，演练照片，安全会议记录，安全培训记录等，落实了相关要求。</w:t>
            </w:r>
          </w:p>
        </w:tc>
      </w:tr>
      <w:tr w14:paraId="170ABD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F72896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80D5AC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生产经营单位的安全生产管理机构以及安全生产管理人员应当履行安全生产法规定的职责，并依法参与生产安全事故调查处理。</w:t>
            </w:r>
          </w:p>
        </w:tc>
        <w:tc>
          <w:tcPr>
            <w:tcW w:w="995" w:type="pct"/>
            <w:vAlign w:val="center"/>
          </w:tcPr>
          <w:p w14:paraId="2361616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《北京市安全生产条例》第二十一条</w:t>
            </w:r>
          </w:p>
        </w:tc>
        <w:tc>
          <w:tcPr>
            <w:tcW w:w="1564" w:type="pct"/>
            <w:vAlign w:val="center"/>
          </w:tcPr>
          <w:p w14:paraId="69E1D08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兴昌达博房地产公司提供的安全质量整改通知单、安全整改通知回复单等，落实了相关要求。</w:t>
            </w:r>
          </w:p>
        </w:tc>
      </w:tr>
      <w:tr w14:paraId="4AE516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20B9FD7">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2FFAF2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生产经营单位应当依照安全生产法的规定，开展或者委托第三方对从业人员开展安全生产教育和培训。安全生产教育和培训主要包括下列内容：</w:t>
            </w:r>
          </w:p>
          <w:p w14:paraId="05F05AC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（1）安全生产法律、法规、规章和相关标准；</w:t>
            </w:r>
          </w:p>
          <w:p w14:paraId="70D6EFF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（2）安全生产规章制度和操作规程；</w:t>
            </w:r>
          </w:p>
          <w:p w14:paraId="00C18E2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（3）岗位安全操作技能；</w:t>
            </w:r>
          </w:p>
          <w:p w14:paraId="1C76844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（4）安全设备、设施、工具、劳动防护用品的使用、维护和保管知识；</w:t>
            </w:r>
          </w:p>
          <w:p w14:paraId="09BE183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（5）生产安全事故防范和应急措施、自救互救知识，生产安全事故案例；</w:t>
            </w:r>
          </w:p>
          <w:p w14:paraId="5CB3318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（6）其他需要培训的内容。</w:t>
            </w:r>
          </w:p>
        </w:tc>
        <w:tc>
          <w:tcPr>
            <w:tcW w:w="995" w:type="pct"/>
            <w:vAlign w:val="center"/>
          </w:tcPr>
          <w:p w14:paraId="61801E2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《北京市安全生产条例》第二十二条</w:t>
            </w:r>
          </w:p>
        </w:tc>
        <w:tc>
          <w:tcPr>
            <w:tcW w:w="1564" w:type="pct"/>
            <w:vAlign w:val="center"/>
          </w:tcPr>
          <w:p w14:paraId="0B11F4B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兴昌达博房地产公司提供了安全会议记录、安全培训记录、演练照片等</w:t>
            </w:r>
            <w:r>
              <w:rPr>
                <w:rFonts w:hint="eastAsia" w:ascii="Times New Roman" w:hAnsi="Times New Roman" w:eastAsia="宋体" w:cs="宋体"/>
                <w:sz w:val="28"/>
                <w:szCs w:val="32"/>
              </w:rPr>
              <w:t>，</w:t>
            </w:r>
            <w:r>
              <w:rPr>
                <w:rFonts w:hint="eastAsia" w:ascii="Times New Roman" w:hAnsi="Times New Roman" w:eastAsia="宋体" w:cs="宋体"/>
                <w:sz w:val="28"/>
                <w:szCs w:val="28"/>
              </w:rPr>
              <w:t>落实了相关要求。</w:t>
            </w:r>
          </w:p>
        </w:tc>
      </w:tr>
      <w:tr w14:paraId="3B127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19A0B3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DAC4E7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生产经营单位应当按照下列规定开展安全风险分级管控：</w:t>
            </w:r>
          </w:p>
          <w:p w14:paraId="764AE1C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（1）根据本单位生产经营活动的特点，制定安全风险辨识程序和方法，全面开展安全风险辨识和评估；</w:t>
            </w:r>
          </w:p>
          <w:p w14:paraId="31C4722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（2）对辨识出的安全风险进行分类梳理，确定安全风险等级；</w:t>
            </w:r>
          </w:p>
          <w:p w14:paraId="585AFF9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（3）从制度、技术、应急等方面，对安全风险进行有效管控；</w:t>
            </w:r>
          </w:p>
          <w:p w14:paraId="360BB55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（4）建立安全风险公告制度，告知从业人员安全风险基本情况和防范措施。</w:t>
            </w:r>
          </w:p>
        </w:tc>
        <w:tc>
          <w:tcPr>
            <w:tcW w:w="995" w:type="pct"/>
            <w:vAlign w:val="center"/>
          </w:tcPr>
          <w:p w14:paraId="7A37DB7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《北京市安全生产条例》第二十七条</w:t>
            </w:r>
          </w:p>
        </w:tc>
        <w:tc>
          <w:tcPr>
            <w:tcW w:w="1564" w:type="pct"/>
            <w:vAlign w:val="center"/>
          </w:tcPr>
          <w:p w14:paraId="4BEC15F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highlight w:val="none"/>
              </w:rPr>
              <w:t>兴昌达博房地产公司</w:t>
            </w:r>
            <w:r>
              <w:rPr>
                <w:rFonts w:hint="eastAsia" w:ascii="Times New Roman" w:hAnsi="Times New Roman" w:eastAsia="宋体"/>
                <w:sz w:val="28"/>
                <w:szCs w:val="28"/>
                <w:highlight w:val="none"/>
              </w:rPr>
              <w:t>未提供风险分级管控相关内容</w:t>
            </w:r>
            <w:r>
              <w:rPr>
                <w:rFonts w:hint="eastAsia" w:ascii="Times New Roman" w:hAnsi="Times New Roman" w:eastAsia="宋体" w:cs="宋体"/>
                <w:sz w:val="28"/>
                <w:szCs w:val="28"/>
                <w:highlight w:val="none"/>
              </w:rPr>
              <w:t>。</w:t>
            </w:r>
          </w:p>
        </w:tc>
      </w:tr>
      <w:tr w14:paraId="741B3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E37420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38EC1A1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生产经营单位必须依法参加工伤保险，为从业人员缴纳保险费。</w:t>
            </w:r>
          </w:p>
        </w:tc>
        <w:tc>
          <w:tcPr>
            <w:tcW w:w="995" w:type="pct"/>
            <w:vAlign w:val="center"/>
          </w:tcPr>
          <w:p w14:paraId="54B2F77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《北京市安全生产条例》第三十六条</w:t>
            </w:r>
          </w:p>
        </w:tc>
        <w:tc>
          <w:tcPr>
            <w:tcW w:w="1564" w:type="pct"/>
            <w:vAlign w:val="center"/>
          </w:tcPr>
          <w:p w14:paraId="70CC991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兴昌达博房地产公司提供了2024年12月工伤保险记录，落实了相关要求。</w:t>
            </w:r>
          </w:p>
        </w:tc>
      </w:tr>
      <w:tr w14:paraId="27AA5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2CCE27E">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919DD1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生产经营单位应当制定本单位生产安全事故应急救援预案，与市、区人民政府组织制定的生产安全事故应急救援预案相衔接，并定期组织演练。</w:t>
            </w:r>
          </w:p>
          <w:p w14:paraId="10442CC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生产经营单位制定的生产安全事故应急救援预案主要包括下列内容：</w:t>
            </w:r>
          </w:p>
          <w:p w14:paraId="22768B3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（1）应急救援组织及其职责；</w:t>
            </w:r>
          </w:p>
          <w:p w14:paraId="38C763F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（2）危险目标的确定和潜在危险性评估；</w:t>
            </w:r>
          </w:p>
          <w:p w14:paraId="5451FFC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（3）应急救援预案启动程序；</w:t>
            </w:r>
          </w:p>
          <w:p w14:paraId="68CE25F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（4）紧急处置措施方案；</w:t>
            </w:r>
          </w:p>
          <w:p w14:paraId="4794840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（5）应急救援组织的训练和演练；</w:t>
            </w:r>
          </w:p>
          <w:p w14:paraId="2799B29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（6）应急救援设备器材的储备；</w:t>
            </w:r>
          </w:p>
          <w:p w14:paraId="4E6557F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（7）经费保障；</w:t>
            </w:r>
          </w:p>
          <w:p w14:paraId="20EBB9E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（8）其他事项。</w:t>
            </w:r>
          </w:p>
        </w:tc>
        <w:tc>
          <w:tcPr>
            <w:tcW w:w="995" w:type="pct"/>
            <w:vAlign w:val="center"/>
          </w:tcPr>
          <w:p w14:paraId="0E46B3D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《北京市安全生产条例》第五十五条</w:t>
            </w:r>
          </w:p>
        </w:tc>
        <w:tc>
          <w:tcPr>
            <w:tcW w:w="1564" w:type="pct"/>
            <w:vAlign w:val="center"/>
          </w:tcPr>
          <w:p w14:paraId="496E4DC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兴昌达博房地产公司提供了应急预案等，落实了相关要求。</w:t>
            </w:r>
          </w:p>
        </w:tc>
      </w:tr>
      <w:tr w14:paraId="0DB74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C2869CC">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456FA74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生产经营单位发生生产安全事故，事故现场有关人员、单位负责人等应当依法报告生产安全事故情况，并及时采取措施救治受伤人员；造成人员伤害需要抢救的，应当及时将受伤人员送至医疗机构救治。</w:t>
            </w:r>
          </w:p>
        </w:tc>
        <w:tc>
          <w:tcPr>
            <w:tcW w:w="995" w:type="pct"/>
            <w:vAlign w:val="center"/>
          </w:tcPr>
          <w:p w14:paraId="6771256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《北京市安全生产条例》第五十六条</w:t>
            </w:r>
          </w:p>
        </w:tc>
        <w:tc>
          <w:tcPr>
            <w:tcW w:w="1564" w:type="pct"/>
            <w:vAlign w:val="center"/>
          </w:tcPr>
          <w:p w14:paraId="7AB5061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兴昌达博房地产公司提供了应急预案等，落实了相关要求。</w:t>
            </w:r>
          </w:p>
        </w:tc>
      </w:tr>
      <w:tr w14:paraId="4529F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AD61E32">
            <w:pPr>
              <w:numPr>
                <w:ilvl w:val="0"/>
                <w:numId w:val="1"/>
              </w:numPr>
              <w:tabs>
                <w:tab w:val="left" w:pos="1260"/>
              </w:tabs>
              <w:overflowPunct w:val="0"/>
              <w:spacing w:line="440" w:lineRule="exact"/>
              <w:jc w:val="center"/>
              <w:rPr>
                <w:rFonts w:ascii="Times New Roman" w:hAnsi="Times New Roman" w:eastAsia="宋体" w:cs="宋体"/>
                <w:sz w:val="28"/>
                <w:szCs w:val="28"/>
              </w:rPr>
            </w:pPr>
          </w:p>
        </w:tc>
        <w:tc>
          <w:tcPr>
            <w:tcW w:w="2148" w:type="pct"/>
            <w:vAlign w:val="center"/>
          </w:tcPr>
          <w:p w14:paraId="13513BD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其他事故的跟踪情况</w:t>
            </w:r>
          </w:p>
        </w:tc>
        <w:tc>
          <w:tcPr>
            <w:tcW w:w="2559" w:type="pct"/>
            <w:gridSpan w:val="2"/>
            <w:vAlign w:val="center"/>
          </w:tcPr>
          <w:p w14:paraId="2E7121C9">
            <w:pPr>
              <w:overflowPunct w:val="0"/>
              <w:spacing w:line="440" w:lineRule="exact"/>
              <w:rPr>
                <w:rFonts w:ascii="Times New Roman" w:hAnsi="Times New Roman" w:eastAsia="宋体" w:cs="宋体"/>
                <w:sz w:val="28"/>
                <w:szCs w:val="28"/>
                <w:shd w:val="clear" w:color="auto" w:fill="FFFFFF"/>
              </w:rPr>
            </w:pPr>
            <w:r>
              <w:rPr>
                <w:rFonts w:hint="eastAsia" w:ascii="Times New Roman" w:hAnsi="Times New Roman" w:eastAsia="宋体"/>
                <w:sz w:val="28"/>
                <w:szCs w:val="28"/>
              </w:rPr>
              <w:t>兴昌达博房地产公司</w:t>
            </w:r>
            <w:r>
              <w:rPr>
                <w:rFonts w:hint="eastAsia" w:ascii="Times New Roman" w:hAnsi="Times New Roman" w:eastAsia="宋体" w:cs="宋体"/>
                <w:sz w:val="28"/>
                <w:szCs w:val="28"/>
                <w:shd w:val="clear" w:color="auto" w:fill="FFFFFF"/>
              </w:rPr>
              <w:t>自南邵镇麓鸣花园居住及公共服务设施项目二次供水工程“11·29”一般生产安全事故后，未有其他事故发生。</w:t>
            </w:r>
          </w:p>
        </w:tc>
      </w:tr>
    </w:tbl>
    <w:p w14:paraId="766223BD">
      <w:pPr>
        <w:pStyle w:val="27"/>
        <w:spacing w:line="360" w:lineRule="auto"/>
        <w:ind w:firstLine="0" w:firstLineChars="0"/>
        <w:rPr>
          <w:rFonts w:ascii="Times New Roman" w:hAnsi="Times New Roman" w:eastAsia="宋体"/>
          <w:sz w:val="28"/>
          <w:szCs w:val="28"/>
        </w:rPr>
        <w:sectPr>
          <w:pgSz w:w="16838" w:h="11906" w:orient="landscape"/>
          <w:pgMar w:top="1803" w:right="1440" w:bottom="1803" w:left="1440" w:header="851" w:footer="992" w:gutter="0"/>
          <w:cols w:space="0" w:num="1"/>
          <w:docGrid w:type="lines" w:linePitch="395" w:charSpace="0"/>
        </w:sectPr>
      </w:pPr>
    </w:p>
    <w:p w14:paraId="2E01EED1">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按照法律法规要求对企业提供材料进行评估，发现问题如下：</w:t>
      </w:r>
    </w:p>
    <w:p w14:paraId="1B3383CC">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2253E19C">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兴昌达博房地产公司虽然是建设单位，但同样也是生产经营单位，提供的安全生产规章制度等材料实质性内容较少，部分材料流于形式。</w:t>
      </w:r>
    </w:p>
    <w:p w14:paraId="0702CF81">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11DF3353">
      <w:pPr>
        <w:pStyle w:val="27"/>
        <w:spacing w:line="360" w:lineRule="auto"/>
        <w:ind w:firstLine="560"/>
        <w:rPr>
          <w:rFonts w:ascii="Times New Roman" w:hAnsi="Times New Roman" w:eastAsia="宋体" w:cs="宋体"/>
          <w:sz w:val="28"/>
          <w:szCs w:val="28"/>
          <w:shd w:val="clear" w:color="auto" w:fill="FFFFFF"/>
        </w:rPr>
      </w:pPr>
      <w:r>
        <w:rPr>
          <w:rFonts w:hint="eastAsia" w:ascii="Times New Roman" w:hAnsi="Times New Roman" w:eastAsia="宋体" w:cs="Times New Roman"/>
          <w:sz w:val="28"/>
          <w:szCs w:val="28"/>
        </w:rPr>
        <w:t>建议</w:t>
      </w:r>
      <w:r>
        <w:rPr>
          <w:rFonts w:hint="eastAsia" w:ascii="Times New Roman" w:hAnsi="Times New Roman" w:eastAsia="宋体" w:cs="宋体"/>
          <w:sz w:val="28"/>
          <w:szCs w:val="28"/>
          <w:shd w:val="clear" w:color="auto" w:fill="FFFFFF"/>
        </w:rPr>
        <w:t>兴昌达博房地产公司进一步细化安全管理制度文件。如明确安全生产管理体系中各方位工作人员，与对应人员签订任命书等，将安全生产责任落实。</w:t>
      </w:r>
    </w:p>
    <w:p w14:paraId="3AC0B81E">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E641CE3">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兴昌达博房地产公司提供的安全管理体系内容较为简单，对于奖惩制度、风险分析与控制制度、安全例会制度、危险化学品管理制度等制度文件，都是简单进行描述，并没有配套的程序文件及记录文件，并不能体现安全管理体系流程化的内容。</w:t>
      </w:r>
    </w:p>
    <w:p w14:paraId="31B4D69B">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199BD3F">
      <w:pPr>
        <w:pStyle w:val="27"/>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建议兴昌达博房地产公司进一步修订本单位的安全管理体系文件，将每个制度文件进行细化，并形成程序文件和记录文件，使安全管理措施能够落实。</w:t>
      </w:r>
    </w:p>
    <w:p w14:paraId="01FDD190">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15D3338">
      <w:pPr>
        <w:pStyle w:val="27"/>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兴昌达博房地产公司提供的安全生产规章制度及操作规程中，对于区域设计工程部、项目工程部、监理单位、总包单位、分包单位的职责进行了要求，但每条职责没有具体对应工作制度。</w:t>
      </w:r>
    </w:p>
    <w:p w14:paraId="6F82A944">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2A496EE">
      <w:pPr>
        <w:pStyle w:val="27"/>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建议兴昌达博房地产公司进一步梳理每个部门职责下的对应规章制度类型和内容，满足安全生产的需求。</w:t>
      </w:r>
    </w:p>
    <w:p w14:paraId="7F3ED5CA">
      <w:pPr>
        <w:pStyle w:val="27"/>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2、劲旅建筑公司</w:t>
      </w:r>
    </w:p>
    <w:p w14:paraId="289CA278">
      <w:pPr>
        <w:pStyle w:val="27"/>
        <w:spacing w:line="360" w:lineRule="auto"/>
        <w:ind w:firstLine="560"/>
        <w:rPr>
          <w:rFonts w:ascii="Times New Roman" w:hAnsi="Times New Roman" w:eastAsia="宋体"/>
          <w:sz w:val="28"/>
          <w:szCs w:val="28"/>
        </w:rPr>
        <w:sectPr>
          <w:headerReference r:id="rId8" w:type="default"/>
          <w:footerReference r:id="rId9" w:type="default"/>
          <w:pgSz w:w="11906" w:h="16838"/>
          <w:pgMar w:top="1418" w:right="1588" w:bottom="1418" w:left="1531" w:header="851" w:footer="992" w:gutter="0"/>
          <w:pgNumType w:start="1"/>
          <w:cols w:space="425" w:num="1"/>
          <w:docGrid w:type="lines" w:linePitch="312" w:charSpace="0"/>
        </w:sectPr>
      </w:pPr>
      <w:r>
        <w:rPr>
          <w:rFonts w:hint="eastAsia" w:ascii="Times New Roman" w:hAnsi="Times New Roman" w:eastAsia="宋体"/>
          <w:sz w:val="28"/>
          <w:szCs w:val="28"/>
        </w:rPr>
        <w:t>评估组对劲旅建筑公司提供的制度文件、台账、记录、档案等资料进行了评估，该单位现行安全管理制度基本符合《中华人民共和国安全生产法》相关规定，但具体落实工作还需按照安全生产相关法律法规进一步提升，详见表</w:t>
      </w:r>
      <w:r>
        <w:rPr>
          <w:rFonts w:hint="eastAsia" w:ascii="Times New Roman" w:hAnsi="Times New Roman" w:eastAsia="宋体"/>
          <w:sz w:val="28"/>
          <w:szCs w:val="28"/>
          <w:lang w:val="en-US" w:eastAsia="zh-CN"/>
        </w:rPr>
        <w:t>2</w:t>
      </w:r>
      <w:r>
        <w:rPr>
          <w:rFonts w:hint="eastAsia" w:ascii="Times New Roman" w:hAnsi="Times New Roman" w:eastAsia="宋体"/>
          <w:sz w:val="28"/>
          <w:szCs w:val="28"/>
        </w:rPr>
        <w:t>。</w:t>
      </w:r>
    </w:p>
    <w:p w14:paraId="1C11985B">
      <w:pPr>
        <w:pStyle w:val="27"/>
        <w:spacing w:line="360" w:lineRule="auto"/>
        <w:ind w:firstLine="0" w:firstLineChars="0"/>
        <w:jc w:val="center"/>
        <w:rPr>
          <w:rFonts w:ascii="Times New Roman" w:hAnsi="Times New Roman" w:eastAsia="宋体" w:cs="Times New Roman"/>
          <w:bCs/>
          <w:sz w:val="28"/>
          <w:szCs w:val="28"/>
        </w:rPr>
      </w:pPr>
      <w:r>
        <w:rPr>
          <w:rFonts w:ascii="Times New Roman" w:hAnsi="Times New Roman" w:eastAsia="宋体" w:cs="Times New Roman"/>
          <w:bCs/>
          <w:sz w:val="28"/>
          <w:szCs w:val="28"/>
        </w:rPr>
        <w:t>表</w:t>
      </w:r>
      <w:r>
        <w:rPr>
          <w:rFonts w:hint="eastAsia" w:ascii="Times New Roman" w:hAnsi="Times New Roman" w:eastAsia="宋体" w:cs="Times New Roman"/>
          <w:bCs/>
          <w:sz w:val="28"/>
          <w:szCs w:val="28"/>
          <w:lang w:val="en-US" w:eastAsia="zh-CN"/>
        </w:rPr>
        <w:t>2</w:t>
      </w:r>
      <w:r>
        <w:rPr>
          <w:rFonts w:ascii="Times New Roman" w:hAnsi="Times New Roman" w:eastAsia="宋体" w:cs="Times New Roman"/>
          <w:bCs/>
          <w:sz w:val="28"/>
          <w:szCs w:val="28"/>
        </w:rPr>
        <w:t xml:space="preserve">  </w:t>
      </w:r>
      <w:r>
        <w:rPr>
          <w:rFonts w:hint="eastAsia" w:ascii="Times New Roman" w:hAnsi="Times New Roman" w:eastAsia="宋体" w:cs="Times New Roman"/>
          <w:bCs/>
          <w:sz w:val="28"/>
          <w:szCs w:val="28"/>
        </w:rPr>
        <w:t>劲旅建筑公司</w:t>
      </w:r>
      <w:r>
        <w:rPr>
          <w:rFonts w:ascii="Times New Roman" w:hAnsi="Times New Roman" w:eastAsia="宋体" w:cs="Times New Roman"/>
          <w:bCs/>
          <w:sz w:val="28"/>
          <w:szCs w:val="28"/>
        </w:rPr>
        <w:t>安全管理制度制定情况评估</w:t>
      </w:r>
    </w:p>
    <w:tbl>
      <w:tblPr>
        <w:tblStyle w:val="19"/>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6"/>
        <w:gridCol w:w="5781"/>
        <w:gridCol w:w="2678"/>
        <w:gridCol w:w="4209"/>
      </w:tblGrid>
      <w:tr w14:paraId="27FA63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6A0EAED4">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序号</w:t>
            </w:r>
          </w:p>
        </w:tc>
        <w:tc>
          <w:tcPr>
            <w:tcW w:w="2148" w:type="pct"/>
            <w:tcBorders>
              <w:top w:val="single" w:color="auto" w:sz="12" w:space="0"/>
            </w:tcBorders>
            <w:vAlign w:val="center"/>
          </w:tcPr>
          <w:p w14:paraId="5055D7B4">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评估项目</w:t>
            </w:r>
          </w:p>
        </w:tc>
        <w:tc>
          <w:tcPr>
            <w:tcW w:w="995" w:type="pct"/>
            <w:tcBorders>
              <w:top w:val="single" w:color="auto" w:sz="12" w:space="0"/>
            </w:tcBorders>
            <w:vAlign w:val="center"/>
          </w:tcPr>
          <w:p w14:paraId="0840E252">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评估依据</w:t>
            </w:r>
          </w:p>
        </w:tc>
        <w:tc>
          <w:tcPr>
            <w:tcW w:w="1564" w:type="pct"/>
            <w:tcBorders>
              <w:top w:val="single" w:color="auto" w:sz="12" w:space="0"/>
            </w:tcBorders>
            <w:vAlign w:val="center"/>
          </w:tcPr>
          <w:p w14:paraId="3C3713AB">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评估情况</w:t>
            </w:r>
          </w:p>
        </w:tc>
      </w:tr>
      <w:tr w14:paraId="028B86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BCB2A83">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4C2AC632">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20024781">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《中华人民共和国安全生产法》第四条</w:t>
            </w:r>
          </w:p>
        </w:tc>
        <w:tc>
          <w:tcPr>
            <w:tcW w:w="1564" w:type="pct"/>
            <w:vAlign w:val="center"/>
          </w:tcPr>
          <w:p w14:paraId="127DE37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劲旅建筑公司提供了安全生产管理制度、安全生产责任制、双重预防机制制度等文件，基本落实了相关要求。</w:t>
            </w:r>
          </w:p>
        </w:tc>
      </w:tr>
      <w:tr w14:paraId="72E4B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B2A5AD">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98AAFE6">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生产经营单位的全员安全生产责任制应当明确各岗位的责任人员、责任范围和考核标准等内容。</w:t>
            </w:r>
          </w:p>
        </w:tc>
        <w:tc>
          <w:tcPr>
            <w:tcW w:w="995" w:type="pct"/>
            <w:vAlign w:val="center"/>
          </w:tcPr>
          <w:p w14:paraId="288AD110">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《中华人民共和国安全生产法》第二十二条</w:t>
            </w:r>
          </w:p>
        </w:tc>
        <w:tc>
          <w:tcPr>
            <w:tcW w:w="1564" w:type="pct"/>
            <w:vAlign w:val="center"/>
          </w:tcPr>
          <w:p w14:paraId="708329BA">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劲旅建筑公司提供了安全生产责任制，明确了不同岗位人员职责，未见具体考核标准，基本落实了相关要求。</w:t>
            </w:r>
          </w:p>
        </w:tc>
      </w:tr>
      <w:tr w14:paraId="4D70F6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BA8C555">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4A73AE7">
            <w:pPr>
              <w:overflowPunct w:val="0"/>
              <w:spacing w:line="440" w:lineRule="exact"/>
              <w:rPr>
                <w:rFonts w:ascii="Times New Roman" w:hAnsi="Times New Roman" w:eastAsia="宋体" w:cs="宋体"/>
                <w:sz w:val="28"/>
                <w:szCs w:val="28"/>
              </w:rPr>
            </w:pPr>
            <w:r>
              <w:rPr>
                <w:rFonts w:hint="eastAsia" w:ascii="Times New Roman" w:hAnsi="Times New Roman" w:eastAsia="宋体" w:cs="宋体"/>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3E8B6E69">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《中华人民共和国安全生产法》第二十三条</w:t>
            </w:r>
          </w:p>
        </w:tc>
        <w:tc>
          <w:tcPr>
            <w:tcW w:w="1564" w:type="pct"/>
            <w:vAlign w:val="center"/>
          </w:tcPr>
          <w:p w14:paraId="0617785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劲旅建筑公司提供了劳保用品领用单、工伤保险缴纳记录，落实了相关要求。</w:t>
            </w:r>
          </w:p>
        </w:tc>
      </w:tr>
      <w:tr w14:paraId="7A4507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19E2262">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A99C266">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67C390C1">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《中华人民共和国安全生产法》第二十四条</w:t>
            </w:r>
          </w:p>
        </w:tc>
        <w:tc>
          <w:tcPr>
            <w:tcW w:w="1564" w:type="pct"/>
            <w:vAlign w:val="center"/>
          </w:tcPr>
          <w:p w14:paraId="54952F51">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劲旅建筑公司提供了安全生产责任制，明确了不同岗位人员职责，安全管理负责人的任命书，基本落实了相关要求。</w:t>
            </w:r>
          </w:p>
        </w:tc>
      </w:tr>
      <w:tr w14:paraId="27CF6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53D8182">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39E2121">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生产经营单位的安全生产管理机构以及安全生产管理人员履行下列职责：</w:t>
            </w:r>
          </w:p>
          <w:p w14:paraId="4469E513">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（一）组织或者参与拟订本单位安全生产规章制度、操作规程和生产安全事故应急救援预案；</w:t>
            </w:r>
          </w:p>
          <w:p w14:paraId="2D85EDE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（二）组织或者参与本单位安全生产教育和培训，如实记录安全生产教育和培训情况；</w:t>
            </w:r>
          </w:p>
          <w:p w14:paraId="0605B01C">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（三）组织开展危险源辨识和评估，督促落实本单位重大危险源的安全管理措施；</w:t>
            </w:r>
          </w:p>
          <w:p w14:paraId="2341E430">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（四）组织或者参与本单位应急救援演练；</w:t>
            </w:r>
          </w:p>
          <w:p w14:paraId="31DBB9E3">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（五）检查本单位的安全生产状况，及时排查生产安全事故隐患，提出改进安全生产管理的建议；</w:t>
            </w:r>
          </w:p>
          <w:p w14:paraId="557718F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（六）制止和纠正违章指挥、强令冒险作业、违反操作规程的行为；</w:t>
            </w:r>
          </w:p>
          <w:p w14:paraId="5506DF2E">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（七）督促落实本单位安全生产整改措施。</w:t>
            </w:r>
          </w:p>
        </w:tc>
        <w:tc>
          <w:tcPr>
            <w:tcW w:w="995" w:type="pct"/>
            <w:vAlign w:val="center"/>
          </w:tcPr>
          <w:p w14:paraId="03ACBACF">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《中华人民共和国安全生产法》第二十五条</w:t>
            </w:r>
          </w:p>
        </w:tc>
        <w:tc>
          <w:tcPr>
            <w:tcW w:w="1564" w:type="pct"/>
            <w:vAlign w:val="center"/>
          </w:tcPr>
          <w:p w14:paraId="14875B89">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劲旅建筑公司提供了安全生产管理制度、安全会议及演练记录、应急预案，基本落实了相关要求。落实了相关要求。</w:t>
            </w:r>
          </w:p>
        </w:tc>
      </w:tr>
      <w:tr w14:paraId="4D5BAC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A25F91B">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DD25699">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生产经营单位的主要负责人和安全生产管理人员必须具备与本单位所从事的生产经营活动相应的安全生产知识和管理能力。</w:t>
            </w:r>
          </w:p>
          <w:p w14:paraId="09512AF7">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09E9F11E">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《中华人民共和国安全生产法》第二十七条</w:t>
            </w:r>
          </w:p>
        </w:tc>
        <w:tc>
          <w:tcPr>
            <w:tcW w:w="1564" w:type="pct"/>
            <w:vAlign w:val="center"/>
          </w:tcPr>
          <w:p w14:paraId="6ED3C5E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劲旅建筑公司提供了建筑施工企业项目负责人安全生产考核合格证书，基本落实了相关要求。</w:t>
            </w:r>
          </w:p>
        </w:tc>
      </w:tr>
      <w:tr w14:paraId="518CDD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0EDABD0">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48E519FC">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1822C712">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《中华人民共和国安全生产法》第二十八条</w:t>
            </w:r>
          </w:p>
        </w:tc>
        <w:tc>
          <w:tcPr>
            <w:tcW w:w="1564" w:type="pct"/>
            <w:vAlign w:val="center"/>
          </w:tcPr>
          <w:p w14:paraId="093BADF2">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劲旅建筑公司提供了专题会议纪要</w:t>
            </w:r>
            <w:r>
              <w:rPr>
                <w:rFonts w:hint="eastAsia" w:ascii="Times New Roman" w:hAnsi="Times New Roman" w:eastAsia="宋体" w:cs="宋体"/>
                <w:sz w:val="28"/>
                <w:szCs w:val="32"/>
              </w:rPr>
              <w:t>，基本</w:t>
            </w:r>
            <w:r>
              <w:rPr>
                <w:rFonts w:hint="eastAsia" w:ascii="Times New Roman" w:hAnsi="Times New Roman" w:eastAsia="宋体" w:cs="宋体"/>
                <w:sz w:val="28"/>
                <w:szCs w:val="28"/>
              </w:rPr>
              <w:t>落实了相关要求。</w:t>
            </w:r>
          </w:p>
        </w:tc>
      </w:tr>
      <w:tr w14:paraId="27F33C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4178780">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35B5F85E">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生产经营单位应当建立安全风险分级管控制度，按照安全风险分级采取相应的管控措施。</w:t>
            </w:r>
          </w:p>
          <w:p w14:paraId="2105F0D6">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生产经营单位应当建立健全并落实生产安全事故隐患排查治理制度，采取技术、管理措施，及时发现并消除事故隐患。</w:t>
            </w:r>
          </w:p>
        </w:tc>
        <w:tc>
          <w:tcPr>
            <w:tcW w:w="995" w:type="pct"/>
            <w:vAlign w:val="center"/>
          </w:tcPr>
          <w:p w14:paraId="7BF50E8A">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《中华人民共和国安全生产法》第四十一条</w:t>
            </w:r>
          </w:p>
        </w:tc>
        <w:tc>
          <w:tcPr>
            <w:tcW w:w="1564" w:type="pct"/>
            <w:vAlign w:val="center"/>
          </w:tcPr>
          <w:p w14:paraId="033BCB4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劲旅建筑公司提供了双重预防机制制度，未见隐患治理制度及相关记录文件，基本落实了相关要求。</w:t>
            </w:r>
          </w:p>
        </w:tc>
      </w:tr>
      <w:tr w14:paraId="3FEB11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973AA3B">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5567B2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01BEE887">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《中华人民共和国安全生产法》第四十四条</w:t>
            </w:r>
          </w:p>
        </w:tc>
        <w:tc>
          <w:tcPr>
            <w:tcW w:w="1564" w:type="pct"/>
            <w:vAlign w:val="center"/>
          </w:tcPr>
          <w:p w14:paraId="13EB2B5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劲旅建筑公司提供了安全生产规章制度，但未见操作规程及危险因素告知文件。</w:t>
            </w:r>
          </w:p>
        </w:tc>
      </w:tr>
      <w:tr w14:paraId="58FEDA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8020198">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4003FE48">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生产经营单位必须为从业人员提供符合国家标准或者行业标准的劳动防护用品，并监督、教育从业人员按照使用规则佩戴、使用。</w:t>
            </w:r>
          </w:p>
        </w:tc>
        <w:tc>
          <w:tcPr>
            <w:tcW w:w="995" w:type="pct"/>
            <w:vAlign w:val="center"/>
          </w:tcPr>
          <w:p w14:paraId="743EF6BB">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《中华人民共和国安全生产法》第四十五条</w:t>
            </w:r>
          </w:p>
        </w:tc>
        <w:tc>
          <w:tcPr>
            <w:tcW w:w="1564" w:type="pct"/>
            <w:vAlign w:val="center"/>
          </w:tcPr>
          <w:p w14:paraId="2E8C5753">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劲旅建筑公司提供了劳保用品领用单及工伤保险缴纳记录，落实了相关要求。</w:t>
            </w:r>
          </w:p>
        </w:tc>
      </w:tr>
      <w:tr w14:paraId="7C37E5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411480D">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605F59C">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0DAC482D">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《中华人民共和国安全生产法》第四十六条</w:t>
            </w:r>
          </w:p>
        </w:tc>
        <w:tc>
          <w:tcPr>
            <w:tcW w:w="1564" w:type="pct"/>
            <w:vAlign w:val="center"/>
          </w:tcPr>
          <w:p w14:paraId="2559AC68">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劲旅建筑公司提供了隐患排查与整改记录表，落实了相关要求。</w:t>
            </w:r>
          </w:p>
        </w:tc>
      </w:tr>
      <w:tr w14:paraId="6C93F4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762AF6E">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FF0C71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生产经营单位应当安排用于配备劳动防护用品、进行安全生产培训的经费。</w:t>
            </w:r>
          </w:p>
        </w:tc>
        <w:tc>
          <w:tcPr>
            <w:tcW w:w="995" w:type="pct"/>
            <w:vAlign w:val="center"/>
          </w:tcPr>
          <w:p w14:paraId="03124C58">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《中华人民共和国安全生产法》第四十七条</w:t>
            </w:r>
          </w:p>
        </w:tc>
        <w:tc>
          <w:tcPr>
            <w:tcW w:w="1564" w:type="pct"/>
            <w:vAlign w:val="center"/>
          </w:tcPr>
          <w:p w14:paraId="70078C08">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劲旅建筑公司提供了劳保用品领用单及工伤保险缴纳记录等，落实了相关要求。</w:t>
            </w:r>
          </w:p>
        </w:tc>
      </w:tr>
      <w:tr w14:paraId="0837FA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3125C18">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263C322">
            <w:pPr>
              <w:overflowPunct w:val="0"/>
              <w:spacing w:line="440" w:lineRule="exact"/>
              <w:rPr>
                <w:rFonts w:ascii="Times New Roman" w:hAnsi="Times New Roman" w:eastAsia="宋体" w:cs="宋体"/>
                <w:sz w:val="28"/>
                <w:szCs w:val="28"/>
              </w:rPr>
            </w:pPr>
            <w:r>
              <w:rPr>
                <w:rFonts w:ascii="Times New Roman" w:hAnsi="Times New Roman" w:eastAsia="宋体" w:cs="Times New Roman"/>
                <w:sz w:val="28"/>
                <w:szCs w:val="28"/>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995" w:type="pct"/>
            <w:vAlign w:val="center"/>
          </w:tcPr>
          <w:p w14:paraId="7841D4F4">
            <w:pPr>
              <w:overflowPunct w:val="0"/>
              <w:spacing w:line="440" w:lineRule="exact"/>
              <w:jc w:val="center"/>
              <w:rPr>
                <w:rFonts w:ascii="Times New Roman" w:hAnsi="Times New Roman" w:eastAsia="宋体" w:cs="宋体"/>
                <w:sz w:val="28"/>
                <w:szCs w:val="28"/>
              </w:rPr>
            </w:pPr>
            <w:r>
              <w:rPr>
                <w:rFonts w:ascii="Times New Roman" w:hAnsi="Times New Roman" w:eastAsia="宋体" w:cs="Times New Roman"/>
                <w:sz w:val="28"/>
                <w:szCs w:val="28"/>
              </w:rPr>
              <w:t>《中华人民共和国安全生产法》第四十八条</w:t>
            </w:r>
          </w:p>
        </w:tc>
        <w:tc>
          <w:tcPr>
            <w:tcW w:w="1564" w:type="pct"/>
            <w:vAlign w:val="center"/>
          </w:tcPr>
          <w:p w14:paraId="10939140">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劲旅建筑公司提供了安全生产管理协议书，落实了相关要求。</w:t>
            </w:r>
          </w:p>
        </w:tc>
      </w:tr>
      <w:tr w14:paraId="5BE64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68EE796">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35743FB">
            <w:pPr>
              <w:spacing w:line="440" w:lineRule="exact"/>
              <w:rPr>
                <w:rFonts w:ascii="Times New Roman" w:hAnsi="Times New Roman" w:eastAsia="宋体" w:cs="Times New Roman"/>
                <w:sz w:val="28"/>
                <w:szCs w:val="28"/>
              </w:rPr>
            </w:pPr>
            <w:r>
              <w:rPr>
                <w:rFonts w:ascii="Times New Roman" w:hAnsi="Times New Roman" w:eastAsia="宋体" w:cs="Times New Roman"/>
                <w:sz w:val="28"/>
                <w:szCs w:val="28"/>
              </w:rPr>
              <w:t>生产经营单位发生生产安全事故时，单位的主要负责人应当立即组织抢救，并不得在事故调查处理期间擅离职守。</w:t>
            </w:r>
          </w:p>
        </w:tc>
        <w:tc>
          <w:tcPr>
            <w:tcW w:w="995" w:type="pct"/>
            <w:vAlign w:val="center"/>
          </w:tcPr>
          <w:p w14:paraId="15D7A989">
            <w:pPr>
              <w:spacing w:line="44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《中华人民共和国安全生产法》第五十条</w:t>
            </w:r>
          </w:p>
        </w:tc>
        <w:tc>
          <w:tcPr>
            <w:tcW w:w="1564" w:type="pct"/>
            <w:vAlign w:val="center"/>
          </w:tcPr>
          <w:p w14:paraId="0D8FACD6">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劲旅建筑公司提供了应急预案，落实了相关要求。</w:t>
            </w:r>
          </w:p>
        </w:tc>
      </w:tr>
      <w:tr w14:paraId="6B660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D1E5EF9">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12E36E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生产经营单位必须依法参加工伤保险，为从业人员缴纳保险费。</w:t>
            </w:r>
          </w:p>
        </w:tc>
        <w:tc>
          <w:tcPr>
            <w:tcW w:w="995" w:type="pct"/>
            <w:vAlign w:val="center"/>
          </w:tcPr>
          <w:p w14:paraId="64FCD11F">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《中华人民共和国安全生产法》第五十一条</w:t>
            </w:r>
          </w:p>
        </w:tc>
        <w:tc>
          <w:tcPr>
            <w:tcW w:w="1564" w:type="pct"/>
            <w:vAlign w:val="center"/>
          </w:tcPr>
          <w:p w14:paraId="51EF7B9C">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劲旅建筑公司提供了相关工伤保险缴纳记录等，落实了相关要求。</w:t>
            </w:r>
          </w:p>
        </w:tc>
      </w:tr>
      <w:tr w14:paraId="63BD63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3AD0ADE">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086CB6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2E36FA34">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《中华人民共和国安全生产法》第八十一条</w:t>
            </w:r>
          </w:p>
        </w:tc>
        <w:tc>
          <w:tcPr>
            <w:tcW w:w="1564" w:type="pct"/>
            <w:vAlign w:val="center"/>
          </w:tcPr>
          <w:p w14:paraId="0E295C0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了应急预案，</w:t>
            </w:r>
            <w:r>
              <w:rPr>
                <w:rFonts w:hint="eastAsia" w:ascii="Times New Roman" w:hAnsi="Times New Roman" w:eastAsia="宋体" w:cs="宋体"/>
                <w:sz w:val="28"/>
                <w:szCs w:val="28"/>
              </w:rPr>
              <w:t>并提供了安全会议及演练记录，落实了相关要求。</w:t>
            </w:r>
          </w:p>
        </w:tc>
      </w:tr>
      <w:tr w14:paraId="48A359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3A4939E">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BC01D12">
            <w:pPr>
              <w:spacing w:line="440" w:lineRule="exact"/>
              <w:rPr>
                <w:rFonts w:ascii="Times New Roman" w:hAnsi="Times New Roman" w:eastAsia="宋体" w:cs="宋体"/>
                <w:sz w:val="28"/>
                <w:szCs w:val="28"/>
              </w:rPr>
            </w:pPr>
            <w:r>
              <w:rPr>
                <w:rFonts w:ascii="Times New Roman" w:hAnsi="Times New Roman" w:eastAsia="宋体" w:cs="Times New Roman"/>
                <w:sz w:val="28"/>
                <w:szCs w:val="28"/>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995" w:type="pct"/>
            <w:vAlign w:val="center"/>
          </w:tcPr>
          <w:p w14:paraId="6427FB00">
            <w:pPr>
              <w:spacing w:line="440" w:lineRule="exact"/>
              <w:jc w:val="center"/>
              <w:rPr>
                <w:rFonts w:ascii="Times New Roman" w:hAnsi="Times New Roman" w:eastAsia="宋体" w:cs="宋体"/>
                <w:sz w:val="28"/>
                <w:szCs w:val="28"/>
              </w:rPr>
            </w:pPr>
            <w:r>
              <w:rPr>
                <w:rFonts w:ascii="Times New Roman" w:hAnsi="Times New Roman" w:eastAsia="宋体" w:cs="Times New Roman"/>
                <w:sz w:val="28"/>
                <w:szCs w:val="28"/>
              </w:rPr>
              <w:t>《中华人民共和国安全生产法》第八十三条</w:t>
            </w:r>
          </w:p>
        </w:tc>
        <w:tc>
          <w:tcPr>
            <w:tcW w:w="1564" w:type="pct"/>
            <w:vAlign w:val="center"/>
          </w:tcPr>
          <w:p w14:paraId="6CD5296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了应急预案，</w:t>
            </w:r>
            <w:r>
              <w:rPr>
                <w:rFonts w:hint="eastAsia" w:ascii="Times New Roman" w:hAnsi="Times New Roman" w:eastAsia="宋体" w:cs="宋体"/>
                <w:sz w:val="28"/>
                <w:szCs w:val="28"/>
              </w:rPr>
              <w:t>并提供了安全会议及演练记录，落实了相关要求。</w:t>
            </w:r>
          </w:p>
        </w:tc>
      </w:tr>
      <w:tr w14:paraId="7A65EF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AE2732">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D2287D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995" w:type="pct"/>
            <w:vAlign w:val="center"/>
          </w:tcPr>
          <w:p w14:paraId="10C366A2">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《建设工程安全生产管理条例》第二十条</w:t>
            </w:r>
          </w:p>
        </w:tc>
        <w:tc>
          <w:tcPr>
            <w:tcW w:w="1564" w:type="pct"/>
            <w:vAlign w:val="center"/>
          </w:tcPr>
          <w:p w14:paraId="3345088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建筑业企业资质证书、安全生产许可证。</w:t>
            </w:r>
          </w:p>
        </w:tc>
      </w:tr>
      <w:tr w14:paraId="5B5ACF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3AD5880">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C28F5D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6A6C6D6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995" w:type="pct"/>
            <w:vAlign w:val="center"/>
          </w:tcPr>
          <w:p w14:paraId="5CAD237D">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《建设工程安全生产管理条例》第二十一条</w:t>
            </w:r>
          </w:p>
        </w:tc>
        <w:tc>
          <w:tcPr>
            <w:tcW w:w="1564" w:type="pct"/>
            <w:vAlign w:val="center"/>
          </w:tcPr>
          <w:p w14:paraId="793758E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安全生产管理制度、技术交底文件，其中技术交底文件中有相关的操作规程内容体现，基本落实了相关要求。</w:t>
            </w:r>
          </w:p>
        </w:tc>
      </w:tr>
      <w:tr w14:paraId="54C40B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5C692B9">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DF78AF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施工单位对列入建设工程概算的安全作业环境及安全施工措施所需费用，应当用于施工安全防护用具及设施的采购和更新、安全施工措施的落实、安全生产条件的改善，不得挪作他用。</w:t>
            </w:r>
          </w:p>
        </w:tc>
        <w:tc>
          <w:tcPr>
            <w:tcW w:w="995" w:type="pct"/>
            <w:vAlign w:val="center"/>
          </w:tcPr>
          <w:p w14:paraId="4C9BE633">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《建设工程安全生产管理条例》第二十二条</w:t>
            </w:r>
          </w:p>
        </w:tc>
        <w:tc>
          <w:tcPr>
            <w:tcW w:w="1564" w:type="pct"/>
            <w:vAlign w:val="center"/>
          </w:tcPr>
          <w:p w14:paraId="13DB07B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劳保用品领用单、工伤保险缴纳记录，基本落实了相关要求。</w:t>
            </w:r>
          </w:p>
        </w:tc>
      </w:tr>
      <w:tr w14:paraId="1E1E3C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0070376">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81C7CD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施工单位应当设立安全生产管理机构，配备专职安全生产管理人员。</w:t>
            </w:r>
          </w:p>
        </w:tc>
        <w:tc>
          <w:tcPr>
            <w:tcW w:w="995" w:type="pct"/>
            <w:vAlign w:val="center"/>
          </w:tcPr>
          <w:p w14:paraId="67EF1090">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《建设工程安全生产管理条例》第二十三条</w:t>
            </w:r>
          </w:p>
        </w:tc>
        <w:tc>
          <w:tcPr>
            <w:tcW w:w="1564" w:type="pct"/>
            <w:vAlign w:val="center"/>
          </w:tcPr>
          <w:p w14:paraId="595B497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安全管理负责人的任命书，基本落实了相关要求。</w:t>
            </w:r>
          </w:p>
        </w:tc>
      </w:tr>
      <w:tr w14:paraId="50384E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8FC99FD">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DAC38F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建设工程实行施工总承包的，由总承包单位对施工现场的安全生产负总责。</w:t>
            </w:r>
          </w:p>
          <w:p w14:paraId="3312C64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总承包单位依法将建设工程分包给其他单位的，分包合同中应当明确各自的安全生产方面的权利、义务。</w:t>
            </w:r>
          </w:p>
          <w:p w14:paraId="724C99F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总承包单位和分包单位对分包工程的安全生产。</w:t>
            </w:r>
          </w:p>
        </w:tc>
        <w:tc>
          <w:tcPr>
            <w:tcW w:w="995" w:type="pct"/>
            <w:vAlign w:val="center"/>
          </w:tcPr>
          <w:p w14:paraId="7FBC2160">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《建设工程安全生产管理条例》第二十四条</w:t>
            </w:r>
          </w:p>
        </w:tc>
        <w:tc>
          <w:tcPr>
            <w:tcW w:w="1564" w:type="pct"/>
            <w:vAlign w:val="center"/>
          </w:tcPr>
          <w:p w14:paraId="6F594EF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安全生产协议书，基本落实了相关要求。</w:t>
            </w:r>
          </w:p>
        </w:tc>
      </w:tr>
      <w:tr w14:paraId="74B0A0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B285174">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4C9978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14:paraId="74C6B4F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（一）基坑支护与降水工程；</w:t>
            </w:r>
          </w:p>
          <w:p w14:paraId="061A288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（二）土方开挖工程；</w:t>
            </w:r>
          </w:p>
          <w:p w14:paraId="3490813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（三）模板工程；</w:t>
            </w:r>
          </w:p>
          <w:p w14:paraId="26B9856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（四）起重吊装工程；</w:t>
            </w:r>
          </w:p>
          <w:p w14:paraId="363F8E4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（五）脚手架工程；</w:t>
            </w:r>
          </w:p>
          <w:p w14:paraId="3F41BC5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（六）拆除、爆破工程；</w:t>
            </w:r>
          </w:p>
          <w:p w14:paraId="57E3363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（七）国务院建设行政主管部门或者其他有关部门规定的其他危险性较大的工程。</w:t>
            </w:r>
          </w:p>
          <w:p w14:paraId="42A2AE7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对前款所列工程中涉及深基坑、地下暗挖工程、高大模板工程的专项施工方案，施工单位还应当组织专家进行论证、审查。本条第一款规定的达到一定规模的危险性较大工程的标准，由国务院建设行政主管部门会同国务院其他有关部门制定。</w:t>
            </w:r>
          </w:p>
        </w:tc>
        <w:tc>
          <w:tcPr>
            <w:tcW w:w="995" w:type="pct"/>
            <w:vAlign w:val="center"/>
          </w:tcPr>
          <w:p w14:paraId="760B318A">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《建设工程安全生产管理条例》第二十六条</w:t>
            </w:r>
          </w:p>
        </w:tc>
        <w:tc>
          <w:tcPr>
            <w:tcW w:w="1564" w:type="pct"/>
            <w:vAlign w:val="center"/>
          </w:tcPr>
          <w:p w14:paraId="26786B1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了项目施工方案，基本落实了相关要求</w:t>
            </w:r>
            <w:r>
              <w:rPr>
                <w:rFonts w:hint="eastAsia" w:ascii="Times New Roman" w:hAnsi="Times New Roman" w:eastAsia="宋体" w:cs="宋体"/>
                <w:sz w:val="28"/>
                <w:szCs w:val="28"/>
              </w:rPr>
              <w:t>。</w:t>
            </w:r>
          </w:p>
        </w:tc>
      </w:tr>
      <w:tr w14:paraId="304EF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6FBDEDE">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7A1AC3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建设工程施工前，施工单位负责项目管理的技术人员应当对有关安全施工的技术要求向施工作业班组、作业人员作出详细说明，并由双方签字确认。</w:t>
            </w:r>
          </w:p>
        </w:tc>
        <w:tc>
          <w:tcPr>
            <w:tcW w:w="995" w:type="pct"/>
            <w:vAlign w:val="center"/>
          </w:tcPr>
          <w:p w14:paraId="10586AFD">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《建设工程安全生产管理条例》第二十七条</w:t>
            </w:r>
          </w:p>
        </w:tc>
        <w:tc>
          <w:tcPr>
            <w:tcW w:w="1564" w:type="pct"/>
            <w:vAlign w:val="center"/>
          </w:tcPr>
          <w:p w14:paraId="2B0D179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专题会议纪要，未见双方签字确认。</w:t>
            </w:r>
          </w:p>
        </w:tc>
      </w:tr>
      <w:tr w14:paraId="7CD50D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09043F9">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98C9B73">
            <w:pPr>
              <w:overflowPunct w:val="0"/>
              <w:spacing w:line="440" w:lineRule="exact"/>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42344526">
            <w:pPr>
              <w:overflowPunct w:val="0"/>
              <w:spacing w:line="440" w:lineRule="exact"/>
              <w:rPr>
                <w:rFonts w:ascii="Times New Roman" w:hAnsi="Times New Roman" w:eastAsia="宋体" w:cs="宋体"/>
                <w:sz w:val="28"/>
                <w:szCs w:val="28"/>
              </w:rPr>
            </w:pPr>
            <w:r>
              <w:rPr>
                <w:rFonts w:ascii="Times New Roman" w:hAnsi="Times New Roman" w:eastAsia="宋体" w:cs="Times New Roman"/>
                <w:sz w:val="28"/>
                <w:szCs w:val="28"/>
              </w:rPr>
              <w:t>施工单位应当根据不同施工阶段和周围环境及季节、气候的变化，在施工现场采取相应的安全施工措施。施工现场暂时停止施工的，施工单位应当做好现场防护，所需费用由责任方承担，或者按照合同约定执行。</w:t>
            </w:r>
          </w:p>
        </w:tc>
        <w:tc>
          <w:tcPr>
            <w:tcW w:w="995" w:type="pct"/>
            <w:vAlign w:val="center"/>
          </w:tcPr>
          <w:p w14:paraId="6A4D8963">
            <w:pPr>
              <w:overflowPunct w:val="0"/>
              <w:spacing w:line="440" w:lineRule="exact"/>
              <w:jc w:val="center"/>
              <w:rPr>
                <w:rFonts w:ascii="Times New Roman" w:hAnsi="Times New Roman" w:eastAsia="宋体" w:cs="宋体"/>
                <w:sz w:val="28"/>
                <w:szCs w:val="28"/>
              </w:rPr>
            </w:pPr>
            <w:r>
              <w:rPr>
                <w:rFonts w:ascii="Times New Roman" w:hAnsi="Times New Roman" w:eastAsia="宋体" w:cs="Times New Roman"/>
                <w:sz w:val="28"/>
                <w:szCs w:val="28"/>
              </w:rPr>
              <w:t>《建设工程安全生产管理条例》第二十八条</w:t>
            </w:r>
          </w:p>
        </w:tc>
        <w:tc>
          <w:tcPr>
            <w:tcW w:w="1564" w:type="pct"/>
            <w:vAlign w:val="center"/>
          </w:tcPr>
          <w:p w14:paraId="3B9C78D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劲旅建筑公司未提供相关制度及记录，但在提供的劳动保护用品采购登记台账中有警示标示牌、防尘网、安全带（警戒线）的采购登记台账。</w:t>
            </w:r>
          </w:p>
        </w:tc>
      </w:tr>
      <w:tr w14:paraId="6DB4A8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474AEB7">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B5F5EA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c>
          <w:tcPr>
            <w:tcW w:w="995" w:type="pct"/>
            <w:vAlign w:val="center"/>
          </w:tcPr>
          <w:p w14:paraId="74BEDAAC">
            <w:pPr>
              <w:spacing w:line="440" w:lineRule="exact"/>
              <w:jc w:val="center"/>
              <w:rPr>
                <w:rFonts w:ascii="Times New Roman" w:hAnsi="Times New Roman" w:eastAsia="宋体" w:cs="宋体"/>
                <w:sz w:val="28"/>
                <w:szCs w:val="28"/>
                <w:highlight w:val="yellow"/>
              </w:rPr>
            </w:pPr>
            <w:r>
              <w:rPr>
                <w:rFonts w:hint="eastAsia" w:ascii="Times New Roman" w:hAnsi="Times New Roman" w:eastAsia="宋体" w:cs="宋体"/>
                <w:sz w:val="28"/>
                <w:szCs w:val="28"/>
              </w:rPr>
              <w:t>《建设工程安全生产管理条例》第三十一条</w:t>
            </w:r>
          </w:p>
        </w:tc>
        <w:tc>
          <w:tcPr>
            <w:tcW w:w="1564" w:type="pct"/>
            <w:vAlign w:val="center"/>
          </w:tcPr>
          <w:p w14:paraId="58D7E68E">
            <w:pPr>
              <w:spacing w:line="440" w:lineRule="exact"/>
              <w:rPr>
                <w:rFonts w:ascii="Times New Roman" w:hAnsi="Times New Roman" w:eastAsia="宋体" w:cs="宋体"/>
                <w:sz w:val="28"/>
                <w:szCs w:val="28"/>
                <w:highlight w:val="yellow"/>
              </w:rPr>
            </w:pPr>
            <w:r>
              <w:rPr>
                <w:rFonts w:hint="eastAsia" w:ascii="Times New Roman" w:hAnsi="Times New Roman" w:eastAsia="宋体" w:cs="宋体"/>
                <w:sz w:val="28"/>
                <w:szCs w:val="28"/>
              </w:rPr>
              <w:t>劲旅建筑公司提供的安全生产责任制的总经理职责中，明确其需检查下属单位的消防器材等，确保器械正常使用和保养维修，基本落实相关要求。</w:t>
            </w:r>
          </w:p>
        </w:tc>
      </w:tr>
      <w:tr w14:paraId="3531EE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6C38564">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5E12FD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施工单位应当向作业人员提供安全防护用具和安全防护服装，并书面告知危险岗位的操作规程和违章操作的危害。</w:t>
            </w:r>
          </w:p>
        </w:tc>
        <w:tc>
          <w:tcPr>
            <w:tcW w:w="995" w:type="pct"/>
            <w:vAlign w:val="center"/>
          </w:tcPr>
          <w:p w14:paraId="3AF5DF4B">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《建设工程安全生产管理条例》第三十二条</w:t>
            </w:r>
          </w:p>
        </w:tc>
        <w:tc>
          <w:tcPr>
            <w:tcW w:w="1564" w:type="pct"/>
            <w:vAlign w:val="center"/>
          </w:tcPr>
          <w:p w14:paraId="058407F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劳保用品领用单，未见书面告知的危险岗位操作规程和违章操作危害。</w:t>
            </w:r>
          </w:p>
        </w:tc>
      </w:tr>
      <w:tr w14:paraId="2E01A3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7A92C9B">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0211CF7">
            <w:pPr>
              <w:overflowPunct w:val="0"/>
              <w:spacing w:line="440" w:lineRule="exact"/>
              <w:rPr>
                <w:rFonts w:ascii="Times New Roman" w:hAnsi="Times New Roman" w:eastAsia="宋体" w:cs="Times New Roman"/>
                <w:sz w:val="28"/>
                <w:szCs w:val="28"/>
              </w:rPr>
            </w:pPr>
            <w:r>
              <w:rPr>
                <w:rFonts w:ascii="Times New Roman" w:hAnsi="Times New Roman" w:eastAsia="宋体" w:cs="Times New Roman"/>
                <w:sz w:val="28"/>
                <w:szCs w:val="28"/>
              </w:rPr>
              <w:t>施工单位采购、租赁的安全防护用具、机械设备、施工机具及配件，应当具有生产</w:t>
            </w:r>
            <w:r>
              <w:rPr>
                <w:rFonts w:hint="eastAsia" w:ascii="Times New Roman" w:hAnsi="Times New Roman" w:eastAsia="宋体" w:cs="Times New Roman"/>
                <w:sz w:val="28"/>
                <w:szCs w:val="28"/>
              </w:rPr>
              <w:t>（</w:t>
            </w:r>
            <w:r>
              <w:rPr>
                <w:rFonts w:ascii="Times New Roman" w:hAnsi="Times New Roman" w:eastAsia="宋体" w:cs="Times New Roman"/>
                <w:sz w:val="28"/>
                <w:szCs w:val="28"/>
              </w:rPr>
              <w:t>制造</w:t>
            </w:r>
            <w:r>
              <w:rPr>
                <w:rFonts w:hint="eastAsia" w:ascii="Times New Roman" w:hAnsi="Times New Roman" w:eastAsia="宋体" w:cs="Times New Roman"/>
                <w:sz w:val="28"/>
                <w:szCs w:val="28"/>
              </w:rPr>
              <w:t>）</w:t>
            </w:r>
            <w:r>
              <w:rPr>
                <w:rFonts w:ascii="Times New Roman" w:hAnsi="Times New Roman" w:eastAsia="宋体" w:cs="Times New Roman"/>
                <w:sz w:val="28"/>
                <w:szCs w:val="28"/>
              </w:rPr>
              <w:t>许可证、产品合格证，并在进入施工现场前进行查验。</w:t>
            </w:r>
          </w:p>
          <w:p w14:paraId="6160DD5C">
            <w:pPr>
              <w:overflowPunct w:val="0"/>
              <w:spacing w:line="440" w:lineRule="exact"/>
              <w:rPr>
                <w:rFonts w:ascii="Times New Roman" w:hAnsi="Times New Roman" w:eastAsia="宋体" w:cs="Times New Roman"/>
                <w:sz w:val="28"/>
                <w:szCs w:val="28"/>
              </w:rPr>
            </w:pPr>
            <w:r>
              <w:rPr>
                <w:rFonts w:ascii="Times New Roman" w:hAnsi="Times New Roman" w:eastAsia="宋体" w:cs="Times New Roman"/>
                <w:sz w:val="28"/>
                <w:szCs w:val="28"/>
              </w:rPr>
              <w:t>施工现场的安全防护用具、机械设备、施工机具及配件必须由专人管理，定期进行检查、维修和保养，建立相应的资料档案，并按照国家有关规定及时报废。</w:t>
            </w:r>
          </w:p>
        </w:tc>
        <w:tc>
          <w:tcPr>
            <w:tcW w:w="995" w:type="pct"/>
            <w:vAlign w:val="center"/>
          </w:tcPr>
          <w:p w14:paraId="5C190403">
            <w:pPr>
              <w:overflowPunct w:val="0"/>
              <w:spacing w:line="44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《建设工程安全生产管理条例》第三十四条</w:t>
            </w:r>
          </w:p>
        </w:tc>
        <w:tc>
          <w:tcPr>
            <w:tcW w:w="1564" w:type="pct"/>
            <w:vAlign w:val="center"/>
          </w:tcPr>
          <w:p w14:paraId="46BBCF0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劲旅建筑公司未提供书面告知的危险岗位操作规程和违章操作危害。</w:t>
            </w:r>
          </w:p>
        </w:tc>
      </w:tr>
      <w:tr w14:paraId="3AA9DA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FF68130">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EC6D65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施工单位的主要负责人、项目负责人、专职安全生产管理人员应当经建设行政主管部门或者其他有关部门考核合格后方可任职。</w:t>
            </w:r>
          </w:p>
          <w:p w14:paraId="2D1ABC6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施工单位应当对管理人员和作业人员每年至少进行一次安全生产教育培训，其教育培训情况记入个人工作档案。安全生产教育培训考核不合格的人员，不得上岗。</w:t>
            </w:r>
          </w:p>
        </w:tc>
        <w:tc>
          <w:tcPr>
            <w:tcW w:w="995" w:type="pct"/>
            <w:vAlign w:val="center"/>
          </w:tcPr>
          <w:p w14:paraId="75B97BD3">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《建设工程安全生产管理条例》第三十六条</w:t>
            </w:r>
          </w:p>
        </w:tc>
        <w:tc>
          <w:tcPr>
            <w:tcW w:w="1564" w:type="pct"/>
            <w:vAlign w:val="center"/>
          </w:tcPr>
          <w:p w14:paraId="67D03C65">
            <w:pPr>
              <w:spacing w:line="440" w:lineRule="exact"/>
              <w:rPr>
                <w:rFonts w:ascii="Times New Roman" w:hAnsi="Times New Roman" w:eastAsia="宋体" w:cs="宋体"/>
                <w:sz w:val="28"/>
                <w:szCs w:val="28"/>
                <w:highlight w:val="yellow"/>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了建筑施工企业项目负责人、土建类专职安全生产管理人员安全生产考核合格证书，未见作业人员考核记录</w:t>
            </w:r>
            <w:r>
              <w:rPr>
                <w:rFonts w:hint="eastAsia" w:ascii="Times New Roman" w:hAnsi="Times New Roman" w:eastAsia="宋体" w:cs="宋体"/>
                <w:sz w:val="28"/>
                <w:szCs w:val="28"/>
              </w:rPr>
              <w:t>。</w:t>
            </w:r>
          </w:p>
        </w:tc>
      </w:tr>
      <w:tr w14:paraId="4B7242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130BC0B">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5AAAD6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施工单位应当为施工现场从事危险作业的人员办理意外伤害保险。</w:t>
            </w:r>
          </w:p>
          <w:p w14:paraId="5FCB96E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意外伤害保险费由施工单位支付。实行施工总承包的，由总承包单位支付意外伤害保险费。意外伤害保险期限自建设工程开工之日起至竣工验收合格止。</w:t>
            </w:r>
          </w:p>
        </w:tc>
        <w:tc>
          <w:tcPr>
            <w:tcW w:w="995" w:type="pct"/>
            <w:vAlign w:val="center"/>
          </w:tcPr>
          <w:p w14:paraId="2069A64A">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《建设工程安全生产管理条例》第三十八条</w:t>
            </w:r>
          </w:p>
        </w:tc>
        <w:tc>
          <w:tcPr>
            <w:tcW w:w="1564" w:type="pct"/>
            <w:vAlign w:val="center"/>
          </w:tcPr>
          <w:p w14:paraId="101D3476">
            <w:pPr>
              <w:spacing w:line="440" w:lineRule="exact"/>
              <w:rPr>
                <w:rFonts w:ascii="Times New Roman" w:hAnsi="Times New Roman" w:eastAsia="宋体" w:cs="宋体"/>
                <w:sz w:val="28"/>
                <w:szCs w:val="28"/>
                <w:highlight w:val="yellow"/>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了2024年12月</w:t>
            </w:r>
            <w:r>
              <w:rPr>
                <w:rFonts w:hint="eastAsia" w:ascii="Times New Roman" w:hAnsi="Times New Roman" w:eastAsia="宋体" w:cs="宋体"/>
                <w:sz w:val="28"/>
                <w:szCs w:val="28"/>
              </w:rPr>
              <w:t>工伤保险缴纳记录，落实了相关要求。</w:t>
            </w:r>
          </w:p>
        </w:tc>
      </w:tr>
      <w:tr w14:paraId="13ED0D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971B61B">
            <w:pPr>
              <w:numPr>
                <w:ilvl w:val="0"/>
                <w:numId w:val="2"/>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A64117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施工单位应当制定本单位生产安全事故应急救援预案，建立应急救援组织或者配备应急救援人员，配备必要的应急救援器材、设备，并定期组织演练。</w:t>
            </w:r>
          </w:p>
        </w:tc>
        <w:tc>
          <w:tcPr>
            <w:tcW w:w="995" w:type="pct"/>
            <w:vAlign w:val="center"/>
          </w:tcPr>
          <w:p w14:paraId="0BFDB142">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《建设工程安全生产管理条例》第四十八条</w:t>
            </w:r>
          </w:p>
        </w:tc>
        <w:tc>
          <w:tcPr>
            <w:tcW w:w="1564" w:type="pct"/>
            <w:vAlign w:val="center"/>
          </w:tcPr>
          <w:p w14:paraId="1E85F3F7">
            <w:pPr>
              <w:spacing w:line="440" w:lineRule="exact"/>
              <w:rPr>
                <w:rFonts w:ascii="Times New Roman" w:hAnsi="Times New Roman" w:eastAsia="宋体" w:cs="宋体"/>
                <w:sz w:val="28"/>
                <w:szCs w:val="28"/>
                <w:highlight w:val="yellow"/>
              </w:rPr>
            </w:pPr>
            <w:r>
              <w:rPr>
                <w:rFonts w:hint="eastAsia" w:ascii="Times New Roman" w:hAnsi="Times New Roman" w:eastAsia="宋体" w:cs="宋体"/>
                <w:sz w:val="28"/>
                <w:szCs w:val="28"/>
              </w:rPr>
              <w:t>劲旅建筑公司提供</w:t>
            </w:r>
            <w:r>
              <w:rPr>
                <w:rFonts w:hint="eastAsia" w:ascii="Times New Roman" w:hAnsi="Times New Roman" w:eastAsia="宋体" w:cs="宋体"/>
                <w:sz w:val="28"/>
                <w:szCs w:val="32"/>
              </w:rPr>
              <w:t>了应急预案及应急演练记录，</w:t>
            </w:r>
            <w:r>
              <w:rPr>
                <w:rFonts w:hint="eastAsia" w:ascii="Times New Roman" w:hAnsi="Times New Roman" w:eastAsia="宋体" w:cs="宋体"/>
                <w:sz w:val="28"/>
                <w:szCs w:val="28"/>
              </w:rPr>
              <w:t>落实了相关要求。</w:t>
            </w:r>
          </w:p>
        </w:tc>
      </w:tr>
      <w:tr w14:paraId="389DBE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81A2F53">
            <w:pPr>
              <w:numPr>
                <w:ilvl w:val="0"/>
                <w:numId w:val="2"/>
              </w:numPr>
              <w:tabs>
                <w:tab w:val="left" w:pos="1260"/>
              </w:tabs>
              <w:overflowPunct w:val="0"/>
              <w:spacing w:line="440" w:lineRule="exact"/>
              <w:jc w:val="center"/>
              <w:rPr>
                <w:rFonts w:ascii="Times New Roman" w:hAnsi="Times New Roman" w:eastAsia="宋体" w:cs="宋体"/>
                <w:sz w:val="28"/>
                <w:szCs w:val="28"/>
              </w:rPr>
            </w:pPr>
          </w:p>
        </w:tc>
        <w:tc>
          <w:tcPr>
            <w:tcW w:w="2148" w:type="pct"/>
            <w:vAlign w:val="center"/>
          </w:tcPr>
          <w:p w14:paraId="6F962BD6">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其他事故的跟踪情况</w:t>
            </w:r>
          </w:p>
        </w:tc>
        <w:tc>
          <w:tcPr>
            <w:tcW w:w="2559" w:type="pct"/>
            <w:gridSpan w:val="2"/>
            <w:vAlign w:val="center"/>
          </w:tcPr>
          <w:p w14:paraId="6F1CA2C8">
            <w:pPr>
              <w:overflowPunct w:val="0"/>
              <w:spacing w:line="440" w:lineRule="exact"/>
              <w:rPr>
                <w:rFonts w:ascii="Times New Roman" w:hAnsi="Times New Roman" w:eastAsia="宋体" w:cs="宋体"/>
                <w:sz w:val="28"/>
                <w:szCs w:val="28"/>
                <w:shd w:val="clear" w:color="auto" w:fill="FFFFFF"/>
              </w:rPr>
            </w:pPr>
            <w:r>
              <w:rPr>
                <w:rFonts w:hint="eastAsia" w:ascii="Times New Roman" w:hAnsi="Times New Roman" w:eastAsia="宋体"/>
                <w:sz w:val="28"/>
                <w:szCs w:val="28"/>
              </w:rPr>
              <w:t>劲旅建筑公司</w:t>
            </w:r>
            <w:r>
              <w:rPr>
                <w:rFonts w:hint="eastAsia" w:ascii="Times New Roman" w:hAnsi="Times New Roman" w:eastAsia="宋体" w:cs="宋体"/>
                <w:sz w:val="28"/>
                <w:szCs w:val="28"/>
                <w:shd w:val="clear" w:color="auto" w:fill="FFFFFF"/>
              </w:rPr>
              <w:t>自南邵镇麓鸣花园居住及公共服务设施项目二次供水工程“11·29”一般生产安全事故后，未有其他事故发生。</w:t>
            </w:r>
          </w:p>
        </w:tc>
      </w:tr>
    </w:tbl>
    <w:p w14:paraId="1695B75E">
      <w:pPr>
        <w:pStyle w:val="27"/>
        <w:spacing w:line="360" w:lineRule="auto"/>
        <w:ind w:firstLine="560"/>
        <w:rPr>
          <w:rFonts w:ascii="Times New Roman" w:hAnsi="Times New Roman" w:eastAsia="宋体" w:cs="Times New Roman"/>
          <w:sz w:val="28"/>
          <w:szCs w:val="28"/>
        </w:rPr>
        <w:sectPr>
          <w:headerReference r:id="rId10" w:type="default"/>
          <w:footerReference r:id="rId11" w:type="default"/>
          <w:pgSz w:w="16838" w:h="11906" w:orient="landscape"/>
          <w:pgMar w:top="1440" w:right="1800" w:bottom="1440" w:left="1800" w:header="851" w:footer="992" w:gutter="0"/>
          <w:cols w:space="425" w:num="1"/>
          <w:docGrid w:type="lines" w:linePitch="312" w:charSpace="0"/>
        </w:sectPr>
      </w:pPr>
    </w:p>
    <w:p w14:paraId="08A83DA9">
      <w:pPr>
        <w:pStyle w:val="27"/>
        <w:spacing w:line="360" w:lineRule="auto"/>
        <w:ind w:firstLine="560"/>
        <w:rPr>
          <w:rFonts w:ascii="Times New Roman" w:hAnsi="Times New Roman" w:eastAsia="宋体"/>
          <w:sz w:val="28"/>
          <w:szCs w:val="28"/>
        </w:rPr>
      </w:pPr>
      <w:bookmarkStart w:id="20" w:name="_Toc28472"/>
      <w:r>
        <w:rPr>
          <w:rFonts w:hint="eastAsia" w:ascii="Times New Roman" w:hAnsi="Times New Roman" w:eastAsia="宋体"/>
          <w:sz w:val="28"/>
          <w:szCs w:val="28"/>
        </w:rPr>
        <w:t>按照法律法规要求对企业提供材料进行评估，发现问题如下：</w:t>
      </w:r>
    </w:p>
    <w:p w14:paraId="39522BD3">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206816AB">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劲旅建筑公司作为施工单位，虽然在技术交底中体现了相关工作的操作规程，但是没有单独的操作规程文件在公司内部发布。</w:t>
      </w:r>
    </w:p>
    <w:p w14:paraId="543A6FDE">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60E27801">
      <w:pPr>
        <w:pStyle w:val="27"/>
        <w:spacing w:line="360" w:lineRule="auto"/>
        <w:ind w:firstLine="560"/>
        <w:rPr>
          <w:rFonts w:ascii="Times New Roman" w:hAnsi="Times New Roman" w:eastAsia="宋体" w:cs="宋体"/>
          <w:sz w:val="28"/>
          <w:szCs w:val="28"/>
          <w:shd w:val="clear" w:color="auto" w:fill="FFFFFF"/>
        </w:rPr>
      </w:pPr>
      <w:r>
        <w:rPr>
          <w:rFonts w:hint="eastAsia" w:ascii="Times New Roman" w:hAnsi="Times New Roman" w:eastAsia="宋体" w:cs="Times New Roman"/>
          <w:sz w:val="28"/>
          <w:szCs w:val="28"/>
        </w:rPr>
        <w:t>建议</w:t>
      </w:r>
      <w:r>
        <w:rPr>
          <w:rFonts w:hint="eastAsia" w:ascii="Times New Roman" w:hAnsi="Times New Roman" w:eastAsia="宋体" w:cs="宋体"/>
          <w:sz w:val="28"/>
          <w:szCs w:val="28"/>
          <w:shd w:val="clear" w:color="auto" w:fill="FFFFFF"/>
        </w:rPr>
        <w:t>劲旅建筑公司针对本公司施工操作的具体工种及操作过程，单独发布操作规程文件，使得公司全体员工知晓和掌握操作过程。</w:t>
      </w:r>
    </w:p>
    <w:p w14:paraId="6B22AED4">
      <w:pPr>
        <w:widowControl/>
        <w:jc w:val="left"/>
        <w:rPr>
          <w:rFonts w:ascii="Times New Roman" w:hAnsi="Times New Roman" w:eastAsia="仿宋_GB2312" w:cs="仿宋_GB2312"/>
          <w:b/>
          <w:bCs/>
          <w:color w:val="000000"/>
          <w:kern w:val="0"/>
          <w:sz w:val="28"/>
          <w:szCs w:val="28"/>
          <w:lang w:bidi="ar"/>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2C99ED82">
      <w:pPr>
        <w:widowControl/>
        <w:ind w:firstLine="560" w:firstLineChars="200"/>
        <w:jc w:val="left"/>
        <w:rPr>
          <w:rFonts w:ascii="Times New Roman" w:hAnsi="Times New Roman" w:eastAsia="仿宋_GB2312" w:cs="仿宋_GB2312"/>
          <w:b/>
          <w:bCs/>
          <w:color w:val="000000"/>
          <w:kern w:val="0"/>
          <w:sz w:val="28"/>
          <w:szCs w:val="28"/>
          <w:lang w:bidi="ar"/>
        </w:rPr>
      </w:pPr>
      <w:r>
        <w:rPr>
          <w:rFonts w:hint="eastAsia" w:ascii="Times New Roman" w:hAnsi="Times New Roman" w:eastAsia="宋体"/>
          <w:sz w:val="28"/>
          <w:szCs w:val="28"/>
        </w:rPr>
        <w:t>劲旅建筑公司提供的项目部施工安全风险源辨识清单，其中表明了风险等级、风险源、可能发生的主要事故类型、主要管控措施等内容。但主要管控措施中的技术、管理、应急措施每条风险都相同，风险源的风险等级都为一般。</w:t>
      </w:r>
    </w:p>
    <w:p w14:paraId="28395CAF">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3BA571DA">
      <w:pPr>
        <w:pStyle w:val="27"/>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建议劲旅建筑公司进一步细化安全风险源辨识清单，将不同风险源对应的主要管控措施从技术、管理、应急的角度进一步细化和完善。</w:t>
      </w:r>
    </w:p>
    <w:p w14:paraId="550D8E96">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423FAE5">
      <w:pPr>
        <w:pStyle w:val="27"/>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劲旅建筑公司提供的制度文件中，虽然明确了项目风险源辨识清单、双重预防机制制度等文件，但文件中未明确职工在操作过程中的危险因素告知文件。</w:t>
      </w:r>
    </w:p>
    <w:p w14:paraId="735CD3F8">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4B3CB473">
      <w:pPr>
        <w:pStyle w:val="27"/>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建议劲旅建筑公司制定</w:t>
      </w:r>
      <w:r>
        <w:rPr>
          <w:rFonts w:hint="eastAsia" w:ascii="Times New Roman" w:hAnsi="Times New Roman" w:eastAsia="宋体" w:cs="宋体"/>
          <w:sz w:val="28"/>
          <w:szCs w:val="28"/>
        </w:rPr>
        <w:t>危险因素告知文件，告知员工在操作过程中的危险因素。</w:t>
      </w:r>
    </w:p>
    <w:p w14:paraId="72E37438">
      <w:pPr>
        <w:pStyle w:val="3"/>
        <w:spacing w:before="120" w:after="120" w:line="360" w:lineRule="auto"/>
        <w:rPr>
          <w:rFonts w:ascii="Times New Roman" w:hAnsi="Times New Roman"/>
          <w:sz w:val="28"/>
          <w:szCs w:val="21"/>
        </w:rPr>
      </w:pPr>
      <w:bookmarkStart w:id="21" w:name="_Toc205900672"/>
      <w:r>
        <w:rPr>
          <w:rFonts w:hint="eastAsia" w:ascii="Times New Roman" w:hAnsi="Times New Roman"/>
          <w:sz w:val="28"/>
          <w:szCs w:val="21"/>
        </w:rPr>
        <w:t>（二）现场运营环境安全评估</w:t>
      </w:r>
      <w:bookmarkEnd w:id="20"/>
      <w:bookmarkEnd w:id="21"/>
    </w:p>
    <w:p w14:paraId="1AEE7D62">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本次评估评估组邀请了建筑施工专家共同对现场进行实地安全现状评估，依次走访了事故发生地点、施工现场等区域。</w:t>
      </w:r>
    </w:p>
    <w:p w14:paraId="4A4CE7F3">
      <w:pPr>
        <w:pStyle w:val="27"/>
        <w:numPr>
          <w:ilvl w:val="0"/>
          <w:numId w:val="3"/>
        </w:numPr>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事故现场情况</w:t>
      </w:r>
    </w:p>
    <w:p w14:paraId="036B3CD5">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事故现场已基本完工，后续开展地面铺设和绿化工作。</w:t>
      </w:r>
    </w:p>
    <w:p w14:paraId="44096BE7">
      <w:pPr>
        <w:pStyle w:val="27"/>
        <w:spacing w:line="360" w:lineRule="auto"/>
        <w:ind w:firstLine="0" w:firstLineChars="0"/>
        <w:jc w:val="center"/>
        <w:rPr>
          <w:rFonts w:ascii="Times New Roman" w:hAnsi="Times New Roman" w:eastAsia="宋体"/>
          <w:sz w:val="28"/>
          <w:szCs w:val="28"/>
        </w:rPr>
      </w:pPr>
      <w:r>
        <w:rPr>
          <w:rFonts w:hint="eastAsia" w:ascii="Times New Roman" w:hAnsi="Times New Roman" w:eastAsia="宋体"/>
          <w:sz w:val="28"/>
          <w:szCs w:val="28"/>
        </w:rPr>
        <w:drawing>
          <wp:inline distT="0" distB="0" distL="114300" distR="114300">
            <wp:extent cx="5565775" cy="4174490"/>
            <wp:effectExtent l="0" t="0" r="12065" b="1270"/>
            <wp:docPr id="1" name="图片 1" descr="IMG_20250618_11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50618_112209"/>
                    <pic:cNvPicPr>
                      <a:picLocks noChangeAspect="1"/>
                    </pic:cNvPicPr>
                  </pic:nvPicPr>
                  <pic:blipFill>
                    <a:blip r:embed="rId16"/>
                    <a:stretch>
                      <a:fillRect/>
                    </a:stretch>
                  </pic:blipFill>
                  <pic:spPr>
                    <a:xfrm>
                      <a:off x="0" y="0"/>
                      <a:ext cx="5565775" cy="4174490"/>
                    </a:xfrm>
                    <a:prstGeom prst="rect">
                      <a:avLst/>
                    </a:prstGeom>
                  </pic:spPr>
                </pic:pic>
              </a:graphicData>
            </a:graphic>
          </wp:inline>
        </w:drawing>
      </w:r>
    </w:p>
    <w:p w14:paraId="387D636C">
      <w:pPr>
        <w:pStyle w:val="27"/>
        <w:spacing w:line="360" w:lineRule="auto"/>
        <w:ind w:firstLine="0" w:firstLineChars="0"/>
        <w:jc w:val="center"/>
        <w:rPr>
          <w:rFonts w:ascii="Times New Roman" w:hAnsi="Times New Roman" w:eastAsia="宋体"/>
          <w:bCs/>
          <w:sz w:val="24"/>
          <w:szCs w:val="24"/>
        </w:rPr>
      </w:pPr>
      <w:bookmarkStart w:id="22" w:name="_Toc29535"/>
      <w:bookmarkStart w:id="23" w:name="_Toc18721"/>
      <w:bookmarkStart w:id="24" w:name="_Toc26148"/>
      <w:r>
        <w:rPr>
          <w:rFonts w:hint="eastAsia" w:ascii="Times New Roman" w:hAnsi="Times New Roman" w:eastAsia="宋体"/>
          <w:bCs/>
          <w:sz w:val="24"/>
          <w:szCs w:val="24"/>
        </w:rPr>
        <w:t>图3 评估组查看事发区域</w:t>
      </w:r>
      <w:bookmarkEnd w:id="22"/>
      <w:bookmarkEnd w:id="23"/>
      <w:bookmarkEnd w:id="24"/>
    </w:p>
    <w:p w14:paraId="3D5BEC4B">
      <w:pPr>
        <w:pStyle w:val="27"/>
        <w:numPr>
          <w:ilvl w:val="0"/>
          <w:numId w:val="3"/>
        </w:numPr>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其他区域现场情况</w:t>
      </w:r>
    </w:p>
    <w:bookmarkEnd w:id="18"/>
    <w:bookmarkEnd w:id="19"/>
    <w:p w14:paraId="0A84CCB8">
      <w:pPr>
        <w:widowControl/>
        <w:jc w:val="left"/>
        <w:rPr>
          <w:rFonts w:ascii="Times New Roman" w:hAnsi="Times New Roman"/>
        </w:rPr>
      </w:pPr>
      <w:bookmarkStart w:id="25" w:name="_Toc7490"/>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23AE6FA9">
      <w:pPr>
        <w:ind w:firstLine="560" w:firstLineChars="200"/>
        <w:rPr>
          <w:rFonts w:ascii="Times New Roman" w:hAnsi="Times New Roman" w:eastAsia="宋体"/>
        </w:rPr>
      </w:pPr>
      <w:r>
        <w:rPr>
          <w:rFonts w:hint="eastAsia" w:ascii="Times New Roman" w:hAnsi="Times New Roman" w:eastAsia="宋体"/>
          <w:sz w:val="28"/>
          <w:szCs w:val="28"/>
        </w:rPr>
        <w:t>依据《建筑施工安全检查标准》（JGJ59-2011），在建工程的预留洞口、楼梯口、电梯井口等孔洞应采取防护措施。但现场部分井口未做好防护措施。</w:t>
      </w:r>
    </w:p>
    <w:p w14:paraId="75FE5E70">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3A79E9CC">
      <w:pPr>
        <w:ind w:firstLine="560" w:firstLineChars="200"/>
        <w:rPr>
          <w:rFonts w:ascii="Times New Roman" w:hAnsi="Times New Roman" w:eastAsia="宋体"/>
          <w:sz w:val="28"/>
          <w:szCs w:val="28"/>
        </w:rPr>
      </w:pPr>
      <w:r>
        <w:rPr>
          <w:rFonts w:hint="eastAsia" w:ascii="Times New Roman" w:hAnsi="Times New Roman" w:eastAsia="宋体"/>
          <w:sz w:val="28"/>
          <w:szCs w:val="28"/>
        </w:rPr>
        <w:t>井口增加防护措施。</w:t>
      </w:r>
    </w:p>
    <w:p w14:paraId="720AFB5E">
      <w:pPr>
        <w:jc w:val="center"/>
        <w:rPr>
          <w:rFonts w:ascii="Times New Roman" w:hAnsi="Times New Roman"/>
        </w:rPr>
      </w:pPr>
      <w:r>
        <w:rPr>
          <w:rFonts w:hint="eastAsia" w:ascii="Times New Roman" w:hAnsi="Times New Roman"/>
        </w:rPr>
        <w:drawing>
          <wp:inline distT="0" distB="0" distL="114300" distR="114300">
            <wp:extent cx="1791335" cy="2390140"/>
            <wp:effectExtent l="0" t="0" r="6985" b="2540"/>
            <wp:docPr id="5" name="图片 5" descr="66e8c827673352b50c010d23045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6e8c827673352b50c010d230455770"/>
                    <pic:cNvPicPr>
                      <a:picLocks noChangeAspect="1"/>
                    </pic:cNvPicPr>
                  </pic:nvPicPr>
                  <pic:blipFill>
                    <a:blip r:embed="rId17"/>
                    <a:stretch>
                      <a:fillRect/>
                    </a:stretch>
                  </pic:blipFill>
                  <pic:spPr>
                    <a:xfrm>
                      <a:off x="0" y="0"/>
                      <a:ext cx="1791335" cy="2390140"/>
                    </a:xfrm>
                    <a:prstGeom prst="rect">
                      <a:avLst/>
                    </a:prstGeom>
                  </pic:spPr>
                </pic:pic>
              </a:graphicData>
            </a:graphic>
          </wp:inline>
        </w:drawing>
      </w:r>
    </w:p>
    <w:p w14:paraId="2A5A3132">
      <w:pPr>
        <w:pStyle w:val="27"/>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图4 施工现场区域</w:t>
      </w:r>
    </w:p>
    <w:p w14:paraId="611E224E">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5C16EDB1">
      <w:pPr>
        <w:ind w:firstLine="560" w:firstLineChars="200"/>
        <w:rPr>
          <w:rFonts w:ascii="Times New Roman" w:hAnsi="Times New Roman" w:eastAsia="宋体"/>
          <w:sz w:val="28"/>
          <w:szCs w:val="28"/>
        </w:rPr>
      </w:pPr>
      <w:r>
        <w:rPr>
          <w:rFonts w:hint="eastAsia" w:ascii="Times New Roman" w:hAnsi="Times New Roman" w:eastAsia="宋体"/>
          <w:sz w:val="28"/>
          <w:szCs w:val="28"/>
        </w:rPr>
        <w:t>根据《施工现场临时用电安全技术规范》（JGJ46-2005）第9.1.5条明确规定，正反转控制装置中的控制电器应采用接触器、继电器等自动控制电器，不得使用手动双向转换开关（如倒顺开关）。现场1台砂浆搅拌罐使用倒顺开关。</w:t>
      </w:r>
    </w:p>
    <w:p w14:paraId="76A97398">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5DC47552">
      <w:pPr>
        <w:ind w:firstLine="560" w:firstLineChars="200"/>
        <w:rPr>
          <w:rFonts w:ascii="Times New Roman" w:hAnsi="Times New Roman" w:eastAsia="宋体"/>
          <w:sz w:val="28"/>
          <w:szCs w:val="28"/>
        </w:rPr>
      </w:pPr>
      <w:r>
        <w:rPr>
          <w:rFonts w:ascii="Times New Roman" w:hAnsi="Times New Roman" w:eastAsia="宋体"/>
          <w:sz w:val="28"/>
          <w:szCs w:val="28"/>
        </w:rPr>
        <w:t>施工现场采用接触器、继电器等自动控制电器替代。</w:t>
      </w:r>
    </w:p>
    <w:p w14:paraId="54D5A23B">
      <w:pPr>
        <w:jc w:val="center"/>
        <w:rPr>
          <w:rFonts w:ascii="Times New Roman" w:hAnsi="Times New Roman"/>
        </w:rPr>
      </w:pPr>
      <w:r>
        <w:rPr>
          <w:rFonts w:ascii="Times New Roman" w:hAnsi="Times New Roman"/>
        </w:rPr>
        <w:drawing>
          <wp:inline distT="0" distB="0" distL="114300" distR="114300">
            <wp:extent cx="1805940" cy="2409825"/>
            <wp:effectExtent l="0" t="0" r="7620" b="13335"/>
            <wp:docPr id="6" name="图片 6" descr="9ccdb230833c2815d5064c1b6ff4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ccdb230833c2815d5064c1b6ff4d02"/>
                    <pic:cNvPicPr>
                      <a:picLocks noChangeAspect="1"/>
                    </pic:cNvPicPr>
                  </pic:nvPicPr>
                  <pic:blipFill>
                    <a:blip r:embed="rId18"/>
                    <a:stretch>
                      <a:fillRect/>
                    </a:stretch>
                  </pic:blipFill>
                  <pic:spPr>
                    <a:xfrm>
                      <a:off x="0" y="0"/>
                      <a:ext cx="1805940" cy="2409825"/>
                    </a:xfrm>
                    <a:prstGeom prst="rect">
                      <a:avLst/>
                    </a:prstGeom>
                  </pic:spPr>
                </pic:pic>
              </a:graphicData>
            </a:graphic>
          </wp:inline>
        </w:drawing>
      </w:r>
    </w:p>
    <w:p w14:paraId="22BD8A4D">
      <w:pPr>
        <w:pStyle w:val="27"/>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图5 施工现场区域</w:t>
      </w:r>
    </w:p>
    <w:p w14:paraId="5C6F6FC8">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3A203442">
      <w:pPr>
        <w:ind w:firstLine="560" w:firstLineChars="200"/>
        <w:rPr>
          <w:rFonts w:ascii="Times New Roman" w:hAnsi="Times New Roman" w:eastAsia="宋体"/>
          <w:sz w:val="28"/>
          <w:szCs w:val="28"/>
        </w:rPr>
      </w:pPr>
      <w:r>
        <w:rPr>
          <w:rFonts w:hint="eastAsia" w:ascii="Times New Roman" w:hAnsi="Times New Roman" w:eastAsia="宋体"/>
          <w:sz w:val="28"/>
          <w:szCs w:val="28"/>
        </w:rPr>
        <w:t>依据JCJ46-2005《施工现场临时用电安全技术规范》第7.2.3条，电缆线路应采用埋地或架空敷设，严禁沿地面明设，并应避免机械损伤和介质腐蚀。施工现场部分电缆沿地面敷设无防护措施。</w:t>
      </w:r>
    </w:p>
    <w:p w14:paraId="00819156">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5B13D0E">
      <w:pPr>
        <w:ind w:firstLine="560" w:firstLineChars="200"/>
        <w:rPr>
          <w:rFonts w:ascii="Times New Roman" w:hAnsi="Times New Roman" w:eastAsia="宋体"/>
          <w:sz w:val="28"/>
          <w:szCs w:val="28"/>
        </w:rPr>
      </w:pPr>
      <w:r>
        <w:rPr>
          <w:rFonts w:ascii="Times New Roman" w:hAnsi="Times New Roman" w:eastAsia="宋体"/>
          <w:sz w:val="28"/>
          <w:szCs w:val="28"/>
        </w:rPr>
        <w:t>电缆采用穿管保护方式敷设。</w:t>
      </w:r>
    </w:p>
    <w:p w14:paraId="7B7FE706">
      <w:pPr>
        <w:jc w:val="center"/>
        <w:rPr>
          <w:rFonts w:ascii="Times New Roman" w:hAnsi="Times New Roman"/>
        </w:rPr>
      </w:pPr>
      <w:r>
        <w:rPr>
          <w:rFonts w:hint="eastAsia" w:ascii="Times New Roman" w:hAnsi="Times New Roman"/>
        </w:rPr>
        <w:drawing>
          <wp:inline distT="0" distB="0" distL="114300" distR="114300">
            <wp:extent cx="2090420" cy="2788920"/>
            <wp:effectExtent l="0" t="0" r="12700" b="0"/>
            <wp:docPr id="7" name="图片 7" descr="68dee31b5f8c831ae3d88f93f4a80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8dee31b5f8c831ae3d88f93f4a80a9"/>
                    <pic:cNvPicPr>
                      <a:picLocks noChangeAspect="1"/>
                    </pic:cNvPicPr>
                  </pic:nvPicPr>
                  <pic:blipFill>
                    <a:blip r:embed="rId19"/>
                    <a:stretch>
                      <a:fillRect/>
                    </a:stretch>
                  </pic:blipFill>
                  <pic:spPr>
                    <a:xfrm>
                      <a:off x="0" y="0"/>
                      <a:ext cx="2090420" cy="2788920"/>
                    </a:xfrm>
                    <a:prstGeom prst="rect">
                      <a:avLst/>
                    </a:prstGeom>
                  </pic:spPr>
                </pic:pic>
              </a:graphicData>
            </a:graphic>
          </wp:inline>
        </w:drawing>
      </w:r>
    </w:p>
    <w:p w14:paraId="74CECB91">
      <w:pPr>
        <w:pStyle w:val="27"/>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图6 施工现场区域</w:t>
      </w:r>
    </w:p>
    <w:p w14:paraId="3C647A54">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现场问题4</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75B5BDB5">
      <w:pPr>
        <w:ind w:firstLine="560" w:firstLineChars="200"/>
        <w:rPr>
          <w:rFonts w:ascii="Times New Roman" w:hAnsi="Times New Roman" w:eastAsia="宋体"/>
        </w:rPr>
      </w:pPr>
      <w:r>
        <w:rPr>
          <w:rFonts w:hint="eastAsia" w:ascii="Times New Roman" w:hAnsi="Times New Roman" w:eastAsia="宋体"/>
          <w:sz w:val="28"/>
          <w:szCs w:val="28"/>
        </w:rPr>
        <w:t>依据《建筑施工安全检查标准》（JGJ59-2011），在建工程的预留洞口、楼梯口、电梯井口等孔洞应采取防护措施。但现场部分井口未做好防护措施。</w:t>
      </w:r>
    </w:p>
    <w:p w14:paraId="583BB6BF">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建议措施4</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5DEB01B">
      <w:pPr>
        <w:ind w:firstLine="560" w:firstLineChars="200"/>
        <w:rPr>
          <w:rFonts w:ascii="Times New Roman" w:hAnsi="Times New Roman" w:eastAsia="宋体"/>
          <w:sz w:val="28"/>
          <w:szCs w:val="28"/>
        </w:rPr>
      </w:pPr>
      <w:r>
        <w:rPr>
          <w:rFonts w:hint="eastAsia" w:ascii="Times New Roman" w:hAnsi="Times New Roman" w:eastAsia="宋体"/>
          <w:sz w:val="28"/>
          <w:szCs w:val="28"/>
        </w:rPr>
        <w:t>井口增加防护措施。</w:t>
      </w:r>
    </w:p>
    <w:p w14:paraId="4B16B2CE">
      <w:pPr>
        <w:jc w:val="center"/>
        <w:rPr>
          <w:rFonts w:ascii="Times New Roman" w:hAnsi="Times New Roman"/>
        </w:rPr>
      </w:pPr>
      <w:r>
        <w:rPr>
          <w:rFonts w:ascii="Times New Roman" w:hAnsi="Times New Roman"/>
        </w:rPr>
        <w:drawing>
          <wp:inline distT="0" distB="0" distL="114300" distR="114300">
            <wp:extent cx="2855595" cy="2140585"/>
            <wp:effectExtent l="0" t="0" r="9525" b="8255"/>
            <wp:docPr id="8" name="图片 8" descr="81b76acee571b90145a8089e74569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1b76acee571b90145a8089e74569c2"/>
                    <pic:cNvPicPr>
                      <a:picLocks noChangeAspect="1"/>
                    </pic:cNvPicPr>
                  </pic:nvPicPr>
                  <pic:blipFill>
                    <a:blip r:embed="rId20"/>
                    <a:stretch>
                      <a:fillRect/>
                    </a:stretch>
                  </pic:blipFill>
                  <pic:spPr>
                    <a:xfrm>
                      <a:off x="0" y="0"/>
                      <a:ext cx="2855595" cy="2140585"/>
                    </a:xfrm>
                    <a:prstGeom prst="rect">
                      <a:avLst/>
                    </a:prstGeom>
                  </pic:spPr>
                </pic:pic>
              </a:graphicData>
            </a:graphic>
          </wp:inline>
        </w:drawing>
      </w:r>
    </w:p>
    <w:p w14:paraId="40D66F1D">
      <w:pPr>
        <w:pStyle w:val="27"/>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图7 施工现场区域</w:t>
      </w:r>
    </w:p>
    <w:p w14:paraId="7D71830C">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现场问题5</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6BD698F">
      <w:pPr>
        <w:ind w:firstLine="560" w:firstLineChars="200"/>
        <w:rPr>
          <w:rFonts w:ascii="Times New Roman" w:hAnsi="Times New Roman"/>
        </w:rPr>
      </w:pPr>
      <w:r>
        <w:rPr>
          <w:rFonts w:hint="eastAsia" w:ascii="Times New Roman" w:hAnsi="Times New Roman" w:eastAsia="宋体"/>
          <w:sz w:val="28"/>
          <w:szCs w:val="28"/>
        </w:rPr>
        <w:t>依据《建筑施工高处作业安全技术规范》JGJ80-2016具体条款：第4.1.1内容：临边作业必须设置防护措施，并应符合下列规定：防护栏杆高度应为1.2m。现场部分临边防护高度不足1.2m。</w:t>
      </w:r>
    </w:p>
    <w:p w14:paraId="2B8752B7">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建议措施5</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17D0010">
      <w:pPr>
        <w:ind w:firstLine="560" w:firstLineChars="200"/>
        <w:rPr>
          <w:rFonts w:ascii="Times New Roman" w:hAnsi="Times New Roman" w:eastAsia="宋体"/>
          <w:sz w:val="28"/>
          <w:szCs w:val="28"/>
        </w:rPr>
      </w:pPr>
      <w:r>
        <w:rPr>
          <w:rFonts w:hint="eastAsia" w:ascii="Times New Roman" w:hAnsi="Times New Roman" w:eastAsia="宋体"/>
          <w:sz w:val="28"/>
          <w:szCs w:val="28"/>
        </w:rPr>
        <w:t>临边防护高度提高到1.2m以上。</w:t>
      </w:r>
    </w:p>
    <w:p w14:paraId="33782787">
      <w:pPr>
        <w:jc w:val="center"/>
        <w:rPr>
          <w:rFonts w:ascii="Times New Roman" w:hAnsi="Times New Roman"/>
        </w:rPr>
      </w:pPr>
      <w:r>
        <w:rPr>
          <w:rFonts w:hint="eastAsia" w:ascii="Times New Roman" w:hAnsi="Times New Roman"/>
        </w:rPr>
        <w:drawing>
          <wp:inline distT="0" distB="0" distL="114300" distR="114300">
            <wp:extent cx="2857500" cy="2142490"/>
            <wp:effectExtent l="0" t="0" r="7620" b="6350"/>
            <wp:docPr id="9" name="图片 9" descr="5a7d8d5de7ca81beae9ce615c0e69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a7d8d5de7ca81beae9ce615c0e69e8"/>
                    <pic:cNvPicPr>
                      <a:picLocks noChangeAspect="1"/>
                    </pic:cNvPicPr>
                  </pic:nvPicPr>
                  <pic:blipFill>
                    <a:blip r:embed="rId21"/>
                    <a:stretch>
                      <a:fillRect/>
                    </a:stretch>
                  </pic:blipFill>
                  <pic:spPr>
                    <a:xfrm>
                      <a:off x="0" y="0"/>
                      <a:ext cx="2857500" cy="2142490"/>
                    </a:xfrm>
                    <a:prstGeom prst="rect">
                      <a:avLst/>
                    </a:prstGeom>
                  </pic:spPr>
                </pic:pic>
              </a:graphicData>
            </a:graphic>
          </wp:inline>
        </w:drawing>
      </w:r>
    </w:p>
    <w:p w14:paraId="239124FC">
      <w:pPr>
        <w:pStyle w:val="27"/>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图8 施工现场区域</w:t>
      </w:r>
    </w:p>
    <w:p w14:paraId="1244ACB5">
      <w:pPr>
        <w:pStyle w:val="2"/>
        <w:spacing w:before="240" w:after="240" w:line="360" w:lineRule="auto"/>
        <w:rPr>
          <w:rFonts w:ascii="Times New Roman" w:hAnsi="Times New Roman" w:eastAsia="黑体" w:cs="黑体"/>
          <w:sz w:val="28"/>
          <w:szCs w:val="28"/>
        </w:rPr>
      </w:pPr>
      <w:bookmarkStart w:id="26" w:name="_Toc205900673"/>
      <w:r>
        <w:rPr>
          <w:rFonts w:hint="eastAsia" w:ascii="Times New Roman" w:hAnsi="Times New Roman" w:eastAsia="黑体" w:cs="黑体"/>
          <w:sz w:val="28"/>
          <w:szCs w:val="28"/>
        </w:rPr>
        <w:t>四、安全现状评估结论与建议</w:t>
      </w:r>
      <w:bookmarkEnd w:id="25"/>
      <w:bookmarkEnd w:id="26"/>
    </w:p>
    <w:p w14:paraId="6FA24CB8">
      <w:pPr>
        <w:pStyle w:val="3"/>
        <w:spacing w:before="120" w:after="120" w:line="360" w:lineRule="auto"/>
        <w:rPr>
          <w:rFonts w:ascii="Times New Roman" w:hAnsi="Times New Roman"/>
          <w:sz w:val="28"/>
          <w:szCs w:val="21"/>
        </w:rPr>
      </w:pPr>
      <w:bookmarkStart w:id="27" w:name="_Toc205900674"/>
      <w:bookmarkStart w:id="28" w:name="_Toc4980"/>
      <w:r>
        <w:rPr>
          <w:rFonts w:hint="eastAsia" w:ascii="Times New Roman" w:hAnsi="Times New Roman"/>
          <w:sz w:val="28"/>
          <w:szCs w:val="21"/>
        </w:rPr>
        <w:t>（一）评估结论</w:t>
      </w:r>
      <w:bookmarkEnd w:id="27"/>
      <w:bookmarkEnd w:id="28"/>
    </w:p>
    <w:p w14:paraId="40661070">
      <w:pPr>
        <w:pStyle w:val="27"/>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1</w:t>
      </w:r>
      <w:r>
        <w:rPr>
          <w:rFonts w:ascii="Times New Roman" w:hAnsi="Times New Roman" w:eastAsia="宋体"/>
          <w:b/>
          <w:bCs/>
          <w:sz w:val="28"/>
          <w:szCs w:val="28"/>
        </w:rPr>
        <w:t>、</w:t>
      </w:r>
      <w:r>
        <w:rPr>
          <w:rFonts w:hint="eastAsia" w:ascii="Times New Roman" w:hAnsi="Times New Roman" w:eastAsia="宋体"/>
          <w:b/>
          <w:bCs/>
          <w:sz w:val="28"/>
          <w:szCs w:val="28"/>
        </w:rPr>
        <w:t>兴昌达博房地产公司</w:t>
      </w:r>
    </w:p>
    <w:p w14:paraId="269175FA">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评估组按照安全生产法律法规和《事故调查报告》中的事故间接原因、整改防范措施，对上述材料进行评估，最终认为兴昌达博房地产公司现行制度和管理措施基本符合《中华人民共和国安全生产法》相关规定，但需按照相关法律法规和国家标准要求进一步落实具体安全管理的执行工作。</w:t>
      </w:r>
    </w:p>
    <w:p w14:paraId="3567B0C4">
      <w:pPr>
        <w:pStyle w:val="27"/>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2</w:t>
      </w:r>
      <w:r>
        <w:rPr>
          <w:rFonts w:ascii="Times New Roman" w:hAnsi="Times New Roman" w:eastAsia="宋体"/>
          <w:b/>
          <w:bCs/>
          <w:sz w:val="28"/>
          <w:szCs w:val="28"/>
        </w:rPr>
        <w:t>、</w:t>
      </w:r>
      <w:r>
        <w:rPr>
          <w:rFonts w:hint="eastAsia" w:ascii="Times New Roman" w:hAnsi="Times New Roman" w:eastAsia="宋体"/>
          <w:b/>
          <w:bCs/>
          <w:sz w:val="28"/>
          <w:szCs w:val="28"/>
        </w:rPr>
        <w:t>劲旅建筑公司</w:t>
      </w:r>
    </w:p>
    <w:p w14:paraId="65F52AD7">
      <w:pPr>
        <w:pStyle w:val="27"/>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评估组按照安全生产法律法规和《事故调查报告》中的事故间接原因、整改防范措施，对上述材料进行评估，最终认为劲旅建筑公司现行制度和管理措施基本符合《中华人民共和国安全生产法》相关规定，但需按照相关法律法规和国家标准要求进一步细化管理制度文件，落实制度中的规定。</w:t>
      </w:r>
    </w:p>
    <w:p w14:paraId="09795991">
      <w:pPr>
        <w:pStyle w:val="3"/>
        <w:spacing w:before="120" w:after="120" w:line="360" w:lineRule="auto"/>
        <w:rPr>
          <w:rFonts w:ascii="Times New Roman" w:hAnsi="Times New Roman"/>
          <w:sz w:val="28"/>
          <w:szCs w:val="21"/>
        </w:rPr>
      </w:pPr>
      <w:bookmarkStart w:id="29" w:name="_Toc205900675"/>
      <w:bookmarkStart w:id="30" w:name="_Toc20081"/>
      <w:r>
        <w:rPr>
          <w:rFonts w:hint="eastAsia" w:ascii="Times New Roman" w:hAnsi="Times New Roman"/>
          <w:sz w:val="28"/>
          <w:szCs w:val="21"/>
        </w:rPr>
        <w:t>（二）工作提升建议</w:t>
      </w:r>
      <w:bookmarkEnd w:id="29"/>
      <w:bookmarkEnd w:id="30"/>
    </w:p>
    <w:p w14:paraId="0F6DD2E4">
      <w:pPr>
        <w:pStyle w:val="27"/>
        <w:spacing w:line="360" w:lineRule="auto"/>
        <w:ind w:firstLine="544"/>
        <w:rPr>
          <w:rFonts w:ascii="Times New Roman" w:hAnsi="Times New Roman" w:eastAsia="宋体"/>
          <w:sz w:val="28"/>
          <w:szCs w:val="28"/>
          <w:highlight w:val="none"/>
        </w:rPr>
      </w:pPr>
      <w:r>
        <w:rPr>
          <w:rFonts w:ascii="Times New Roman" w:hAnsi="Times New Roman" w:eastAsia="宋体" w:cs="Times New Roman"/>
          <w:spacing w:val="-4"/>
          <w:sz w:val="28"/>
          <w:szCs w:val="28"/>
          <w:highlight w:val="none"/>
        </w:rPr>
        <w:t>根据本次评估过程及结论，</w:t>
      </w:r>
      <w:r>
        <w:rPr>
          <w:rFonts w:hint="eastAsia" w:ascii="Times New Roman" w:hAnsi="Times New Roman" w:eastAsia="宋体"/>
          <w:sz w:val="28"/>
          <w:szCs w:val="28"/>
          <w:highlight w:val="none"/>
        </w:rPr>
        <w:t>建议</w:t>
      </w:r>
      <w:r>
        <w:rPr>
          <w:rFonts w:hint="eastAsia" w:ascii="Times New Roman" w:hAnsi="Times New Roman" w:eastAsia="宋体" w:cs="Times New Roman"/>
          <w:sz w:val="28"/>
          <w:szCs w:val="28"/>
          <w:highlight w:val="none"/>
        </w:rPr>
        <w:t>持续开展以下工作：</w:t>
      </w:r>
    </w:p>
    <w:p w14:paraId="034025AF">
      <w:pPr>
        <w:pStyle w:val="27"/>
        <w:spacing w:line="360" w:lineRule="auto"/>
        <w:ind w:firstLine="560"/>
        <w:rPr>
          <w:rFonts w:ascii="Times New Roman" w:hAnsi="Times New Roman" w:eastAsia="宋体"/>
          <w:sz w:val="28"/>
          <w:szCs w:val="28"/>
          <w:highlight w:val="none"/>
        </w:rPr>
      </w:pPr>
      <w:r>
        <w:rPr>
          <w:rFonts w:ascii="Times New Roman" w:hAnsi="Times New Roman" w:eastAsia="宋体"/>
          <w:sz w:val="28"/>
          <w:szCs w:val="28"/>
          <w:highlight w:val="none"/>
        </w:rPr>
        <w:t>（1）规范工程发包管理</w:t>
      </w:r>
    </w:p>
    <w:p w14:paraId="4EF26E89">
      <w:pPr>
        <w:pStyle w:val="27"/>
        <w:spacing w:line="360" w:lineRule="auto"/>
        <w:ind w:firstLine="560"/>
        <w:rPr>
          <w:rFonts w:ascii="Times New Roman" w:hAnsi="Times New Roman" w:eastAsia="宋体"/>
          <w:sz w:val="28"/>
          <w:szCs w:val="28"/>
          <w:highlight w:val="none"/>
        </w:rPr>
      </w:pPr>
      <w:r>
        <w:rPr>
          <w:rFonts w:hint="eastAsia" w:ascii="Times New Roman" w:hAnsi="Times New Roman" w:eastAsia="宋体"/>
          <w:sz w:val="28"/>
          <w:szCs w:val="28"/>
          <w:highlight w:val="none"/>
        </w:rPr>
        <w:t>建议</w:t>
      </w:r>
      <w:r>
        <w:rPr>
          <w:rFonts w:hint="eastAsia" w:ascii="Times New Roman" w:hAnsi="Times New Roman" w:eastAsia="宋体"/>
          <w:sz w:val="28"/>
          <w:szCs w:val="28"/>
          <w:highlight w:val="none"/>
          <w:lang w:val="en-US" w:eastAsia="zh-CN"/>
        </w:rPr>
        <w:t>发包单位，要</w:t>
      </w:r>
      <w:r>
        <w:rPr>
          <w:rFonts w:hint="eastAsia" w:ascii="Times New Roman" w:hAnsi="Times New Roman" w:eastAsia="宋体"/>
          <w:sz w:val="28"/>
          <w:szCs w:val="28"/>
          <w:highlight w:val="none"/>
        </w:rPr>
        <w:t>严格遵守《建筑法》《建设工程安全生产管理条例》等法律法规，将配套工程（如二次供水、电力、燃气等）纳入总承包范围，或委托具备资质的统一管理单位协调交叉作业，明确安全责任。</w:t>
      </w:r>
    </w:p>
    <w:p w14:paraId="45874DF2">
      <w:pPr>
        <w:pStyle w:val="27"/>
        <w:spacing w:line="360" w:lineRule="auto"/>
        <w:ind w:firstLine="560"/>
        <w:rPr>
          <w:rFonts w:hint="default" w:ascii="Times New Roman" w:hAnsi="Times New Roman" w:eastAsia="宋体"/>
          <w:sz w:val="28"/>
          <w:szCs w:val="28"/>
          <w:highlight w:val="none"/>
          <w:lang w:val="en-US" w:eastAsia="zh-CN"/>
        </w:rPr>
      </w:pPr>
      <w:r>
        <w:rPr>
          <w:rFonts w:ascii="Times New Roman" w:hAnsi="Times New Roman" w:eastAsia="宋体"/>
          <w:sz w:val="28"/>
          <w:szCs w:val="28"/>
          <w:highlight w:val="none"/>
        </w:rPr>
        <w:t>（</w:t>
      </w:r>
      <w:r>
        <w:rPr>
          <w:rFonts w:hint="eastAsia" w:ascii="Times New Roman" w:hAnsi="Times New Roman" w:eastAsia="宋体"/>
          <w:sz w:val="28"/>
          <w:szCs w:val="28"/>
          <w:highlight w:val="none"/>
        </w:rPr>
        <w:t>2</w:t>
      </w:r>
      <w:r>
        <w:rPr>
          <w:rFonts w:ascii="Times New Roman" w:hAnsi="Times New Roman" w:eastAsia="宋体"/>
          <w:sz w:val="28"/>
          <w:szCs w:val="28"/>
          <w:highlight w:val="none"/>
        </w:rPr>
        <w:t>）</w:t>
      </w:r>
      <w:r>
        <w:rPr>
          <w:rFonts w:hint="eastAsia" w:ascii="Times New Roman" w:hAnsi="Times New Roman" w:eastAsia="宋体"/>
          <w:sz w:val="28"/>
          <w:szCs w:val="28"/>
          <w:highlight w:val="none"/>
          <w:lang w:val="en-US" w:eastAsia="zh-CN"/>
        </w:rPr>
        <w:t>提高安全管理水平</w:t>
      </w:r>
    </w:p>
    <w:p w14:paraId="72C61507">
      <w:pPr>
        <w:pStyle w:val="27"/>
        <w:spacing w:line="360" w:lineRule="auto"/>
        <w:ind w:firstLine="560"/>
        <w:rPr>
          <w:rFonts w:hint="default" w:ascii="Times New Roman" w:hAnsi="Times New Roman" w:eastAsia="宋体"/>
          <w:sz w:val="28"/>
          <w:szCs w:val="28"/>
          <w:highlight w:val="none"/>
          <w:lang w:val="en-US" w:eastAsia="zh-CN"/>
        </w:rPr>
      </w:pPr>
      <w:r>
        <w:rPr>
          <w:rFonts w:hint="eastAsia" w:ascii="Times New Roman" w:hAnsi="Times New Roman" w:eastAsia="宋体"/>
          <w:sz w:val="28"/>
          <w:szCs w:val="28"/>
          <w:highlight w:val="none"/>
        </w:rPr>
        <w:t>建议</w:t>
      </w:r>
      <w:r>
        <w:rPr>
          <w:rFonts w:hint="eastAsia" w:ascii="Times New Roman" w:hAnsi="Times New Roman" w:eastAsia="宋体"/>
          <w:sz w:val="28"/>
          <w:szCs w:val="28"/>
          <w:highlight w:val="none"/>
          <w:lang w:val="en-US" w:eastAsia="zh-CN"/>
        </w:rPr>
        <w:t>发包单位和施工单位，要提高安全管理水平。尤其是发包单位，虽然将施工项目委托给施工单位进行，但发包单位也是生产经营单位，需要按照《安全生产法》等法律法规制定和完善安全生产责任制、安全风险分级管控制度、教育培训制度、检查制度等相关制度。</w:t>
      </w:r>
    </w:p>
    <w:p w14:paraId="34219EC3">
      <w:pPr>
        <w:pStyle w:val="27"/>
        <w:numPr>
          <w:ilvl w:val="0"/>
          <w:numId w:val="4"/>
        </w:numPr>
        <w:spacing w:line="360" w:lineRule="auto"/>
        <w:ind w:firstLine="560"/>
        <w:rPr>
          <w:rFonts w:ascii="Times New Roman" w:hAnsi="Times New Roman" w:eastAsia="宋体"/>
          <w:sz w:val="28"/>
          <w:szCs w:val="28"/>
          <w:highlight w:val="none"/>
        </w:rPr>
      </w:pPr>
      <w:r>
        <w:rPr>
          <w:rFonts w:hint="eastAsia" w:ascii="Times New Roman" w:hAnsi="Times New Roman" w:eastAsia="宋体"/>
          <w:sz w:val="28"/>
          <w:szCs w:val="28"/>
          <w:highlight w:val="none"/>
          <w:lang w:val="en-US" w:eastAsia="zh-CN"/>
        </w:rPr>
        <w:t>规范操作规程</w:t>
      </w:r>
    </w:p>
    <w:p w14:paraId="570D2093">
      <w:pPr>
        <w:pStyle w:val="27"/>
        <w:spacing w:line="360" w:lineRule="auto"/>
        <w:ind w:firstLine="560"/>
        <w:rPr>
          <w:rFonts w:hint="eastAsia" w:ascii="Times New Roman" w:hAnsi="Times New Roman" w:eastAsia="宋体"/>
          <w:sz w:val="28"/>
          <w:szCs w:val="28"/>
          <w:highlight w:val="none"/>
          <w:lang w:val="en-US" w:eastAsia="zh-CN"/>
        </w:rPr>
      </w:pPr>
      <w:r>
        <w:rPr>
          <w:rFonts w:hint="eastAsia" w:ascii="Times New Roman" w:hAnsi="Times New Roman" w:eastAsia="宋体"/>
          <w:sz w:val="28"/>
          <w:szCs w:val="28"/>
          <w:highlight w:val="none"/>
          <w:lang w:val="en-US" w:eastAsia="zh-CN"/>
        </w:rPr>
        <w:t>建筑施工行业事故的一部分原因主要是由于作业人员不按照操作规程操作。建议施工企业明确建筑施工过程中具体工作的操作步骤及操作规程，减少违规操作带来的人员伤亡情况。</w:t>
      </w:r>
    </w:p>
    <w:p w14:paraId="3E8741DE">
      <w:pPr>
        <w:pStyle w:val="27"/>
        <w:numPr>
          <w:ilvl w:val="0"/>
          <w:numId w:val="4"/>
        </w:numPr>
        <w:spacing w:line="360" w:lineRule="auto"/>
        <w:ind w:left="0" w:leftChars="0" w:firstLine="560" w:firstLineChars="200"/>
        <w:rPr>
          <w:rFonts w:hint="eastAsia" w:ascii="Times New Roman" w:hAnsi="Times New Roman" w:eastAsia="宋体"/>
          <w:sz w:val="28"/>
          <w:szCs w:val="28"/>
          <w:highlight w:val="none"/>
          <w:lang w:val="en-US" w:eastAsia="zh-CN"/>
        </w:rPr>
      </w:pPr>
      <w:r>
        <w:rPr>
          <w:rFonts w:hint="eastAsia" w:ascii="Times New Roman" w:hAnsi="Times New Roman" w:eastAsia="宋体"/>
          <w:sz w:val="28"/>
          <w:szCs w:val="28"/>
          <w:highlight w:val="none"/>
          <w:lang w:val="en-US" w:eastAsia="zh-CN"/>
        </w:rPr>
        <w:t>关注建筑行业人员特点</w:t>
      </w:r>
    </w:p>
    <w:p w14:paraId="3B5A69EF">
      <w:pPr>
        <w:pStyle w:val="27"/>
        <w:numPr>
          <w:ilvl w:val="0"/>
          <w:numId w:val="0"/>
        </w:numPr>
        <w:spacing w:line="360" w:lineRule="auto"/>
        <w:ind w:firstLine="560" w:firstLineChars="200"/>
        <w:rPr>
          <w:rFonts w:hint="default" w:ascii="Times New Roman" w:hAnsi="Times New Roman" w:eastAsia="宋体"/>
          <w:sz w:val="28"/>
          <w:szCs w:val="28"/>
          <w:highlight w:val="none"/>
          <w:lang w:val="en-US" w:eastAsia="zh-CN"/>
        </w:rPr>
      </w:pPr>
      <w:r>
        <w:rPr>
          <w:rFonts w:hint="eastAsia" w:ascii="Times New Roman" w:hAnsi="Times New Roman" w:eastAsia="宋体"/>
          <w:sz w:val="28"/>
          <w:szCs w:val="28"/>
          <w:highlight w:val="none"/>
          <w:lang w:val="en-US" w:eastAsia="zh-CN"/>
        </w:rPr>
        <w:t>近年来，建筑施工行业从业人员平均年龄逐年增高，并且本次事故伤亡人员超过60岁，建筑施工行业事故发生与从业人员年龄有一定的相关关系。建议重点关注从业人员的年龄、所属地域、所属劳务公司等人员属性特点，规避相关风险。</w:t>
      </w:r>
    </w:p>
    <w:p w14:paraId="2DA799AB">
      <w:pPr>
        <w:pStyle w:val="27"/>
        <w:spacing w:line="360" w:lineRule="auto"/>
        <w:ind w:firstLine="560"/>
        <w:rPr>
          <w:rFonts w:ascii="Times New Roman" w:hAnsi="Times New Roman" w:eastAsia="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19619">
    <w:pPr>
      <w:pStyle w:val="11"/>
      <w:jc w:val="center"/>
      <w:rPr>
        <w:rFonts w:hint="eastAsia"/>
      </w:rPr>
    </w:pPr>
  </w:p>
  <w:p w14:paraId="19A7FCA0">
    <w:pPr>
      <w:pStyle w:val="11"/>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0AEDB">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14:paraId="08C53BE3">
        <w:pPr>
          <w:pStyle w:val="1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7452598"/>
    </w:sdtPr>
    <w:sdtEndPr>
      <w:rPr>
        <w:rFonts w:ascii="Times New Roman" w:hAnsi="Times New Roman" w:cs="Times New Roman"/>
      </w:rPr>
    </w:sdtEndPr>
    <w:sdtContent>
      <w:p w14:paraId="57FCE134">
        <w:pPr>
          <w:pStyle w:val="1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7453731"/>
    </w:sdtPr>
    <w:sdtEndPr>
      <w:rPr>
        <w:rFonts w:ascii="Times New Roman" w:hAnsi="Times New Roman" w:cs="Times New Roman"/>
      </w:rPr>
    </w:sdtEndPr>
    <w:sdtContent>
      <w:p w14:paraId="195B39D7">
        <w:pPr>
          <w:pStyle w:val="1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988D">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58F13">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6165E">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AABF1">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81B82"/>
    <w:multiLevelType w:val="singleLevel"/>
    <w:tmpl w:val="A8281B82"/>
    <w:lvl w:ilvl="0" w:tentative="0">
      <w:start w:val="1"/>
      <w:numFmt w:val="decimal"/>
      <w:suff w:val="nothing"/>
      <w:lvlText w:val="%1、"/>
      <w:lvlJc w:val="left"/>
    </w:lvl>
  </w:abstractNum>
  <w:abstractNum w:abstractNumId="1">
    <w:nsid w:val="0802C419"/>
    <w:multiLevelType w:val="multilevel"/>
    <w:tmpl w:val="0802C419"/>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0282AB"/>
    <w:multiLevelType w:val="singleLevel"/>
    <w:tmpl w:val="400282AB"/>
    <w:lvl w:ilvl="0" w:tentative="0">
      <w:start w:val="3"/>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172A27"/>
    <w:rsid w:val="00033FC3"/>
    <w:rsid w:val="00035633"/>
    <w:rsid w:val="0004493C"/>
    <w:rsid w:val="000661DA"/>
    <w:rsid w:val="0007127B"/>
    <w:rsid w:val="000A18AB"/>
    <w:rsid w:val="000B334E"/>
    <w:rsid w:val="000D68EE"/>
    <w:rsid w:val="000F4996"/>
    <w:rsid w:val="000F5A8B"/>
    <w:rsid w:val="00100F64"/>
    <w:rsid w:val="0010441E"/>
    <w:rsid w:val="00124065"/>
    <w:rsid w:val="00172A27"/>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16A1A"/>
    <w:rsid w:val="003206FF"/>
    <w:rsid w:val="003652DC"/>
    <w:rsid w:val="00374814"/>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1985"/>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5B99"/>
    <w:rsid w:val="007E7BED"/>
    <w:rsid w:val="007F21CF"/>
    <w:rsid w:val="007F5965"/>
    <w:rsid w:val="007F62C7"/>
    <w:rsid w:val="00804A15"/>
    <w:rsid w:val="00827BA8"/>
    <w:rsid w:val="00835E4B"/>
    <w:rsid w:val="00860D5D"/>
    <w:rsid w:val="00860D77"/>
    <w:rsid w:val="00860F0F"/>
    <w:rsid w:val="008A4AEC"/>
    <w:rsid w:val="008A7E92"/>
    <w:rsid w:val="008B6603"/>
    <w:rsid w:val="008C5257"/>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10671"/>
    <w:rsid w:val="00A14714"/>
    <w:rsid w:val="00A43CA0"/>
    <w:rsid w:val="00A43CE8"/>
    <w:rsid w:val="00A52C59"/>
    <w:rsid w:val="00A64E51"/>
    <w:rsid w:val="00A826B8"/>
    <w:rsid w:val="00A91A76"/>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1CCC"/>
    <w:rsid w:val="00CA4DA2"/>
    <w:rsid w:val="00CA64A8"/>
    <w:rsid w:val="00CA6FC6"/>
    <w:rsid w:val="00CA7CD9"/>
    <w:rsid w:val="00CE2B07"/>
    <w:rsid w:val="00CE5D44"/>
    <w:rsid w:val="00CF7A42"/>
    <w:rsid w:val="00D05A8E"/>
    <w:rsid w:val="00D05F1E"/>
    <w:rsid w:val="00D1095E"/>
    <w:rsid w:val="00D24999"/>
    <w:rsid w:val="00D40F88"/>
    <w:rsid w:val="00D63D4F"/>
    <w:rsid w:val="00D83316"/>
    <w:rsid w:val="00D93ECE"/>
    <w:rsid w:val="00D962D4"/>
    <w:rsid w:val="00DB74D4"/>
    <w:rsid w:val="00DC2AF0"/>
    <w:rsid w:val="00DC2FAA"/>
    <w:rsid w:val="00DF1CA1"/>
    <w:rsid w:val="00E46AA2"/>
    <w:rsid w:val="00E52B35"/>
    <w:rsid w:val="00E8104B"/>
    <w:rsid w:val="00E81FE2"/>
    <w:rsid w:val="00EA6877"/>
    <w:rsid w:val="00ED2273"/>
    <w:rsid w:val="00ED408F"/>
    <w:rsid w:val="00ED79DA"/>
    <w:rsid w:val="00EF37D2"/>
    <w:rsid w:val="00F0015F"/>
    <w:rsid w:val="00F0390F"/>
    <w:rsid w:val="00F211EF"/>
    <w:rsid w:val="00F26953"/>
    <w:rsid w:val="00F34F30"/>
    <w:rsid w:val="00F36DE9"/>
    <w:rsid w:val="00F42427"/>
    <w:rsid w:val="00F53279"/>
    <w:rsid w:val="00FA7A84"/>
    <w:rsid w:val="00FC5229"/>
    <w:rsid w:val="00FD1A37"/>
    <w:rsid w:val="00FE172C"/>
    <w:rsid w:val="00FF0A5A"/>
    <w:rsid w:val="010158D6"/>
    <w:rsid w:val="0126160D"/>
    <w:rsid w:val="017B5688"/>
    <w:rsid w:val="01D56255"/>
    <w:rsid w:val="021311B0"/>
    <w:rsid w:val="02343965"/>
    <w:rsid w:val="025908F3"/>
    <w:rsid w:val="02E37041"/>
    <w:rsid w:val="0371289F"/>
    <w:rsid w:val="03F41ACB"/>
    <w:rsid w:val="040409A4"/>
    <w:rsid w:val="043B3E52"/>
    <w:rsid w:val="043C6DCD"/>
    <w:rsid w:val="04700DA8"/>
    <w:rsid w:val="048958E9"/>
    <w:rsid w:val="049802FF"/>
    <w:rsid w:val="04AC5400"/>
    <w:rsid w:val="04CE5ACF"/>
    <w:rsid w:val="04D76063"/>
    <w:rsid w:val="05094373"/>
    <w:rsid w:val="051C4A8C"/>
    <w:rsid w:val="054933A7"/>
    <w:rsid w:val="05746676"/>
    <w:rsid w:val="058F34B0"/>
    <w:rsid w:val="05F81344"/>
    <w:rsid w:val="063654B1"/>
    <w:rsid w:val="063A78C0"/>
    <w:rsid w:val="064F1B08"/>
    <w:rsid w:val="0659732A"/>
    <w:rsid w:val="069A159A"/>
    <w:rsid w:val="06A250C4"/>
    <w:rsid w:val="06B53D68"/>
    <w:rsid w:val="071F6E1C"/>
    <w:rsid w:val="0733324D"/>
    <w:rsid w:val="073A0986"/>
    <w:rsid w:val="07403839"/>
    <w:rsid w:val="078B414B"/>
    <w:rsid w:val="079A613C"/>
    <w:rsid w:val="07F910B5"/>
    <w:rsid w:val="08583F5B"/>
    <w:rsid w:val="085B3B1D"/>
    <w:rsid w:val="08974F91"/>
    <w:rsid w:val="08A01F6E"/>
    <w:rsid w:val="08AF466C"/>
    <w:rsid w:val="08B51480"/>
    <w:rsid w:val="08B65A87"/>
    <w:rsid w:val="08DA237D"/>
    <w:rsid w:val="0908690D"/>
    <w:rsid w:val="094C3466"/>
    <w:rsid w:val="097C7C49"/>
    <w:rsid w:val="0B550CF8"/>
    <w:rsid w:val="0B8E5EBB"/>
    <w:rsid w:val="0B9D06F5"/>
    <w:rsid w:val="0BB85A80"/>
    <w:rsid w:val="0C2D7722"/>
    <w:rsid w:val="0C7E5AED"/>
    <w:rsid w:val="0C95680A"/>
    <w:rsid w:val="0D3F57BC"/>
    <w:rsid w:val="0D8562F4"/>
    <w:rsid w:val="0D867784"/>
    <w:rsid w:val="0E197DBB"/>
    <w:rsid w:val="0E5D6419"/>
    <w:rsid w:val="0E71037E"/>
    <w:rsid w:val="0E8E4D22"/>
    <w:rsid w:val="0EDB34EA"/>
    <w:rsid w:val="0EEC1973"/>
    <w:rsid w:val="0F000F7B"/>
    <w:rsid w:val="0F87344A"/>
    <w:rsid w:val="0FA91612"/>
    <w:rsid w:val="100C51FC"/>
    <w:rsid w:val="101E5014"/>
    <w:rsid w:val="10C5609D"/>
    <w:rsid w:val="10E9721A"/>
    <w:rsid w:val="111060F1"/>
    <w:rsid w:val="11877731"/>
    <w:rsid w:val="118A6369"/>
    <w:rsid w:val="11C04476"/>
    <w:rsid w:val="12170AB5"/>
    <w:rsid w:val="12483733"/>
    <w:rsid w:val="12BB2799"/>
    <w:rsid w:val="12BE53D5"/>
    <w:rsid w:val="12D76496"/>
    <w:rsid w:val="13047E4E"/>
    <w:rsid w:val="130A061A"/>
    <w:rsid w:val="13B54A2A"/>
    <w:rsid w:val="13C52DC7"/>
    <w:rsid w:val="13E55C7E"/>
    <w:rsid w:val="13F91475"/>
    <w:rsid w:val="14177FCA"/>
    <w:rsid w:val="14AC7631"/>
    <w:rsid w:val="14BE346A"/>
    <w:rsid w:val="14D75D09"/>
    <w:rsid w:val="14E754D8"/>
    <w:rsid w:val="14EA0703"/>
    <w:rsid w:val="150572EB"/>
    <w:rsid w:val="15273705"/>
    <w:rsid w:val="155344FA"/>
    <w:rsid w:val="15602773"/>
    <w:rsid w:val="15DF77F0"/>
    <w:rsid w:val="15F31839"/>
    <w:rsid w:val="160B6B83"/>
    <w:rsid w:val="160F6ACA"/>
    <w:rsid w:val="162714E3"/>
    <w:rsid w:val="1699418F"/>
    <w:rsid w:val="16A80BD0"/>
    <w:rsid w:val="16E34258"/>
    <w:rsid w:val="16F12094"/>
    <w:rsid w:val="171657DF"/>
    <w:rsid w:val="178378F9"/>
    <w:rsid w:val="179606CE"/>
    <w:rsid w:val="179901BE"/>
    <w:rsid w:val="17E15EFC"/>
    <w:rsid w:val="180D715A"/>
    <w:rsid w:val="182061EA"/>
    <w:rsid w:val="183C7EC1"/>
    <w:rsid w:val="185B680F"/>
    <w:rsid w:val="18D5309D"/>
    <w:rsid w:val="18E611E1"/>
    <w:rsid w:val="190F19C3"/>
    <w:rsid w:val="194859F8"/>
    <w:rsid w:val="198A05A4"/>
    <w:rsid w:val="199649B5"/>
    <w:rsid w:val="19C64063"/>
    <w:rsid w:val="19CA4A8E"/>
    <w:rsid w:val="19CF6495"/>
    <w:rsid w:val="1A27385F"/>
    <w:rsid w:val="1A7840BB"/>
    <w:rsid w:val="1AC612CA"/>
    <w:rsid w:val="1ACD69ED"/>
    <w:rsid w:val="1AE6196C"/>
    <w:rsid w:val="1B100797"/>
    <w:rsid w:val="1B467B77"/>
    <w:rsid w:val="1B486183"/>
    <w:rsid w:val="1BC25654"/>
    <w:rsid w:val="1C057BD0"/>
    <w:rsid w:val="1C17290A"/>
    <w:rsid w:val="1C4C1088"/>
    <w:rsid w:val="1CFF3930"/>
    <w:rsid w:val="1D13560D"/>
    <w:rsid w:val="1D2E13A9"/>
    <w:rsid w:val="1D547061"/>
    <w:rsid w:val="1D8B05A9"/>
    <w:rsid w:val="1E995F7C"/>
    <w:rsid w:val="1EAD3489"/>
    <w:rsid w:val="1EAE0C12"/>
    <w:rsid w:val="1EF100C7"/>
    <w:rsid w:val="1F0D396C"/>
    <w:rsid w:val="1F4F6B54"/>
    <w:rsid w:val="1F6B75BE"/>
    <w:rsid w:val="1FAD4807"/>
    <w:rsid w:val="1FB97DF6"/>
    <w:rsid w:val="203767C6"/>
    <w:rsid w:val="20387251"/>
    <w:rsid w:val="20BA48CB"/>
    <w:rsid w:val="2132743C"/>
    <w:rsid w:val="214178FD"/>
    <w:rsid w:val="218A4E78"/>
    <w:rsid w:val="219043E0"/>
    <w:rsid w:val="219F70AA"/>
    <w:rsid w:val="21DE514B"/>
    <w:rsid w:val="2210107D"/>
    <w:rsid w:val="225731AE"/>
    <w:rsid w:val="227E248B"/>
    <w:rsid w:val="22D25F6D"/>
    <w:rsid w:val="22D812EC"/>
    <w:rsid w:val="22F82FEC"/>
    <w:rsid w:val="23077592"/>
    <w:rsid w:val="233E41A5"/>
    <w:rsid w:val="235A6A54"/>
    <w:rsid w:val="235E4D4A"/>
    <w:rsid w:val="235F050E"/>
    <w:rsid w:val="238E68DC"/>
    <w:rsid w:val="23B95E70"/>
    <w:rsid w:val="23D459E5"/>
    <w:rsid w:val="23D5432C"/>
    <w:rsid w:val="241413BB"/>
    <w:rsid w:val="243F2B28"/>
    <w:rsid w:val="245E4C38"/>
    <w:rsid w:val="247B4ED4"/>
    <w:rsid w:val="24AC4F7E"/>
    <w:rsid w:val="24BB5C18"/>
    <w:rsid w:val="24BC729A"/>
    <w:rsid w:val="24C03327"/>
    <w:rsid w:val="24CF5699"/>
    <w:rsid w:val="24F16ACB"/>
    <w:rsid w:val="25115838"/>
    <w:rsid w:val="253B2AE5"/>
    <w:rsid w:val="25585ADD"/>
    <w:rsid w:val="257027D0"/>
    <w:rsid w:val="259A582D"/>
    <w:rsid w:val="259D70CC"/>
    <w:rsid w:val="25CA6505"/>
    <w:rsid w:val="25DF5077"/>
    <w:rsid w:val="25F97C4A"/>
    <w:rsid w:val="261E14A0"/>
    <w:rsid w:val="263B776D"/>
    <w:rsid w:val="2653538C"/>
    <w:rsid w:val="267F7489"/>
    <w:rsid w:val="27337CE7"/>
    <w:rsid w:val="27384086"/>
    <w:rsid w:val="2758784D"/>
    <w:rsid w:val="27697D30"/>
    <w:rsid w:val="27A73AC0"/>
    <w:rsid w:val="27B11776"/>
    <w:rsid w:val="2826784C"/>
    <w:rsid w:val="28500425"/>
    <w:rsid w:val="2878627F"/>
    <w:rsid w:val="2886653D"/>
    <w:rsid w:val="28EC295F"/>
    <w:rsid w:val="29286271"/>
    <w:rsid w:val="294011B3"/>
    <w:rsid w:val="2973703F"/>
    <w:rsid w:val="29BD5C6D"/>
    <w:rsid w:val="2A7E3970"/>
    <w:rsid w:val="2AAF7569"/>
    <w:rsid w:val="2B11040B"/>
    <w:rsid w:val="2B822EBA"/>
    <w:rsid w:val="2BA733EE"/>
    <w:rsid w:val="2BAB1468"/>
    <w:rsid w:val="2BCC070B"/>
    <w:rsid w:val="2BD001FB"/>
    <w:rsid w:val="2C1A1577"/>
    <w:rsid w:val="2C5704F8"/>
    <w:rsid w:val="2CD47B16"/>
    <w:rsid w:val="2CDB644A"/>
    <w:rsid w:val="2CE55F57"/>
    <w:rsid w:val="2DA26214"/>
    <w:rsid w:val="2DAE5663"/>
    <w:rsid w:val="2DEC3E96"/>
    <w:rsid w:val="2E1D349F"/>
    <w:rsid w:val="2E224612"/>
    <w:rsid w:val="2E2A210B"/>
    <w:rsid w:val="2E915C90"/>
    <w:rsid w:val="2EB21D63"/>
    <w:rsid w:val="2EE32F12"/>
    <w:rsid w:val="2EF57676"/>
    <w:rsid w:val="2F123F97"/>
    <w:rsid w:val="2F1E127D"/>
    <w:rsid w:val="2F6D7367"/>
    <w:rsid w:val="2FAA21B5"/>
    <w:rsid w:val="2FBC3E7F"/>
    <w:rsid w:val="2FE1254D"/>
    <w:rsid w:val="300373A5"/>
    <w:rsid w:val="30283FD8"/>
    <w:rsid w:val="302A24D4"/>
    <w:rsid w:val="30B41BCF"/>
    <w:rsid w:val="30E3452C"/>
    <w:rsid w:val="31732B79"/>
    <w:rsid w:val="31E7004C"/>
    <w:rsid w:val="32036559"/>
    <w:rsid w:val="32544FB6"/>
    <w:rsid w:val="32607DFF"/>
    <w:rsid w:val="32F868AE"/>
    <w:rsid w:val="32F86C10"/>
    <w:rsid w:val="33025375"/>
    <w:rsid w:val="33107D3E"/>
    <w:rsid w:val="332E5DA3"/>
    <w:rsid w:val="33554B25"/>
    <w:rsid w:val="33582884"/>
    <w:rsid w:val="33D32439"/>
    <w:rsid w:val="33DC5E4C"/>
    <w:rsid w:val="33DD1FF5"/>
    <w:rsid w:val="33EC726F"/>
    <w:rsid w:val="34160775"/>
    <w:rsid w:val="341A1D21"/>
    <w:rsid w:val="34FD7B87"/>
    <w:rsid w:val="351D2693"/>
    <w:rsid w:val="35586C77"/>
    <w:rsid w:val="35727C2D"/>
    <w:rsid w:val="35A46254"/>
    <w:rsid w:val="35BE3446"/>
    <w:rsid w:val="35FC399A"/>
    <w:rsid w:val="36B158FD"/>
    <w:rsid w:val="36DD37CC"/>
    <w:rsid w:val="36DD6943"/>
    <w:rsid w:val="370A2254"/>
    <w:rsid w:val="370B5377"/>
    <w:rsid w:val="3728750C"/>
    <w:rsid w:val="3729169F"/>
    <w:rsid w:val="37645C9B"/>
    <w:rsid w:val="37677539"/>
    <w:rsid w:val="37BF7375"/>
    <w:rsid w:val="37C60704"/>
    <w:rsid w:val="37EC3780"/>
    <w:rsid w:val="38033706"/>
    <w:rsid w:val="381D3ED1"/>
    <w:rsid w:val="382D2531"/>
    <w:rsid w:val="384635F3"/>
    <w:rsid w:val="387168C2"/>
    <w:rsid w:val="3882287D"/>
    <w:rsid w:val="38934A8A"/>
    <w:rsid w:val="38AD5420"/>
    <w:rsid w:val="38C6095B"/>
    <w:rsid w:val="38C904AC"/>
    <w:rsid w:val="38E45632"/>
    <w:rsid w:val="38F35529"/>
    <w:rsid w:val="391060DB"/>
    <w:rsid w:val="3974268E"/>
    <w:rsid w:val="3A330AC8"/>
    <w:rsid w:val="3A4A19EF"/>
    <w:rsid w:val="3AD969A0"/>
    <w:rsid w:val="3B091033"/>
    <w:rsid w:val="3B684B69"/>
    <w:rsid w:val="3C146687"/>
    <w:rsid w:val="3C205D0C"/>
    <w:rsid w:val="3C4542DE"/>
    <w:rsid w:val="3C812E4B"/>
    <w:rsid w:val="3C954311"/>
    <w:rsid w:val="3CA45990"/>
    <w:rsid w:val="3D1A177E"/>
    <w:rsid w:val="3D1B79C1"/>
    <w:rsid w:val="3D712EC0"/>
    <w:rsid w:val="3DB94D57"/>
    <w:rsid w:val="3DC61E40"/>
    <w:rsid w:val="3DE003F4"/>
    <w:rsid w:val="3DE5799A"/>
    <w:rsid w:val="3DFA0B12"/>
    <w:rsid w:val="3E6051E5"/>
    <w:rsid w:val="3E6B790F"/>
    <w:rsid w:val="3E7B2CD0"/>
    <w:rsid w:val="3E8A248B"/>
    <w:rsid w:val="3EA4086A"/>
    <w:rsid w:val="3EBC460F"/>
    <w:rsid w:val="3EC34ABA"/>
    <w:rsid w:val="3ED760AB"/>
    <w:rsid w:val="3EF51FB7"/>
    <w:rsid w:val="3F7722E4"/>
    <w:rsid w:val="3FA27361"/>
    <w:rsid w:val="4021297B"/>
    <w:rsid w:val="40B55EA3"/>
    <w:rsid w:val="40D21EC7"/>
    <w:rsid w:val="40DE4307"/>
    <w:rsid w:val="40F51B9F"/>
    <w:rsid w:val="41792343"/>
    <w:rsid w:val="41B45A71"/>
    <w:rsid w:val="423337C1"/>
    <w:rsid w:val="42B15B0D"/>
    <w:rsid w:val="42F97BDF"/>
    <w:rsid w:val="435C3CCA"/>
    <w:rsid w:val="43B122BC"/>
    <w:rsid w:val="43B321A2"/>
    <w:rsid w:val="43F3462F"/>
    <w:rsid w:val="443A1C44"/>
    <w:rsid w:val="4465587E"/>
    <w:rsid w:val="44AC595F"/>
    <w:rsid w:val="44CB7CED"/>
    <w:rsid w:val="44FA19ED"/>
    <w:rsid w:val="451C1963"/>
    <w:rsid w:val="45325C23"/>
    <w:rsid w:val="45705529"/>
    <w:rsid w:val="460074D7"/>
    <w:rsid w:val="460D74FE"/>
    <w:rsid w:val="462A6010"/>
    <w:rsid w:val="463914F2"/>
    <w:rsid w:val="46A9191C"/>
    <w:rsid w:val="46B45C34"/>
    <w:rsid w:val="46C95B1B"/>
    <w:rsid w:val="46CB3641"/>
    <w:rsid w:val="46CE5924"/>
    <w:rsid w:val="475A2412"/>
    <w:rsid w:val="477F61D9"/>
    <w:rsid w:val="47B71E17"/>
    <w:rsid w:val="47C123AA"/>
    <w:rsid w:val="47D50ED1"/>
    <w:rsid w:val="483416BA"/>
    <w:rsid w:val="48482DF3"/>
    <w:rsid w:val="487675DC"/>
    <w:rsid w:val="48C82AA8"/>
    <w:rsid w:val="49584E5B"/>
    <w:rsid w:val="49634005"/>
    <w:rsid w:val="49820821"/>
    <w:rsid w:val="499D3964"/>
    <w:rsid w:val="49A36E54"/>
    <w:rsid w:val="49E25343"/>
    <w:rsid w:val="49F56266"/>
    <w:rsid w:val="49FE7B06"/>
    <w:rsid w:val="4A0550BC"/>
    <w:rsid w:val="4AB806D3"/>
    <w:rsid w:val="4B136989"/>
    <w:rsid w:val="4B35377F"/>
    <w:rsid w:val="4BA97CC9"/>
    <w:rsid w:val="4BC82845"/>
    <w:rsid w:val="4BCE39CD"/>
    <w:rsid w:val="4BE8259F"/>
    <w:rsid w:val="4C006A83"/>
    <w:rsid w:val="4C0F4ADE"/>
    <w:rsid w:val="4C2A705C"/>
    <w:rsid w:val="4C555869"/>
    <w:rsid w:val="4C651E42"/>
    <w:rsid w:val="4C870569"/>
    <w:rsid w:val="4CE76CFB"/>
    <w:rsid w:val="4CEC4311"/>
    <w:rsid w:val="4D0F1DAD"/>
    <w:rsid w:val="4D1E1618"/>
    <w:rsid w:val="4D387556"/>
    <w:rsid w:val="4D957E92"/>
    <w:rsid w:val="4DD80599"/>
    <w:rsid w:val="4E870795"/>
    <w:rsid w:val="4EBF3F32"/>
    <w:rsid w:val="4EC015B1"/>
    <w:rsid w:val="4ECA1194"/>
    <w:rsid w:val="4F1D54F7"/>
    <w:rsid w:val="4F443F90"/>
    <w:rsid w:val="4F714FA1"/>
    <w:rsid w:val="4F8B4D31"/>
    <w:rsid w:val="4F905428"/>
    <w:rsid w:val="4FE439C5"/>
    <w:rsid w:val="5012413C"/>
    <w:rsid w:val="501C6B43"/>
    <w:rsid w:val="50632B3C"/>
    <w:rsid w:val="506568B4"/>
    <w:rsid w:val="506A3ECB"/>
    <w:rsid w:val="507D581E"/>
    <w:rsid w:val="50A969DE"/>
    <w:rsid w:val="50D02C01"/>
    <w:rsid w:val="512C58FB"/>
    <w:rsid w:val="5161458D"/>
    <w:rsid w:val="516A7EFA"/>
    <w:rsid w:val="5174422D"/>
    <w:rsid w:val="51EE28D9"/>
    <w:rsid w:val="522956BF"/>
    <w:rsid w:val="52567F79"/>
    <w:rsid w:val="52903990"/>
    <w:rsid w:val="529214B7"/>
    <w:rsid w:val="52AA4A52"/>
    <w:rsid w:val="52E11BD2"/>
    <w:rsid w:val="52F12681"/>
    <w:rsid w:val="5302374D"/>
    <w:rsid w:val="532F32A1"/>
    <w:rsid w:val="536E3CD2"/>
    <w:rsid w:val="53745157"/>
    <w:rsid w:val="53DA1367"/>
    <w:rsid w:val="53DC063A"/>
    <w:rsid w:val="53F31DDA"/>
    <w:rsid w:val="540D4E0A"/>
    <w:rsid w:val="540F55E3"/>
    <w:rsid w:val="54396E8B"/>
    <w:rsid w:val="547678F7"/>
    <w:rsid w:val="54AD082A"/>
    <w:rsid w:val="54E05CEB"/>
    <w:rsid w:val="54FE7886"/>
    <w:rsid w:val="550223C7"/>
    <w:rsid w:val="55217DAB"/>
    <w:rsid w:val="555B55F4"/>
    <w:rsid w:val="556E38DA"/>
    <w:rsid w:val="557850E0"/>
    <w:rsid w:val="55882F61"/>
    <w:rsid w:val="558A3D0F"/>
    <w:rsid w:val="55AC1F4E"/>
    <w:rsid w:val="55AC3FC2"/>
    <w:rsid w:val="55C122FA"/>
    <w:rsid w:val="55FF6E63"/>
    <w:rsid w:val="56420F92"/>
    <w:rsid w:val="567A473C"/>
    <w:rsid w:val="569815BC"/>
    <w:rsid w:val="56D5174C"/>
    <w:rsid w:val="56F269C8"/>
    <w:rsid w:val="56FC7846"/>
    <w:rsid w:val="57890AF4"/>
    <w:rsid w:val="57EC1669"/>
    <w:rsid w:val="57FB121A"/>
    <w:rsid w:val="58030761"/>
    <w:rsid w:val="581F4981"/>
    <w:rsid w:val="58393638"/>
    <w:rsid w:val="58647451"/>
    <w:rsid w:val="587578B0"/>
    <w:rsid w:val="58CE6FC1"/>
    <w:rsid w:val="59324BF8"/>
    <w:rsid w:val="596422F8"/>
    <w:rsid w:val="596F5E02"/>
    <w:rsid w:val="5976568E"/>
    <w:rsid w:val="598002BB"/>
    <w:rsid w:val="59826B8A"/>
    <w:rsid w:val="59837DAB"/>
    <w:rsid w:val="59CE54CA"/>
    <w:rsid w:val="59EC76FE"/>
    <w:rsid w:val="59F02FE1"/>
    <w:rsid w:val="59F8390C"/>
    <w:rsid w:val="5A843EAF"/>
    <w:rsid w:val="5A85124A"/>
    <w:rsid w:val="5A937BF2"/>
    <w:rsid w:val="5AB346C0"/>
    <w:rsid w:val="5AC90A16"/>
    <w:rsid w:val="5AD92379"/>
    <w:rsid w:val="5B392E17"/>
    <w:rsid w:val="5B4052B6"/>
    <w:rsid w:val="5B751975"/>
    <w:rsid w:val="5BD53192"/>
    <w:rsid w:val="5C231FE5"/>
    <w:rsid w:val="5C4B016F"/>
    <w:rsid w:val="5C930305"/>
    <w:rsid w:val="5D1256CE"/>
    <w:rsid w:val="5D9A3915"/>
    <w:rsid w:val="5DB105D3"/>
    <w:rsid w:val="5DB22A0D"/>
    <w:rsid w:val="5E172525"/>
    <w:rsid w:val="5E4946D1"/>
    <w:rsid w:val="5E8C2643"/>
    <w:rsid w:val="5EEE263F"/>
    <w:rsid w:val="5F5024DD"/>
    <w:rsid w:val="5F5F2947"/>
    <w:rsid w:val="5F685A79"/>
    <w:rsid w:val="5F9B70EF"/>
    <w:rsid w:val="5FA22D09"/>
    <w:rsid w:val="5FB54A36"/>
    <w:rsid w:val="5FB707AE"/>
    <w:rsid w:val="5FC058B5"/>
    <w:rsid w:val="5FC829BC"/>
    <w:rsid w:val="5FE778E8"/>
    <w:rsid w:val="607D37A6"/>
    <w:rsid w:val="60AB0AE3"/>
    <w:rsid w:val="60EA36AB"/>
    <w:rsid w:val="610A4651"/>
    <w:rsid w:val="612400C6"/>
    <w:rsid w:val="61251748"/>
    <w:rsid w:val="61774699"/>
    <w:rsid w:val="617809A9"/>
    <w:rsid w:val="61AF25A4"/>
    <w:rsid w:val="62037CDB"/>
    <w:rsid w:val="62107FB3"/>
    <w:rsid w:val="622F028C"/>
    <w:rsid w:val="627E4BA4"/>
    <w:rsid w:val="62C54F90"/>
    <w:rsid w:val="632B49B8"/>
    <w:rsid w:val="63365E8E"/>
    <w:rsid w:val="638601CB"/>
    <w:rsid w:val="6390390C"/>
    <w:rsid w:val="63CE510B"/>
    <w:rsid w:val="63EB6C79"/>
    <w:rsid w:val="64047D3A"/>
    <w:rsid w:val="643248A8"/>
    <w:rsid w:val="6445074A"/>
    <w:rsid w:val="644A1BF1"/>
    <w:rsid w:val="64FE574A"/>
    <w:rsid w:val="650A312E"/>
    <w:rsid w:val="652F0DE7"/>
    <w:rsid w:val="65652A5B"/>
    <w:rsid w:val="656E5DB3"/>
    <w:rsid w:val="65AE5324"/>
    <w:rsid w:val="65BA5ACF"/>
    <w:rsid w:val="66274300"/>
    <w:rsid w:val="662A53DB"/>
    <w:rsid w:val="66693183"/>
    <w:rsid w:val="67144738"/>
    <w:rsid w:val="6728246A"/>
    <w:rsid w:val="6764121C"/>
    <w:rsid w:val="67A32D96"/>
    <w:rsid w:val="67C00A08"/>
    <w:rsid w:val="67E92683"/>
    <w:rsid w:val="67EB7247"/>
    <w:rsid w:val="680B0E0C"/>
    <w:rsid w:val="680E0001"/>
    <w:rsid w:val="689E42BA"/>
    <w:rsid w:val="6938470E"/>
    <w:rsid w:val="6994393A"/>
    <w:rsid w:val="69DD7064"/>
    <w:rsid w:val="6A5A3E83"/>
    <w:rsid w:val="6A6B466F"/>
    <w:rsid w:val="6A732C5E"/>
    <w:rsid w:val="6AA302AD"/>
    <w:rsid w:val="6AAA163C"/>
    <w:rsid w:val="6ADF1CBA"/>
    <w:rsid w:val="6AE508C6"/>
    <w:rsid w:val="6B67752D"/>
    <w:rsid w:val="6B713F07"/>
    <w:rsid w:val="6B8C1AB4"/>
    <w:rsid w:val="6BB130CE"/>
    <w:rsid w:val="6BC404DB"/>
    <w:rsid w:val="6BE80A9B"/>
    <w:rsid w:val="6C0E2107"/>
    <w:rsid w:val="6C3D126A"/>
    <w:rsid w:val="6C575B38"/>
    <w:rsid w:val="6C991968"/>
    <w:rsid w:val="6C9F4DAD"/>
    <w:rsid w:val="6CB05E4D"/>
    <w:rsid w:val="6CC8224D"/>
    <w:rsid w:val="6CF41B23"/>
    <w:rsid w:val="6CFA1CDB"/>
    <w:rsid w:val="6D0459AE"/>
    <w:rsid w:val="6D143E81"/>
    <w:rsid w:val="6D4B0788"/>
    <w:rsid w:val="6D837F22"/>
    <w:rsid w:val="6DA34120"/>
    <w:rsid w:val="6DA953DB"/>
    <w:rsid w:val="6DB1063B"/>
    <w:rsid w:val="6DB2796A"/>
    <w:rsid w:val="6DFB3F5C"/>
    <w:rsid w:val="6E080427"/>
    <w:rsid w:val="6E4B5340"/>
    <w:rsid w:val="6EBC0B3A"/>
    <w:rsid w:val="6F37003F"/>
    <w:rsid w:val="6F68734C"/>
    <w:rsid w:val="6F8729ED"/>
    <w:rsid w:val="6FA9645A"/>
    <w:rsid w:val="6FB1521A"/>
    <w:rsid w:val="6FBD3BBF"/>
    <w:rsid w:val="6FC00FB9"/>
    <w:rsid w:val="6FD864AA"/>
    <w:rsid w:val="70903082"/>
    <w:rsid w:val="70AB3A18"/>
    <w:rsid w:val="718F3339"/>
    <w:rsid w:val="71C07997"/>
    <w:rsid w:val="71C823A7"/>
    <w:rsid w:val="722D66AE"/>
    <w:rsid w:val="72406C89"/>
    <w:rsid w:val="7252705C"/>
    <w:rsid w:val="72536115"/>
    <w:rsid w:val="72783DCD"/>
    <w:rsid w:val="729B63C0"/>
    <w:rsid w:val="72BC63B0"/>
    <w:rsid w:val="72CC4EDF"/>
    <w:rsid w:val="72E66F89"/>
    <w:rsid w:val="7343262D"/>
    <w:rsid w:val="734737A0"/>
    <w:rsid w:val="738C1628"/>
    <w:rsid w:val="73B476CA"/>
    <w:rsid w:val="73D94D40"/>
    <w:rsid w:val="73DA2545"/>
    <w:rsid w:val="74251C07"/>
    <w:rsid w:val="74343D24"/>
    <w:rsid w:val="7468791E"/>
    <w:rsid w:val="748B1C42"/>
    <w:rsid w:val="74BE2936"/>
    <w:rsid w:val="74C54F54"/>
    <w:rsid w:val="74E474F8"/>
    <w:rsid w:val="75003489"/>
    <w:rsid w:val="75105E7E"/>
    <w:rsid w:val="751F3C9D"/>
    <w:rsid w:val="753260FA"/>
    <w:rsid w:val="75BF12C2"/>
    <w:rsid w:val="75C8172E"/>
    <w:rsid w:val="75FC2F67"/>
    <w:rsid w:val="76760624"/>
    <w:rsid w:val="76992564"/>
    <w:rsid w:val="77170E40"/>
    <w:rsid w:val="77422BFC"/>
    <w:rsid w:val="77470212"/>
    <w:rsid w:val="7772528F"/>
    <w:rsid w:val="777D7158"/>
    <w:rsid w:val="77A62AAF"/>
    <w:rsid w:val="77A863A3"/>
    <w:rsid w:val="77B5517C"/>
    <w:rsid w:val="77F51A1C"/>
    <w:rsid w:val="78272E45"/>
    <w:rsid w:val="78F36AC2"/>
    <w:rsid w:val="78FB3062"/>
    <w:rsid w:val="79031184"/>
    <w:rsid w:val="79295E21"/>
    <w:rsid w:val="79627585"/>
    <w:rsid w:val="796C2566"/>
    <w:rsid w:val="79DA7170"/>
    <w:rsid w:val="79E729F7"/>
    <w:rsid w:val="7A433F26"/>
    <w:rsid w:val="7ACC0ECA"/>
    <w:rsid w:val="7AF800D8"/>
    <w:rsid w:val="7AFC4EDC"/>
    <w:rsid w:val="7B187EFC"/>
    <w:rsid w:val="7B3B607C"/>
    <w:rsid w:val="7B6E3FBF"/>
    <w:rsid w:val="7BB57E40"/>
    <w:rsid w:val="7BC2430B"/>
    <w:rsid w:val="7BC260B9"/>
    <w:rsid w:val="7C072619"/>
    <w:rsid w:val="7C572CA5"/>
    <w:rsid w:val="7C6A0859"/>
    <w:rsid w:val="7C6F7FEF"/>
    <w:rsid w:val="7CBC6FAC"/>
    <w:rsid w:val="7D080444"/>
    <w:rsid w:val="7D15684E"/>
    <w:rsid w:val="7D2E0D9A"/>
    <w:rsid w:val="7D9F2F99"/>
    <w:rsid w:val="7DC03599"/>
    <w:rsid w:val="7DD10836"/>
    <w:rsid w:val="7DE24C9C"/>
    <w:rsid w:val="7DE802A3"/>
    <w:rsid w:val="7E221091"/>
    <w:rsid w:val="7E2C47C3"/>
    <w:rsid w:val="7E413AB9"/>
    <w:rsid w:val="7E7C2E97"/>
    <w:rsid w:val="7EA877E8"/>
    <w:rsid w:val="7ED46F6D"/>
    <w:rsid w:val="7F4C4618"/>
    <w:rsid w:val="7F9D30C5"/>
    <w:rsid w:val="7FCE0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after="260" w:line="413" w:lineRule="auto"/>
      <w:outlineLvl w:val="2"/>
    </w:pPr>
    <w:rPr>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83"/>
    <w:unhideWhenUsed/>
    <w:qFormat/>
    <w:uiPriority w:val="99"/>
    <w:pPr>
      <w:jc w:val="left"/>
    </w:pPr>
  </w:style>
  <w:style w:type="paragraph" w:styleId="6">
    <w:name w:val="Body Text"/>
    <w:basedOn w:val="1"/>
    <w:next w:val="1"/>
    <w:unhideWhenUsed/>
    <w:qFormat/>
    <w:uiPriority w:val="99"/>
    <w:pPr>
      <w:spacing w:after="120"/>
    </w:pPr>
  </w:style>
  <w:style w:type="paragraph" w:styleId="7">
    <w:name w:val="Body Text Indent"/>
    <w:basedOn w:val="1"/>
    <w:qFormat/>
    <w:uiPriority w:val="0"/>
    <w:pPr>
      <w:spacing w:after="120"/>
      <w:ind w:left="420" w:leftChars="200"/>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Plain Text"/>
    <w:basedOn w:val="1"/>
    <w:qFormat/>
    <w:uiPriority w:val="0"/>
    <w:rPr>
      <w:rFonts w:ascii="宋体" w:hAnsi="宋体"/>
    </w:rPr>
  </w:style>
  <w:style w:type="paragraph" w:styleId="10">
    <w:name w:val="Balloon Text"/>
    <w:basedOn w:val="1"/>
    <w:link w:val="32"/>
    <w:unhideWhenUsed/>
    <w:qFormat/>
    <w:uiPriority w:val="0"/>
    <w:rPr>
      <w:sz w:val="18"/>
      <w:szCs w:val="18"/>
    </w:rPr>
  </w:style>
  <w:style w:type="paragraph" w:styleId="11">
    <w:name w:val="footer"/>
    <w:basedOn w:val="1"/>
    <w:link w:val="29"/>
    <w:unhideWhenUsed/>
    <w:qFormat/>
    <w:uiPriority w:val="0"/>
    <w:pPr>
      <w:tabs>
        <w:tab w:val="center" w:pos="4153"/>
        <w:tab w:val="right" w:pos="8306"/>
      </w:tabs>
      <w:snapToGrid w:val="0"/>
      <w:jc w:val="left"/>
    </w:pPr>
    <w:rPr>
      <w:sz w:val="18"/>
      <w:szCs w:val="18"/>
    </w:rPr>
  </w:style>
  <w:style w:type="paragraph" w:styleId="12">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cs="Times New Roman"/>
      <w:kern w:val="0"/>
      <w:sz w:val="22"/>
    </w:rPr>
  </w:style>
  <w:style w:type="paragraph" w:styleId="14">
    <w:name w:val="toc 2"/>
    <w:basedOn w:val="1"/>
    <w:next w:val="1"/>
    <w:unhideWhenUsed/>
    <w:qFormat/>
    <w:uiPriority w:val="39"/>
    <w:pPr>
      <w:widowControl/>
      <w:spacing w:after="100" w:line="259" w:lineRule="auto"/>
      <w:ind w:left="220"/>
      <w:jc w:val="left"/>
    </w:pPr>
    <w:rPr>
      <w:rFonts w:cs="Times New Roman"/>
      <w:kern w:val="0"/>
      <w:sz w:val="22"/>
    </w:rPr>
  </w:style>
  <w:style w:type="paragraph" w:styleId="15">
    <w:name w:val="HTML Preformatted"/>
    <w:basedOn w:val="1"/>
    <w:link w:val="30"/>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annotation subject"/>
    <w:basedOn w:val="5"/>
    <w:next w:val="5"/>
    <w:link w:val="84"/>
    <w:qFormat/>
    <w:uiPriority w:val="0"/>
    <w:rPr>
      <w:b/>
      <w:bCs/>
    </w:rPr>
  </w:style>
  <w:style w:type="paragraph" w:styleId="18">
    <w:name w:val="Body Text First Indent 2"/>
    <w:basedOn w:val="7"/>
    <w:qFormat/>
    <w:uiPriority w:val="0"/>
    <w:pPr>
      <w:ind w:firstLine="210"/>
    </w:pPr>
    <w:rPr>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Hyperlink"/>
    <w:basedOn w:val="21"/>
    <w:unhideWhenUsed/>
    <w:qFormat/>
    <w:uiPriority w:val="99"/>
    <w:rPr>
      <w:color w:val="0563C1" w:themeColor="hyperlink"/>
      <w:u w:val="single"/>
      <w14:textFill>
        <w14:solidFill>
          <w14:schemeClr w14:val="hlink"/>
        </w14:solidFill>
      </w14:textFill>
    </w:rPr>
  </w:style>
  <w:style w:type="character" w:styleId="25">
    <w:name w:val="annotation reference"/>
    <w:basedOn w:val="21"/>
    <w:qFormat/>
    <w:uiPriority w:val="0"/>
    <w:rPr>
      <w:sz w:val="21"/>
      <w:szCs w:val="21"/>
    </w:rPr>
  </w:style>
  <w:style w:type="character" w:customStyle="1" w:styleId="26">
    <w:name w:val="标题 1 字符"/>
    <w:basedOn w:val="21"/>
    <w:link w:val="2"/>
    <w:qFormat/>
    <w:uiPriority w:val="9"/>
    <w:rPr>
      <w:b/>
      <w:bCs/>
      <w:kern w:val="44"/>
      <w:sz w:val="44"/>
      <w:szCs w:val="44"/>
    </w:rPr>
  </w:style>
  <w:style w:type="paragraph" w:styleId="27">
    <w:name w:val="List Paragraph"/>
    <w:basedOn w:val="1"/>
    <w:qFormat/>
    <w:uiPriority w:val="34"/>
    <w:pPr>
      <w:ind w:firstLine="420" w:firstLineChars="200"/>
    </w:pPr>
  </w:style>
  <w:style w:type="character" w:customStyle="1" w:styleId="28">
    <w:name w:val="页眉 字符"/>
    <w:basedOn w:val="21"/>
    <w:link w:val="12"/>
    <w:qFormat/>
    <w:uiPriority w:val="0"/>
    <w:rPr>
      <w:sz w:val="18"/>
      <w:szCs w:val="18"/>
    </w:rPr>
  </w:style>
  <w:style w:type="character" w:customStyle="1" w:styleId="29">
    <w:name w:val="页脚 字符"/>
    <w:basedOn w:val="21"/>
    <w:link w:val="11"/>
    <w:qFormat/>
    <w:uiPriority w:val="0"/>
    <w:rPr>
      <w:sz w:val="18"/>
      <w:szCs w:val="18"/>
    </w:rPr>
  </w:style>
  <w:style w:type="character" w:customStyle="1" w:styleId="30">
    <w:name w:val="HTML 预设格式 字符"/>
    <w:basedOn w:val="21"/>
    <w:link w:val="15"/>
    <w:semiHidden/>
    <w:qFormat/>
    <w:uiPriority w:val="99"/>
    <w:rPr>
      <w:rFonts w:ascii="宋体" w:hAnsi="宋体" w:eastAsia="宋体" w:cs="宋体"/>
      <w:kern w:val="0"/>
      <w:sz w:val="24"/>
      <w:szCs w:val="24"/>
    </w:rPr>
  </w:style>
  <w:style w:type="paragraph" w:customStyle="1" w:styleId="3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2">
    <w:name w:val="批注框文本 字符"/>
    <w:basedOn w:val="21"/>
    <w:link w:val="10"/>
    <w:qFormat/>
    <w:uiPriority w:val="0"/>
    <w:rPr>
      <w:sz w:val="18"/>
      <w:szCs w:val="18"/>
    </w:rPr>
  </w:style>
  <w:style w:type="paragraph" w:customStyle="1" w:styleId="33">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4">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7">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8">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2">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4">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9">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2">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4">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7">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8">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4">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5">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7">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8">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0">
    <w:name w:val="cf01"/>
    <w:basedOn w:val="21"/>
    <w:qFormat/>
    <w:uiPriority w:val="0"/>
    <w:rPr>
      <w:rFonts w:hint="eastAsia" w:ascii="Microsoft YaHei UI" w:hAnsi="Microsoft YaHei UI" w:eastAsia="Microsoft YaHei UI"/>
      <w:sz w:val="18"/>
      <w:szCs w:val="18"/>
    </w:rPr>
  </w:style>
  <w:style w:type="paragraph" w:customStyle="1" w:styleId="8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2">
    <w:name w:val="批注文字 字符"/>
    <w:basedOn w:val="21"/>
    <w:qFormat/>
    <w:uiPriority w:val="99"/>
    <w:rPr>
      <w:rFonts w:asciiTheme="minorHAnsi" w:hAnsiTheme="minorHAnsi" w:eastAsiaTheme="minorEastAsia" w:cstheme="minorBidi"/>
      <w:kern w:val="2"/>
      <w:sz w:val="21"/>
      <w:szCs w:val="22"/>
    </w:rPr>
  </w:style>
  <w:style w:type="character" w:customStyle="1" w:styleId="83">
    <w:name w:val="批注文字 字符1"/>
    <w:basedOn w:val="21"/>
    <w:link w:val="5"/>
    <w:qFormat/>
    <w:uiPriority w:val="99"/>
    <w:rPr>
      <w:rFonts w:asciiTheme="minorHAnsi" w:hAnsiTheme="minorHAnsi" w:eastAsiaTheme="minorEastAsia" w:cstheme="minorBidi"/>
      <w:kern w:val="2"/>
      <w:sz w:val="21"/>
      <w:szCs w:val="22"/>
    </w:rPr>
  </w:style>
  <w:style w:type="character" w:customStyle="1" w:styleId="84">
    <w:name w:val="批注主题 字符"/>
    <w:basedOn w:val="83"/>
    <w:link w:val="17"/>
    <w:qFormat/>
    <w:uiPriority w:val="0"/>
    <w:rPr>
      <w:rFonts w:asciiTheme="minorHAnsi" w:hAnsiTheme="minorHAnsi" w:eastAsiaTheme="minorEastAsia" w:cstheme="minorBidi"/>
      <w:b/>
      <w:bCs/>
      <w:kern w:val="2"/>
      <w:sz w:val="21"/>
      <w:szCs w:val="22"/>
    </w:rPr>
  </w:style>
  <w:style w:type="paragraph" w:customStyle="1" w:styleId="85">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6">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7">
    <w:name w:val="cf11"/>
    <w:basedOn w:val="21"/>
    <w:qFormat/>
    <w:uiPriority w:val="0"/>
    <w:rPr>
      <w:rFonts w:hint="eastAsia" w:ascii="Microsoft YaHei UI" w:hAnsi="Microsoft YaHei UI" w:eastAsia="Microsoft YaHei UI"/>
      <w:sz w:val="18"/>
      <w:szCs w:val="18"/>
    </w:rPr>
  </w:style>
  <w:style w:type="paragraph" w:customStyle="1" w:styleId="88">
    <w:name w:val="WPSOffice手动目录 1"/>
    <w:qFormat/>
    <w:uiPriority w:val="0"/>
    <w:rPr>
      <w:rFonts w:ascii="Times New Roman" w:hAnsi="Times New Roman" w:eastAsia="宋体" w:cs="Times New Roman"/>
      <w:lang w:val="en-US" w:eastAsia="zh-CN" w:bidi="ar-SA"/>
    </w:rPr>
  </w:style>
  <w:style w:type="paragraph" w:customStyle="1" w:styleId="8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9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91">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92">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9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Company>LG</Company>
  <Pages>38</Pages>
  <Words>2158</Words>
  <Characters>2167</Characters>
  <Lines>581</Lines>
  <Paragraphs>457</Paragraphs>
  <TotalTime>9</TotalTime>
  <ScaleCrop>false</ScaleCrop>
  <LinksUpToDate>false</LinksUpToDate>
  <CharactersWithSpaces>2185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轻描淡写</cp:lastModifiedBy>
  <cp:lastPrinted>2017-12-14T13:52:00Z</cp:lastPrinted>
  <dcterms:modified xsi:type="dcterms:W3CDTF">2025-11-06T01:31:17Z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EE641E9E744B4778B3D3B311767193A4_13</vt:lpwstr>
  </property>
  <property fmtid="{D5CDD505-2E9C-101B-9397-08002B2CF9AE}" pid="4" name="KSOTemplateDocerSaveRecord">
    <vt:lpwstr>eyJoZGlkIjoiN2UyNGU2YTllM2QyMzdmYjFjOTc2Njc0OWViZDJmMWQiLCJ1c2VySWQiOiI0ODkxMDMzNDYifQ==</vt:lpwstr>
  </property>
</Properties>
</file>