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0A1FF">
      <w:pPr>
        <w:pStyle w:val="19"/>
        <w:rPr>
          <w:rFonts w:hint="eastAsia"/>
          <w:color w:val="000000" w:themeColor="text1"/>
          <w:lang w:val="en-US" w:eastAsia="zh-CN"/>
          <w14:textFill>
            <w14:solidFill>
              <w14:schemeClr w14:val="tx1"/>
            </w14:solidFill>
          </w14:textFill>
        </w:rPr>
      </w:pPr>
    </w:p>
    <w:p w14:paraId="28AA4557">
      <w:pPr>
        <w:pStyle w:val="19"/>
        <w:rPr>
          <w:rFonts w:hint="eastAsia"/>
          <w:color w:val="000000" w:themeColor="text1"/>
          <w:lang w:val="en-US" w:eastAsia="zh-CN"/>
          <w14:textFill>
            <w14:solidFill>
              <w14:schemeClr w14:val="tx1"/>
            </w14:solidFill>
          </w14:textFill>
        </w:rPr>
      </w:pPr>
    </w:p>
    <w:p w14:paraId="2F8B215D">
      <w:pPr>
        <w:jc w:val="center"/>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bookmarkStart w:id="0" w:name="_Toc30016"/>
      <w:bookmarkStart w:id="1" w:name="_Toc24460"/>
      <w:bookmarkStart w:id="2" w:name="_Toc4234"/>
      <w:bookmarkStart w:id="3" w:name="_Toc32603"/>
      <w:bookmarkStart w:id="4" w:name="_Toc5690"/>
      <w:bookmarkStart w:id="5" w:name="_Toc12013"/>
      <w:bookmarkStart w:id="6" w:name="_Toc16069"/>
      <w:bookmarkStart w:id="7" w:name="_Toc1176"/>
      <w:bookmarkStart w:id="8" w:name="_Toc13948"/>
      <w:bookmarkStart w:id="9" w:name="_Toc10844"/>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青山工人村武汉市青山区茂华种养殖开发部“7·4”一般</w:t>
      </w:r>
      <w:bookmarkEnd w:id="0"/>
      <w:bookmarkStart w:id="10" w:name="_Toc28352"/>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触电事故</w:t>
      </w:r>
      <w:bookmarkEnd w:id="1"/>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调查</w:t>
      </w:r>
      <w:bookmarkEnd w:id="2"/>
      <w:bookmarkEnd w:id="3"/>
      <w:bookmarkEnd w:id="4"/>
      <w:bookmarkStart w:id="11" w:name="_Toc30922"/>
      <w:bookmarkStart w:id="12" w:name="_Toc16380"/>
      <w:bookmarkStart w:id="13" w:name="_Toc3869"/>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报告</w:t>
      </w:r>
      <w:bookmarkEnd w:id="5"/>
      <w:bookmarkEnd w:id="6"/>
      <w:bookmarkEnd w:id="7"/>
      <w:bookmarkEnd w:id="8"/>
      <w:bookmarkEnd w:id="9"/>
      <w:bookmarkEnd w:id="10"/>
      <w:bookmarkEnd w:id="11"/>
      <w:bookmarkEnd w:id="12"/>
      <w:bookmarkEnd w:id="13"/>
    </w:p>
    <w:p w14:paraId="74A647EA">
      <w:pPr>
        <w:pStyle w:val="19"/>
        <w:rPr>
          <w:rFonts w:hint="eastAsia"/>
          <w:lang w:val="en-US" w:eastAsia="zh-CN"/>
        </w:rPr>
      </w:pPr>
    </w:p>
    <w:p w14:paraId="0A1DAF26">
      <w:pPr>
        <w:pStyle w:val="19"/>
        <w:rPr>
          <w:rFonts w:hint="eastAsia"/>
          <w:lang w:val="en-US" w:eastAsia="zh-CN"/>
        </w:rPr>
      </w:pPr>
    </w:p>
    <w:p w14:paraId="72238A66">
      <w:pPr>
        <w:jc w:val="both"/>
        <w:rPr>
          <w:rFonts w:hint="eastAsia" w:ascii="宋体" w:hAnsi="宋体" w:eastAsia="宋体" w:cs="宋体"/>
          <w:b/>
          <w:bCs/>
          <w:color w:val="000000" w:themeColor="text1"/>
          <w:sz w:val="48"/>
          <w:szCs w:val="48"/>
          <w:lang w:val="en-US" w:eastAsia="zh-CN"/>
          <w14:textFill>
            <w14:solidFill>
              <w14:schemeClr w14:val="tx1"/>
            </w14:solidFill>
          </w14:textFill>
        </w:rPr>
      </w:pPr>
    </w:p>
    <w:p w14:paraId="42FF2D15">
      <w:pPr>
        <w:jc w:val="both"/>
        <w:rPr>
          <w:rFonts w:hint="eastAsia" w:ascii="宋体" w:hAnsi="宋体" w:eastAsia="宋体" w:cs="宋体"/>
          <w:b/>
          <w:bCs/>
          <w:color w:val="000000" w:themeColor="text1"/>
          <w:sz w:val="48"/>
          <w:szCs w:val="48"/>
          <w:lang w:val="en-US" w:eastAsia="zh-CN"/>
          <w14:textFill>
            <w14:solidFill>
              <w14:schemeClr w14:val="tx1"/>
            </w14:solidFill>
          </w14:textFill>
        </w:rPr>
      </w:pPr>
    </w:p>
    <w:p w14:paraId="7D0AAFAD">
      <w:pPr>
        <w:jc w:val="both"/>
        <w:rPr>
          <w:rFonts w:hint="eastAsia" w:ascii="宋体" w:hAnsi="宋体" w:eastAsia="宋体" w:cs="宋体"/>
          <w:b/>
          <w:bCs/>
          <w:color w:val="000000" w:themeColor="text1"/>
          <w:sz w:val="48"/>
          <w:szCs w:val="48"/>
          <w:lang w:val="en-US" w:eastAsia="zh-CN"/>
          <w14:textFill>
            <w14:solidFill>
              <w14:schemeClr w14:val="tx1"/>
            </w14:solidFill>
          </w14:textFill>
        </w:rPr>
      </w:pPr>
    </w:p>
    <w:p w14:paraId="112512B4">
      <w:pPr>
        <w:jc w:val="both"/>
        <w:rPr>
          <w:rFonts w:hint="eastAsia" w:ascii="宋体" w:hAnsi="宋体" w:eastAsia="宋体" w:cs="宋体"/>
          <w:b/>
          <w:bCs/>
          <w:color w:val="000000" w:themeColor="text1"/>
          <w:sz w:val="48"/>
          <w:szCs w:val="48"/>
          <w:lang w:val="en-US" w:eastAsia="zh-CN"/>
          <w14:textFill>
            <w14:solidFill>
              <w14:schemeClr w14:val="tx1"/>
            </w14:solidFill>
          </w14:textFill>
        </w:rPr>
      </w:pPr>
    </w:p>
    <w:p w14:paraId="62D6ACED">
      <w:pPr>
        <w:jc w:val="both"/>
        <w:rPr>
          <w:rFonts w:hint="eastAsia" w:ascii="宋体" w:hAnsi="宋体" w:eastAsia="宋体" w:cs="宋体"/>
          <w:b/>
          <w:bCs/>
          <w:color w:val="000000" w:themeColor="text1"/>
          <w:sz w:val="48"/>
          <w:szCs w:val="48"/>
          <w:lang w:val="en-US" w:eastAsia="zh-CN"/>
          <w14:textFill>
            <w14:solidFill>
              <w14:schemeClr w14:val="tx1"/>
            </w14:solidFill>
          </w14:textFill>
        </w:rPr>
      </w:pPr>
    </w:p>
    <w:p w14:paraId="475CD149">
      <w:pPr>
        <w:jc w:val="both"/>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p>
    <w:p w14:paraId="6DA73044">
      <w:pPr>
        <w:pStyle w:val="19"/>
        <w:rPr>
          <w:rFonts w:hint="eastAsia"/>
          <w:lang w:val="en-US" w:eastAsia="zh-CN"/>
        </w:rPr>
      </w:pPr>
    </w:p>
    <w:p w14:paraId="339D30A7">
      <w:pPr>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p>
    <w:p w14:paraId="6B54B134">
      <w:pPr>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p>
    <w:p w14:paraId="00405EC6">
      <w:pPr>
        <w:jc w:val="both"/>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p>
    <w:p w14:paraId="76BDD62C">
      <w:pPr>
        <w:jc w:val="cente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青山区“7·4”一般触电事故调查组</w:t>
      </w:r>
    </w:p>
    <w:p w14:paraId="69304CAB">
      <w:pPr>
        <w:jc w:val="cente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宋体" w:hAnsi="宋体" w:eastAsia="宋体" w:cs="宋体"/>
          <w:b w:val="0"/>
          <w:bCs w:val="0"/>
          <w:color w:val="000000" w:themeColor="text1"/>
          <w:sz w:val="32"/>
          <w:szCs w:val="32"/>
          <w:lang w:val="en-US" w:eastAsia="zh-CN"/>
          <w14:textFill>
            <w14:solidFill>
              <w14:schemeClr w14:val="tx1"/>
            </w14:solidFill>
          </w14:textFill>
        </w:rPr>
        <w:t>2026</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年</w:t>
      </w:r>
      <w:r>
        <w:rPr>
          <w:rFonts w:hint="eastAsia" w:ascii="宋体" w:hAnsi="宋体" w:eastAsia="宋体" w:cs="宋体"/>
          <w:b w:val="0"/>
          <w:bCs w:val="0"/>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月</w:t>
      </w:r>
    </w:p>
    <w:p w14:paraId="765D7E43">
      <w:pP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sectPr>
          <w:footerReference r:id="rId4" w:type="default"/>
          <w:pgSz w:w="11906" w:h="16838"/>
          <w:pgMar w:top="2098" w:right="1474" w:bottom="1984" w:left="1587" w:header="851" w:footer="992" w:gutter="0"/>
          <w:pgNumType w:fmt="decimal" w:start="1"/>
          <w:cols w:space="425" w:num="1"/>
          <w:docGrid w:type="lines" w:linePitch="312" w:charSpace="0"/>
        </w:sect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br w:type="page"/>
      </w:r>
    </w:p>
    <w:sdt>
      <w:sdtPr>
        <w:rPr>
          <w:rFonts w:hint="eastAsia" w:ascii="宋体" w:hAnsi="宋体" w:eastAsia="宋体" w:cs="宋体"/>
          <w:b/>
          <w:bCs/>
          <w:kern w:val="2"/>
          <w:sz w:val="32"/>
          <w:szCs w:val="32"/>
          <w:lang w:val="en-US" w:eastAsia="zh-CN" w:bidi="ar-SA"/>
        </w:rPr>
        <w:id w:val="147462103"/>
        <w15:color w:val="DBDBDB"/>
        <w:docPartObj>
          <w:docPartGallery w:val="Table of Contents"/>
          <w:docPartUnique/>
        </w:docPartObj>
      </w:sdtPr>
      <w:sdtEndPr>
        <w:rPr>
          <w:rFonts w:hint="eastAsia" w:ascii="宋体" w:hAnsi="宋体" w:eastAsiaTheme="minorEastAsia" w:cstheme="minorBidi"/>
          <w:b/>
          <w:bCs/>
          <w:kern w:val="2"/>
          <w:sz w:val="28"/>
          <w:szCs w:val="28"/>
          <w:u w:val="none" w:color="auto"/>
          <w:lang w:val="en-US" w:eastAsia="zh-CN" w:bidi="ar-SA"/>
        </w:rPr>
      </w:sdtEndPr>
      <w:sdtContent>
        <w:p w14:paraId="3D5919FD">
          <w:pPr>
            <w:spacing w:before="0" w:beforeLines="0" w:after="0" w:afterLines="0" w:line="240" w:lineRule="auto"/>
            <w:ind w:left="0" w:leftChars="0" w:right="0" w:rightChars="0" w:firstLine="0" w:firstLineChars="0"/>
            <w:jc w:val="center"/>
            <w:rPr>
              <w:rFonts w:hint="eastAsia" w:ascii="宋体" w:hAnsi="宋体" w:eastAsia="宋体" w:cs="宋体"/>
              <w:b/>
              <w:bCs/>
              <w:sz w:val="32"/>
              <w:szCs w:val="32"/>
            </w:rPr>
          </w:pPr>
          <w:bookmarkStart w:id="63" w:name="_GoBack"/>
          <w:bookmarkEnd w:id="63"/>
          <w:r>
            <w:rPr>
              <w:rFonts w:hint="eastAsia" w:ascii="宋体" w:hAnsi="宋体" w:eastAsia="宋体" w:cs="宋体"/>
              <w:b/>
              <w:bCs/>
              <w:sz w:val="32"/>
              <w:szCs w:val="32"/>
            </w:rPr>
            <w:t>目</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rPr>
            <w:t>录</w:t>
          </w:r>
        </w:p>
        <w:p w14:paraId="3DF3385D">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pPr>
          <w:r>
            <w:fldChar w:fldCharType="begin"/>
          </w:r>
          <w:r>
            <w:instrText xml:space="preserve">TOC \o "1-2" \h \u </w:instrText>
          </w:r>
          <w:r>
            <w:fldChar w:fldCharType="separate"/>
          </w:r>
        </w:p>
        <w:p w14:paraId="775B9197">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_Toc11511 </w:instrText>
          </w:r>
          <w:r>
            <w:rPr>
              <w:sz w:val="24"/>
              <w:szCs w:val="24"/>
            </w:rPr>
            <w:fldChar w:fldCharType="separate"/>
          </w:r>
          <w:r>
            <w:rPr>
              <w:rFonts w:hint="eastAsia" w:ascii="黑体" w:hAnsi="黑体" w:eastAsia="黑体" w:cs="黑体"/>
              <w:bCs/>
              <w:sz w:val="24"/>
              <w:szCs w:val="24"/>
              <w:lang w:val="en-US" w:eastAsia="zh-CN"/>
            </w:rPr>
            <w:t>一、事故基本情况</w:t>
          </w:r>
          <w:r>
            <w:rPr>
              <w:sz w:val="24"/>
              <w:szCs w:val="24"/>
            </w:rPr>
            <w:tab/>
          </w:r>
          <w:r>
            <w:rPr>
              <w:sz w:val="24"/>
              <w:szCs w:val="24"/>
            </w:rPr>
            <w:fldChar w:fldCharType="begin"/>
          </w:r>
          <w:r>
            <w:rPr>
              <w:sz w:val="24"/>
              <w:szCs w:val="24"/>
            </w:rPr>
            <w:instrText xml:space="preserve"> PAGEREF _Toc11511 \h </w:instrText>
          </w:r>
          <w:r>
            <w:rPr>
              <w:sz w:val="24"/>
              <w:szCs w:val="24"/>
            </w:rPr>
            <w:fldChar w:fldCharType="separate"/>
          </w:r>
          <w:r>
            <w:rPr>
              <w:sz w:val="24"/>
              <w:szCs w:val="24"/>
            </w:rPr>
            <w:t>1</w:t>
          </w:r>
          <w:r>
            <w:rPr>
              <w:sz w:val="24"/>
              <w:szCs w:val="24"/>
            </w:rPr>
            <w:fldChar w:fldCharType="end"/>
          </w:r>
          <w:r>
            <w:rPr>
              <w:sz w:val="24"/>
              <w:szCs w:val="24"/>
            </w:rPr>
            <w:fldChar w:fldCharType="end"/>
          </w:r>
        </w:p>
        <w:p w14:paraId="23026588">
          <w:pPr>
            <w:pStyle w:val="11"/>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_Toc5857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（一）事故发生单位及相关单位概况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_Toc5857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348CAB1">
          <w:pPr>
            <w:pStyle w:val="11"/>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_Toc22357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（二）事故发生单位安全管理情况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_Toc22357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42888FA">
          <w:pPr>
            <w:pStyle w:val="11"/>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_Toc11408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（三）事故发生经过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_Toc11408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9DE5AEE">
          <w:pPr>
            <w:pStyle w:val="11"/>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_Toc30088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（四）事故现场情况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_Toc30088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EEFFE3F">
          <w:pPr>
            <w:pStyle w:val="11"/>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_Toc22432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（五）人员伤亡和直接经济损失情况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_Toc22432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9F65067">
          <w:pPr>
            <w:pStyle w:val="11"/>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_Toc18885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（六）其他情况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_Toc18885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5BF69D2">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_Toc11753 </w:instrText>
          </w:r>
          <w:r>
            <w:rPr>
              <w:sz w:val="24"/>
              <w:szCs w:val="24"/>
            </w:rPr>
            <w:fldChar w:fldCharType="separate"/>
          </w:r>
          <w:r>
            <w:rPr>
              <w:rFonts w:hint="eastAsia" w:ascii="黑体" w:hAnsi="黑体" w:eastAsia="黑体" w:cs="黑体"/>
              <w:bCs/>
              <w:sz w:val="24"/>
              <w:szCs w:val="24"/>
              <w:lang w:val="en-US" w:eastAsia="zh-CN"/>
            </w:rPr>
            <w:t>二、事故应急处置及评估情况</w:t>
          </w:r>
          <w:r>
            <w:rPr>
              <w:sz w:val="24"/>
              <w:szCs w:val="24"/>
            </w:rPr>
            <w:tab/>
          </w:r>
          <w:r>
            <w:rPr>
              <w:sz w:val="24"/>
              <w:szCs w:val="24"/>
            </w:rPr>
            <w:fldChar w:fldCharType="begin"/>
          </w:r>
          <w:r>
            <w:rPr>
              <w:sz w:val="24"/>
              <w:szCs w:val="24"/>
            </w:rPr>
            <w:instrText xml:space="preserve"> PAGEREF _Toc11753 \h </w:instrText>
          </w:r>
          <w:r>
            <w:rPr>
              <w:sz w:val="24"/>
              <w:szCs w:val="24"/>
            </w:rPr>
            <w:fldChar w:fldCharType="separate"/>
          </w:r>
          <w:r>
            <w:rPr>
              <w:sz w:val="24"/>
              <w:szCs w:val="24"/>
            </w:rPr>
            <w:t>4</w:t>
          </w:r>
          <w:r>
            <w:rPr>
              <w:sz w:val="24"/>
              <w:szCs w:val="24"/>
            </w:rPr>
            <w:fldChar w:fldCharType="end"/>
          </w:r>
          <w:r>
            <w:rPr>
              <w:sz w:val="24"/>
              <w:szCs w:val="24"/>
            </w:rPr>
            <w:fldChar w:fldCharType="end"/>
          </w:r>
        </w:p>
        <w:p w14:paraId="3BE514BE">
          <w:pPr>
            <w:pStyle w:val="11"/>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_Toc17274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（一）事故信息接报及响应情况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_Toc17274 \h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DD91798">
          <w:pPr>
            <w:pStyle w:val="11"/>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_Toc2887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（二）事故现场应急处置情况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_Toc2887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EF42E04">
          <w:pPr>
            <w:pStyle w:val="11"/>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_Toc29226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（三）事故应急处置评估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_Toc29226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3392714">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_Toc415 </w:instrText>
          </w:r>
          <w:r>
            <w:rPr>
              <w:sz w:val="24"/>
              <w:szCs w:val="24"/>
            </w:rPr>
            <w:fldChar w:fldCharType="separate"/>
          </w:r>
          <w:r>
            <w:rPr>
              <w:rFonts w:hint="eastAsia" w:ascii="黑体" w:hAnsi="黑体" w:eastAsia="黑体" w:cs="黑体"/>
              <w:bCs/>
              <w:sz w:val="24"/>
              <w:szCs w:val="24"/>
              <w:lang w:val="en-US" w:eastAsia="zh-CN"/>
            </w:rPr>
            <w:t>三、事故原因分析</w:t>
          </w:r>
          <w:r>
            <w:rPr>
              <w:sz w:val="24"/>
              <w:szCs w:val="24"/>
            </w:rPr>
            <w:tab/>
          </w:r>
          <w:r>
            <w:rPr>
              <w:sz w:val="24"/>
              <w:szCs w:val="24"/>
            </w:rPr>
            <w:fldChar w:fldCharType="begin"/>
          </w:r>
          <w:r>
            <w:rPr>
              <w:sz w:val="24"/>
              <w:szCs w:val="24"/>
            </w:rPr>
            <w:instrText xml:space="preserve"> PAGEREF _Toc415 \h </w:instrText>
          </w:r>
          <w:r>
            <w:rPr>
              <w:sz w:val="24"/>
              <w:szCs w:val="24"/>
            </w:rPr>
            <w:fldChar w:fldCharType="separate"/>
          </w:r>
          <w:r>
            <w:rPr>
              <w:sz w:val="24"/>
              <w:szCs w:val="24"/>
            </w:rPr>
            <w:t>5</w:t>
          </w:r>
          <w:r>
            <w:rPr>
              <w:sz w:val="24"/>
              <w:szCs w:val="24"/>
            </w:rPr>
            <w:fldChar w:fldCharType="end"/>
          </w:r>
          <w:r>
            <w:rPr>
              <w:sz w:val="24"/>
              <w:szCs w:val="24"/>
            </w:rPr>
            <w:fldChar w:fldCharType="end"/>
          </w:r>
        </w:p>
        <w:p w14:paraId="7DBF6531">
          <w:pPr>
            <w:pStyle w:val="11"/>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_Toc23769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（一）直接原因分析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_Toc23769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12AA785">
          <w:pPr>
            <w:pStyle w:val="11"/>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_Toc27789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（二）事故相关检验检测和鉴定情况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_Toc27789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54DC34C">
          <w:pPr>
            <w:pStyle w:val="11"/>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_Toc24250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（三）间接原因分析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_Toc24250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7486153D">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_Toc21513 </w:instrText>
          </w:r>
          <w:r>
            <w:rPr>
              <w:sz w:val="24"/>
              <w:szCs w:val="24"/>
            </w:rPr>
            <w:fldChar w:fldCharType="separate"/>
          </w:r>
          <w:r>
            <w:rPr>
              <w:rFonts w:hint="eastAsia" w:ascii="黑体" w:hAnsi="黑体" w:eastAsia="黑体" w:cs="黑体"/>
              <w:bCs/>
              <w:sz w:val="24"/>
              <w:szCs w:val="24"/>
              <w:lang w:val="en-US" w:eastAsia="zh-CN"/>
            </w:rPr>
            <w:t>四、对有关责任人员和责任单位的处理建议</w:t>
          </w:r>
          <w:r>
            <w:rPr>
              <w:sz w:val="24"/>
              <w:szCs w:val="24"/>
            </w:rPr>
            <w:tab/>
          </w:r>
          <w:r>
            <w:rPr>
              <w:sz w:val="24"/>
              <w:szCs w:val="24"/>
            </w:rPr>
            <w:fldChar w:fldCharType="begin"/>
          </w:r>
          <w:r>
            <w:rPr>
              <w:sz w:val="24"/>
              <w:szCs w:val="24"/>
            </w:rPr>
            <w:instrText xml:space="preserve"> PAGEREF _Toc21513 \h </w:instrText>
          </w:r>
          <w:r>
            <w:rPr>
              <w:sz w:val="24"/>
              <w:szCs w:val="24"/>
            </w:rPr>
            <w:fldChar w:fldCharType="separate"/>
          </w:r>
          <w:r>
            <w:rPr>
              <w:sz w:val="24"/>
              <w:szCs w:val="24"/>
            </w:rPr>
            <w:t>6</w:t>
          </w:r>
          <w:r>
            <w:rPr>
              <w:sz w:val="24"/>
              <w:szCs w:val="24"/>
            </w:rPr>
            <w:fldChar w:fldCharType="end"/>
          </w:r>
          <w:r>
            <w:rPr>
              <w:sz w:val="24"/>
              <w:szCs w:val="24"/>
            </w:rPr>
            <w:fldChar w:fldCharType="end"/>
          </w:r>
        </w:p>
        <w:p w14:paraId="702DE8AE">
          <w:pPr>
            <w:pStyle w:val="11"/>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_Toc16775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（一）因在事故中死亡免予追究责任人员</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_Toc16775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4179B95">
          <w:pPr>
            <w:pStyle w:val="11"/>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_Toc15871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（二）对事故有关责任人员和责任单位的处理建议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_Toc15871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3C79F24">
          <w:pPr>
            <w:pStyle w:val="11"/>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_Toc12175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（三）其他处理建议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_Toc12175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91E7E39">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_Toc17744 </w:instrText>
          </w:r>
          <w:r>
            <w:rPr>
              <w:sz w:val="24"/>
              <w:szCs w:val="24"/>
            </w:rPr>
            <w:fldChar w:fldCharType="separate"/>
          </w:r>
          <w:r>
            <w:rPr>
              <w:rFonts w:hint="eastAsia" w:ascii="黑体" w:hAnsi="黑体" w:eastAsia="黑体" w:cs="黑体"/>
              <w:bCs/>
              <w:sz w:val="24"/>
              <w:szCs w:val="24"/>
              <w:lang w:val="en-US" w:eastAsia="zh-CN"/>
            </w:rPr>
            <w:t>五、事故主要教训</w:t>
          </w:r>
          <w:r>
            <w:rPr>
              <w:sz w:val="24"/>
              <w:szCs w:val="24"/>
            </w:rPr>
            <w:tab/>
          </w:r>
          <w:r>
            <w:rPr>
              <w:sz w:val="24"/>
              <w:szCs w:val="24"/>
            </w:rPr>
            <w:fldChar w:fldCharType="begin"/>
          </w:r>
          <w:r>
            <w:rPr>
              <w:sz w:val="24"/>
              <w:szCs w:val="24"/>
            </w:rPr>
            <w:instrText xml:space="preserve"> PAGEREF _Toc17744 \h </w:instrText>
          </w:r>
          <w:r>
            <w:rPr>
              <w:sz w:val="24"/>
              <w:szCs w:val="24"/>
            </w:rPr>
            <w:fldChar w:fldCharType="separate"/>
          </w:r>
          <w:r>
            <w:rPr>
              <w:sz w:val="24"/>
              <w:szCs w:val="24"/>
            </w:rPr>
            <w:t>8</w:t>
          </w:r>
          <w:r>
            <w:rPr>
              <w:sz w:val="24"/>
              <w:szCs w:val="24"/>
            </w:rPr>
            <w:fldChar w:fldCharType="end"/>
          </w:r>
          <w:r>
            <w:rPr>
              <w:sz w:val="24"/>
              <w:szCs w:val="24"/>
            </w:rPr>
            <w:fldChar w:fldCharType="end"/>
          </w:r>
        </w:p>
        <w:p w14:paraId="599325CD">
          <w:pPr>
            <w:pStyle w:val="9"/>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pPr>
          <w:r>
            <w:rPr>
              <w:sz w:val="24"/>
              <w:szCs w:val="24"/>
            </w:rPr>
            <w:fldChar w:fldCharType="begin"/>
          </w:r>
          <w:r>
            <w:rPr>
              <w:sz w:val="24"/>
              <w:szCs w:val="24"/>
            </w:rPr>
            <w:instrText xml:space="preserve"> HYPERLINK \l _Toc15422 </w:instrText>
          </w:r>
          <w:r>
            <w:rPr>
              <w:sz w:val="24"/>
              <w:szCs w:val="24"/>
            </w:rPr>
            <w:fldChar w:fldCharType="separate"/>
          </w:r>
          <w:r>
            <w:rPr>
              <w:rFonts w:hint="eastAsia" w:ascii="黑体" w:hAnsi="黑体" w:eastAsia="黑体" w:cs="黑体"/>
              <w:bCs/>
              <w:sz w:val="24"/>
              <w:szCs w:val="24"/>
              <w:lang w:val="en-US" w:eastAsia="zh-CN"/>
            </w:rPr>
            <w:t>六、事故整改和防范措施</w:t>
          </w:r>
          <w:r>
            <w:rPr>
              <w:sz w:val="24"/>
              <w:szCs w:val="24"/>
            </w:rPr>
            <w:tab/>
          </w:r>
          <w:r>
            <w:rPr>
              <w:sz w:val="24"/>
              <w:szCs w:val="24"/>
            </w:rPr>
            <w:fldChar w:fldCharType="begin"/>
          </w:r>
          <w:r>
            <w:rPr>
              <w:sz w:val="24"/>
              <w:szCs w:val="24"/>
            </w:rPr>
            <w:instrText xml:space="preserve"> PAGEREF _Toc15422 \h </w:instrText>
          </w:r>
          <w:r>
            <w:rPr>
              <w:sz w:val="24"/>
              <w:szCs w:val="24"/>
            </w:rPr>
            <w:fldChar w:fldCharType="separate"/>
          </w:r>
          <w:r>
            <w:rPr>
              <w:sz w:val="24"/>
              <w:szCs w:val="24"/>
            </w:rPr>
            <w:t>8</w:t>
          </w:r>
          <w:r>
            <w:rPr>
              <w:sz w:val="24"/>
              <w:szCs w:val="24"/>
            </w:rPr>
            <w:fldChar w:fldCharType="end"/>
          </w:r>
          <w:r>
            <w:rPr>
              <w:sz w:val="24"/>
              <w:szCs w:val="24"/>
            </w:rPr>
            <w:fldChar w:fldCharType="end"/>
          </w:r>
        </w:p>
        <w:p w14:paraId="224EA120">
          <w:pPr>
            <w:pStyle w:val="19"/>
            <w:rPr>
              <w:rFonts w:ascii="宋体" w:hAnsi="宋体" w:eastAsiaTheme="minorEastAsia" w:cstheme="minorBidi"/>
              <w:kern w:val="2"/>
              <w:sz w:val="28"/>
              <w:szCs w:val="28"/>
              <w:u w:val="none" w:color="auto"/>
              <w:lang w:val="en-US" w:eastAsia="zh-CN" w:bidi="ar-SA"/>
            </w:rPr>
          </w:pPr>
          <w:r>
            <w:fldChar w:fldCharType="end"/>
          </w:r>
        </w:p>
      </w:sdtContent>
    </w:sdt>
    <w:p w14:paraId="587C0BEE">
      <w:pPr>
        <w:pStyle w:val="19"/>
        <w:rPr>
          <w:rFonts w:ascii="宋体" w:hAnsi="宋体" w:eastAsiaTheme="minorEastAsia" w:cstheme="minorBidi"/>
          <w:kern w:val="2"/>
          <w:sz w:val="28"/>
          <w:szCs w:val="28"/>
          <w:u w:val="none" w:color="auto"/>
          <w:lang w:val="en-US" w:eastAsia="zh-CN" w:bidi="ar-SA"/>
        </w:rPr>
      </w:pPr>
    </w:p>
    <w:p w14:paraId="5AF1E15B">
      <w:pPr>
        <w:bidi w:val="0"/>
      </w:pPr>
    </w:p>
    <w:p w14:paraId="5D9B2D6B">
      <w:pPr>
        <w:tabs>
          <w:tab w:val="left" w:pos="2246"/>
        </w:tabs>
        <w:bidi w:val="0"/>
        <w:jc w:val="left"/>
        <w:rPr>
          <w:rFonts w:hint="eastAsia"/>
          <w:lang w:eastAsia="zh-CN"/>
        </w:rPr>
      </w:pPr>
      <w:r>
        <w:rPr>
          <w:rFonts w:hint="eastAsia"/>
          <w:lang w:eastAsia="zh-CN"/>
        </w:rPr>
        <w:tab/>
      </w:r>
    </w:p>
    <w:p w14:paraId="25048D9A">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sectPr>
          <w:pgSz w:w="11906" w:h="16838"/>
          <w:pgMar w:top="2098" w:right="1474" w:bottom="1984" w:left="1587" w:header="851" w:footer="992" w:gutter="0"/>
          <w:pgNumType w:fmt="decimal"/>
          <w:cols w:space="425" w:num="1"/>
          <w:docGrid w:type="lines" w:linePitch="312" w:charSpace="0"/>
        </w:sectPr>
      </w:pPr>
      <w:bookmarkStart w:id="14" w:name="_Toc4015"/>
      <w:bookmarkStart w:id="15" w:name="_Toc29949"/>
      <w:bookmarkStart w:id="16" w:name="_Toc443"/>
      <w:bookmarkStart w:id="17" w:name="_Toc23753"/>
      <w:bookmarkStart w:id="18" w:name="_Toc17515"/>
      <w:bookmarkStart w:id="19" w:name="_Toc6843"/>
    </w:p>
    <w:p w14:paraId="4A4459D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bookmarkStart w:id="20" w:name="_Toc21175"/>
      <w:bookmarkStart w:id="21" w:name="_Toc5749"/>
      <w:bookmarkStart w:id="22" w:name="_Toc27045"/>
    </w:p>
    <w:bookmarkEnd w:id="14"/>
    <w:bookmarkEnd w:id="15"/>
    <w:bookmarkEnd w:id="16"/>
    <w:bookmarkEnd w:id="17"/>
    <w:bookmarkEnd w:id="18"/>
    <w:bookmarkEnd w:id="19"/>
    <w:bookmarkEnd w:id="20"/>
    <w:bookmarkEnd w:id="21"/>
    <w:bookmarkEnd w:id="22"/>
    <w:p w14:paraId="3F795BC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bookmarkStart w:id="23" w:name="_Toc21267"/>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青山工人村武汉市青山区茂华种养殖开发部“7·4”一般触电事故调查报告</w:t>
      </w:r>
      <w:bookmarkEnd w:id="23"/>
    </w:p>
    <w:p w14:paraId="2E3145B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宋体" w:cs="宋体"/>
          <w:color w:val="000000" w:themeColor="text1"/>
          <w:sz w:val="32"/>
          <w:szCs w:val="32"/>
          <w:lang w:val="en-US" w:eastAsia="zh-CN"/>
          <w14:textFill>
            <w14:solidFill>
              <w14:schemeClr w14:val="tx1"/>
            </w14:solidFill>
          </w14:textFill>
        </w:rPr>
      </w:pPr>
    </w:p>
    <w:p w14:paraId="0D8507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宋体" w:hAnsi="宋体" w:eastAsia="宋体" w:cs="宋体"/>
          <w:color w:val="000000" w:themeColor="text1"/>
          <w:sz w:val="32"/>
          <w:szCs w:val="32"/>
          <w:lang w:val="en-US" w:eastAsia="zh-CN"/>
          <w14:textFill>
            <w14:solidFill>
              <w14:schemeClr w14:val="tx1"/>
            </w14:solidFill>
          </w14:textFill>
        </w:rPr>
        <w:t>2026</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年</w:t>
      </w:r>
      <w:r>
        <w:rPr>
          <w:rFonts w:hint="eastAsia" w:ascii="宋体" w:hAnsi="宋体" w:eastAsia="宋体" w:cs="宋体"/>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月</w:t>
      </w:r>
      <w:r>
        <w:rPr>
          <w:rFonts w:hint="eastAsia" w:ascii="宋体" w:hAnsi="宋体" w:eastAsia="宋体" w:cs="宋体"/>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日，</w:t>
      </w:r>
      <w:r>
        <w:rPr>
          <w:rFonts w:hint="eastAsia" w:ascii="仿宋_GB2312" w:hAnsi="仿宋_GB2312" w:eastAsia="仿宋_GB2312" w:cs="仿宋_GB2312"/>
          <w:b w:val="0"/>
          <w:bCs/>
          <w:sz w:val="32"/>
          <w:szCs w:val="32"/>
          <w:lang w:val="en-US" w:eastAsia="zh-CN"/>
        </w:rPr>
        <w:t>工人村街环厂北路武汉市青山区茂华种养殖开发部发生一起触电事故，造成</w:t>
      </w:r>
      <w:r>
        <w:rPr>
          <w:rFonts w:hint="eastAsia" w:ascii="宋体" w:hAnsi="宋体" w:eastAsia="宋体" w:cs="宋体"/>
          <w:b w:val="0"/>
          <w:bCs/>
          <w:sz w:val="32"/>
          <w:szCs w:val="32"/>
          <w:lang w:val="en-US" w:eastAsia="zh-CN"/>
        </w:rPr>
        <w:t>1</w:t>
      </w:r>
      <w:r>
        <w:rPr>
          <w:rFonts w:hint="eastAsia" w:ascii="仿宋_GB2312" w:hAnsi="仿宋_GB2312" w:eastAsia="仿宋_GB2312" w:cs="仿宋_GB2312"/>
          <w:b w:val="0"/>
          <w:bCs/>
          <w:sz w:val="32"/>
          <w:szCs w:val="32"/>
          <w:lang w:val="en-US" w:eastAsia="zh-CN"/>
        </w:rPr>
        <w:t>人死亡。</w:t>
      </w:r>
    </w:p>
    <w:p w14:paraId="6BD26B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依据《中华人民共和国安全生产法》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以下简称“安全生产法”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《生产安全事故报告和调查处理条例》（国务院令第</w:t>
      </w:r>
      <w:r>
        <w:rPr>
          <w:rFonts w:hint="eastAsia" w:ascii="宋体" w:hAnsi="宋体" w:eastAsia="宋体" w:cs="宋体"/>
          <w:color w:val="000000" w:themeColor="text1"/>
          <w:sz w:val="32"/>
          <w:szCs w:val="32"/>
          <w:lang w:val="en-US" w:eastAsia="zh-CN"/>
          <w14:textFill>
            <w14:solidFill>
              <w14:schemeClr w14:val="tx1"/>
            </w14:solidFill>
          </w14:textFill>
        </w:rPr>
        <w:t>493</w:t>
      </w:r>
      <w:r>
        <w:rPr>
          <w:rFonts w:hint="eastAsia" w:ascii="仿宋_GB2312" w:hAnsi="仿宋_GB2312" w:eastAsia="仿宋_GB2312" w:cs="仿宋_GB2312"/>
          <w:color w:val="000000" w:themeColor="text1"/>
          <w:sz w:val="32"/>
          <w:szCs w:val="32"/>
          <w14:textFill>
            <w14:solidFill>
              <w14:schemeClr w14:val="tx1"/>
            </w14:solidFill>
          </w14:textFill>
        </w:rPr>
        <w:t>号）《湖北省生产安全事故报告和调查处理办法》（省政府令第</w:t>
      </w:r>
      <w:r>
        <w:rPr>
          <w:rFonts w:hint="eastAsia" w:ascii="宋体" w:hAnsi="宋体" w:eastAsia="宋体" w:cs="宋体"/>
          <w:color w:val="000000" w:themeColor="text1"/>
          <w:sz w:val="32"/>
          <w:szCs w:val="32"/>
          <w:lang w:val="en-US" w:eastAsia="zh-CN"/>
          <w14:textFill>
            <w14:solidFill>
              <w14:schemeClr w14:val="tx1"/>
            </w14:solidFill>
          </w14:textFill>
        </w:rPr>
        <w:t>354</w:t>
      </w:r>
      <w:r>
        <w:rPr>
          <w:rFonts w:hint="eastAsia" w:ascii="仿宋_GB2312" w:hAnsi="仿宋_GB2312" w:eastAsia="仿宋_GB2312" w:cs="仿宋_GB2312"/>
          <w:color w:val="000000" w:themeColor="text1"/>
          <w:sz w:val="32"/>
          <w:szCs w:val="32"/>
          <w14:textFill>
            <w14:solidFill>
              <w14:schemeClr w14:val="tx1"/>
            </w14:solidFill>
          </w14:textFill>
        </w:rPr>
        <w:t>号）等有关法律法规规定，区人民政府成立由</w:t>
      </w:r>
      <w:r>
        <w:rPr>
          <w:rFonts w:hint="eastAsia" w:ascii="仿宋_GB2312" w:hAnsi="仿宋_GB2312" w:eastAsia="仿宋_GB2312" w:cs="仿宋_GB2312"/>
          <w:b w:val="0"/>
          <w:bCs/>
          <w:sz w:val="32"/>
          <w:szCs w:val="32"/>
          <w:lang w:val="en-US" w:eastAsia="zh-CN"/>
        </w:rPr>
        <w:t>区应急管理局、区公安分局</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bidi="ar-SA"/>
        </w:rPr>
        <w:t>、区发改局、</w:t>
      </w:r>
      <w:r>
        <w:rPr>
          <w:rFonts w:hint="eastAsia" w:ascii="仿宋_GB2312" w:hAnsi="仿宋_GB2312" w:eastAsia="仿宋_GB2312" w:cs="仿宋_GB2312"/>
          <w:b w:val="0"/>
          <w:bCs/>
          <w:sz w:val="32"/>
          <w:szCs w:val="32"/>
          <w:lang w:val="en-US" w:eastAsia="zh-CN"/>
        </w:rPr>
        <w:t>区总工会、工人村街道办事处</w:t>
      </w:r>
      <w:r>
        <w:rPr>
          <w:rFonts w:hint="eastAsia" w:ascii="仿宋_GB2312" w:hAnsi="仿宋_GB2312" w:eastAsia="仿宋_GB2312" w:cs="仿宋_GB2312"/>
          <w:color w:val="000000" w:themeColor="text1"/>
          <w:sz w:val="32"/>
          <w:szCs w:val="32"/>
          <w14:textFill>
            <w14:solidFill>
              <w14:schemeClr w14:val="tx1"/>
            </w14:solidFill>
          </w14:textFill>
        </w:rPr>
        <w:t>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单位组成的</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w:t>
      </w:r>
      <w:r>
        <w:rPr>
          <w:rFonts w:hint="eastAsia" w:ascii="宋体" w:hAnsi="宋体" w:eastAsia="宋体" w:cs="宋体"/>
          <w:color w:val="000000" w:themeColor="text1"/>
          <w:kern w:val="2"/>
          <w:sz w:val="32"/>
          <w:szCs w:val="32"/>
          <w:u w:val="none" w:color="auto"/>
          <w:lang w:val="en-US" w:eastAsia="zh-CN" w:bidi="ar-SA"/>
          <w14:textFill>
            <w14:solidFill>
              <w14:schemeClr w14:val="tx1"/>
            </w14:solidFill>
          </w14:textFill>
        </w:rPr>
        <w:t>7</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宋体" w:hAnsi="宋体" w:eastAsia="宋体" w:cs="宋体"/>
          <w:color w:val="000000" w:themeColor="text1"/>
          <w:sz w:val="32"/>
          <w:szCs w:val="32"/>
          <w:lang w:val="en-US" w:eastAsia="zh-CN"/>
          <w14:textFill>
            <w14:solidFill>
              <w14:schemeClr w14:val="tx1"/>
            </w14:solidFill>
          </w14:textFill>
        </w:rPr>
        <w:t>4</w:t>
      </w:r>
      <w:r>
        <w:rPr>
          <w:rFonts w:hint="eastAsia" w:ascii="Times New Roman" w:hAnsi="Times New Roman" w:eastAsia="仿宋_GB2312" w:cs="Times New Roman"/>
          <w:color w:val="000000" w:themeColor="text1"/>
          <w:kern w:val="2"/>
          <w:sz w:val="32"/>
          <w:szCs w:val="32"/>
          <w:u w:val="none" w:color="auto"/>
          <w:lang w:val="en-US" w:eastAsia="zh-CN" w:bidi="ar-SA"/>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触电事故</w:t>
      </w:r>
      <w:r>
        <w:rPr>
          <w:rFonts w:hint="eastAsia" w:ascii="仿宋_GB2312" w:hAnsi="仿宋_GB2312" w:eastAsia="仿宋_GB2312" w:cs="仿宋_GB2312"/>
          <w:color w:val="000000" w:themeColor="text1"/>
          <w:sz w:val="32"/>
          <w:szCs w:val="32"/>
          <w14:textFill>
            <w14:solidFill>
              <w14:schemeClr w14:val="tx1"/>
            </w14:solidFill>
          </w14:textFill>
        </w:rPr>
        <w:t>调查组</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以下简称事故调查组</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kern w:val="2"/>
          <w:sz w:val="32"/>
          <w:lang w:val="en-US" w:eastAsia="zh-CN" w:bidi="ar-SA"/>
          <w14:textFill>
            <w14:solidFill>
              <w14:schemeClr w14:val="tx1"/>
            </w14:solidFill>
          </w14:textFill>
        </w:rPr>
        <w:t>并邀请区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纪委监委、区检察院等</w:t>
      </w:r>
      <w:r>
        <w:rPr>
          <w:rFonts w:hint="eastAsia" w:ascii="仿宋_GB2312" w:hAnsi="仿宋_GB2312" w:eastAsia="仿宋_GB2312" w:cs="仿宋_GB2312"/>
          <w:b w:val="0"/>
          <w:bCs/>
          <w:sz w:val="32"/>
          <w:szCs w:val="32"/>
          <w:lang w:val="en-US" w:eastAsia="zh-CN"/>
        </w:rPr>
        <w:t>有关部门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参加</w:t>
      </w:r>
      <w:r>
        <w:rPr>
          <w:rFonts w:hint="eastAsia" w:ascii="仿宋_GB2312" w:hAnsi="仿宋_GB2312" w:eastAsia="仿宋_GB2312" w:cs="仿宋_GB2312"/>
          <w:color w:val="000000" w:themeColor="text1"/>
          <w:kern w:val="2"/>
          <w:sz w:val="32"/>
          <w:lang w:val="en-US" w:eastAsia="zh-CN" w:bidi="ar-SA"/>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对事故展开调查。</w:t>
      </w:r>
    </w:p>
    <w:p w14:paraId="0B8E9E7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事故调查组按照“科学严谨、依法依规、实事求是、注重实效”和“四不放过”的原则，通过现场勘验、调查取证、人员询问和综合分析，查清了事故发生的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主要</w:t>
      </w:r>
      <w:r>
        <w:rPr>
          <w:rFonts w:hint="eastAsia" w:ascii="仿宋_GB2312" w:hAnsi="仿宋_GB2312" w:eastAsia="仿宋_GB2312" w:cs="仿宋_GB2312"/>
          <w:color w:val="000000" w:themeColor="text1"/>
          <w:sz w:val="32"/>
          <w:szCs w:val="32"/>
          <w14:textFill>
            <w14:solidFill>
              <w14:schemeClr w14:val="tx1"/>
            </w14:solidFill>
          </w14:textFill>
        </w:rPr>
        <w:t>经过、原因、人员伤亡和财产损失情况，认定了事故的性质和事故责任，提出了对有关责任人员及责任单位的处理建议和事故防范措施建议。</w:t>
      </w:r>
    </w:p>
    <w:p w14:paraId="5EE6F1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经调查认定，青山工人村武汉市青山区茂华种养殖开发部“</w:t>
      </w:r>
      <w:r>
        <w:rPr>
          <w:rFonts w:hint="eastAsia" w:ascii="宋体" w:hAnsi="宋体" w:eastAsia="宋体" w:cs="宋体"/>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宋体" w:hAnsi="宋体" w:eastAsia="宋体" w:cs="宋体"/>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”一般触电事故是一起因安全生产投入和安全教育培训不到位，作业人员</w:t>
      </w:r>
      <w:r>
        <w:rPr>
          <w:rFonts w:hint="eastAsia" w:ascii="仿宋_GB2312" w:hAnsi="仿宋_GB2312" w:eastAsia="仿宋_GB2312" w:cs="仿宋_GB2312"/>
          <w:color w:val="000000" w:themeColor="text1"/>
          <w:sz w:val="32"/>
          <w:szCs w:val="32"/>
          <w14:textFill>
            <w14:solidFill>
              <w14:schemeClr w14:val="tx1"/>
            </w14:solidFill>
          </w14:textFill>
        </w:rPr>
        <w:t>违规作业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而造成的一般生产安全责任事故。</w:t>
      </w:r>
    </w:p>
    <w:p w14:paraId="774E452F">
      <w:pPr>
        <w:pStyle w:val="2"/>
        <w:keepNext w:val="0"/>
        <w:keepLines w:val="0"/>
        <w:pageBreakBefore w:val="0"/>
        <w:widowControl w:val="0"/>
        <w:kinsoku/>
        <w:wordWrap/>
        <w:overflowPunct/>
        <w:autoSpaceDE/>
        <w:autoSpaceDN/>
        <w:bidi w:val="0"/>
        <w:spacing w:before="0" w:beforeLines="0" w:after="0" w:afterLines="0" w:line="560" w:lineRule="exact"/>
        <w:ind w:firstLine="640" w:firstLineChars="200"/>
        <w:textAlignment w:val="auto"/>
        <w:rPr>
          <w:rFonts w:hint="eastAsia" w:ascii="黑体" w:hAnsi="黑体" w:eastAsia="黑体" w:cs="黑体"/>
          <w:b w:val="0"/>
          <w:bCs/>
          <w:sz w:val="32"/>
          <w:szCs w:val="32"/>
          <w:lang w:val="en-US" w:eastAsia="zh-CN"/>
        </w:rPr>
      </w:pPr>
      <w:bookmarkStart w:id="24" w:name="_Toc11511"/>
      <w:bookmarkStart w:id="25" w:name="_Toc27405"/>
      <w:r>
        <w:rPr>
          <w:rFonts w:hint="eastAsia" w:ascii="黑体" w:hAnsi="黑体" w:eastAsia="黑体" w:cs="黑体"/>
          <w:b w:val="0"/>
          <w:bCs/>
          <w:sz w:val="32"/>
          <w:szCs w:val="32"/>
          <w:lang w:val="en-US" w:eastAsia="zh-CN"/>
        </w:rPr>
        <w:t>一、事故基本情况</w:t>
      </w:r>
      <w:bookmarkEnd w:id="24"/>
      <w:bookmarkEnd w:id="25"/>
    </w:p>
    <w:p w14:paraId="51483D5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26" w:name="_Toc14665"/>
      <w:bookmarkStart w:id="27" w:name="_Toc5857"/>
      <w:r>
        <w:rPr>
          <w:rFonts w:hint="eastAsia" w:ascii="楷体_GB2312" w:hAnsi="楷体_GB2312" w:eastAsia="楷体_GB2312" w:cs="楷体_GB2312"/>
          <w:sz w:val="32"/>
          <w:szCs w:val="32"/>
          <w:lang w:val="en-US" w:eastAsia="zh-CN"/>
        </w:rPr>
        <w:t>（一）事故发生单位及相关单位概况</w:t>
      </w:r>
      <w:bookmarkEnd w:id="26"/>
      <w:bookmarkEnd w:id="27"/>
    </w:p>
    <w:p w14:paraId="26793499">
      <w:pPr>
        <w:pStyle w:val="19"/>
        <w:keepNext w:val="0"/>
        <w:keepLines w:val="0"/>
        <w:pageBreakBefore w:val="0"/>
        <w:widowControl w:val="0"/>
        <w:numPr>
          <w:ilvl w:val="0"/>
          <w:numId w:val="0"/>
        </w:numPr>
        <w:kinsoku/>
        <w:wordWrap/>
        <w:overflowPunct/>
        <w:autoSpaceDE/>
        <w:autoSpaceDN/>
        <w:bidi w:val="0"/>
        <w:spacing w:line="560" w:lineRule="exact"/>
        <w:ind w:firstLine="643"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val="0"/>
          <w:sz w:val="32"/>
          <w:szCs w:val="32"/>
          <w:lang w:val="en-US" w:eastAsia="zh-CN"/>
        </w:rPr>
        <w:t>武汉市青山区茂华种养殖开发部</w:t>
      </w:r>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以下简称“茂华种养殖开发部”，统一信用代码：</w:t>
      </w:r>
      <w:r>
        <w:rPr>
          <w:rFonts w:hint="eastAsia" w:ascii="宋体" w:hAnsi="宋体" w:eastAsia="宋体" w:cs="宋体"/>
          <w:color w:val="000000" w:themeColor="text1"/>
          <w:sz w:val="32"/>
          <w:szCs w:val="32"/>
          <w:lang w:val="en-US" w:eastAsia="zh-CN"/>
          <w14:textFill>
            <w14:solidFill>
              <w14:schemeClr w14:val="tx1"/>
            </w14:solidFill>
          </w14:textFill>
        </w:rPr>
        <w:t>92420107</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MA</w:t>
      </w:r>
      <w:r>
        <w:rPr>
          <w:rFonts w:hint="eastAsia" w:ascii="宋体" w:hAnsi="宋体" w:eastAsia="宋体" w:cs="宋体"/>
          <w:color w:val="000000" w:themeColor="text1"/>
          <w:sz w:val="32"/>
          <w:szCs w:val="32"/>
          <w:lang w:val="en-US" w:eastAsia="zh-CN"/>
          <w14:textFill>
            <w14:solidFill>
              <w14:schemeClr w14:val="tx1"/>
            </w14:solidFill>
          </w14:textFill>
        </w:rPr>
        <w:t>4</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JD</w:t>
      </w:r>
      <w:r>
        <w:rPr>
          <w:rFonts w:hint="eastAsia" w:ascii="宋体" w:hAnsi="宋体" w:eastAsia="宋体" w:cs="宋体"/>
          <w:color w:val="000000" w:themeColor="text1"/>
          <w:sz w:val="32"/>
          <w:szCs w:val="32"/>
          <w:lang w:val="en-US" w:eastAsia="zh-CN"/>
          <w14:textFill>
            <w14:solidFill>
              <w14:schemeClr w14:val="tx1"/>
            </w14:solidFill>
          </w14:textFill>
        </w:rPr>
        <w:t>4</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XL</w:t>
      </w:r>
      <w:r>
        <w:rPr>
          <w:rFonts w:hint="eastAsia" w:ascii="宋体" w:hAnsi="宋体" w:eastAsia="宋体" w:cs="宋体"/>
          <w:color w:val="000000" w:themeColor="text1"/>
          <w:sz w:val="32"/>
          <w:szCs w:val="32"/>
          <w:lang w:val="en-US" w:eastAsia="zh-CN"/>
          <w14:textFill>
            <w14:solidFill>
              <w14:schemeClr w14:val="tx1"/>
            </w14:solidFill>
          </w14:textFill>
        </w:rPr>
        <w:t>5</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J，类型为个体工商户，组成形式为个人经营，注册日期为</w:t>
      </w:r>
      <w:r>
        <w:rPr>
          <w:rFonts w:hint="eastAsia" w:ascii="宋体" w:hAnsi="宋体" w:eastAsia="宋体" w:cs="宋体"/>
          <w:color w:val="000000" w:themeColor="text1"/>
          <w:sz w:val="32"/>
          <w:szCs w:val="32"/>
          <w:lang w:val="en-US" w:eastAsia="zh-CN"/>
          <w14:textFill>
            <w14:solidFill>
              <w14:schemeClr w14:val="tx1"/>
            </w14:solidFill>
          </w14:textFill>
        </w:rPr>
        <w:t>2012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年</w:t>
      </w:r>
      <w:r>
        <w:rPr>
          <w:rFonts w:hint="eastAsia" w:ascii="宋体" w:hAnsi="宋体" w:eastAsia="宋体" w:cs="宋体"/>
          <w:color w:val="000000" w:themeColor="text1"/>
          <w:sz w:val="32"/>
          <w:szCs w:val="32"/>
          <w:lang w:val="en-US" w:eastAsia="zh-CN"/>
          <w14:textFill>
            <w14:solidFill>
              <w14:schemeClr w14:val="tx1"/>
            </w14:solidFill>
          </w14:textFill>
        </w:rPr>
        <w:t>10</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月</w:t>
      </w:r>
      <w:r>
        <w:rPr>
          <w:rFonts w:hint="eastAsia" w:ascii="宋体" w:hAnsi="宋体" w:eastAsia="宋体" w:cs="宋体"/>
          <w:color w:val="000000" w:themeColor="text1"/>
          <w:sz w:val="32"/>
          <w:szCs w:val="32"/>
          <w:lang w:val="en-US" w:eastAsia="zh-CN"/>
          <w14:textFill>
            <w14:solidFill>
              <w14:schemeClr w14:val="tx1"/>
            </w14:solidFill>
          </w14:textFill>
        </w:rPr>
        <w:t>23</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日，经营场所为武汉市青山区武钢十八号门外葡萄园，经营范围：停车场服务，租赁服务（不含许可类租赁服务），住房租赁，非居住房地产租赁等。</w:t>
      </w:r>
    </w:p>
    <w:p w14:paraId="095596B7">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28" w:name="_Toc17291"/>
      <w:bookmarkStart w:id="29" w:name="_Toc22357"/>
      <w:r>
        <w:rPr>
          <w:rFonts w:hint="eastAsia" w:ascii="楷体_GB2312" w:hAnsi="楷体_GB2312" w:eastAsia="楷体_GB2312" w:cs="楷体_GB2312"/>
          <w:sz w:val="32"/>
          <w:szCs w:val="32"/>
          <w:lang w:val="en-US" w:eastAsia="zh-CN"/>
        </w:rPr>
        <w:t>（二）事故发生单位安全管理情况</w:t>
      </w:r>
      <w:bookmarkEnd w:id="28"/>
      <w:bookmarkEnd w:id="29"/>
    </w:p>
    <w:p w14:paraId="1D48E28F">
      <w:pPr>
        <w:keepNext w:val="0"/>
        <w:keepLines w:val="0"/>
        <w:pageBreakBefore w:val="0"/>
        <w:widowControl w:val="0"/>
        <w:kinsoku/>
        <w:wordWrap/>
        <w:overflowPunct/>
        <w:autoSpaceDE/>
        <w:autoSpaceDN/>
        <w:bidi w:val="0"/>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茂华种养殖开发部由经营者陈某茂直接负责安全管理，安全生产教育培训不到位，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雇佣人员存在违章作业情况</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；安全风险辨识和隐患治理不到位，未有效识别电力作业安全风险</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并采取相应措施消除事故隐患。</w:t>
      </w:r>
    </w:p>
    <w:p w14:paraId="7EF84B2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30" w:name="_Toc11408"/>
      <w:r>
        <w:rPr>
          <w:rFonts w:hint="eastAsia" w:ascii="楷体_GB2312" w:hAnsi="楷体_GB2312" w:eastAsia="楷体_GB2312" w:cs="楷体_GB2312"/>
          <w:sz w:val="32"/>
          <w:szCs w:val="32"/>
          <w:lang w:val="en-US" w:eastAsia="zh-CN"/>
        </w:rPr>
        <w:t>（三）事故发生经过</w:t>
      </w:r>
      <w:bookmarkEnd w:id="30"/>
    </w:p>
    <w:p w14:paraId="2F51DBB8">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val="en-US" w:eastAsia="zh-CN"/>
          <w14:textFill>
            <w14:solidFill>
              <w14:schemeClr w14:val="tx1"/>
            </w14:solidFill>
          </w14:textFill>
        </w:rPr>
        <w:t>2026</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年</w:t>
      </w:r>
      <w:r>
        <w:rPr>
          <w:rFonts w:hint="eastAsia" w:ascii="宋体" w:hAnsi="宋体" w:eastAsia="宋体" w:cs="宋体"/>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月</w:t>
      </w:r>
      <w:r>
        <w:rPr>
          <w:rFonts w:hint="eastAsia" w:ascii="宋体" w:hAnsi="宋体" w:eastAsia="宋体" w:cs="宋体"/>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日</w:t>
      </w:r>
      <w:r>
        <w:rPr>
          <w:rFonts w:hint="eastAsia" w:ascii="宋体" w:hAnsi="宋体" w:eastAsia="宋体" w:cs="宋体"/>
          <w:color w:val="000000" w:themeColor="text1"/>
          <w:sz w:val="32"/>
          <w:szCs w:val="32"/>
          <w:lang w:val="en-US" w:eastAsia="zh-CN"/>
          <w14:textFill>
            <w14:solidFill>
              <w14:schemeClr w14:val="tx1"/>
            </w14:solidFill>
          </w14:textFill>
        </w:rPr>
        <w:t>14</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时</w:t>
      </w:r>
      <w:r>
        <w:rPr>
          <w:rFonts w:hint="eastAsia" w:ascii="宋体" w:hAnsi="宋体" w:eastAsia="宋体" w:cs="宋体"/>
          <w:color w:val="000000" w:themeColor="text1"/>
          <w:sz w:val="32"/>
          <w:szCs w:val="32"/>
          <w:lang w:val="en-US" w:eastAsia="zh-CN"/>
          <w14:textFill>
            <w14:solidFill>
              <w14:schemeClr w14:val="tx1"/>
            </w14:solidFill>
          </w14:textFill>
        </w:rPr>
        <w:t>33</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分许，</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茂华种养殖开发部大门道闸区出现断电，后造成车辆无法出入园区。</w:t>
      </w:r>
      <w:r>
        <w:rPr>
          <w:rFonts w:hint="eastAsia" w:ascii="宋体" w:hAnsi="宋体" w:eastAsia="宋体" w:cs="宋体"/>
          <w:color w:val="000000" w:themeColor="text1"/>
          <w:sz w:val="32"/>
          <w:szCs w:val="32"/>
          <w:lang w:val="en-US" w:eastAsia="zh-CN"/>
          <w14:textFill>
            <w14:solidFill>
              <w14:schemeClr w14:val="tx1"/>
            </w14:solidFill>
          </w14:textFill>
        </w:rPr>
        <w:t>14</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时</w:t>
      </w:r>
      <w:r>
        <w:rPr>
          <w:rFonts w:hint="eastAsia" w:ascii="宋体" w:hAnsi="宋体" w:eastAsia="宋体" w:cs="宋体"/>
          <w:color w:val="000000" w:themeColor="text1"/>
          <w:sz w:val="32"/>
          <w:szCs w:val="32"/>
          <w:lang w:val="en-US" w:eastAsia="zh-CN"/>
          <w14:textFill>
            <w14:solidFill>
              <w14:schemeClr w14:val="tx1"/>
            </w14:solidFill>
          </w14:textFill>
        </w:rPr>
        <w:t>40</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分许，茂华种养殖开发部员工张某明前往园区内</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箱式变电站查看故障情况。</w:t>
      </w: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14</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时</w:t>
      </w: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42</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分</w:t>
      </w: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42</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秒，</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张某明离开</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箱式变电站接听电话，在</w:t>
      </w: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14</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时</w:t>
      </w: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43</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分返回进入箱式变电</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站侧边通道。</w:t>
      </w:r>
      <w:r>
        <w:rPr>
          <w:rFonts w:hint="eastAsia" w:ascii="宋体" w:hAnsi="宋体" w:eastAsia="宋体" w:cs="宋体"/>
          <w:color w:val="000000" w:themeColor="text1"/>
          <w:sz w:val="32"/>
          <w:szCs w:val="32"/>
          <w:lang w:val="en-US" w:eastAsia="zh-CN"/>
          <w14:textFill>
            <w14:solidFill>
              <w14:schemeClr w14:val="tx1"/>
            </w14:solidFill>
          </w14:textFill>
        </w:rPr>
        <w:t>14</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时</w:t>
      </w:r>
      <w:r>
        <w:rPr>
          <w:rFonts w:hint="eastAsia" w:ascii="宋体" w:hAnsi="宋体" w:eastAsia="宋体" w:cs="宋体"/>
          <w:color w:val="000000" w:themeColor="text1"/>
          <w:sz w:val="32"/>
          <w:szCs w:val="32"/>
          <w:lang w:val="en-US" w:eastAsia="zh-CN"/>
          <w14:textFill>
            <w14:solidFill>
              <w14:schemeClr w14:val="tx1"/>
            </w14:solidFill>
          </w14:textFill>
        </w:rPr>
        <w:t>44</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分</w:t>
      </w:r>
      <w:r>
        <w:rPr>
          <w:rFonts w:hint="eastAsia" w:ascii="宋体" w:hAnsi="宋体" w:eastAsia="宋体" w:cs="宋体"/>
          <w:color w:val="000000" w:themeColor="text1"/>
          <w:sz w:val="32"/>
          <w:szCs w:val="32"/>
          <w:lang w:val="en-US" w:eastAsia="zh-CN"/>
          <w14:textFill>
            <w14:solidFill>
              <w14:schemeClr w14:val="tx1"/>
            </w14:solidFill>
          </w14:textFill>
        </w:rPr>
        <w:t>13</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秒，箱式变电站低压侧柜门被弹开。</w:t>
      </w:r>
      <w:r>
        <w:rPr>
          <w:rFonts w:hint="eastAsia" w:ascii="宋体" w:hAnsi="宋体" w:eastAsia="宋体" w:cs="宋体"/>
          <w:color w:val="000000" w:themeColor="text1"/>
          <w:sz w:val="32"/>
          <w:szCs w:val="32"/>
          <w:lang w:val="en-US" w:eastAsia="zh-CN"/>
          <w14:textFill>
            <w14:solidFill>
              <w14:schemeClr w14:val="tx1"/>
            </w14:solidFill>
          </w14:textFill>
        </w:rPr>
        <w:t>14</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时</w:t>
      </w:r>
      <w:r>
        <w:rPr>
          <w:rFonts w:hint="eastAsia" w:ascii="宋体" w:hAnsi="宋体" w:eastAsia="宋体" w:cs="宋体"/>
          <w:color w:val="000000" w:themeColor="text1"/>
          <w:sz w:val="32"/>
          <w:szCs w:val="32"/>
          <w:lang w:val="en-US" w:eastAsia="zh-CN"/>
          <w14:textFill>
            <w14:solidFill>
              <w14:schemeClr w14:val="tx1"/>
            </w14:solidFill>
          </w14:textFill>
        </w:rPr>
        <w:t>53</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分</w:t>
      </w:r>
      <w:r>
        <w:rPr>
          <w:rFonts w:hint="eastAsia" w:ascii="宋体" w:hAnsi="宋体" w:eastAsia="宋体" w:cs="宋体"/>
          <w:color w:val="000000" w:themeColor="text1"/>
          <w:sz w:val="32"/>
          <w:szCs w:val="32"/>
          <w:lang w:val="en-US" w:eastAsia="zh-CN"/>
          <w14:textFill>
            <w14:solidFill>
              <w14:schemeClr w14:val="tx1"/>
            </w14:solidFill>
          </w14:textFill>
        </w:rPr>
        <w:t>58</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秒，茂华种养殖开发部经营者陈某茂来到</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箱式变电</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站，发现张某明躺在通风沟内，经拉拽无反应。</w:t>
      </w:r>
    </w:p>
    <w:p w14:paraId="0E653BAC">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31" w:name="_Toc30088"/>
      <w:r>
        <w:rPr>
          <w:rFonts w:hint="eastAsia" w:ascii="楷体_GB2312" w:hAnsi="楷体_GB2312" w:eastAsia="楷体_GB2312" w:cs="楷体_GB2312"/>
          <w:sz w:val="32"/>
          <w:szCs w:val="32"/>
          <w:lang w:val="en-US" w:eastAsia="zh-CN"/>
        </w:rPr>
        <w:t>（四）事故现场情况</w:t>
      </w:r>
      <w:bookmarkEnd w:id="31"/>
    </w:p>
    <w:p w14:paraId="3061A7FA">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本次事故地点为位于茂华种养殖开发部西北方向的箱式变电站侧边通道上（图</w:t>
      </w:r>
      <w:r>
        <w:rPr>
          <w:rFonts w:hint="eastAsia" w:ascii="宋体" w:hAnsi="宋体" w:eastAsia="宋体" w:cs="宋体"/>
          <w:color w:val="000000" w:themeColor="text1"/>
          <w:sz w:val="32"/>
          <w:szCs w:val="32"/>
          <w:lang w:val="en-US" w:eastAsia="zh-CN"/>
          <w14:textFill>
            <w14:solidFill>
              <w14:schemeClr w14:val="tx1"/>
            </w14:solidFill>
          </w14:textFill>
        </w:rPr>
        <w:t>1</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），箱式变电站低压侧侧门敞开(图</w:t>
      </w:r>
      <w:r>
        <w:rPr>
          <w:rFonts w:hint="eastAsia" w:ascii="宋体" w:hAnsi="宋体" w:eastAsia="宋体" w:cs="宋体"/>
          <w:color w:val="000000" w:themeColor="text1"/>
          <w:sz w:val="32"/>
          <w:szCs w:val="32"/>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)，低压侧出现柜内部结构（图</w:t>
      </w:r>
      <w:r>
        <w:rPr>
          <w:rFonts w:hint="eastAsia" w:ascii="宋体" w:hAnsi="宋体" w:eastAsia="宋体" w:cs="宋体"/>
          <w:color w:val="000000" w:themeColor="text1"/>
          <w:sz w:val="32"/>
          <w:szCs w:val="32"/>
          <w:lang w:val="en-US" w:eastAsia="zh-CN"/>
          <w14:textFill>
            <w14:solidFill>
              <w14:schemeClr w14:val="tx1"/>
            </w14:solidFill>
          </w14:textFill>
        </w:rPr>
        <w:t>3</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p>
    <w:p w14:paraId="13FC8CE6">
      <w:pPr>
        <w:keepNext w:val="0"/>
        <w:keepLines w:val="0"/>
        <w:pageBreakBefore w:val="0"/>
        <w:widowControl w:val="0"/>
        <w:kinsoku/>
        <w:wordWrap/>
        <w:overflowPunct/>
        <w:topLinePunct w:val="0"/>
        <w:autoSpaceDE/>
        <w:autoSpaceDN/>
        <w:bidi w:val="0"/>
        <w:snapToGrid/>
        <w:spacing w:line="560" w:lineRule="exact"/>
        <w:jc w:val="both"/>
        <w:textAlignment w:val="auto"/>
        <w:rPr>
          <w:rFonts w:hint="eastAsia" w:ascii="楷体_GB2312" w:hAnsi="楷体_GB2312" w:eastAsia="楷体_GB2312" w:cs="楷体_GB2312"/>
          <w:b/>
          <w:bCs/>
          <w:sz w:val="32"/>
          <w:szCs w:val="32"/>
          <w:lang w:val="en-US" w:eastAsia="zh-CN"/>
        </w:rPr>
      </w:pPr>
      <w:r>
        <w:drawing>
          <wp:anchor distT="0" distB="0" distL="114300" distR="114300" simplePos="0" relativeHeight="251667456" behindDoc="0" locked="0" layoutInCell="1" allowOverlap="1">
            <wp:simplePos x="0" y="0"/>
            <wp:positionH relativeFrom="column">
              <wp:posOffset>-171450</wp:posOffset>
            </wp:positionH>
            <wp:positionV relativeFrom="paragraph">
              <wp:posOffset>144780</wp:posOffset>
            </wp:positionV>
            <wp:extent cx="2952115" cy="2952115"/>
            <wp:effectExtent l="0" t="0" r="635" b="635"/>
            <wp:wrapTopAndBottom/>
            <wp:docPr id="2" name="图片 1"/>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7"/>
                    <a:srcRect l="6764"/>
                    <a:stretch>
                      <a:fillRect/>
                    </a:stretch>
                  </pic:blipFill>
                  <pic:spPr>
                    <a:xfrm>
                      <a:off x="0" y="0"/>
                      <a:ext cx="2952115" cy="2952115"/>
                    </a:xfrm>
                    <a:prstGeom prst="rect">
                      <a:avLst/>
                    </a:prstGeom>
                    <a:noFill/>
                    <a:ln>
                      <a:noFill/>
                    </a:ln>
                  </pic:spPr>
                </pic:pic>
              </a:graphicData>
            </a:graphic>
          </wp:anchor>
        </w:drawing>
      </w:r>
      <w:r>
        <w:rPr>
          <w:rFonts w:hint="eastAsia" w:ascii="楷体_GB2312" w:hAnsi="楷体_GB2312" w:eastAsia="楷体_GB2312" w:cs="楷体_GB2312"/>
          <w:b/>
          <w:bCs/>
          <w:sz w:val="32"/>
          <w:szCs w:val="32"/>
          <w:lang w:val="en-US" w:eastAsia="zh-CN"/>
        </w:rPr>
        <w:drawing>
          <wp:anchor distT="0" distB="0" distL="114300" distR="114300" simplePos="0" relativeHeight="251665408" behindDoc="0" locked="0" layoutInCell="1" allowOverlap="1">
            <wp:simplePos x="0" y="0"/>
            <wp:positionH relativeFrom="column">
              <wp:posOffset>2994025</wp:posOffset>
            </wp:positionH>
            <wp:positionV relativeFrom="paragraph">
              <wp:posOffset>171450</wp:posOffset>
            </wp:positionV>
            <wp:extent cx="2952115" cy="2952115"/>
            <wp:effectExtent l="0" t="0" r="635" b="635"/>
            <wp:wrapTopAndBottom/>
            <wp:docPr id="10" name="图片 10" descr="门被弹开144413"/>
            <wp:cNvGraphicFramePr/>
            <a:graphic xmlns:a="http://schemas.openxmlformats.org/drawingml/2006/main">
              <a:graphicData uri="http://schemas.openxmlformats.org/drawingml/2006/picture">
                <pic:pic xmlns:pic="http://schemas.openxmlformats.org/drawingml/2006/picture">
                  <pic:nvPicPr>
                    <pic:cNvPr id="10" name="图片 10" descr="门被弹开144413"/>
                    <pic:cNvPicPr/>
                  </pic:nvPicPr>
                  <pic:blipFill>
                    <a:blip r:embed="rId8"/>
                    <a:srcRect l="37811" t="26020" r="32198" b="28507"/>
                    <a:stretch>
                      <a:fillRect/>
                    </a:stretch>
                  </pic:blipFill>
                  <pic:spPr>
                    <a:xfrm>
                      <a:off x="0" y="0"/>
                      <a:ext cx="2952115" cy="2952115"/>
                    </a:xfrm>
                    <a:prstGeom prst="rect">
                      <a:avLst/>
                    </a:prstGeom>
                  </pic:spPr>
                </pic:pic>
              </a:graphicData>
            </a:graphic>
          </wp:anchor>
        </w:drawing>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图</w:t>
      </w:r>
      <w:r>
        <w:rPr>
          <w:rFonts w:hint="eastAsia" w:ascii="宋体" w:hAnsi="宋体" w:eastAsia="宋体" w:cs="宋体"/>
          <w:color w:val="000000" w:themeColor="text1"/>
          <w:kern w:val="2"/>
          <w:sz w:val="32"/>
          <w:szCs w:val="32"/>
          <w:highlight w:val="none"/>
          <w:u w:val="none" w:color="auto"/>
          <w:lang w:val="en-US" w:eastAsia="zh-CN" w:bidi="ar-SA"/>
          <w14:textFill>
            <w14:solidFill>
              <w14:schemeClr w14:val="tx1"/>
            </w14:solidFill>
          </w14:textFill>
        </w:rPr>
        <w:t>1</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（低压侧</w:t>
      </w:r>
      <w:r>
        <w:rPr>
          <w:rFonts w:hint="eastAsia" w:ascii="仿宋_GB2312" w:hAnsi="仿宋_GB2312" w:eastAsia="仿宋_GB2312" w:cs="仿宋_GB2312"/>
          <w:kern w:val="2"/>
          <w:sz w:val="32"/>
          <w:szCs w:val="32"/>
          <w:u w:val="none"/>
          <w:lang w:val="en-US" w:eastAsia="zh-CN" w:bidi="ar-SA"/>
        </w:rPr>
        <w:t>通风沟上方无盖板</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图</w:t>
      </w:r>
      <w:r>
        <w:rPr>
          <w:rFonts w:hint="eastAsia" w:ascii="宋体" w:hAnsi="宋体" w:eastAsia="宋体" w:cs="宋体"/>
          <w:color w:val="000000" w:themeColor="text1"/>
          <w:sz w:val="32"/>
          <w:szCs w:val="32"/>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（箱式变电站低压侧侧门）</w:t>
      </w:r>
    </w:p>
    <w:p w14:paraId="1172CE1E">
      <w:pPr>
        <w:pStyle w:val="11"/>
        <w:keepNext w:val="0"/>
        <w:keepLines w:val="0"/>
        <w:pageBreakBefore w:val="0"/>
        <w:widowControl w:val="0"/>
        <w:kinsoku/>
        <w:wordWrap/>
        <w:overflowPunct/>
        <w:topLinePunct w:val="0"/>
        <w:autoSpaceDE/>
        <w:autoSpaceDN/>
        <w:bidi w:val="0"/>
        <w:snapToGrid/>
        <w:spacing w:line="560" w:lineRule="exact"/>
        <w:ind w:left="0" w:leftChars="0" w:firstLine="0" w:firstLineChars="0"/>
        <w:jc w:val="center"/>
        <w:textAlignment w:val="auto"/>
        <w:outlineLvl w:val="1"/>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bookmarkStart w:id="32" w:name="_Toc23387"/>
      <w:r>
        <w:rPr>
          <w:rFonts w:hint="eastAsia" w:ascii="楷体_GB2312" w:hAnsi="楷体_GB2312" w:eastAsia="楷体_GB2312" w:cs="楷体_GB2312"/>
          <w:b/>
          <w:bCs/>
          <w:sz w:val="32"/>
          <w:szCs w:val="32"/>
          <w:lang w:val="en-US" w:eastAsia="zh-CN"/>
        </w:rPr>
        <w:drawing>
          <wp:anchor distT="0" distB="0" distL="114300" distR="114300" simplePos="0" relativeHeight="251666432" behindDoc="0" locked="0" layoutInCell="1" allowOverlap="1">
            <wp:simplePos x="0" y="0"/>
            <wp:positionH relativeFrom="column">
              <wp:posOffset>1374140</wp:posOffset>
            </wp:positionH>
            <wp:positionV relativeFrom="paragraph">
              <wp:posOffset>57785</wp:posOffset>
            </wp:positionV>
            <wp:extent cx="2952115" cy="2952115"/>
            <wp:effectExtent l="0" t="0" r="635" b="635"/>
            <wp:wrapTopAndBottom/>
            <wp:docPr id="11" name="图片 11" descr="微信图片_2026070422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60704223323"/>
                    <pic:cNvPicPr>
                      <a:picLocks noChangeAspect="1"/>
                    </pic:cNvPicPr>
                  </pic:nvPicPr>
                  <pic:blipFill>
                    <a:blip r:embed="rId9"/>
                    <a:srcRect b="19437"/>
                    <a:stretch>
                      <a:fillRect/>
                    </a:stretch>
                  </pic:blipFill>
                  <pic:spPr>
                    <a:xfrm>
                      <a:off x="0" y="0"/>
                      <a:ext cx="2952115" cy="2952115"/>
                    </a:xfrm>
                    <a:prstGeom prst="rect">
                      <a:avLst/>
                    </a:prstGeom>
                  </pic:spPr>
                </pic:pic>
              </a:graphicData>
            </a:graphic>
          </wp:anchor>
        </w:drawing>
      </w:r>
      <w:r>
        <w:rPr>
          <w:rFonts w:hint="eastAsia" w:ascii="楷体_GB2312" w:hAnsi="楷体_GB2312" w:eastAsia="楷体_GB2312" w:cs="楷体_GB2312"/>
          <w:b w:val="0"/>
          <w:bCs w:val="0"/>
          <w:sz w:val="32"/>
          <w:szCs w:val="32"/>
          <w:lang w:val="en-US" w:eastAsia="zh-CN"/>
        </w:rPr>
        <w:t>图</w:t>
      </w:r>
      <w:r>
        <w:rPr>
          <w:rFonts w:hint="eastAsia" w:ascii="宋体" w:hAnsi="宋体" w:eastAsia="宋体" w:cs="宋体"/>
          <w:b w:val="0"/>
          <w:bCs w:val="0"/>
          <w:sz w:val="32"/>
          <w:szCs w:val="32"/>
          <w:lang w:val="en-US" w:eastAsia="zh-CN"/>
        </w:rPr>
        <w:t>3</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（出电柜裸带电体无隔离防护）</w:t>
      </w:r>
      <w:bookmarkEnd w:id="32"/>
    </w:p>
    <w:p w14:paraId="63C8A01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33" w:name="_Toc22432"/>
      <w:r>
        <w:rPr>
          <w:rFonts w:hint="eastAsia" w:ascii="楷体_GB2312" w:hAnsi="楷体_GB2312" w:eastAsia="楷体_GB2312" w:cs="楷体_GB2312"/>
          <w:sz w:val="32"/>
          <w:szCs w:val="32"/>
          <w:lang w:val="en-US" w:eastAsia="zh-CN"/>
        </w:rPr>
        <w:t>（五）人员伤亡和直接经济损失情况</w:t>
      </w:r>
      <w:bookmarkEnd w:id="33"/>
    </w:p>
    <w:p w14:paraId="3F1B1F41">
      <w:pPr>
        <w:keepNext w:val="0"/>
        <w:keepLines w:val="0"/>
        <w:pageBreakBefore w:val="0"/>
        <w:widowControl w:val="0"/>
        <w:kinsoku/>
        <w:wordWrap/>
        <w:overflowPunct/>
        <w:topLinePunct w:val="0"/>
        <w:autoSpaceDE/>
        <w:autoSpaceDN/>
        <w:bidi w:val="0"/>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宋体" w:hAnsi="宋体" w:eastAsia="宋体" w:cs="宋体"/>
          <w:b/>
          <w:bCs/>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.人员伤亡情况。</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事故造成</w:t>
      </w:r>
      <w:r>
        <w:rPr>
          <w:rFonts w:hint="eastAsia" w:ascii="宋体" w:hAnsi="宋体" w:eastAsia="宋体" w:cs="宋体"/>
          <w:color w:val="000000" w:themeColor="text1"/>
          <w:kern w:val="2"/>
          <w:sz w:val="32"/>
          <w:szCs w:val="32"/>
          <w:highlight w:val="none"/>
          <w:u w:val="none" w:color="auto"/>
          <w:lang w:val="en-US" w:eastAsia="zh-CN" w:bidi="ar-SA"/>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人死亡：张某明，为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茂华种养殖开发部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电工、污水工，持有特种作业操作证（低压电工作业）。</w:t>
      </w:r>
    </w:p>
    <w:p w14:paraId="1C608AF7">
      <w:pPr>
        <w:keepNext w:val="0"/>
        <w:keepLines w:val="0"/>
        <w:pageBreakBefore w:val="0"/>
        <w:widowControl w:val="0"/>
        <w:kinsoku/>
        <w:wordWrap/>
        <w:overflowPunct/>
        <w:topLinePunct w:val="0"/>
        <w:autoSpaceDE/>
        <w:autoSpaceDN/>
        <w:bidi w:val="0"/>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宋体" w:hAnsi="宋体" w:eastAsia="宋体" w:cs="宋体"/>
          <w:b/>
          <w:bCs/>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.事故损失情况。</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根据《生产安全事故直接经济损失统计要求（GB</w:t>
      </w:r>
      <w:r>
        <w:rPr>
          <w:rFonts w:hint="eastAsia" w:ascii="宋体" w:hAnsi="宋体" w:eastAsia="宋体" w:cs="宋体"/>
          <w:color w:val="000000" w:themeColor="text1"/>
          <w:sz w:val="32"/>
          <w:szCs w:val="32"/>
          <w:lang w:val="en-US" w:eastAsia="zh-CN"/>
          <w14:textFill>
            <w14:solidFill>
              <w14:schemeClr w14:val="tx1"/>
            </w14:solidFill>
          </w14:textFill>
        </w:rPr>
        <w:t>6721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宋体" w:hAnsi="宋体" w:eastAsia="宋体" w:cs="宋体"/>
          <w:color w:val="000000" w:themeColor="text1"/>
          <w:sz w:val="32"/>
          <w:szCs w:val="32"/>
          <w:lang w:val="en-US" w:eastAsia="zh-CN"/>
          <w14:textFill>
            <w14:solidFill>
              <w14:schemeClr w14:val="tx1"/>
            </w14:solidFill>
          </w14:textFill>
        </w:rPr>
        <w:t>2025</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）》，事故造成直接经济损失为</w:t>
      </w:r>
      <w:r>
        <w:rPr>
          <w:rFonts w:hint="eastAsia" w:ascii="宋体" w:hAnsi="宋体" w:eastAsia="宋体" w:cs="宋体"/>
          <w:color w:val="000000" w:themeColor="text1"/>
          <w:sz w:val="32"/>
          <w:szCs w:val="32"/>
          <w:lang w:val="en-US" w:eastAsia="zh-CN"/>
          <w14:textFill>
            <w14:solidFill>
              <w14:schemeClr w14:val="tx1"/>
            </w14:solidFill>
          </w14:textFill>
        </w:rPr>
        <w:t>200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万元，为人身伤亡后所支出的费用中的死亡赔偿金。</w:t>
      </w:r>
    </w:p>
    <w:p w14:paraId="7EB9126A">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default" w:ascii="楷体_GB2312" w:hAnsi="楷体_GB2312" w:eastAsia="楷体_GB2312" w:cs="楷体_GB2312"/>
          <w:sz w:val="32"/>
          <w:szCs w:val="32"/>
          <w:lang w:val="en-US" w:eastAsia="zh-CN"/>
        </w:rPr>
      </w:pPr>
      <w:bookmarkStart w:id="34" w:name="_Toc18885"/>
      <w:r>
        <w:rPr>
          <w:rFonts w:hint="eastAsia" w:ascii="楷体_GB2312" w:hAnsi="楷体_GB2312" w:eastAsia="楷体_GB2312" w:cs="楷体_GB2312"/>
          <w:sz w:val="32"/>
          <w:szCs w:val="32"/>
          <w:lang w:val="en-US" w:eastAsia="zh-CN"/>
        </w:rPr>
        <w:t>（六）其他情况</w:t>
      </w:r>
      <w:bookmarkEnd w:id="34"/>
    </w:p>
    <w:p w14:paraId="7823E258">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.涉事</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箱式变电站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为高压/低压预装式变电站，高压室额定电压</w:t>
      </w:r>
      <w:r>
        <w:rPr>
          <w:rFonts w:hint="eastAsia" w:ascii="宋体" w:hAnsi="宋体" w:eastAsia="宋体" w:cs="宋体"/>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kV，低压室额定电压</w:t>
      </w:r>
      <w:r>
        <w:rPr>
          <w:rFonts w:hint="eastAsia" w:ascii="宋体" w:hAnsi="宋体" w:eastAsia="宋体" w:cs="宋体"/>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宋体" w:hAnsi="宋体" w:eastAsia="宋体" w:cs="宋体"/>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kV，变压器额定容量</w:t>
      </w:r>
      <w:r>
        <w:rPr>
          <w:rFonts w:hint="eastAsia" w:ascii="宋体" w:hAnsi="宋体" w:eastAsia="宋体" w:cs="宋体"/>
          <w:color w:val="000000" w:themeColor="text1"/>
          <w:sz w:val="32"/>
          <w:szCs w:val="32"/>
          <w:lang w:val="en-US" w:eastAsia="zh-CN"/>
          <w14:textFill>
            <w14:solidFill>
              <w14:schemeClr w14:val="tx1"/>
            </w14:solidFill>
          </w14:textFill>
        </w:rPr>
        <w:t>1000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kVA，防护等级IP</w:t>
      </w:r>
      <w:r>
        <w:rPr>
          <w:rFonts w:hint="eastAsia" w:ascii="宋体" w:hAnsi="宋体" w:eastAsia="宋体" w:cs="宋体"/>
          <w:color w:val="000000" w:themeColor="text1"/>
          <w:sz w:val="32"/>
          <w:szCs w:val="32"/>
          <w:lang w:val="en-US" w:eastAsia="zh-CN"/>
          <w14:textFill>
            <w14:solidFill>
              <w14:schemeClr w14:val="tx1"/>
            </w14:solidFill>
          </w14:textFill>
        </w:rPr>
        <w:t>33</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D，出厂日期</w:t>
      </w:r>
      <w:r>
        <w:rPr>
          <w:rFonts w:hint="eastAsia" w:ascii="宋体" w:hAnsi="宋体" w:eastAsia="宋体" w:cs="宋体"/>
          <w:color w:val="000000" w:themeColor="text1"/>
          <w:sz w:val="32"/>
          <w:szCs w:val="32"/>
          <w:lang w:val="en-US" w:eastAsia="zh-CN"/>
          <w14:textFill>
            <w14:solidFill>
              <w14:schemeClr w14:val="tx1"/>
            </w14:solidFill>
          </w14:textFill>
        </w:rPr>
        <w:t>2025</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年</w:t>
      </w:r>
      <w:r>
        <w:rPr>
          <w:rFonts w:hint="eastAsia" w:ascii="宋体" w:hAnsi="宋体" w:eastAsia="宋体" w:cs="宋体"/>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月</w:t>
      </w:r>
      <w:r>
        <w:rPr>
          <w:rFonts w:hint="eastAsia" w:ascii="宋体" w:hAnsi="宋体" w:eastAsia="宋体" w:cs="宋体"/>
          <w:color w:val="000000" w:themeColor="text1"/>
          <w:sz w:val="32"/>
          <w:szCs w:val="32"/>
          <w:lang w:val="en-US" w:eastAsia="zh-CN"/>
          <w14:textFill>
            <w14:solidFill>
              <w14:schemeClr w14:val="tx1"/>
            </w14:solidFill>
          </w14:textFill>
        </w:rPr>
        <w:t>22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日。</w:t>
      </w:r>
    </w:p>
    <w:p w14:paraId="0155D883">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pP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2</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w:t>
      </w: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2025</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年</w:t>
      </w: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7</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月</w:t>
      </w: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日，茂华种养殖开发部与夏某胜[持有特种作业操作证（低压电工作业）]签订了《箱式变电站年度维保服务协议》，服务期限为</w:t>
      </w: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2025</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年</w:t>
      </w: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7</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月</w:t>
      </w: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日起至</w:t>
      </w: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2028</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年</w:t>
      </w: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6</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月</w:t>
      </w: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31</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日止，服务范围为高压室、变压器室、低压室、无功补偿柜、进出线系统、接地系统、箱体防护全套运维。</w:t>
      </w:r>
    </w:p>
    <w:p w14:paraId="69270564">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default" w:ascii="仿宋_GB2312" w:hAnsi="仿宋_GB2312" w:eastAsia="仿宋_GB2312" w:cs="仿宋_GB2312"/>
          <w:b w:val="0"/>
          <w:color w:val="000000" w:themeColor="text1"/>
          <w:kern w:val="2"/>
          <w:sz w:val="32"/>
          <w:szCs w:val="32"/>
          <w:lang w:val="en-US" w:eastAsia="zh-CN" w:bidi="ar-SA"/>
          <w14:textFill>
            <w14:solidFill>
              <w14:schemeClr w14:val="tx1"/>
            </w14:solidFill>
          </w14:textFill>
        </w:rPr>
      </w:pP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3</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大门道闸区出现断电后</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，张某明独自一人</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0"/>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到箱式变电站进行故障排查处理，且未穿戴绝缘鞋、绝缘手套等电工防护设备</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1"/>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w:t>
      </w:r>
    </w:p>
    <w:p w14:paraId="53A44967">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pPr>
      <w:r>
        <w:rPr>
          <w:rFonts w:hint="eastAsia" w:ascii="宋体" w:hAnsi="宋体" w:eastAsia="宋体" w:cs="宋体"/>
          <w:b w:val="0"/>
          <w:color w:val="000000" w:themeColor="text1"/>
          <w:kern w:val="2"/>
          <w:sz w:val="32"/>
          <w:szCs w:val="32"/>
          <w:lang w:val="en-US" w:eastAsia="zh-CN" w:bidi="ar-SA"/>
          <w14:textFill>
            <w14:solidFill>
              <w14:schemeClr w14:val="tx1"/>
            </w14:solidFill>
          </w14:textFill>
        </w:rPr>
        <w:t>4</w:t>
      </w:r>
      <w:r>
        <w:rPr>
          <w:rFonts w:hint="eastAsia"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箱式变电站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钥匙由</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茂华种养殖开发部保管，低压侧出电柜内</w:t>
      </w: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裸带电体无隔离防护</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2"/>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kern w:val="2"/>
          <w:sz w:val="32"/>
          <w:szCs w:val="32"/>
          <w:u w:val="none"/>
          <w:lang w:val="en-US" w:eastAsia="zh-CN" w:bidi="ar-SA"/>
        </w:rPr>
        <w:t>通风沟上方无盖板。</w:t>
      </w:r>
    </w:p>
    <w:p w14:paraId="329BDC94">
      <w:pPr>
        <w:pStyle w:val="2"/>
        <w:keepLines w:val="0"/>
        <w:pageBreakBefore w:val="0"/>
        <w:widowControl w:val="0"/>
        <w:kinsoku/>
        <w:wordWrap/>
        <w:overflowPunct/>
        <w:autoSpaceDE/>
        <w:autoSpaceDN/>
        <w:bidi w:val="0"/>
        <w:spacing w:before="0" w:beforeLines="0" w:after="0" w:afterLines="0" w:line="560" w:lineRule="exact"/>
        <w:ind w:firstLine="640" w:firstLineChars="200"/>
        <w:textAlignment w:val="auto"/>
        <w:rPr>
          <w:rFonts w:hint="eastAsia" w:ascii="黑体" w:hAnsi="黑体" w:eastAsia="黑体" w:cs="黑体"/>
          <w:b w:val="0"/>
          <w:bCs/>
          <w:sz w:val="32"/>
          <w:szCs w:val="32"/>
          <w:lang w:val="en-US" w:eastAsia="zh-CN"/>
        </w:rPr>
      </w:pPr>
      <w:bookmarkStart w:id="35" w:name="_Toc11753"/>
      <w:r>
        <w:rPr>
          <w:rFonts w:hint="eastAsia" w:ascii="黑体" w:hAnsi="黑体" w:eastAsia="黑体" w:cs="黑体"/>
          <w:b w:val="0"/>
          <w:bCs/>
          <w:sz w:val="32"/>
          <w:szCs w:val="32"/>
          <w:lang w:val="en-US" w:eastAsia="zh-CN"/>
        </w:rPr>
        <w:t>二、事故应急处置及评估情况</w:t>
      </w:r>
      <w:bookmarkEnd w:id="35"/>
    </w:p>
    <w:p w14:paraId="361E4696">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36" w:name="_Toc17274"/>
      <w:r>
        <w:rPr>
          <w:rFonts w:hint="eastAsia" w:ascii="楷体_GB2312" w:hAnsi="楷体_GB2312" w:eastAsia="楷体_GB2312" w:cs="楷体_GB2312"/>
          <w:sz w:val="32"/>
          <w:szCs w:val="32"/>
          <w:lang w:val="en-US" w:eastAsia="zh-CN"/>
        </w:rPr>
        <w:t>（一）事故信息接报及响应情况</w:t>
      </w:r>
      <w:bookmarkEnd w:id="36"/>
    </w:p>
    <w:p w14:paraId="2E27D0AB">
      <w:pPr>
        <w:pStyle w:val="11"/>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outlineLvl w:val="1"/>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bookmarkStart w:id="37" w:name="_Toc30504"/>
      <w:bookmarkStart w:id="38" w:name="_Toc10171"/>
      <w:bookmarkStart w:id="39" w:name="_Toc439"/>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张某明被发现躺在通风沟内</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现场人员立即拨打</w:t>
      </w:r>
      <w:r>
        <w:rPr>
          <w:rFonts w:hint="eastAsia" w:ascii="宋体" w:hAnsi="宋体" w:eastAsia="宋体" w:cs="宋体"/>
          <w:color w:val="000000" w:themeColor="text1"/>
          <w:sz w:val="32"/>
          <w:szCs w:val="32"/>
          <w:lang w:val="en-US" w:eastAsia="zh-CN"/>
          <w14:textFill>
            <w14:solidFill>
              <w14:schemeClr w14:val="tx1"/>
            </w14:solidFill>
          </w14:textFill>
        </w:rPr>
        <w:t>120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急救电话和</w:t>
      </w:r>
      <w:r>
        <w:rPr>
          <w:rFonts w:hint="eastAsia" w:ascii="宋体" w:hAnsi="宋体" w:eastAsia="宋体" w:cs="宋体"/>
          <w:color w:val="000000" w:themeColor="text1"/>
          <w:sz w:val="32"/>
          <w:szCs w:val="32"/>
          <w:lang w:val="en-US" w:eastAsia="zh-CN"/>
          <w14:textFill>
            <w14:solidFill>
              <w14:schemeClr w14:val="tx1"/>
            </w14:solidFill>
          </w14:textFill>
        </w:rPr>
        <w:t>110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报警电</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话。</w:t>
      </w:r>
      <w:r>
        <w:rPr>
          <w:rFonts w:hint="eastAsia" w:ascii="宋体" w:hAnsi="宋体" w:eastAsia="宋体" w:cs="宋体"/>
          <w:color w:val="000000" w:themeColor="text1"/>
          <w:sz w:val="32"/>
          <w:szCs w:val="32"/>
          <w:lang w:val="en-US" w:eastAsia="zh-CN"/>
          <w14:textFill>
            <w14:solidFill>
              <w14:schemeClr w14:val="tx1"/>
            </w14:solidFill>
          </w14:textFill>
        </w:rPr>
        <w:t>15</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时</w:t>
      </w:r>
      <w:r>
        <w:rPr>
          <w:rFonts w:hint="eastAsia" w:ascii="宋体" w:hAnsi="宋体" w:eastAsia="宋体" w:cs="宋体"/>
          <w:color w:val="000000" w:themeColor="text1"/>
          <w:sz w:val="32"/>
          <w:szCs w:val="32"/>
          <w:lang w:val="en-US" w:eastAsia="zh-CN"/>
          <w14:textFill>
            <w14:solidFill>
              <w14:schemeClr w14:val="tx1"/>
            </w14:solidFill>
          </w14:textFill>
        </w:rPr>
        <w:t>58</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分，区公安分局将信息通告工人村街道。</w:t>
      </w:r>
      <w:r>
        <w:rPr>
          <w:rFonts w:hint="eastAsia" w:ascii="宋体" w:hAnsi="宋体" w:eastAsia="宋体" w:cs="宋体"/>
          <w:color w:val="000000" w:themeColor="text1"/>
          <w:sz w:val="32"/>
          <w:szCs w:val="32"/>
          <w:lang w:val="en-US" w:eastAsia="zh-CN"/>
          <w14:textFill>
            <w14:solidFill>
              <w14:schemeClr w14:val="tx1"/>
            </w14:solidFill>
          </w14:textFill>
        </w:rPr>
        <w:t>16</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时</w:t>
      </w:r>
      <w:r>
        <w:rPr>
          <w:rFonts w:hint="eastAsia" w:ascii="宋体" w:hAnsi="宋体" w:eastAsia="宋体" w:cs="宋体"/>
          <w:color w:val="000000" w:themeColor="text1"/>
          <w:sz w:val="32"/>
          <w:szCs w:val="32"/>
          <w:lang w:val="en-US" w:eastAsia="zh-CN"/>
          <w14:textFill>
            <w14:solidFill>
              <w14:schemeClr w14:val="tx1"/>
            </w14:solidFill>
          </w14:textFill>
        </w:rPr>
        <w:t>00</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分，工人村街道将信息上报至区委区政府总值班室。区公安分局、区应急管理局、工人村街道等单位接报后均立即组织人员赶赴事故现场处置。</w:t>
      </w:r>
      <w:bookmarkEnd w:id="37"/>
      <w:bookmarkEnd w:id="38"/>
      <w:bookmarkEnd w:id="39"/>
    </w:p>
    <w:p w14:paraId="0A1F9340">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40" w:name="_Toc2887"/>
      <w:r>
        <w:rPr>
          <w:rFonts w:hint="eastAsia" w:ascii="楷体_GB2312" w:hAnsi="楷体_GB2312" w:eastAsia="楷体_GB2312" w:cs="楷体_GB2312"/>
          <w:sz w:val="32"/>
          <w:szCs w:val="32"/>
          <w:lang w:val="en-US" w:eastAsia="zh-CN"/>
        </w:rPr>
        <w:t>（二）事故现场应急处置情况</w:t>
      </w:r>
      <w:bookmarkEnd w:id="40"/>
    </w:p>
    <w:p w14:paraId="17AF6D34">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bookmarkStart w:id="41" w:name="_Toc9987"/>
      <w:bookmarkStart w:id="42" w:name="_Toc8376"/>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陈某茂发现张某明躺在通风沟内，经拉拽无反应后立即前往小卖部喊人帮忙。陈某茂、郑家庆等人到达箱式变电站后，将张某明抬到旁边的棚子下，对其进行心腹复苏和人工呼吸。</w:t>
      </w:r>
      <w:r>
        <w:rPr>
          <w:rFonts w:hint="eastAsia" w:ascii="宋体" w:hAnsi="宋体" w:eastAsia="宋体" w:cs="宋体"/>
          <w:color w:val="000000" w:themeColor="text1"/>
          <w:sz w:val="32"/>
          <w:szCs w:val="32"/>
          <w:lang w:val="en-US" w:eastAsia="zh-CN"/>
          <w14:textFill>
            <w14:solidFill>
              <w14:schemeClr w14:val="tx1"/>
            </w14:solidFill>
          </w14:textFill>
        </w:rPr>
        <w:t>15</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时</w:t>
      </w:r>
      <w:r>
        <w:rPr>
          <w:rFonts w:hint="eastAsia" w:ascii="宋体" w:hAnsi="宋体" w:eastAsia="宋体" w:cs="宋体"/>
          <w:color w:val="000000" w:themeColor="text1"/>
          <w:sz w:val="32"/>
          <w:szCs w:val="32"/>
          <w:lang w:val="en-US" w:eastAsia="zh-CN"/>
          <w14:textFill>
            <w14:solidFill>
              <w14:schemeClr w14:val="tx1"/>
            </w14:solidFill>
          </w14:textFill>
        </w:rPr>
        <w:t>12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分许，</w:t>
      </w:r>
      <w:r>
        <w:rPr>
          <w:rFonts w:hint="eastAsia" w:ascii="宋体" w:hAnsi="宋体" w:eastAsia="宋体" w:cs="宋体"/>
          <w:color w:val="000000" w:themeColor="text1"/>
          <w:sz w:val="32"/>
          <w:szCs w:val="32"/>
          <w:lang w:val="en-US" w:eastAsia="zh-CN"/>
          <w14:textFill>
            <w14:solidFill>
              <w14:schemeClr w14:val="tx1"/>
            </w14:solidFill>
          </w14:textFill>
        </w:rPr>
        <w:t>120</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急救车到达现场后将张某明送往医院救治，后经抢救无效死亡。</w:t>
      </w:r>
    </w:p>
    <w:bookmarkEnd w:id="41"/>
    <w:bookmarkEnd w:id="42"/>
    <w:p w14:paraId="795967EF">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43" w:name="_Toc29226"/>
      <w:r>
        <w:rPr>
          <w:rFonts w:hint="eastAsia" w:ascii="楷体_GB2312" w:hAnsi="楷体_GB2312" w:eastAsia="楷体_GB2312" w:cs="楷体_GB2312"/>
          <w:sz w:val="32"/>
          <w:szCs w:val="32"/>
          <w:lang w:val="en-US" w:eastAsia="zh-CN"/>
        </w:rPr>
        <w:t>（三）事故应急处置评估</w:t>
      </w:r>
      <w:bookmarkEnd w:id="43"/>
    </w:p>
    <w:p w14:paraId="6E082FD1">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经事故调查组对事故应急处置复盘评估认为，事故发生后，区应急管理局、区公安分局、工人村街道办事处等单位接报后，迅速组织人员赶赴现场处置，响应及时，分工明确，措施得当，处置稳妥，善后工作开展有序。</w:t>
      </w:r>
    </w:p>
    <w:p w14:paraId="77E428FA">
      <w:pPr>
        <w:pStyle w:val="2"/>
        <w:keepLines w:val="0"/>
        <w:pageBreakBefore w:val="0"/>
        <w:widowControl w:val="0"/>
        <w:kinsoku/>
        <w:wordWrap/>
        <w:overflowPunct/>
        <w:autoSpaceDE/>
        <w:autoSpaceDN/>
        <w:bidi w:val="0"/>
        <w:spacing w:before="0" w:beforeLines="0" w:after="0" w:afterLines="0" w:line="560" w:lineRule="exact"/>
        <w:ind w:firstLine="640" w:firstLineChars="200"/>
        <w:textAlignment w:val="auto"/>
        <w:rPr>
          <w:rFonts w:hint="default" w:ascii="黑体" w:hAnsi="黑体" w:eastAsia="黑体" w:cs="黑体"/>
          <w:b w:val="0"/>
          <w:bCs/>
          <w:sz w:val="32"/>
          <w:szCs w:val="32"/>
          <w:lang w:val="en-US" w:eastAsia="zh-CN"/>
        </w:rPr>
      </w:pPr>
      <w:bookmarkStart w:id="44" w:name="_Toc415"/>
      <w:r>
        <w:rPr>
          <w:rFonts w:hint="eastAsia" w:ascii="黑体" w:hAnsi="黑体" w:eastAsia="黑体" w:cs="黑体"/>
          <w:b w:val="0"/>
          <w:bCs/>
          <w:sz w:val="32"/>
          <w:szCs w:val="32"/>
          <w:lang w:val="en-US" w:eastAsia="zh-CN"/>
        </w:rPr>
        <w:t>三、事故原因分析</w:t>
      </w:r>
      <w:bookmarkEnd w:id="44"/>
    </w:p>
    <w:p w14:paraId="0042F660">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45" w:name="_Toc23769"/>
      <w:r>
        <w:rPr>
          <w:rFonts w:hint="eastAsia" w:ascii="楷体_GB2312" w:hAnsi="楷体_GB2312" w:eastAsia="楷体_GB2312" w:cs="楷体_GB2312"/>
          <w:sz w:val="32"/>
          <w:szCs w:val="32"/>
          <w:lang w:val="en-US" w:eastAsia="zh-CN"/>
        </w:rPr>
        <w:t>（一）直接原因分析</w:t>
      </w:r>
      <w:bookmarkEnd w:id="45"/>
    </w:p>
    <w:p w14:paraId="2C3EB3EB">
      <w:pPr>
        <w:keepNext w:val="0"/>
        <w:keepLines w:val="0"/>
        <w:pageBreakBefore w:val="0"/>
        <w:widowControl w:val="0"/>
        <w:suppressAutoHyphens/>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通过对事故现场进行勘察、对人员进行询问等，认定事故的直接原因是：张某明</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安全意识淡薄，在未</w:t>
      </w:r>
      <w:r>
        <w:rPr>
          <w:rFonts w:hint="eastAsia" w:ascii="仿宋_GB2312" w:hAnsi="仿宋_GB2312" w:eastAsia="仿宋_GB2312" w:cs="仿宋_GB2312"/>
          <w:b w:val="0"/>
          <w:color w:val="000000" w:themeColor="text1"/>
          <w:kern w:val="2"/>
          <w:sz w:val="32"/>
          <w:szCs w:val="32"/>
          <w:lang w:val="en-US" w:eastAsia="zh-CN" w:bidi="ar-SA"/>
          <w14:textFill>
            <w14:solidFill>
              <w14:schemeClr w14:val="tx1"/>
            </w14:solidFill>
          </w14:textFill>
        </w:rPr>
        <w:t>穿戴绝缘鞋、绝缘手套等电工防护设备的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情况下，独自一人在箱式变电站进行道闸电气故障检修时，手部接触无隔离防护的箱式变电站低压侧出电柜内的裸带电体而触电死亡。</w:t>
      </w:r>
    </w:p>
    <w:p w14:paraId="1FE56BA4">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46" w:name="_Toc21227"/>
      <w:bookmarkStart w:id="47" w:name="_Toc27789"/>
      <w:r>
        <w:rPr>
          <w:rFonts w:hint="eastAsia" w:ascii="楷体_GB2312" w:hAnsi="楷体_GB2312" w:eastAsia="楷体_GB2312" w:cs="楷体_GB2312"/>
          <w:sz w:val="32"/>
          <w:szCs w:val="32"/>
          <w:lang w:val="en-US" w:eastAsia="zh-CN"/>
        </w:rPr>
        <w:t>（二）事故相关检验检测和鉴定情况</w:t>
      </w:r>
      <w:bookmarkEnd w:id="46"/>
      <w:bookmarkEnd w:id="47"/>
    </w:p>
    <w:p w14:paraId="7CDCF71E">
      <w:pPr>
        <w:keepNext w:val="0"/>
        <w:keepLines w:val="0"/>
        <w:pageBreakBefore w:val="0"/>
        <w:widowControl w:val="0"/>
        <w:suppressAutoHyphens/>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zh-CN"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根据《武汉市青山区茂华种养殖开发部</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w:t>
      </w:r>
      <w:r>
        <w:rPr>
          <w:rFonts w:hint="eastAsia" w:ascii="宋体" w:hAnsi="宋体" w:eastAsia="宋体" w:cs="宋体"/>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w:t>
      </w:r>
      <w:r>
        <w:rPr>
          <w:rFonts w:hint="eastAsia" w:ascii="宋体" w:hAnsi="宋体" w:eastAsia="宋体" w:cs="宋体"/>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一般</w:t>
      </w:r>
      <w:r>
        <w:rPr>
          <w:rFonts w:hint="eastAsia" w:ascii="仿宋_GB2312" w:hAnsi="仿宋_GB2312" w:eastAsia="仿宋_GB2312" w:cs="仿宋_GB2312"/>
          <w:color w:val="000000" w:themeColor="text1"/>
          <w:sz w:val="32"/>
          <w:szCs w:val="32"/>
          <w:lang w:val="zh-CN" w:eastAsia="zh-CN"/>
          <w14:textFill>
            <w14:solidFill>
              <w14:schemeClr w14:val="tx1"/>
            </w14:solidFill>
          </w14:textFill>
        </w:rPr>
        <w:t>触电事故</w:t>
      </w:r>
    </w:p>
    <w:p w14:paraId="38BE843B">
      <w:pPr>
        <w:keepNext w:val="0"/>
        <w:keepLines w:val="0"/>
        <w:pageBreakBefore w:val="0"/>
        <w:widowControl w:val="0"/>
        <w:suppressAutoHyphens/>
        <w:kinsoku/>
        <w:wordWrap/>
        <w:overflowPunct/>
        <w:topLinePunct w:val="0"/>
        <w:autoSpaceDE/>
        <w:autoSpaceDN/>
        <w:bidi w:val="0"/>
        <w:adjustRightInd w:val="0"/>
        <w:snapToGrid/>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技术分析报告》，张某明右手背有大面积触电烫伤痕迹，右前臂背面有小块触电烫伤痕迹，符合右手背接触开关上面的裸带电母排触电、右前臂背面接触开关下面的紧固接线螺钉裸带体触电的事故痕迹。</w:t>
      </w:r>
    </w:p>
    <w:p w14:paraId="1C2B899C">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楷体_GB2312" w:hAnsi="楷体_GB2312" w:eastAsia="楷体_GB2312" w:cs="楷体_GB2312"/>
          <w:sz w:val="32"/>
          <w:szCs w:val="32"/>
          <w:lang w:val="en-US" w:eastAsia="zh-CN"/>
        </w:rPr>
      </w:pPr>
      <w:bookmarkStart w:id="48" w:name="_Toc24250"/>
      <w:r>
        <w:rPr>
          <w:rFonts w:hint="eastAsia" w:ascii="楷体_GB2312" w:hAnsi="楷体_GB2312" w:eastAsia="楷体_GB2312" w:cs="楷体_GB2312"/>
          <w:sz w:val="32"/>
          <w:szCs w:val="32"/>
          <w:lang w:val="en-US" w:eastAsia="zh-CN"/>
        </w:rPr>
        <w:t>（三）间接原因分析</w:t>
      </w:r>
      <w:bookmarkEnd w:id="48"/>
    </w:p>
    <w:p w14:paraId="62719964">
      <w:pPr>
        <w:keepNext w:val="0"/>
        <w:keepLines w:val="0"/>
        <w:pageBreakBefore w:val="0"/>
        <w:widowControl w:val="0"/>
        <w:suppressAutoHyphens/>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茂华种养殖开发部未严格</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监督、教育张某明实施电气作业时落实双人监护、穿戴绝缘鞋和绝缘手套等防护措施</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3"/>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，未消除箱式变电站低压侧出电柜内裸带电体无隔离防护、通风沟无盖板的安全隐患</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4"/>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1E647544">
      <w:pPr>
        <w:pStyle w:val="2"/>
        <w:keepLines w:val="0"/>
        <w:pageBreakBefore w:val="0"/>
        <w:widowControl w:val="0"/>
        <w:kinsoku/>
        <w:wordWrap/>
        <w:overflowPunct/>
        <w:autoSpaceDE/>
        <w:autoSpaceDN/>
        <w:bidi w:val="0"/>
        <w:spacing w:before="0" w:beforeLines="0" w:after="0" w:afterLines="0" w:line="560" w:lineRule="exact"/>
        <w:ind w:firstLine="640" w:firstLineChars="200"/>
        <w:textAlignment w:val="auto"/>
        <w:rPr>
          <w:rFonts w:hint="eastAsia" w:ascii="黑体" w:hAnsi="黑体" w:eastAsia="黑体" w:cs="黑体"/>
          <w:b w:val="0"/>
          <w:bCs/>
          <w:sz w:val="32"/>
          <w:szCs w:val="32"/>
          <w:lang w:val="en-US" w:eastAsia="zh-CN"/>
        </w:rPr>
      </w:pPr>
      <w:bookmarkStart w:id="49" w:name="_Toc21513"/>
      <w:r>
        <w:rPr>
          <w:rFonts w:hint="eastAsia" w:ascii="黑体" w:hAnsi="黑体" w:eastAsia="黑体" w:cs="黑体"/>
          <w:b w:val="0"/>
          <w:bCs/>
          <w:sz w:val="32"/>
          <w:szCs w:val="32"/>
          <w:lang w:val="en-US" w:eastAsia="zh-CN"/>
        </w:rPr>
        <w:t>四、对有关责任人员和责任单位的处理建议</w:t>
      </w:r>
      <w:bookmarkEnd w:id="49"/>
    </w:p>
    <w:p w14:paraId="377C6ABB">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default" w:ascii="楷体_GB2312" w:hAnsi="楷体_GB2312" w:eastAsia="楷体_GB2312" w:cs="楷体_GB2312"/>
          <w:sz w:val="32"/>
          <w:szCs w:val="32"/>
          <w:lang w:val="en-US" w:eastAsia="zh-CN"/>
        </w:rPr>
      </w:pPr>
      <w:bookmarkStart w:id="50" w:name="_Toc16775"/>
      <w:r>
        <w:rPr>
          <w:rFonts w:hint="eastAsia" w:ascii="楷体_GB2312" w:hAnsi="楷体_GB2312" w:eastAsia="楷体_GB2312" w:cs="楷体_GB2312"/>
          <w:sz w:val="32"/>
          <w:szCs w:val="32"/>
          <w:lang w:val="en-US" w:eastAsia="zh-CN"/>
        </w:rPr>
        <w:t>（一）因在事故中死亡免予追究责任人员</w:t>
      </w:r>
      <w:bookmarkEnd w:id="50"/>
    </w:p>
    <w:p w14:paraId="072285F9">
      <w:pPr>
        <w:keepNext w:val="0"/>
        <w:keepLines w:val="0"/>
        <w:pageBreakBefore w:val="0"/>
        <w:widowControl w:val="0"/>
        <w:suppressAutoHyphens/>
        <w:kinsoku/>
        <w:wordWrap/>
        <w:overflowPunct/>
        <w:topLinePunct w:val="0"/>
        <w:autoSpaceDE/>
        <w:autoSpaceDN/>
        <w:bidi w:val="0"/>
        <w:adjustRightInd w:val="0"/>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张某明</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安全意识淡薄，在未落实双人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监护、未穿戴绝缘鞋和绝缘手套的情况下违规进行电气故障检修，手部接触无隔离防护的裸带电体而触电死亡，对事故负有直接责任，因在事故中死亡，根据法律规定，建议免予追究责任。</w:t>
      </w:r>
    </w:p>
    <w:p w14:paraId="225639D4">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default" w:ascii="楷体_GB2312" w:hAnsi="楷体_GB2312" w:eastAsia="楷体_GB2312" w:cs="楷体_GB2312"/>
          <w:sz w:val="32"/>
          <w:szCs w:val="32"/>
          <w:lang w:val="en-US" w:eastAsia="zh-CN"/>
        </w:rPr>
      </w:pPr>
      <w:bookmarkStart w:id="51" w:name="_Toc15871"/>
      <w:r>
        <w:rPr>
          <w:rFonts w:hint="eastAsia" w:ascii="楷体_GB2312" w:hAnsi="楷体_GB2312" w:eastAsia="楷体_GB2312" w:cs="楷体_GB2312"/>
          <w:sz w:val="32"/>
          <w:szCs w:val="32"/>
          <w:lang w:val="en-US" w:eastAsia="zh-CN"/>
        </w:rPr>
        <w:t>（二）对事故有关责任人员和责任单位的处理建议</w:t>
      </w:r>
      <w:bookmarkEnd w:id="51"/>
    </w:p>
    <w:p w14:paraId="7664FF38">
      <w:pPr>
        <w:pStyle w:val="11"/>
        <w:keepNext w:val="0"/>
        <w:keepLines w:val="0"/>
        <w:pageBreakBefore w:val="0"/>
        <w:widowControl w:val="0"/>
        <w:kinsoku/>
        <w:wordWrap/>
        <w:overflowPunct/>
        <w:topLinePunct w:val="0"/>
        <w:autoSpaceDE/>
        <w:autoSpaceDN/>
        <w:bidi w:val="0"/>
        <w:snapToGrid/>
        <w:spacing w:line="560" w:lineRule="exact"/>
        <w:ind w:left="0" w:leftChars="0" w:firstLine="643" w:firstLineChars="200"/>
        <w:jc w:val="both"/>
        <w:textAlignment w:val="auto"/>
        <w:outlineLvl w:val="1"/>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bookmarkStart w:id="52" w:name="_Toc12846"/>
      <w:bookmarkStart w:id="53" w:name="_Toc20673"/>
      <w:bookmarkStart w:id="54" w:name="_Toc21748"/>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茂华种养殖开发部。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系组成形式为个人经营的个体工商户，未严格</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监督、教育员工正确</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佩戴、使用劳动防护用品，未及时消除事故隐患</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，违反了《安全生产法</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》第四十五条</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5"/>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和第四十一条第二款</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6"/>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的规定。</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根据《中华人民共和国民法典》第五十四条</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7"/>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和第五十六条第一款</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8"/>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的规定，个体工商户属于特殊自然人，本身并无独立财产，系以经营者个人财产承担责任，与经营者个人在资格、责任财产上并未相互独立，不具备适用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双罚制</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的前提。</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因此，建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议只对</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经营者陈某茂</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个人进行行政处罚。</w:t>
      </w:r>
      <w:bookmarkEnd w:id="52"/>
    </w:p>
    <w:p w14:paraId="1F33ED03">
      <w:pPr>
        <w:keepNext w:val="0"/>
        <w:keepLines w:val="0"/>
        <w:pageBreakBefore w:val="0"/>
        <w:widowControl w:val="0"/>
        <w:kinsoku/>
        <w:wordWrap/>
        <w:overflowPunct/>
        <w:topLinePunct w:val="0"/>
        <w:autoSpaceDE/>
        <w:autoSpaceDN/>
        <w:bidi w:val="0"/>
        <w:snapToGrid/>
        <w:spacing w:line="560"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陈某茂。</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茂华种养殖开发部经营者，作为个人经营的投资人，</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未保障安全生产条件所必需的资金投入</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，致使茂华种养殖开发部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不具备安全生产条件</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导致发生生产安</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全事故，违反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了《安全生产法</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》第二十三条第一款</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footnoteReference w:id="9"/>
      </w:r>
      <w:r>
        <w:rPr>
          <w:rStyle w:val="18"/>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的规定，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建议由应急管理部门依照有关法律法规给予行政处罚。</w:t>
      </w:r>
    </w:p>
    <w:bookmarkEnd w:id="53"/>
    <w:bookmarkEnd w:id="54"/>
    <w:p w14:paraId="5744554A">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default" w:ascii="楷体_GB2312" w:hAnsi="楷体_GB2312" w:eastAsia="楷体_GB2312" w:cs="楷体_GB2312"/>
          <w:sz w:val="32"/>
          <w:szCs w:val="32"/>
          <w:lang w:val="en-US" w:eastAsia="zh-CN"/>
        </w:rPr>
      </w:pPr>
      <w:bookmarkStart w:id="55" w:name="_Toc23903"/>
      <w:bookmarkStart w:id="56" w:name="_Toc12175"/>
      <w:bookmarkStart w:id="57" w:name="_Toc17007"/>
      <w:r>
        <w:rPr>
          <w:rFonts w:hint="eastAsia" w:ascii="楷体_GB2312" w:hAnsi="楷体_GB2312" w:eastAsia="楷体_GB2312" w:cs="楷体_GB2312"/>
          <w:sz w:val="32"/>
          <w:szCs w:val="32"/>
          <w:lang w:val="en-US" w:eastAsia="zh-CN"/>
        </w:rPr>
        <w:t>（三）其他处理建议</w:t>
      </w:r>
      <w:bookmarkEnd w:id="55"/>
      <w:bookmarkEnd w:id="56"/>
      <w:bookmarkEnd w:id="57"/>
    </w:p>
    <w:p w14:paraId="164EACB5">
      <w:pPr>
        <w:pStyle w:val="9"/>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outlineLvl w:val="0"/>
        <w:rPr>
          <w:rFonts w:hint="eastAsia" w:ascii="黑体" w:hAnsi="黑体" w:eastAsia="黑体" w:cs="黑体"/>
          <w:sz w:val="32"/>
          <w:szCs w:val="32"/>
          <w:lang w:val="en-US" w:eastAsia="zh-CN"/>
        </w:rPr>
      </w:pPr>
      <w:bookmarkStart w:id="58" w:name="_Toc449"/>
      <w:bookmarkStart w:id="59" w:name="_Toc9615"/>
      <w:bookmarkStart w:id="60" w:name="_Toc27701"/>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对事故调查过程中发现有关单位监管人员在履职尽责方面的问题，由区纪委监委按照干部管理权限和相关责任追究的规定进行处理。</w:t>
      </w:r>
      <w:bookmarkEnd w:id="58"/>
      <w:bookmarkEnd w:id="59"/>
      <w:bookmarkEnd w:id="60"/>
    </w:p>
    <w:p w14:paraId="46B5E807">
      <w:pPr>
        <w:pStyle w:val="2"/>
        <w:keepLines w:val="0"/>
        <w:pageBreakBefore w:val="0"/>
        <w:widowControl w:val="0"/>
        <w:kinsoku/>
        <w:wordWrap/>
        <w:overflowPunct/>
        <w:autoSpaceDE/>
        <w:autoSpaceDN/>
        <w:bidi w:val="0"/>
        <w:spacing w:before="0" w:beforeLines="0" w:after="0" w:afterLines="0" w:line="560" w:lineRule="exact"/>
        <w:ind w:firstLine="640" w:firstLineChars="200"/>
        <w:textAlignment w:val="auto"/>
        <w:rPr>
          <w:rFonts w:hint="default" w:ascii="黑体" w:hAnsi="黑体" w:eastAsia="黑体" w:cs="黑体"/>
          <w:b w:val="0"/>
          <w:bCs/>
          <w:sz w:val="32"/>
          <w:szCs w:val="32"/>
          <w:lang w:val="en-US" w:eastAsia="zh-CN"/>
        </w:rPr>
      </w:pPr>
      <w:bookmarkStart w:id="61" w:name="_Toc17744"/>
      <w:r>
        <w:rPr>
          <w:rFonts w:hint="eastAsia" w:ascii="黑体" w:hAnsi="黑体" w:eastAsia="黑体" w:cs="黑体"/>
          <w:b w:val="0"/>
          <w:bCs/>
          <w:sz w:val="32"/>
          <w:szCs w:val="32"/>
          <w:lang w:val="en-US" w:eastAsia="zh-CN"/>
        </w:rPr>
        <w:t>五、事故主要教训</w:t>
      </w:r>
      <w:bookmarkEnd w:id="61"/>
    </w:p>
    <w:p w14:paraId="2D6F9314">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本起事故的发生暴露出部分从业人员安全意识淡薄，现场安全管理力度不足，风险识别和隐患排查治理不深入，作业人员违规违章作业行为仍然存在。</w:t>
      </w:r>
    </w:p>
    <w:p w14:paraId="62A46872">
      <w:pPr>
        <w:pStyle w:val="2"/>
        <w:keepLines w:val="0"/>
        <w:pageBreakBefore w:val="0"/>
        <w:widowControl w:val="0"/>
        <w:kinsoku/>
        <w:wordWrap/>
        <w:overflowPunct/>
        <w:autoSpaceDE/>
        <w:autoSpaceDN/>
        <w:bidi w:val="0"/>
        <w:spacing w:before="0" w:beforeLines="0" w:after="0" w:afterLines="0" w:line="560" w:lineRule="exact"/>
        <w:ind w:firstLine="640" w:firstLineChars="200"/>
        <w:textAlignment w:val="auto"/>
        <w:rPr>
          <w:rFonts w:hint="eastAsia" w:ascii="黑体" w:hAnsi="黑体" w:eastAsia="黑体" w:cs="黑体"/>
          <w:b w:val="0"/>
          <w:bCs/>
          <w:sz w:val="32"/>
          <w:szCs w:val="32"/>
          <w:lang w:val="en-US" w:eastAsia="zh-CN"/>
        </w:rPr>
      </w:pPr>
      <w:bookmarkStart w:id="62" w:name="_Toc15422"/>
      <w:r>
        <w:rPr>
          <w:rFonts w:hint="eastAsia" w:ascii="黑体" w:hAnsi="黑体" w:eastAsia="黑体" w:cs="黑体"/>
          <w:b w:val="0"/>
          <w:bCs/>
          <w:sz w:val="32"/>
          <w:szCs w:val="32"/>
          <w:lang w:val="en-US" w:eastAsia="zh-CN"/>
        </w:rPr>
        <w:t>六、事故整改和防范措施</w:t>
      </w:r>
      <w:bookmarkEnd w:id="62"/>
    </w:p>
    <w:p w14:paraId="38FFA308">
      <w:pPr>
        <w:keepNext w:val="0"/>
        <w:keepLines w:val="0"/>
        <w:pageBreakBefore w:val="0"/>
        <w:widowControl w:val="0"/>
        <w:kinsoku/>
        <w:wordWrap/>
        <w:overflowPunct/>
        <w:topLinePunct w:val="0"/>
        <w:autoSpaceDE/>
        <w:autoSpaceDN/>
        <w:bidi w:val="0"/>
        <w:snapToGrid/>
        <w:spacing w:line="560" w:lineRule="exact"/>
        <w:ind w:firstLine="640" w:firstLineChars="200"/>
        <w:jc w:val="both"/>
        <w:textAlignment w:val="auto"/>
        <w:rPr>
          <w:rFonts w:ascii="微软雅黑" w:hAnsi="微软雅黑" w:eastAsia="微软雅黑" w:cs="微软雅黑"/>
          <w:i w:val="0"/>
          <w:iCs w:val="0"/>
          <w:caps w:val="0"/>
          <w:color w:val="333333"/>
          <w:spacing w:val="0"/>
          <w:sz w:val="24"/>
          <w:szCs w:val="24"/>
          <w:shd w:val="clear" w:fill="FFFFFF"/>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茂华种养殖开发部（陈某茂）</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要深刻汲取本次事故教训，加强生产经营场所安全风险识别和隐患排查治理，严格作业现场安全管理，强化安全教育培训，及时制止违法违规作业行为，</w:t>
      </w:r>
      <w:r>
        <w:rPr>
          <w:rFonts w:hint="eastAsia" w:ascii="仿宋_GB2312" w:hAnsi="仿宋_GB2312" w:eastAsia="仿宋_GB2312" w:cs="仿宋_GB2312"/>
          <w:b w:val="0"/>
          <w:bCs w:val="0"/>
          <w:color w:val="auto"/>
          <w:sz w:val="32"/>
          <w:szCs w:val="32"/>
          <w:lang w:val="en-US" w:eastAsia="zh-CN"/>
        </w:rPr>
        <w:t>确保作业安全。</w:t>
      </w:r>
    </w:p>
    <w:p w14:paraId="13A3A8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（二）</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工人村街道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要深刻汲取事故教训，深入剖析事故原因，以案为鉴，加大对辖区安全巡查监管，督促企业严格落实隐患排查治理，及时上报安全生产违法违规违章行为。</w:t>
      </w:r>
    </w:p>
    <w:sectPr>
      <w:footerReference r:id="rId5" w:type="default"/>
      <w:pgSz w:w="11906" w:h="16838"/>
      <w:pgMar w:top="2098" w:right="130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3CF5E">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097F4C">
                          <w:pPr>
                            <w:pStyle w:val="7"/>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1097F4C">
                    <w:pPr>
                      <w:pStyle w:val="7"/>
                      <w:rPr>
                        <w:rFonts w:hint="eastAsia" w:ascii="宋体" w:hAnsi="宋体" w:eastAsia="宋体" w:cs="宋体"/>
                        <w:sz w:val="28"/>
                        <w:szCs w:val="28"/>
                      </w:rPr>
                    </w:pP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F9E725">
                          <w:pPr>
                            <w:pStyle w:val="7"/>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52F9E725">
                    <w:pPr>
                      <w:pStyle w:val="7"/>
                      <w:rPr>
                        <w:rFonts w:hint="eastAsia" w:ascii="宋体" w:hAnsi="宋体" w:eastAsia="宋体" w:cs="宋体"/>
                        <w:sz w:val="28"/>
                        <w:szCs w:val="28"/>
                      </w:rPr>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BFB501">
                          <w:pPr>
                            <w:pStyle w:val="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56BFB501">
                    <w:pPr>
                      <w:pStyle w:val="7"/>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68D51">
    <w:pPr>
      <w:pStyle w:val="7"/>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F3BF4">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8F3BF4">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D0B3C7">
                          <w:pPr>
                            <w:pStyle w:val="7"/>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4ED0B3C7">
                    <w:pPr>
                      <w:pStyle w:val="7"/>
                      <w:rPr>
                        <w:rFonts w:hint="eastAsia" w:ascii="宋体" w:hAnsi="宋体" w:eastAsia="宋体" w:cs="宋体"/>
                        <w:sz w:val="28"/>
                        <w:szCs w:val="28"/>
                      </w:rPr>
                    </w:pP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D46889">
                          <w:pPr>
                            <w:pStyle w:val="7"/>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29D46889">
                    <w:pPr>
                      <w:pStyle w:val="7"/>
                      <w:rPr>
                        <w:rFonts w:hint="eastAsia" w:ascii="宋体" w:hAnsi="宋体" w:eastAsia="宋体" w:cs="宋体"/>
                        <w:sz w:val="28"/>
                        <w:szCs w:val="28"/>
                      </w:rPr>
                    </w:pP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02754F">
                          <w:pPr>
                            <w:pStyle w:val="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3A02754F">
                    <w:pPr>
                      <w:pStyle w:val="7"/>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14:paraId="0C3106EE">
      <w:pPr>
        <w:pStyle w:val="10"/>
        <w:snapToGrid w:val="0"/>
        <w:rPr>
          <w:rFonts w:hint="default"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kern w:val="2"/>
          <w:sz w:val="18"/>
          <w:szCs w:val="18"/>
          <w:shd w:val="clear" w:fill="FFFFFF"/>
          <w:lang w:val="en-US" w:eastAsia="zh-CN" w:bidi="ar-SA"/>
        </w:rPr>
        <w:t>电业安全工作规程发电厂和变电站电气部分》（GB26860-2011）第9.1.3条：带电作业应设专责监护人。</w:t>
      </w:r>
    </w:p>
  </w:footnote>
  <w:footnote w:id="1">
    <w:p w14:paraId="0435BDBF">
      <w:pPr>
        <w:pStyle w:val="10"/>
        <w:snapToGrid w:val="0"/>
        <w:rPr>
          <w:rFonts w:hint="default"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]《个体防护装备配备规范》（GB 39800.1-2020）第5.4.4条：未按规定佩戴和使用个体防护装备的作业人员，不得上岗作业。</w:t>
      </w:r>
    </w:p>
  </w:footnote>
  <w:footnote w:id="2">
    <w:p w14:paraId="5836B4CA">
      <w:pPr>
        <w:pStyle w:val="10"/>
        <w:snapToGrid w:val="0"/>
        <w:rPr>
          <w:rFonts w:hint="default"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]《低压配电设计规范》（GB 50054-2011）第5.1.2条：标称电压超过交流方均根植25V容易被触及的裸带电体，应设置遮栏或外护物。</w:t>
      </w:r>
    </w:p>
  </w:footnote>
  <w:footnote w:id="3">
    <w:p w14:paraId="14D9827D">
      <w:pPr>
        <w:pStyle w:val="10"/>
        <w:snapToGrid w:val="0"/>
        <w:rPr>
          <w:rFonts w:hint="default"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]《中华人民共和国安全生产法》第四十五条：生产经营单位必须为从业人员提供符合国家标准或者行业标准的劳动防护用品，并监督、教育从业人员按照使用规则佩戴、使用。</w:t>
      </w:r>
    </w:p>
  </w:footnote>
  <w:footnote w:id="4">
    <w:p w14:paraId="2F9FCBCC">
      <w:pPr>
        <w:pStyle w:val="10"/>
        <w:snapToGrid w:val="0"/>
        <w:rPr>
          <w:rFonts w:hint="default"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5">
    <w:p w14:paraId="18B3669C">
      <w:pPr>
        <w:pStyle w:val="10"/>
        <w:snapToGrid w:val="0"/>
        <w:rPr>
          <w:rFonts w:hint="default"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]《中华人民共和国安全生产法》第四十五条：生产经营单位必须为从业人员提供符合国家标准或者行业标准的劳动防护用品，并监督、教育从业人员按照使用规则佩戴、使用。</w:t>
      </w:r>
    </w:p>
  </w:footnote>
  <w:footnote w:id="6">
    <w:p w14:paraId="27118A9C">
      <w:pPr>
        <w:pStyle w:val="10"/>
        <w:snapToGrid w:val="0"/>
        <w:rPr>
          <w:rFonts w:hint="default"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7">
    <w:p w14:paraId="5456908D">
      <w:pPr>
        <w:pStyle w:val="10"/>
        <w:snapToGrid w:val="0"/>
        <w:rPr>
          <w:rFonts w:hint="default"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]《中华人民共和国民法典》第五十四条：自然人从事工商业经营，经依法登记，为个体工商户。个</w:t>
      </w:r>
      <w:r>
        <w:rPr>
          <w:rFonts w:hint="default" w:ascii="宋体" w:hAnsi="宋体" w:eastAsia="宋体" w:cs="宋体"/>
          <w:i w:val="0"/>
          <w:iCs w:val="0"/>
          <w:caps w:val="0"/>
          <w:color w:val="333333"/>
          <w:spacing w:val="0"/>
          <w:sz w:val="18"/>
          <w:szCs w:val="18"/>
          <w:shd w:val="clear" w:fill="FFFFFF"/>
          <w:lang w:val="en-US" w:eastAsia="zh-CN"/>
        </w:rPr>
        <w:t>体工商户可以起字号。</w:t>
      </w:r>
    </w:p>
  </w:footnote>
  <w:footnote w:id="8">
    <w:p w14:paraId="0D3A419E">
      <w:pPr>
        <w:pStyle w:val="10"/>
        <w:snapToGrid w:val="0"/>
        <w:rPr>
          <w:rFonts w:hint="default"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]《中华人民共和国民法典》第</w:t>
      </w:r>
      <w:r>
        <w:rPr>
          <w:rFonts w:hint="default" w:ascii="宋体" w:hAnsi="宋体" w:eastAsia="宋体" w:cs="宋体"/>
          <w:i w:val="0"/>
          <w:iCs w:val="0"/>
          <w:caps w:val="0"/>
          <w:color w:val="333333"/>
          <w:spacing w:val="0"/>
          <w:sz w:val="18"/>
          <w:szCs w:val="18"/>
          <w:shd w:val="clear" w:fill="FFFFFF"/>
          <w:lang w:val="en-US" w:eastAsia="zh-CN"/>
        </w:rPr>
        <w:t>五十六条</w:t>
      </w:r>
      <w:r>
        <w:rPr>
          <w:rFonts w:hint="eastAsia" w:ascii="宋体" w:hAnsi="宋体" w:eastAsia="宋体" w:cs="宋体"/>
          <w:i w:val="0"/>
          <w:iCs w:val="0"/>
          <w:caps w:val="0"/>
          <w:color w:val="333333"/>
          <w:spacing w:val="0"/>
          <w:sz w:val="18"/>
          <w:szCs w:val="18"/>
          <w:shd w:val="clear" w:fill="FFFFFF"/>
          <w:lang w:val="en-US" w:eastAsia="zh-CN"/>
        </w:rPr>
        <w:t>第一款：</w:t>
      </w:r>
      <w:r>
        <w:rPr>
          <w:rFonts w:hint="default" w:ascii="宋体" w:hAnsi="宋体" w:eastAsia="宋体" w:cs="宋体"/>
          <w:i w:val="0"/>
          <w:iCs w:val="0"/>
          <w:caps w:val="0"/>
          <w:color w:val="333333"/>
          <w:spacing w:val="0"/>
          <w:sz w:val="18"/>
          <w:szCs w:val="18"/>
          <w:shd w:val="clear" w:fill="FFFFFF"/>
          <w:lang w:val="en-US" w:eastAsia="zh-CN"/>
        </w:rPr>
        <w:t>个体工商户的债务，个人经营的，以个人财产承担；家庭经营的，以家庭财产承担；无法区分的，以家庭财产承担。</w:t>
      </w:r>
    </w:p>
  </w:footnote>
  <w:footnote w:id="9">
    <w:p w14:paraId="114AFEDD">
      <w:pPr>
        <w:pStyle w:val="10"/>
        <w:snapToGrid w:val="0"/>
        <w:rPr>
          <w:rFonts w:hint="default" w:ascii="宋体" w:hAnsi="宋体" w:eastAsia="宋体" w:cs="宋体"/>
          <w:i w:val="0"/>
          <w:iCs w:val="0"/>
          <w:caps w:val="0"/>
          <w:color w:val="333333"/>
          <w:spacing w:val="0"/>
          <w:sz w:val="18"/>
          <w:szCs w:val="18"/>
          <w:shd w:val="clear" w:fill="FFFFFF"/>
          <w:lang w:val="en-US" w:eastAsia="zh-CN"/>
        </w:rPr>
      </w:pPr>
      <w:r>
        <w:rPr>
          <w:rFonts w:hint="eastAsia" w:ascii="宋体" w:hAnsi="宋体" w:eastAsia="宋体" w:cs="宋体"/>
          <w:i w:val="0"/>
          <w:iCs w:val="0"/>
          <w:caps w:val="0"/>
          <w:color w:val="333333"/>
          <w:spacing w:val="0"/>
          <w:sz w:val="18"/>
          <w:szCs w:val="18"/>
          <w:shd w:val="clear" w:fill="FFFFFF"/>
          <w:lang w:val="en-US" w:eastAsia="zh-CN"/>
        </w:rPr>
        <w:t>[</w:t>
      </w:r>
      <w:r>
        <w:rPr>
          <w:rFonts w:hint="eastAsia" w:ascii="宋体" w:hAnsi="宋体" w:eastAsia="宋体" w:cs="宋体"/>
          <w:i w:val="0"/>
          <w:iCs w:val="0"/>
          <w:caps w:val="0"/>
          <w:color w:val="333333"/>
          <w:spacing w:val="0"/>
          <w:sz w:val="18"/>
          <w:szCs w:val="18"/>
          <w:shd w:val="clear" w:fill="FFFFFF"/>
          <w:lang w:val="en-US" w:eastAsia="zh-CN"/>
        </w:rPr>
        <w:footnoteRef/>
      </w:r>
      <w:r>
        <w:rPr>
          <w:rFonts w:hint="eastAsia" w:ascii="宋体" w:hAnsi="宋体" w:eastAsia="宋体" w:cs="宋体"/>
          <w:i w:val="0"/>
          <w:iCs w:val="0"/>
          <w:caps w:val="0"/>
          <w:color w:val="333333"/>
          <w:spacing w:val="0"/>
          <w:sz w:val="18"/>
          <w:szCs w:val="18"/>
          <w:shd w:val="clear" w:fill="FFFFFF"/>
          <w:lang w:val="en-US" w:eastAsia="zh-CN"/>
        </w:rPr>
        <w:t>]《中华人民共和国安全生产法》第</w:t>
      </w:r>
      <w:r>
        <w:rPr>
          <w:rFonts w:hint="default" w:ascii="宋体" w:hAnsi="宋体" w:eastAsia="宋体" w:cs="宋体"/>
          <w:i w:val="0"/>
          <w:iCs w:val="0"/>
          <w:caps w:val="0"/>
          <w:color w:val="333333"/>
          <w:spacing w:val="0"/>
          <w:sz w:val="18"/>
          <w:szCs w:val="18"/>
          <w:shd w:val="clear" w:fill="FFFFFF"/>
          <w:lang w:val="en-US" w:eastAsia="zh-CN"/>
        </w:rPr>
        <w:t>二十三条</w:t>
      </w:r>
      <w:r>
        <w:rPr>
          <w:rFonts w:hint="eastAsia" w:ascii="宋体" w:hAnsi="宋体" w:eastAsia="宋体" w:cs="宋体"/>
          <w:i w:val="0"/>
          <w:iCs w:val="0"/>
          <w:caps w:val="0"/>
          <w:color w:val="333333"/>
          <w:spacing w:val="0"/>
          <w:sz w:val="18"/>
          <w:szCs w:val="18"/>
          <w:shd w:val="clear" w:fill="FFFFFF"/>
          <w:lang w:val="en-US" w:eastAsia="zh-CN"/>
        </w:rPr>
        <w:t>第一款：</w:t>
      </w:r>
      <w:r>
        <w:rPr>
          <w:rFonts w:hint="default" w:ascii="宋体" w:hAnsi="宋体" w:eastAsia="宋体" w:cs="宋体"/>
          <w:i w:val="0"/>
          <w:iCs w:val="0"/>
          <w:caps w:val="0"/>
          <w:color w:val="333333"/>
          <w:spacing w:val="0"/>
          <w:sz w:val="18"/>
          <w:szCs w:val="18"/>
          <w:shd w:val="clear" w:fill="FFFFFF"/>
          <w:lang w:val="en-US" w:eastAsia="zh-CN"/>
        </w:rPr>
        <w:t xml:space="preserve"> 生产经营单位应当具备的安全生产条件所必需的资金投入，由生产经营单位的决策机构、主要负责人或者个人经营的投资人予以保证，并对由于安全生产所必需的资金投入不足导致的后果承担责任。</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0"/>
    <w:footnote w:id="2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2MzEyMTdiNjdjYjIyYTY2ODA4NWVjNmJjNTVhMzkifQ=="/>
  </w:docVars>
  <w:rsids>
    <w:rsidRoot w:val="51194DA5"/>
    <w:rsid w:val="00365069"/>
    <w:rsid w:val="00B32434"/>
    <w:rsid w:val="010334B8"/>
    <w:rsid w:val="01BF166D"/>
    <w:rsid w:val="025B14EB"/>
    <w:rsid w:val="02C93D1E"/>
    <w:rsid w:val="039D55F6"/>
    <w:rsid w:val="04541FBF"/>
    <w:rsid w:val="04EB0562"/>
    <w:rsid w:val="06B86A37"/>
    <w:rsid w:val="06C013A0"/>
    <w:rsid w:val="06C248A3"/>
    <w:rsid w:val="06C97AB1"/>
    <w:rsid w:val="07075397"/>
    <w:rsid w:val="072F7455"/>
    <w:rsid w:val="0ACA5A42"/>
    <w:rsid w:val="0BE77E99"/>
    <w:rsid w:val="0C0A63CF"/>
    <w:rsid w:val="0C1A446B"/>
    <w:rsid w:val="0CE515B5"/>
    <w:rsid w:val="0CF053C7"/>
    <w:rsid w:val="0CFB0D20"/>
    <w:rsid w:val="0E137E96"/>
    <w:rsid w:val="0E387D67"/>
    <w:rsid w:val="0E627828"/>
    <w:rsid w:val="0F4D2CA8"/>
    <w:rsid w:val="0F8B0C86"/>
    <w:rsid w:val="0FD6518B"/>
    <w:rsid w:val="100C1DE2"/>
    <w:rsid w:val="10185BF4"/>
    <w:rsid w:val="10DD24EB"/>
    <w:rsid w:val="10E20B40"/>
    <w:rsid w:val="12366BD3"/>
    <w:rsid w:val="12442092"/>
    <w:rsid w:val="12D65F67"/>
    <w:rsid w:val="13806921"/>
    <w:rsid w:val="13B050A8"/>
    <w:rsid w:val="13E36F2F"/>
    <w:rsid w:val="140838EB"/>
    <w:rsid w:val="1511631C"/>
    <w:rsid w:val="15CC6A4F"/>
    <w:rsid w:val="16337E88"/>
    <w:rsid w:val="167707FD"/>
    <w:rsid w:val="16800499"/>
    <w:rsid w:val="18314FC0"/>
    <w:rsid w:val="183D6854"/>
    <w:rsid w:val="18484C8B"/>
    <w:rsid w:val="19124E6A"/>
    <w:rsid w:val="193E1C7A"/>
    <w:rsid w:val="199B6790"/>
    <w:rsid w:val="1A41499F"/>
    <w:rsid w:val="1AED4FB7"/>
    <w:rsid w:val="1C197E29"/>
    <w:rsid w:val="1C7558BE"/>
    <w:rsid w:val="1E387E23"/>
    <w:rsid w:val="1F5F1E04"/>
    <w:rsid w:val="1F603109"/>
    <w:rsid w:val="1FDE39D7"/>
    <w:rsid w:val="1FEB2CED"/>
    <w:rsid w:val="20D0721B"/>
    <w:rsid w:val="221D6484"/>
    <w:rsid w:val="22297D19"/>
    <w:rsid w:val="232B0BC0"/>
    <w:rsid w:val="2350337E"/>
    <w:rsid w:val="24363F82"/>
    <w:rsid w:val="24B1414A"/>
    <w:rsid w:val="24D221F6"/>
    <w:rsid w:val="24DA53F4"/>
    <w:rsid w:val="26035DEB"/>
    <w:rsid w:val="2635403B"/>
    <w:rsid w:val="269A2DD1"/>
    <w:rsid w:val="27843629"/>
    <w:rsid w:val="27FE272D"/>
    <w:rsid w:val="28A320EE"/>
    <w:rsid w:val="28D02A86"/>
    <w:rsid w:val="28FC354A"/>
    <w:rsid w:val="291E6775"/>
    <w:rsid w:val="29C54C03"/>
    <w:rsid w:val="2AD753D9"/>
    <w:rsid w:val="2B8E3883"/>
    <w:rsid w:val="2BED7439"/>
    <w:rsid w:val="2EA53E15"/>
    <w:rsid w:val="2EFA2B99"/>
    <w:rsid w:val="2F6272D6"/>
    <w:rsid w:val="30351FA2"/>
    <w:rsid w:val="30EA404F"/>
    <w:rsid w:val="34777AA4"/>
    <w:rsid w:val="35BA13B5"/>
    <w:rsid w:val="37743C09"/>
    <w:rsid w:val="37C86419"/>
    <w:rsid w:val="39481484"/>
    <w:rsid w:val="39CB75E0"/>
    <w:rsid w:val="3A2C2999"/>
    <w:rsid w:val="3BFD046C"/>
    <w:rsid w:val="3C340CD4"/>
    <w:rsid w:val="3CBB35B6"/>
    <w:rsid w:val="3CE81A7C"/>
    <w:rsid w:val="3DFD3B43"/>
    <w:rsid w:val="3E00417F"/>
    <w:rsid w:val="3E504639"/>
    <w:rsid w:val="3F3D1F51"/>
    <w:rsid w:val="3F7A2CAD"/>
    <w:rsid w:val="3FFD6B0B"/>
    <w:rsid w:val="4073454C"/>
    <w:rsid w:val="40E116CF"/>
    <w:rsid w:val="40EB6500"/>
    <w:rsid w:val="412703B3"/>
    <w:rsid w:val="42852CB2"/>
    <w:rsid w:val="428A713A"/>
    <w:rsid w:val="42D81437"/>
    <w:rsid w:val="42E06844"/>
    <w:rsid w:val="43900E0E"/>
    <w:rsid w:val="44185647"/>
    <w:rsid w:val="448926C6"/>
    <w:rsid w:val="44F17528"/>
    <w:rsid w:val="452219F1"/>
    <w:rsid w:val="45811396"/>
    <w:rsid w:val="46D40D43"/>
    <w:rsid w:val="46E60C47"/>
    <w:rsid w:val="47FF6E96"/>
    <w:rsid w:val="481B3258"/>
    <w:rsid w:val="49E45F5F"/>
    <w:rsid w:val="4A0326E9"/>
    <w:rsid w:val="4A096307"/>
    <w:rsid w:val="4BA635AD"/>
    <w:rsid w:val="4C171E65"/>
    <w:rsid w:val="4C181799"/>
    <w:rsid w:val="4CC15681"/>
    <w:rsid w:val="4CC74F06"/>
    <w:rsid w:val="4DA100EC"/>
    <w:rsid w:val="4DBD4199"/>
    <w:rsid w:val="4DD93DE3"/>
    <w:rsid w:val="4E59789B"/>
    <w:rsid w:val="4E61188D"/>
    <w:rsid w:val="4E80218D"/>
    <w:rsid w:val="4EC12742"/>
    <w:rsid w:val="4FAC05C3"/>
    <w:rsid w:val="4FB87457"/>
    <w:rsid w:val="4FCA1119"/>
    <w:rsid w:val="508D27A6"/>
    <w:rsid w:val="50D33427"/>
    <w:rsid w:val="51194DA5"/>
    <w:rsid w:val="523E5EFC"/>
    <w:rsid w:val="52FD5035"/>
    <w:rsid w:val="530733C6"/>
    <w:rsid w:val="53E143AE"/>
    <w:rsid w:val="542100C3"/>
    <w:rsid w:val="545568EB"/>
    <w:rsid w:val="55583B90"/>
    <w:rsid w:val="56B43E4C"/>
    <w:rsid w:val="593F3B16"/>
    <w:rsid w:val="5A6B2D19"/>
    <w:rsid w:val="5B02022D"/>
    <w:rsid w:val="5C3B233F"/>
    <w:rsid w:val="5C3E76E6"/>
    <w:rsid w:val="5CE57AF4"/>
    <w:rsid w:val="5D227959"/>
    <w:rsid w:val="5DB15F43"/>
    <w:rsid w:val="5E2B5C0D"/>
    <w:rsid w:val="5EA340B6"/>
    <w:rsid w:val="5F304D8A"/>
    <w:rsid w:val="5FEF0499"/>
    <w:rsid w:val="60A423A3"/>
    <w:rsid w:val="610466BA"/>
    <w:rsid w:val="6164634C"/>
    <w:rsid w:val="637706CF"/>
    <w:rsid w:val="63B05F18"/>
    <w:rsid w:val="6425175A"/>
    <w:rsid w:val="643F551C"/>
    <w:rsid w:val="65C465CC"/>
    <w:rsid w:val="665E65C4"/>
    <w:rsid w:val="66FF570B"/>
    <w:rsid w:val="672E7154"/>
    <w:rsid w:val="675E1315"/>
    <w:rsid w:val="67EB5D09"/>
    <w:rsid w:val="68A512BF"/>
    <w:rsid w:val="68AD66CB"/>
    <w:rsid w:val="68FD6185"/>
    <w:rsid w:val="691504AA"/>
    <w:rsid w:val="69F256DE"/>
    <w:rsid w:val="6A1A0E21"/>
    <w:rsid w:val="6ABC1A6B"/>
    <w:rsid w:val="6B375D75"/>
    <w:rsid w:val="6B3B3BE2"/>
    <w:rsid w:val="6B5F75BD"/>
    <w:rsid w:val="6C1156D8"/>
    <w:rsid w:val="6C472C93"/>
    <w:rsid w:val="6CA86ED0"/>
    <w:rsid w:val="6D625608"/>
    <w:rsid w:val="6D7A2AAC"/>
    <w:rsid w:val="6E134764"/>
    <w:rsid w:val="6E491E80"/>
    <w:rsid w:val="6E9842AD"/>
    <w:rsid w:val="6ED6597F"/>
    <w:rsid w:val="71A82806"/>
    <w:rsid w:val="73873F96"/>
    <w:rsid w:val="739048A5"/>
    <w:rsid w:val="74415A7B"/>
    <w:rsid w:val="74E93BDD"/>
    <w:rsid w:val="753374D4"/>
    <w:rsid w:val="75C238C0"/>
    <w:rsid w:val="761009CA"/>
    <w:rsid w:val="761A356D"/>
    <w:rsid w:val="7652572E"/>
    <w:rsid w:val="773E6630"/>
    <w:rsid w:val="776524BB"/>
    <w:rsid w:val="782F143B"/>
    <w:rsid w:val="78FD7415"/>
    <w:rsid w:val="790D1EBF"/>
    <w:rsid w:val="79485462"/>
    <w:rsid w:val="794A540B"/>
    <w:rsid w:val="79925E3E"/>
    <w:rsid w:val="7A4E7237"/>
    <w:rsid w:val="7A8C2C0C"/>
    <w:rsid w:val="7AC853A4"/>
    <w:rsid w:val="7B602578"/>
    <w:rsid w:val="7BE80030"/>
    <w:rsid w:val="7E42647E"/>
    <w:rsid w:val="7EF127D4"/>
    <w:rsid w:val="7EFD0B4E"/>
    <w:rsid w:val="7F117485"/>
    <w:rsid w:val="7F1F679B"/>
    <w:rsid w:val="7F9125F5"/>
    <w:rsid w:val="7FAD7AFF"/>
    <w:rsid w:val="7FC17096"/>
    <w:rsid w:val="7FFE5E09"/>
    <w:rsid w:val="D5767253"/>
    <w:rsid w:val="E791E825"/>
    <w:rsid w:val="F4EFD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3"/>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6"/>
    <w:basedOn w:val="1"/>
    <w:next w:val="1"/>
    <w:semiHidden/>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420" w:firstLineChars="200"/>
    </w:pPr>
    <w:rPr>
      <w:rFonts w:eastAsia="仿宋"/>
      <w:sz w:val="32"/>
    </w:rPr>
  </w:style>
  <w:style w:type="paragraph" w:styleId="6">
    <w:name w:val="Body Text Indent"/>
    <w:basedOn w:val="1"/>
    <w:next w:val="5"/>
    <w:qFormat/>
    <w:uiPriority w:val="0"/>
    <w:pPr>
      <w:ind w:firstLine="622" w:firstLine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footnote text"/>
    <w:basedOn w:val="1"/>
    <w:qFormat/>
    <w:uiPriority w:val="0"/>
    <w:pPr>
      <w:snapToGrid w:val="0"/>
      <w:jc w:val="left"/>
    </w:pPr>
    <w:rPr>
      <w:sz w:val="18"/>
    </w:rPr>
  </w:style>
  <w:style w:type="paragraph" w:styleId="11">
    <w:name w:val="toc 2"/>
    <w:basedOn w:val="1"/>
    <w:next w:val="1"/>
    <w:qFormat/>
    <w:uiPriority w:val="0"/>
    <w:pPr>
      <w:ind w:left="420" w:leftChars="20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6"/>
    <w:next w:val="1"/>
    <w:qFormat/>
    <w:uiPriority w:val="0"/>
    <w:pPr>
      <w:ind w:firstLine="420"/>
    </w:p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character" w:styleId="18">
    <w:name w:val="footnote reference"/>
    <w:basedOn w:val="15"/>
    <w:qFormat/>
    <w:uiPriority w:val="0"/>
    <w:rPr>
      <w:vertAlign w:val="superscript"/>
    </w:rPr>
  </w:style>
  <w:style w:type="paragraph" w:customStyle="1" w:styleId="19">
    <w:name w:val="li_正文"/>
    <w:basedOn w:val="1"/>
    <w:autoRedefine/>
    <w:qFormat/>
    <w:uiPriority w:val="0"/>
    <w:pPr>
      <w:widowControl w:val="0"/>
      <w:topLinePunct/>
      <w:adjustRightInd w:val="0"/>
      <w:snapToGrid w:val="0"/>
      <w:spacing w:line="360" w:lineRule="auto"/>
      <w:ind w:firstLine="700" w:firstLineChars="250"/>
      <w:textAlignment w:val="auto"/>
    </w:pPr>
    <w:rPr>
      <w:rFonts w:ascii="宋体" w:hAnsi="宋体"/>
      <w:sz w:val="28"/>
      <w:szCs w:val="28"/>
      <w:u w:val="none" w:color="auto"/>
    </w:rPr>
  </w:style>
  <w:style w:type="paragraph" w:customStyle="1" w:styleId="20">
    <w:name w:val="Body Text First Indent 2"/>
    <w:basedOn w:val="21"/>
    <w:next w:val="1"/>
    <w:qFormat/>
    <w:uiPriority w:val="0"/>
    <w:pPr>
      <w:ind w:firstLine="420"/>
    </w:pPr>
  </w:style>
  <w:style w:type="paragraph" w:customStyle="1" w:styleId="21">
    <w:name w:val="Body Text Indent"/>
    <w:basedOn w:val="1"/>
    <w:next w:val="22"/>
    <w:qFormat/>
    <w:uiPriority w:val="0"/>
    <w:pPr>
      <w:ind w:firstLine="640" w:firstLineChars="200"/>
    </w:pPr>
    <w:rPr>
      <w:snapToGrid w:val="0"/>
      <w:kern w:val="0"/>
    </w:rPr>
  </w:style>
  <w:style w:type="paragraph" w:customStyle="1" w:styleId="22">
    <w:name w:val="Normal Indent"/>
    <w:basedOn w:val="1"/>
    <w:qFormat/>
    <w:uiPriority w:val="0"/>
    <w:pPr>
      <w:ind w:firstLine="420" w:firstLineChars="200"/>
    </w:pPr>
    <w:rPr>
      <w:rFonts w:eastAsia="仿宋"/>
      <w:sz w:val="32"/>
    </w:rPr>
  </w:style>
  <w:style w:type="character" w:customStyle="1" w:styleId="23">
    <w:name w:val="标题 2 Char"/>
    <w:link w:val="3"/>
    <w:qFormat/>
    <w:uiPriority w:val="0"/>
    <w:rPr>
      <w:rFonts w:hint="eastAsia" w:ascii="宋体" w:hAnsi="宋体" w:eastAsia="宋体" w:cs="宋体"/>
      <w:b/>
      <w:bCs/>
      <w:kern w:val="0"/>
      <w:sz w:val="36"/>
      <w:szCs w:val="3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1859</Words>
  <Characters>1993</Characters>
  <Lines>0</Lines>
  <Paragraphs>0</Paragraphs>
  <TotalTime>24</TotalTime>
  <ScaleCrop>false</ScaleCrop>
  <LinksUpToDate>false</LinksUpToDate>
  <CharactersWithSpaces>2060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2024-06-27T14:58:00Z</dcterms:created>
  <dc:creator>Asnlssu</dc:creator>
  <cp:lastModifiedBy>Asnlssu</cp:lastModifiedBy>
  <cp:lastPrinted>2026-09-30T02:13:00Z</cp:lastPrinted>
  <dcterms:modified xsi:type="dcterms:W3CDTF">2026-10-20T01:05:26Z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0AA100EF7C104A88A8AA8864B0EF918D_13</vt:lpwstr>
  </property>
  <property fmtid="{D5CDD505-2E9C-101B-9397-08002B2CF9AE}" pid="4" name="KSOTemplateDocerSaveRecord">
    <vt:lpwstr>eyJoZGlkIjoiZDYzOTYzZjczNGZmNGI3MzhlNGQzMDkxYzE4YzYxOGEiLCJ1c2VySWQiOiIxMTc5NDgzNjMxIn0=</vt:lpwstr>
  </property>
</Properties>
</file>