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DC7BD7">
      <w:pPr>
        <w:keepNext w:val="0"/>
        <w:keepLines w:val="0"/>
        <w:pageBreakBefore w:val="0"/>
        <w:widowControl w:val="0"/>
        <w:kinsoku/>
        <w:wordWrap/>
        <w:overflowPunct/>
        <w:topLinePunct w:val="0"/>
        <w:autoSpaceDN/>
        <w:bidi w:val="0"/>
        <w:adjustRightInd/>
        <w:snapToGrid/>
        <w:spacing w:before="120" w:after="120" w:afterLines="50" w:line="560" w:lineRule="exact"/>
        <w:jc w:val="both"/>
        <w:textAlignment w:val="auto"/>
        <w:rPr>
          <w:rFonts w:ascii="文星标宋" w:hAnsi="文星标宋" w:eastAsia="文星标宋" w:cs="文星标宋"/>
          <w:color w:val="000000" w:themeColor="text1"/>
          <w:sz w:val="44"/>
          <w:szCs w:val="44"/>
          <w14:textFill>
            <w14:solidFill>
              <w14:schemeClr w14:val="tx1"/>
            </w14:solidFill>
          </w14:textFill>
        </w:rPr>
      </w:pPr>
    </w:p>
    <w:p w14:paraId="2F0DF7F3">
      <w:pPr>
        <w:keepNext w:val="0"/>
        <w:keepLines w:val="0"/>
        <w:pageBreakBefore w:val="0"/>
        <w:widowControl w:val="0"/>
        <w:kinsoku/>
        <w:wordWrap/>
        <w:overflowPunct/>
        <w:topLinePunct w:val="0"/>
        <w:autoSpaceDN/>
        <w:bidi w:val="0"/>
        <w:adjustRightInd/>
        <w:snapToGrid/>
        <w:spacing w:before="120" w:after="120" w:afterLines="50" w:line="560" w:lineRule="exact"/>
        <w:jc w:val="both"/>
        <w:textAlignment w:val="auto"/>
        <w:rPr>
          <w:rFonts w:ascii="文星标宋" w:hAnsi="文星标宋" w:eastAsia="文星标宋" w:cs="文星标宋"/>
          <w:color w:val="000000" w:themeColor="text1"/>
          <w:sz w:val="44"/>
          <w:szCs w:val="44"/>
          <w14:textFill>
            <w14:solidFill>
              <w14:schemeClr w14:val="tx1"/>
            </w14:solidFill>
          </w14:textFill>
        </w:rPr>
      </w:pPr>
    </w:p>
    <w:p w14:paraId="0C291876">
      <w:pPr>
        <w:keepNext w:val="0"/>
        <w:keepLines w:val="0"/>
        <w:pageBreakBefore w:val="0"/>
        <w:widowControl w:val="0"/>
        <w:kinsoku/>
        <w:wordWrap/>
        <w:overflowPunct/>
        <w:topLinePunct w:val="0"/>
        <w:autoSpaceDN/>
        <w:bidi w:val="0"/>
        <w:adjustRightInd/>
        <w:snapToGrid/>
        <w:spacing w:before="120" w:after="120" w:afterLines="50" w:line="560" w:lineRule="exact"/>
        <w:jc w:val="both"/>
        <w:textAlignment w:val="auto"/>
        <w:rPr>
          <w:rFonts w:ascii="文星标宋" w:hAnsi="文星标宋" w:eastAsia="文星标宋" w:cs="文星标宋"/>
          <w:color w:val="000000" w:themeColor="text1"/>
          <w:sz w:val="44"/>
          <w:szCs w:val="44"/>
          <w14:textFill>
            <w14:solidFill>
              <w14:schemeClr w14:val="tx1"/>
            </w14:solidFill>
          </w14:textFill>
        </w:rPr>
      </w:pPr>
    </w:p>
    <w:p w14:paraId="59252AC9">
      <w:pPr>
        <w:keepNext w:val="0"/>
        <w:keepLines w:val="0"/>
        <w:pageBreakBefore w:val="0"/>
        <w:widowControl w:val="0"/>
        <w:kinsoku/>
        <w:wordWrap/>
        <w:overflowPunct/>
        <w:topLinePunct w:val="0"/>
        <w:autoSpaceDN/>
        <w:bidi w:val="0"/>
        <w:adjustRightInd/>
        <w:snapToGrid/>
        <w:spacing w:before="120" w:after="120" w:afterLines="50" w:line="560" w:lineRule="exact"/>
        <w:jc w:val="both"/>
        <w:textAlignment w:val="auto"/>
        <w:rPr>
          <w:rFonts w:ascii="文星标宋" w:hAnsi="文星标宋" w:eastAsia="文星标宋" w:cs="文星标宋"/>
          <w:color w:val="000000" w:themeColor="text1"/>
          <w:sz w:val="44"/>
          <w:szCs w:val="44"/>
          <w14:textFill>
            <w14:solidFill>
              <w14:schemeClr w14:val="tx1"/>
            </w14:solidFill>
          </w14:textFill>
        </w:rPr>
      </w:pPr>
    </w:p>
    <w:p w14:paraId="7BFE53A0">
      <w:pPr>
        <w:keepNext w:val="0"/>
        <w:keepLines w:val="0"/>
        <w:pageBreakBefore w:val="0"/>
        <w:widowControl w:val="0"/>
        <w:kinsoku/>
        <w:wordWrap/>
        <w:overflowPunct/>
        <w:topLinePunct w:val="0"/>
        <w:autoSpaceDN/>
        <w:bidi w:val="0"/>
        <w:spacing w:line="560" w:lineRule="exact"/>
        <w:jc w:val="center"/>
        <w:textAlignment w:val="auto"/>
        <w:rPr>
          <w:rFonts w:ascii="方正小标宋简体" w:hAnsi="文星标宋" w:eastAsia="方正小标宋简体" w:cs="文星标宋"/>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sz w:val="44"/>
          <w:szCs w:val="44"/>
        </w:rPr>
        <w:t>章丘</w:t>
      </w:r>
      <w:r>
        <w:rPr>
          <w:rFonts w:hint="eastAsia" w:ascii="方正小标宋简体" w:hAnsi="方正小标宋简体" w:eastAsia="方正小标宋简体" w:cs="方正小标宋简体"/>
          <w:sz w:val="44"/>
          <w:szCs w:val="44"/>
          <w:lang w:eastAsia="zh-CN"/>
        </w:rPr>
        <w:t>刁镇化工产业园</w:t>
      </w:r>
      <w:r>
        <w:rPr>
          <w:rFonts w:hint="eastAsia" w:ascii="方正小标宋简体" w:hAnsi="方正小标宋简体" w:eastAsia="方正小标宋简体" w:cs="方正小标宋简体"/>
          <w:sz w:val="44"/>
          <w:szCs w:val="44"/>
        </w:rPr>
        <w:t>济南久安酯类化工有限</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公司“4·12”一般火灾事故调查报告</w:t>
      </w:r>
    </w:p>
    <w:p w14:paraId="7A716D4E">
      <w:pPr>
        <w:keepNext w:val="0"/>
        <w:keepLines w:val="0"/>
        <w:pageBreakBefore w:val="0"/>
        <w:widowControl w:val="0"/>
        <w:kinsoku/>
        <w:wordWrap/>
        <w:overflowPunct/>
        <w:topLinePunct w:val="0"/>
        <w:autoSpaceDN/>
        <w:bidi w:val="0"/>
        <w:adjustRightInd/>
        <w:snapToGrid/>
        <w:spacing w:before="120" w:after="120" w:afterLines="50" w:line="560" w:lineRule="exact"/>
        <w:jc w:val="center"/>
        <w:textAlignment w:val="auto"/>
        <w:rPr>
          <w:rFonts w:ascii="楷体_GB2312" w:hAnsi="楷体_GB2312" w:eastAsia="楷体_GB2312" w:cs="楷体_GB2312"/>
          <w:color w:val="000000" w:themeColor="text1"/>
          <w:sz w:val="32"/>
          <w:szCs w:val="32"/>
          <w:lang w:eastAsia="zh-CN"/>
          <w14:textFill>
            <w14:solidFill>
              <w14:schemeClr w14:val="tx1"/>
            </w14:solidFill>
          </w14:textFill>
        </w:rPr>
      </w:pPr>
    </w:p>
    <w:p w14:paraId="3B11DE4A">
      <w:pPr>
        <w:keepNext w:val="0"/>
        <w:keepLines w:val="0"/>
        <w:pageBreakBefore w:val="0"/>
        <w:widowControl w:val="0"/>
        <w:kinsoku/>
        <w:wordWrap/>
        <w:overflowPunct/>
        <w:topLinePunct w:val="0"/>
        <w:autoSpaceDN/>
        <w:bidi w:val="0"/>
        <w:adjustRightInd/>
        <w:snapToGrid/>
        <w:spacing w:before="120" w:after="120" w:afterLines="50" w:line="560" w:lineRule="exact"/>
        <w:jc w:val="both"/>
        <w:textAlignment w:val="auto"/>
        <w:rPr>
          <w:rFonts w:ascii="文星标宋" w:hAnsi="文星标宋" w:eastAsia="文星标宋" w:cs="文星标宋"/>
          <w:color w:val="000000" w:themeColor="text1"/>
          <w:sz w:val="44"/>
          <w:szCs w:val="44"/>
          <w:lang w:eastAsia="zh-CN"/>
          <w14:textFill>
            <w14:solidFill>
              <w14:schemeClr w14:val="tx1"/>
            </w14:solidFill>
          </w14:textFill>
        </w:rPr>
      </w:pPr>
    </w:p>
    <w:p w14:paraId="70F9C82E">
      <w:pPr>
        <w:keepNext w:val="0"/>
        <w:keepLines w:val="0"/>
        <w:pageBreakBefore w:val="0"/>
        <w:widowControl w:val="0"/>
        <w:kinsoku/>
        <w:wordWrap/>
        <w:overflowPunct/>
        <w:topLinePunct w:val="0"/>
        <w:autoSpaceDN/>
        <w:bidi w:val="0"/>
        <w:adjustRightInd/>
        <w:snapToGrid/>
        <w:spacing w:before="120" w:after="120" w:afterLines="50" w:line="560" w:lineRule="exact"/>
        <w:jc w:val="both"/>
        <w:textAlignment w:val="auto"/>
        <w:rPr>
          <w:rFonts w:ascii="文星标宋" w:hAnsi="文星标宋" w:eastAsia="文星标宋" w:cs="文星标宋"/>
          <w:color w:val="000000" w:themeColor="text1"/>
          <w:sz w:val="44"/>
          <w:szCs w:val="44"/>
          <w:lang w:eastAsia="zh-CN"/>
          <w14:textFill>
            <w14:solidFill>
              <w14:schemeClr w14:val="tx1"/>
            </w14:solidFill>
          </w14:textFill>
        </w:rPr>
      </w:pPr>
    </w:p>
    <w:p w14:paraId="0EC6D49E">
      <w:pPr>
        <w:keepNext w:val="0"/>
        <w:keepLines w:val="0"/>
        <w:pageBreakBefore w:val="0"/>
        <w:widowControl w:val="0"/>
        <w:kinsoku/>
        <w:wordWrap/>
        <w:overflowPunct/>
        <w:topLinePunct w:val="0"/>
        <w:autoSpaceDN/>
        <w:bidi w:val="0"/>
        <w:adjustRightInd/>
        <w:snapToGrid/>
        <w:spacing w:before="120" w:after="120" w:afterLines="50" w:line="560" w:lineRule="exact"/>
        <w:jc w:val="both"/>
        <w:textAlignment w:val="auto"/>
        <w:rPr>
          <w:rFonts w:ascii="文星标宋" w:hAnsi="文星标宋" w:eastAsia="文星标宋" w:cs="文星标宋"/>
          <w:color w:val="000000" w:themeColor="text1"/>
          <w:sz w:val="44"/>
          <w:szCs w:val="44"/>
          <w:lang w:eastAsia="zh-CN"/>
          <w14:textFill>
            <w14:solidFill>
              <w14:schemeClr w14:val="tx1"/>
            </w14:solidFill>
          </w14:textFill>
        </w:rPr>
      </w:pPr>
    </w:p>
    <w:p w14:paraId="1513A417">
      <w:pPr>
        <w:keepNext w:val="0"/>
        <w:keepLines w:val="0"/>
        <w:pageBreakBefore w:val="0"/>
        <w:widowControl w:val="0"/>
        <w:kinsoku/>
        <w:wordWrap/>
        <w:overflowPunct/>
        <w:topLinePunct w:val="0"/>
        <w:autoSpaceDN/>
        <w:bidi w:val="0"/>
        <w:adjustRightInd/>
        <w:snapToGrid/>
        <w:spacing w:before="120" w:after="120" w:afterLines="50" w:line="560" w:lineRule="exact"/>
        <w:jc w:val="both"/>
        <w:textAlignment w:val="auto"/>
        <w:rPr>
          <w:rFonts w:ascii="文星标宋" w:hAnsi="文星标宋" w:eastAsia="文星标宋" w:cs="文星标宋"/>
          <w:color w:val="000000" w:themeColor="text1"/>
          <w:sz w:val="44"/>
          <w:szCs w:val="44"/>
          <w:lang w:eastAsia="zh-CN"/>
          <w14:textFill>
            <w14:solidFill>
              <w14:schemeClr w14:val="tx1"/>
            </w14:solidFill>
          </w14:textFill>
        </w:rPr>
      </w:pPr>
    </w:p>
    <w:p w14:paraId="552D36B3">
      <w:pPr>
        <w:keepNext w:val="0"/>
        <w:keepLines w:val="0"/>
        <w:pageBreakBefore w:val="0"/>
        <w:widowControl w:val="0"/>
        <w:kinsoku/>
        <w:wordWrap/>
        <w:overflowPunct/>
        <w:topLinePunct w:val="0"/>
        <w:autoSpaceDN/>
        <w:bidi w:val="0"/>
        <w:adjustRightInd/>
        <w:snapToGrid/>
        <w:spacing w:before="120" w:after="120" w:afterLines="50" w:line="560" w:lineRule="exact"/>
        <w:jc w:val="both"/>
        <w:textAlignment w:val="auto"/>
        <w:rPr>
          <w:rFonts w:ascii="文星标宋" w:hAnsi="文星标宋" w:eastAsia="文星标宋" w:cs="文星标宋"/>
          <w:color w:val="000000" w:themeColor="text1"/>
          <w:sz w:val="44"/>
          <w:szCs w:val="44"/>
          <w:lang w:eastAsia="zh-CN"/>
          <w14:textFill>
            <w14:solidFill>
              <w14:schemeClr w14:val="tx1"/>
            </w14:solidFill>
          </w14:textFill>
        </w:rPr>
      </w:pPr>
    </w:p>
    <w:p w14:paraId="2F2F44AD">
      <w:pPr>
        <w:keepNext w:val="0"/>
        <w:keepLines w:val="0"/>
        <w:pageBreakBefore w:val="0"/>
        <w:widowControl w:val="0"/>
        <w:kinsoku/>
        <w:wordWrap/>
        <w:overflowPunct/>
        <w:topLinePunct w:val="0"/>
        <w:autoSpaceDN/>
        <w:bidi w:val="0"/>
        <w:adjustRightInd/>
        <w:snapToGrid/>
        <w:spacing w:before="120" w:after="120" w:afterLines="50" w:line="560" w:lineRule="exact"/>
        <w:jc w:val="both"/>
        <w:textAlignment w:val="auto"/>
        <w:rPr>
          <w:rFonts w:ascii="文星标宋" w:hAnsi="文星标宋" w:eastAsia="文星标宋" w:cs="文星标宋"/>
          <w:color w:val="000000" w:themeColor="text1"/>
          <w:sz w:val="44"/>
          <w:szCs w:val="44"/>
          <w:lang w:eastAsia="zh-CN"/>
          <w14:textFill>
            <w14:solidFill>
              <w14:schemeClr w14:val="tx1"/>
            </w14:solidFill>
          </w14:textFill>
        </w:rPr>
      </w:pPr>
    </w:p>
    <w:p w14:paraId="3B75B691">
      <w:pPr>
        <w:keepNext w:val="0"/>
        <w:keepLines w:val="0"/>
        <w:pageBreakBefore w:val="0"/>
        <w:widowControl w:val="0"/>
        <w:kinsoku/>
        <w:wordWrap/>
        <w:overflowPunct/>
        <w:topLinePunct w:val="0"/>
        <w:autoSpaceDN/>
        <w:bidi w:val="0"/>
        <w:adjustRightInd/>
        <w:snapToGrid/>
        <w:spacing w:before="120" w:after="120" w:afterLines="50" w:line="560" w:lineRule="exact"/>
        <w:jc w:val="both"/>
        <w:textAlignment w:val="auto"/>
        <w:rPr>
          <w:rFonts w:ascii="文星标宋" w:hAnsi="文星标宋" w:eastAsia="文星标宋" w:cs="文星标宋"/>
          <w:color w:val="000000" w:themeColor="text1"/>
          <w:sz w:val="44"/>
          <w:szCs w:val="44"/>
          <w:lang w:eastAsia="zh-CN"/>
          <w14:textFill>
            <w14:solidFill>
              <w14:schemeClr w14:val="tx1"/>
            </w14:solidFill>
          </w14:textFill>
        </w:rPr>
      </w:pPr>
    </w:p>
    <w:p w14:paraId="2539AE11">
      <w:pPr>
        <w:keepNext w:val="0"/>
        <w:keepLines w:val="0"/>
        <w:pageBreakBefore w:val="0"/>
        <w:widowControl w:val="0"/>
        <w:kinsoku/>
        <w:wordWrap/>
        <w:overflowPunct/>
        <w:topLinePunct w:val="0"/>
        <w:autoSpaceDN/>
        <w:bidi w:val="0"/>
        <w:adjustRightInd/>
        <w:snapToGrid/>
        <w:spacing w:before="120" w:after="120" w:afterLines="50" w:line="560" w:lineRule="exact"/>
        <w:jc w:val="both"/>
        <w:textAlignment w:val="auto"/>
        <w:rPr>
          <w:rFonts w:ascii="文星标宋" w:hAnsi="文星标宋" w:eastAsia="文星标宋" w:cs="文星标宋"/>
          <w:color w:val="000000" w:themeColor="text1"/>
          <w:sz w:val="44"/>
          <w:szCs w:val="44"/>
          <w:lang w:eastAsia="zh-CN"/>
          <w14:textFill>
            <w14:solidFill>
              <w14:schemeClr w14:val="tx1"/>
            </w14:solidFill>
          </w14:textFill>
        </w:rPr>
      </w:pPr>
    </w:p>
    <w:p w14:paraId="628E2472">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楷体_GB2312" w:hAnsi="楷体_GB2312" w:eastAsia="楷体_GB2312" w:cs="楷体_GB2312"/>
          <w:color w:val="000000" w:themeColor="text1"/>
          <w:sz w:val="32"/>
          <w:szCs w:val="32"/>
          <w:lang w:eastAsia="zh-CN"/>
          <w14:textFill>
            <w14:solidFill>
              <w14:schemeClr w14:val="tx1"/>
            </w14:solidFill>
          </w14:textFill>
        </w:rPr>
      </w:pPr>
      <w:r>
        <w:rPr>
          <w:rFonts w:hint="eastAsia" w:ascii="楷体_GB2312" w:hAnsi="楷体_GB2312" w:eastAsia="楷体_GB2312" w:cs="楷体_GB2312"/>
          <w:color w:val="000000" w:themeColor="text1"/>
          <w:sz w:val="32"/>
          <w:szCs w:val="32"/>
          <w:lang w:eastAsia="zh-CN"/>
          <w14:textFill>
            <w14:solidFill>
              <w14:schemeClr w14:val="tx1"/>
            </w14:solidFill>
          </w14:textFill>
        </w:rPr>
        <w:t>济南市章丘区人民政府事故调查组</w:t>
      </w:r>
    </w:p>
    <w:p w14:paraId="0138D3F9">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楷体_GB2312" w:hAnsi="楷体_GB2312" w:eastAsia="楷体_GB2312" w:cs="楷体_GB2312"/>
          <w:color w:val="000000" w:themeColor="text1"/>
          <w:sz w:val="32"/>
          <w:szCs w:val="32"/>
          <w:highlight w:val="yellow"/>
          <w:lang w:eastAsia="zh-CN"/>
          <w14:textFill>
            <w14:solidFill>
              <w14:schemeClr w14:val="tx1"/>
            </w14:solidFill>
          </w14:textFill>
        </w:rPr>
      </w:pPr>
      <w:r>
        <w:rPr>
          <w:rFonts w:hint="eastAsia" w:ascii="楷体_GB2312" w:hAnsi="楷体_GB2312" w:eastAsia="楷体_GB2312" w:cs="楷体_GB2312"/>
          <w:color w:val="000000" w:themeColor="text1"/>
          <w:sz w:val="32"/>
          <w:szCs w:val="32"/>
          <w:highlight w:val="none"/>
          <w:lang w:eastAsia="zh-CN"/>
          <w14:textFill>
            <w14:solidFill>
              <w14:schemeClr w14:val="tx1"/>
            </w14:solidFill>
          </w14:textFill>
        </w:rPr>
        <w:t>2026年</w:t>
      </w:r>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5</w:t>
      </w:r>
      <w:r>
        <w:rPr>
          <w:rFonts w:hint="eastAsia" w:ascii="楷体_GB2312" w:hAnsi="楷体_GB2312" w:eastAsia="楷体_GB2312" w:cs="楷体_GB2312"/>
          <w:color w:val="000000" w:themeColor="text1"/>
          <w:sz w:val="32"/>
          <w:szCs w:val="32"/>
          <w:highlight w:val="none"/>
          <w:lang w:eastAsia="zh-CN"/>
          <w14:textFill>
            <w14:solidFill>
              <w14:schemeClr w14:val="tx1"/>
            </w14:solidFill>
          </w14:textFill>
        </w:rPr>
        <w:t>月</w:t>
      </w:r>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20</w:t>
      </w:r>
      <w:r>
        <w:rPr>
          <w:rFonts w:hint="eastAsia" w:ascii="楷体_GB2312" w:hAnsi="楷体_GB2312" w:eastAsia="楷体_GB2312" w:cs="楷体_GB2312"/>
          <w:color w:val="000000" w:themeColor="text1"/>
          <w:sz w:val="32"/>
          <w:szCs w:val="32"/>
          <w:highlight w:val="none"/>
          <w:lang w:eastAsia="zh-CN"/>
          <w14:textFill>
            <w14:solidFill>
              <w14:schemeClr w14:val="tx1"/>
            </w14:solidFill>
          </w14:textFill>
        </w:rPr>
        <w:t>日</w:t>
      </w:r>
    </w:p>
    <w:p w14:paraId="37933A37">
      <w:pPr>
        <w:keepNext w:val="0"/>
        <w:keepLines w:val="0"/>
        <w:pageBreakBefore w:val="0"/>
        <w:widowControl w:val="0"/>
        <w:kinsoku/>
        <w:wordWrap/>
        <w:overflowPunct/>
        <w:topLinePunct w:val="0"/>
        <w:autoSpaceDN/>
        <w:bidi w:val="0"/>
        <w:adjustRightInd/>
        <w:snapToGrid/>
        <w:spacing w:before="120" w:after="120" w:afterLines="50" w:line="560" w:lineRule="exact"/>
        <w:jc w:val="both"/>
        <w:textAlignment w:val="auto"/>
        <w:rPr>
          <w:rFonts w:ascii="文星标宋" w:hAnsi="文星标宋" w:eastAsia="文星标宋" w:cs="文星标宋"/>
          <w:color w:val="000000" w:themeColor="text1"/>
          <w:sz w:val="44"/>
          <w:szCs w:val="44"/>
          <w:lang w:eastAsia="zh-CN"/>
          <w14:textFill>
            <w14:solidFill>
              <w14:schemeClr w14:val="tx1"/>
            </w14:solidFill>
          </w14:textFill>
        </w:rPr>
      </w:pPr>
    </w:p>
    <w:p w14:paraId="2EBBFBE4">
      <w:pPr>
        <w:keepNext w:val="0"/>
        <w:keepLines w:val="0"/>
        <w:pageBreakBefore w:val="0"/>
        <w:widowControl w:val="0"/>
        <w:kinsoku/>
        <w:wordWrap/>
        <w:overflowPunct/>
        <w:topLinePunct w:val="0"/>
        <w:autoSpaceDN/>
        <w:bidi w:val="0"/>
        <w:adjustRightInd/>
        <w:snapToGrid/>
        <w:spacing w:before="120" w:after="120" w:afterLines="50" w:line="560" w:lineRule="exact"/>
        <w:jc w:val="both"/>
        <w:textAlignment w:val="auto"/>
        <w:rPr>
          <w:rFonts w:ascii="文星标宋" w:hAnsi="文星标宋" w:eastAsia="文星标宋" w:cs="文星标宋"/>
          <w:color w:val="000000" w:themeColor="text1"/>
          <w:sz w:val="44"/>
          <w:szCs w:val="44"/>
          <w:lang w:eastAsia="zh-CN"/>
          <w14:textFill>
            <w14:solidFill>
              <w14:schemeClr w14:val="tx1"/>
            </w14:solidFill>
          </w14:textFill>
        </w:rPr>
      </w:pPr>
    </w:p>
    <w:p w14:paraId="132ADB6F">
      <w:pPr>
        <w:keepNext w:val="0"/>
        <w:keepLines w:val="0"/>
        <w:pageBreakBefore w:val="0"/>
        <w:widowControl w:val="0"/>
        <w:wordWrap/>
        <w:overflowPunct/>
        <w:topLinePunct w:val="0"/>
        <w:bidi w:val="0"/>
        <w:jc w:val="center"/>
        <w:rPr>
          <w:rFonts w:ascii="宋体" w:hAnsi="宋体" w:eastAsia="宋体"/>
        </w:rPr>
        <w:sectPr>
          <w:footerReference r:id="rId4" w:type="default"/>
          <w:pgSz w:w="11900" w:h="16840"/>
          <w:pgMar w:top="2098" w:right="1474" w:bottom="1985" w:left="1588" w:header="0" w:footer="1134" w:gutter="0"/>
          <w:pgNumType w:fmt="decimal" w:start="1"/>
          <w:cols w:space="720" w:num="1"/>
        </w:sectPr>
      </w:pPr>
    </w:p>
    <w:sdt>
      <w:sdtPr>
        <w:rPr>
          <w:rFonts w:ascii="宋体" w:hAnsi="宋体" w:eastAsia="宋体"/>
        </w:rPr>
        <w:id w:val="714342960"/>
        <w:docPartObj>
          <w:docPartGallery w:val="Table of Contents"/>
          <w:docPartUnique/>
        </w:docPartObj>
      </w:sdtPr>
      <w:sdtEndPr>
        <w:rPr>
          <w:rFonts w:hint="eastAsia" w:ascii="方正小标宋简体" w:hAnsi="方正小标宋简体" w:eastAsia="方正小标宋简体" w:cs="方正小标宋简体"/>
          <w:szCs w:val="44"/>
        </w:rPr>
      </w:sdtEndPr>
      <w:sdtContent>
        <w:p w14:paraId="61B3C630">
          <w:pPr>
            <w:keepNext w:val="0"/>
            <w:keepLines w:val="0"/>
            <w:pageBreakBefore w:val="0"/>
            <w:widowControl w:val="0"/>
            <w:wordWrap/>
            <w:overflowPunct/>
            <w:topLinePunct w:val="0"/>
            <w:bidi w:val="0"/>
            <w:jc w:val="center"/>
            <w:rPr>
              <w:rFonts w:ascii="黑体" w:hAnsi="黑体" w:eastAsia="黑体" w:cs="黑体"/>
              <w:szCs w:val="32"/>
            </w:rPr>
          </w:pPr>
          <w:bookmarkStart w:id="0" w:name="_Toc175983193"/>
          <w:bookmarkStart w:id="1" w:name="_Toc1762099300"/>
          <w:r>
            <w:rPr>
              <w:rFonts w:ascii="黑体" w:hAnsi="黑体" w:eastAsia="黑体" w:cs="黑体"/>
              <w:szCs w:val="32"/>
            </w:rPr>
            <w:t>目</w:t>
          </w:r>
          <w:r>
            <w:rPr>
              <w:rFonts w:hint="eastAsia" w:ascii="黑体" w:hAnsi="黑体" w:eastAsia="黑体" w:cs="黑体"/>
              <w:szCs w:val="32"/>
            </w:rPr>
            <w:t xml:space="preserve">    </w:t>
          </w:r>
          <w:r>
            <w:rPr>
              <w:rFonts w:ascii="黑体" w:hAnsi="黑体" w:eastAsia="黑体" w:cs="黑体"/>
              <w:szCs w:val="32"/>
            </w:rPr>
            <w:t>录</w:t>
          </w:r>
        </w:p>
        <w:p w14:paraId="71710C88">
          <w:pPr>
            <w:pStyle w:val="10"/>
            <w:tabs>
              <w:tab w:val="right" w:leader="dot" w:pos="8838"/>
            </w:tabs>
          </w:pPr>
          <w:r>
            <w:rPr>
              <w:rFonts w:hint="eastAsia" w:ascii="方正小标宋简体" w:hAnsi="方正小标宋简体" w:eastAsia="方正小标宋简体" w:cs="方正小标宋简体"/>
              <w:sz w:val="44"/>
              <w:szCs w:val="44"/>
            </w:rPr>
            <w:fldChar w:fldCharType="begin"/>
          </w:r>
          <w:r>
            <w:rPr>
              <w:rFonts w:hint="eastAsia" w:ascii="方正小标宋简体" w:hAnsi="方正小标宋简体" w:eastAsia="方正小标宋简体" w:cs="方正小标宋简体"/>
              <w:sz w:val="44"/>
              <w:szCs w:val="44"/>
            </w:rPr>
            <w:instrText xml:space="preserve">TOC \o "1-3" \h \u </w:instrText>
          </w:r>
          <w:r>
            <w:rPr>
              <w:rFonts w:hint="eastAsia" w:ascii="方正小标宋简体" w:hAnsi="方正小标宋简体" w:eastAsia="方正小标宋简体" w:cs="方正小标宋简体"/>
              <w:sz w:val="44"/>
              <w:szCs w:val="44"/>
            </w:rPr>
            <w:fldChar w:fldCharType="separate"/>
          </w: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_Toc7911 </w:instrText>
          </w:r>
          <w:r>
            <w:rPr>
              <w:rFonts w:hint="eastAsia" w:ascii="方正小标宋简体" w:hAnsi="方正小标宋简体" w:eastAsia="方正小标宋简体" w:cs="方正小标宋简体"/>
              <w:szCs w:val="44"/>
            </w:rPr>
            <w:fldChar w:fldCharType="separate"/>
          </w:r>
          <w:r>
            <w:rPr>
              <w:rFonts w:hint="eastAsia" w:ascii="黑体" w:hAnsi="黑体" w:cs="黑体"/>
              <w:szCs w:val="32"/>
              <w:lang w:eastAsia="zh-CN"/>
            </w:rPr>
            <w:t>一、事故</w:t>
          </w:r>
          <w:r>
            <w:rPr>
              <w:rFonts w:hint="eastAsia" w:ascii="黑体" w:hAnsi="黑体" w:cs="黑体"/>
              <w:szCs w:val="32"/>
            </w:rPr>
            <w:t>基本情况</w:t>
          </w:r>
          <w:r>
            <w:tab/>
          </w:r>
          <w:r>
            <w:fldChar w:fldCharType="begin"/>
          </w:r>
          <w:r>
            <w:instrText xml:space="preserve"> PAGEREF _Toc7911 \h </w:instrText>
          </w:r>
          <w:r>
            <w:fldChar w:fldCharType="separate"/>
          </w:r>
          <w:r>
            <w:t>2</w:t>
          </w:r>
          <w:r>
            <w:fldChar w:fldCharType="end"/>
          </w:r>
          <w:r>
            <w:rPr>
              <w:rFonts w:hint="eastAsia" w:ascii="方正小标宋简体" w:hAnsi="方正小标宋简体" w:eastAsia="方正小标宋简体" w:cs="方正小标宋简体"/>
              <w:szCs w:val="44"/>
            </w:rPr>
            <w:fldChar w:fldCharType="end"/>
          </w:r>
        </w:p>
        <w:p w14:paraId="56781F59">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_Toc11596 </w:instrText>
          </w:r>
          <w:r>
            <w:rPr>
              <w:rFonts w:hint="eastAsia" w:ascii="方正小标宋简体" w:hAnsi="方正小标宋简体" w:eastAsia="方正小标宋简体" w:cs="方正小标宋简体"/>
              <w:szCs w:val="44"/>
            </w:rPr>
            <w:fldChar w:fldCharType="separate"/>
          </w:r>
          <w:r>
            <w:rPr>
              <w:rFonts w:hint="eastAsia"/>
              <w:lang w:eastAsia="zh-CN"/>
            </w:rPr>
            <w:t>（一）事故单位基本情况</w:t>
          </w:r>
          <w:r>
            <w:tab/>
          </w:r>
          <w:r>
            <w:fldChar w:fldCharType="begin"/>
          </w:r>
          <w:r>
            <w:instrText xml:space="preserve"> PAGEREF _Toc11596 \h </w:instrText>
          </w:r>
          <w:r>
            <w:fldChar w:fldCharType="separate"/>
          </w:r>
          <w:r>
            <w:t>2</w:t>
          </w:r>
          <w:r>
            <w:fldChar w:fldCharType="end"/>
          </w:r>
          <w:r>
            <w:rPr>
              <w:rFonts w:hint="eastAsia" w:ascii="方正小标宋简体" w:hAnsi="方正小标宋简体" w:eastAsia="方正小标宋简体" w:cs="方正小标宋简体"/>
              <w:szCs w:val="44"/>
            </w:rPr>
            <w:fldChar w:fldCharType="end"/>
          </w:r>
        </w:p>
        <w:p w14:paraId="020A9DF9">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_Toc26282 </w:instrText>
          </w:r>
          <w:r>
            <w:rPr>
              <w:rFonts w:hint="eastAsia" w:ascii="方正小标宋简体" w:hAnsi="方正小标宋简体" w:eastAsia="方正小标宋简体" w:cs="方正小标宋简体"/>
              <w:szCs w:val="44"/>
            </w:rPr>
            <w:fldChar w:fldCharType="separate"/>
          </w:r>
          <w:r>
            <w:rPr>
              <w:rFonts w:hint="eastAsia"/>
              <w:lang w:val="en-US" w:eastAsia="zh-CN"/>
            </w:rPr>
            <w:t>（二）事故地点及生产流程工序情况</w:t>
          </w:r>
          <w:r>
            <w:tab/>
          </w:r>
          <w:r>
            <w:fldChar w:fldCharType="begin"/>
          </w:r>
          <w:r>
            <w:instrText xml:space="preserve"> PAGEREF _Toc26282 \h </w:instrText>
          </w:r>
          <w:r>
            <w:fldChar w:fldCharType="separate"/>
          </w:r>
          <w:r>
            <w:t>4</w:t>
          </w:r>
          <w:r>
            <w:fldChar w:fldCharType="end"/>
          </w:r>
          <w:r>
            <w:rPr>
              <w:rFonts w:hint="eastAsia" w:ascii="方正小标宋简体" w:hAnsi="方正小标宋简体" w:eastAsia="方正小标宋简体" w:cs="方正小标宋简体"/>
              <w:szCs w:val="44"/>
            </w:rPr>
            <w:fldChar w:fldCharType="end"/>
          </w:r>
        </w:p>
        <w:p w14:paraId="29BECE2E">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_Toc4751 </w:instrText>
          </w:r>
          <w:r>
            <w:rPr>
              <w:rFonts w:hint="eastAsia" w:ascii="方正小标宋简体" w:hAnsi="方正小标宋简体" w:eastAsia="方正小标宋简体" w:cs="方正小标宋简体"/>
              <w:szCs w:val="44"/>
            </w:rPr>
            <w:fldChar w:fldCharType="separate"/>
          </w:r>
          <w:r>
            <w:rPr>
              <w:rFonts w:hint="eastAsia"/>
              <w:lang w:val="en-US" w:eastAsia="zh-CN"/>
            </w:rPr>
            <w:t>（三）事故单位安全管理情况</w:t>
          </w:r>
          <w:r>
            <w:tab/>
          </w:r>
          <w:r>
            <w:fldChar w:fldCharType="begin"/>
          </w:r>
          <w:r>
            <w:instrText xml:space="preserve"> PAGEREF _Toc4751 \h </w:instrText>
          </w:r>
          <w:r>
            <w:fldChar w:fldCharType="separate"/>
          </w:r>
          <w:r>
            <w:t>6</w:t>
          </w:r>
          <w:r>
            <w:fldChar w:fldCharType="end"/>
          </w:r>
          <w:r>
            <w:rPr>
              <w:rFonts w:hint="eastAsia" w:ascii="方正小标宋简体" w:hAnsi="方正小标宋简体" w:eastAsia="方正小标宋简体" w:cs="方正小标宋简体"/>
              <w:szCs w:val="44"/>
            </w:rPr>
            <w:fldChar w:fldCharType="end"/>
          </w:r>
        </w:p>
        <w:p w14:paraId="363F62E0">
          <w:pPr>
            <w:pStyle w:val="10"/>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_Toc5419 </w:instrText>
          </w:r>
          <w:r>
            <w:rPr>
              <w:rFonts w:hint="eastAsia" w:ascii="方正小标宋简体" w:hAnsi="方正小标宋简体" w:eastAsia="方正小标宋简体" w:cs="方正小标宋简体"/>
              <w:szCs w:val="44"/>
            </w:rPr>
            <w:fldChar w:fldCharType="separate"/>
          </w:r>
          <w:r>
            <w:rPr>
              <w:rFonts w:hint="eastAsia"/>
              <w:lang w:eastAsia="zh-CN"/>
            </w:rPr>
            <w:t>二、事故发生经过、应急处置、事故报告及四位一体工作开展及事故警示教育情况</w:t>
          </w:r>
          <w:r>
            <w:tab/>
          </w:r>
          <w:r>
            <w:fldChar w:fldCharType="begin"/>
          </w:r>
          <w:r>
            <w:instrText xml:space="preserve"> PAGEREF _Toc5419 \h </w:instrText>
          </w:r>
          <w:r>
            <w:fldChar w:fldCharType="separate"/>
          </w:r>
          <w:r>
            <w:t>6</w:t>
          </w:r>
          <w:r>
            <w:fldChar w:fldCharType="end"/>
          </w:r>
          <w:r>
            <w:rPr>
              <w:rFonts w:hint="eastAsia" w:ascii="方正小标宋简体" w:hAnsi="方正小标宋简体" w:eastAsia="方正小标宋简体" w:cs="方正小标宋简体"/>
              <w:szCs w:val="44"/>
            </w:rPr>
            <w:fldChar w:fldCharType="end"/>
          </w:r>
        </w:p>
        <w:p w14:paraId="4C583EF1">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_Toc24673 </w:instrText>
          </w:r>
          <w:r>
            <w:rPr>
              <w:rFonts w:hint="eastAsia" w:ascii="方正小标宋简体" w:hAnsi="方正小标宋简体" w:eastAsia="方正小标宋简体" w:cs="方正小标宋简体"/>
              <w:szCs w:val="44"/>
            </w:rPr>
            <w:fldChar w:fldCharType="separate"/>
          </w:r>
          <w:r>
            <w:rPr>
              <w:rFonts w:hint="eastAsia"/>
              <w:lang w:val="en-US" w:eastAsia="zh-CN"/>
            </w:rPr>
            <w:t>（一）事故发生经过</w:t>
          </w:r>
          <w:r>
            <w:tab/>
          </w:r>
          <w:r>
            <w:fldChar w:fldCharType="begin"/>
          </w:r>
          <w:r>
            <w:instrText xml:space="preserve"> PAGEREF _Toc24673 \h </w:instrText>
          </w:r>
          <w:r>
            <w:fldChar w:fldCharType="separate"/>
          </w:r>
          <w:r>
            <w:t>6</w:t>
          </w:r>
          <w:r>
            <w:fldChar w:fldCharType="end"/>
          </w:r>
          <w:r>
            <w:rPr>
              <w:rFonts w:hint="eastAsia" w:ascii="方正小标宋简体" w:hAnsi="方正小标宋简体" w:eastAsia="方正小标宋简体" w:cs="方正小标宋简体"/>
              <w:szCs w:val="44"/>
            </w:rPr>
            <w:fldChar w:fldCharType="end"/>
          </w:r>
        </w:p>
        <w:p w14:paraId="0E9CB1AE">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_Toc23502 </w:instrText>
          </w:r>
          <w:r>
            <w:rPr>
              <w:rFonts w:hint="eastAsia" w:ascii="方正小标宋简体" w:hAnsi="方正小标宋简体" w:eastAsia="方正小标宋简体" w:cs="方正小标宋简体"/>
              <w:szCs w:val="44"/>
            </w:rPr>
            <w:fldChar w:fldCharType="separate"/>
          </w:r>
          <w:r>
            <w:rPr>
              <w:rFonts w:hint="eastAsia"/>
              <w:lang w:val="en-US" w:eastAsia="zh-CN"/>
            </w:rPr>
            <w:t>（二）事故应急处置情况及善后处理情况</w:t>
          </w:r>
          <w:r>
            <w:tab/>
          </w:r>
          <w:r>
            <w:fldChar w:fldCharType="begin"/>
          </w:r>
          <w:r>
            <w:instrText xml:space="preserve"> PAGEREF _Toc23502 \h </w:instrText>
          </w:r>
          <w:r>
            <w:fldChar w:fldCharType="separate"/>
          </w:r>
          <w:r>
            <w:t>7</w:t>
          </w:r>
          <w:r>
            <w:fldChar w:fldCharType="end"/>
          </w:r>
          <w:r>
            <w:rPr>
              <w:rFonts w:hint="eastAsia" w:ascii="方正小标宋简体" w:hAnsi="方正小标宋简体" w:eastAsia="方正小标宋简体" w:cs="方正小标宋简体"/>
              <w:szCs w:val="44"/>
            </w:rPr>
            <w:fldChar w:fldCharType="end"/>
          </w:r>
        </w:p>
        <w:p w14:paraId="2E6B0230">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_Toc21416 </w:instrText>
          </w:r>
          <w:r>
            <w:rPr>
              <w:rFonts w:hint="eastAsia" w:ascii="方正小标宋简体" w:hAnsi="方正小标宋简体" w:eastAsia="方正小标宋简体" w:cs="方正小标宋简体"/>
              <w:szCs w:val="44"/>
            </w:rPr>
            <w:fldChar w:fldCharType="separate"/>
          </w:r>
          <w:r>
            <w:rPr>
              <w:rFonts w:hint="eastAsia"/>
              <w:lang w:val="en-US" w:eastAsia="zh-CN"/>
            </w:rPr>
            <w:t>（三）事故报告情况</w:t>
          </w:r>
          <w:r>
            <w:tab/>
          </w:r>
          <w:r>
            <w:fldChar w:fldCharType="begin"/>
          </w:r>
          <w:r>
            <w:instrText xml:space="preserve"> PAGEREF _Toc21416 \h </w:instrText>
          </w:r>
          <w:r>
            <w:fldChar w:fldCharType="separate"/>
          </w:r>
          <w:r>
            <w:t>7</w:t>
          </w:r>
          <w:r>
            <w:fldChar w:fldCharType="end"/>
          </w:r>
          <w:r>
            <w:rPr>
              <w:rFonts w:hint="eastAsia" w:ascii="方正小标宋简体" w:hAnsi="方正小标宋简体" w:eastAsia="方正小标宋简体" w:cs="方正小标宋简体"/>
              <w:szCs w:val="44"/>
            </w:rPr>
            <w:fldChar w:fldCharType="end"/>
          </w:r>
        </w:p>
        <w:p w14:paraId="2A88AF5A">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_Toc22649 </w:instrText>
          </w:r>
          <w:r>
            <w:rPr>
              <w:rFonts w:hint="eastAsia" w:ascii="方正小标宋简体" w:hAnsi="方正小标宋简体" w:eastAsia="方正小标宋简体" w:cs="方正小标宋简体"/>
              <w:szCs w:val="44"/>
            </w:rPr>
            <w:fldChar w:fldCharType="separate"/>
          </w:r>
          <w:r>
            <w:rPr>
              <w:rFonts w:hint="eastAsia"/>
              <w:lang w:eastAsia="zh-CN"/>
            </w:rPr>
            <w:t>（</w:t>
          </w:r>
          <w:r>
            <w:rPr>
              <w:rFonts w:hint="eastAsia"/>
              <w:lang w:val="en-US" w:eastAsia="zh-CN"/>
            </w:rPr>
            <w:t>四</w:t>
          </w:r>
          <w:r>
            <w:rPr>
              <w:rFonts w:hint="eastAsia"/>
              <w:lang w:eastAsia="zh-CN"/>
            </w:rPr>
            <w:t>）事故应急处置评估</w:t>
          </w:r>
          <w:r>
            <w:tab/>
          </w:r>
          <w:r>
            <w:fldChar w:fldCharType="begin"/>
          </w:r>
          <w:r>
            <w:instrText xml:space="preserve"> PAGEREF _Toc22649 \h </w:instrText>
          </w:r>
          <w:r>
            <w:fldChar w:fldCharType="separate"/>
          </w:r>
          <w:r>
            <w:t>7</w:t>
          </w:r>
          <w:r>
            <w:fldChar w:fldCharType="end"/>
          </w:r>
          <w:r>
            <w:rPr>
              <w:rFonts w:hint="eastAsia" w:ascii="方正小标宋简体" w:hAnsi="方正小标宋简体" w:eastAsia="方正小标宋简体" w:cs="方正小标宋简体"/>
              <w:szCs w:val="44"/>
            </w:rPr>
            <w:fldChar w:fldCharType="end"/>
          </w:r>
        </w:p>
        <w:p w14:paraId="4EB9C903">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_Toc18589 </w:instrText>
          </w:r>
          <w:r>
            <w:rPr>
              <w:rFonts w:hint="eastAsia" w:ascii="方正小标宋简体" w:hAnsi="方正小标宋简体" w:eastAsia="方正小标宋简体" w:cs="方正小标宋简体"/>
              <w:szCs w:val="44"/>
            </w:rPr>
            <w:fldChar w:fldCharType="separate"/>
          </w:r>
          <w:r>
            <w:rPr>
              <w:rFonts w:hint="eastAsia"/>
              <w:lang w:eastAsia="zh-CN"/>
            </w:rPr>
            <w:t>（</w:t>
          </w:r>
          <w:r>
            <w:rPr>
              <w:rFonts w:hint="eastAsia"/>
              <w:lang w:val="en-US" w:eastAsia="zh-CN"/>
            </w:rPr>
            <w:t>五</w:t>
          </w:r>
          <w:r>
            <w:rPr>
              <w:rFonts w:hint="eastAsia"/>
              <w:lang w:eastAsia="zh-CN"/>
            </w:rPr>
            <w:t>）</w:t>
          </w:r>
          <w:r>
            <w:rPr>
              <w:rFonts w:hint="eastAsia"/>
            </w:rPr>
            <w:t>“四位一体”工作开展</w:t>
          </w:r>
          <w:r>
            <w:rPr>
              <w:rFonts w:hint="eastAsia"/>
              <w:lang w:eastAsia="zh-CN"/>
            </w:rPr>
            <w:t>情况</w:t>
          </w:r>
          <w:r>
            <w:tab/>
          </w:r>
          <w:r>
            <w:fldChar w:fldCharType="begin"/>
          </w:r>
          <w:r>
            <w:instrText xml:space="preserve"> PAGEREF _Toc18589 \h </w:instrText>
          </w:r>
          <w:r>
            <w:fldChar w:fldCharType="separate"/>
          </w:r>
          <w:r>
            <w:t>7</w:t>
          </w:r>
          <w:r>
            <w:fldChar w:fldCharType="end"/>
          </w:r>
          <w:r>
            <w:rPr>
              <w:rFonts w:hint="eastAsia" w:ascii="方正小标宋简体" w:hAnsi="方正小标宋简体" w:eastAsia="方正小标宋简体" w:cs="方正小标宋简体"/>
              <w:szCs w:val="44"/>
            </w:rPr>
            <w:fldChar w:fldCharType="end"/>
          </w:r>
        </w:p>
        <w:p w14:paraId="773A077D">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_Toc29015 </w:instrText>
          </w:r>
          <w:r>
            <w:rPr>
              <w:rFonts w:hint="eastAsia" w:ascii="方正小标宋简体" w:hAnsi="方正小标宋简体" w:eastAsia="方正小标宋简体" w:cs="方正小标宋简体"/>
              <w:szCs w:val="44"/>
            </w:rPr>
            <w:fldChar w:fldCharType="separate"/>
          </w:r>
          <w:r>
            <w:rPr>
              <w:rFonts w:hint="eastAsia"/>
            </w:rPr>
            <w:t>（</w:t>
          </w:r>
          <w:r>
            <w:rPr>
              <w:rFonts w:hint="eastAsia"/>
              <w:lang w:val="en-US" w:eastAsia="zh-CN"/>
            </w:rPr>
            <w:t>六</w:t>
          </w:r>
          <w:r>
            <w:rPr>
              <w:rFonts w:hint="eastAsia"/>
            </w:rPr>
            <w:t>）事故现场警示教育会情况</w:t>
          </w:r>
          <w:r>
            <w:tab/>
          </w:r>
          <w:r>
            <w:fldChar w:fldCharType="begin"/>
          </w:r>
          <w:r>
            <w:instrText xml:space="preserve"> PAGEREF _Toc29015 \h </w:instrText>
          </w:r>
          <w:r>
            <w:fldChar w:fldCharType="separate"/>
          </w:r>
          <w:r>
            <w:t>8</w:t>
          </w:r>
          <w:r>
            <w:fldChar w:fldCharType="end"/>
          </w:r>
          <w:r>
            <w:rPr>
              <w:rFonts w:hint="eastAsia" w:ascii="方正小标宋简体" w:hAnsi="方正小标宋简体" w:eastAsia="方正小标宋简体" w:cs="方正小标宋简体"/>
              <w:szCs w:val="44"/>
            </w:rPr>
            <w:fldChar w:fldCharType="end"/>
          </w:r>
        </w:p>
        <w:p w14:paraId="1E91D55F">
          <w:pPr>
            <w:pStyle w:val="10"/>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_Toc27877 </w:instrText>
          </w:r>
          <w:r>
            <w:rPr>
              <w:rFonts w:hint="eastAsia" w:ascii="方正小标宋简体" w:hAnsi="方正小标宋简体" w:eastAsia="方正小标宋简体" w:cs="方正小标宋简体"/>
              <w:szCs w:val="44"/>
            </w:rPr>
            <w:fldChar w:fldCharType="separate"/>
          </w:r>
          <w:r>
            <w:rPr>
              <w:rFonts w:hint="eastAsia"/>
              <w:lang w:eastAsia="zh-CN"/>
            </w:rPr>
            <w:t>三、事故原因和性质</w:t>
          </w:r>
          <w:r>
            <w:tab/>
          </w:r>
          <w:r>
            <w:fldChar w:fldCharType="begin"/>
          </w:r>
          <w:r>
            <w:instrText xml:space="preserve"> PAGEREF _Toc27877 \h </w:instrText>
          </w:r>
          <w:r>
            <w:fldChar w:fldCharType="separate"/>
          </w:r>
          <w:r>
            <w:t>8</w:t>
          </w:r>
          <w:r>
            <w:fldChar w:fldCharType="end"/>
          </w:r>
          <w:r>
            <w:rPr>
              <w:rFonts w:hint="eastAsia" w:ascii="方正小标宋简体" w:hAnsi="方正小标宋简体" w:eastAsia="方正小标宋简体" w:cs="方正小标宋简体"/>
              <w:szCs w:val="44"/>
            </w:rPr>
            <w:fldChar w:fldCharType="end"/>
          </w:r>
        </w:p>
        <w:p w14:paraId="22B91A03">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_Toc13687 </w:instrText>
          </w:r>
          <w:r>
            <w:rPr>
              <w:rFonts w:hint="eastAsia" w:ascii="方正小标宋简体" w:hAnsi="方正小标宋简体" w:eastAsia="方正小标宋简体" w:cs="方正小标宋简体"/>
              <w:szCs w:val="44"/>
            </w:rPr>
            <w:fldChar w:fldCharType="separate"/>
          </w:r>
          <w:r>
            <w:rPr>
              <w:rFonts w:hint="eastAsia"/>
              <w:lang w:eastAsia="zh-CN"/>
            </w:rPr>
            <w:t>（一）直接原因</w:t>
          </w:r>
          <w:r>
            <w:tab/>
          </w:r>
          <w:r>
            <w:fldChar w:fldCharType="begin"/>
          </w:r>
          <w:r>
            <w:instrText xml:space="preserve"> PAGEREF _Toc13687 \h </w:instrText>
          </w:r>
          <w:r>
            <w:fldChar w:fldCharType="separate"/>
          </w:r>
          <w:r>
            <w:t>8</w:t>
          </w:r>
          <w:r>
            <w:fldChar w:fldCharType="end"/>
          </w:r>
          <w:r>
            <w:rPr>
              <w:rFonts w:hint="eastAsia" w:ascii="方正小标宋简体" w:hAnsi="方正小标宋简体" w:eastAsia="方正小标宋简体" w:cs="方正小标宋简体"/>
              <w:szCs w:val="44"/>
            </w:rPr>
            <w:fldChar w:fldCharType="end"/>
          </w:r>
        </w:p>
        <w:p w14:paraId="2E8FF5D5">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_Toc5314 </w:instrText>
          </w:r>
          <w:r>
            <w:rPr>
              <w:rFonts w:hint="eastAsia" w:ascii="方正小标宋简体" w:hAnsi="方正小标宋简体" w:eastAsia="方正小标宋简体" w:cs="方正小标宋简体"/>
              <w:szCs w:val="44"/>
            </w:rPr>
            <w:fldChar w:fldCharType="separate"/>
          </w:r>
          <w:r>
            <w:rPr>
              <w:rFonts w:hint="eastAsia"/>
              <w:lang w:eastAsia="zh-CN"/>
            </w:rPr>
            <w:t>（二）</w:t>
          </w:r>
          <w:r>
            <w:rPr>
              <w:rFonts w:hint="eastAsia"/>
            </w:rPr>
            <w:t>间接原因</w:t>
          </w:r>
          <w:r>
            <w:tab/>
          </w:r>
          <w:r>
            <w:fldChar w:fldCharType="begin"/>
          </w:r>
          <w:r>
            <w:instrText xml:space="preserve"> PAGEREF _Toc5314 \h </w:instrText>
          </w:r>
          <w:r>
            <w:fldChar w:fldCharType="separate"/>
          </w:r>
          <w:r>
            <w:t>8</w:t>
          </w:r>
          <w:r>
            <w:fldChar w:fldCharType="end"/>
          </w:r>
          <w:r>
            <w:rPr>
              <w:rFonts w:hint="eastAsia" w:ascii="方正小标宋简体" w:hAnsi="方正小标宋简体" w:eastAsia="方正小标宋简体" w:cs="方正小标宋简体"/>
              <w:szCs w:val="44"/>
            </w:rPr>
            <w:fldChar w:fldCharType="end"/>
          </w:r>
        </w:p>
        <w:p w14:paraId="15171518">
          <w:pPr>
            <w:pStyle w:val="10"/>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_Toc19411 </w:instrText>
          </w:r>
          <w:r>
            <w:rPr>
              <w:rFonts w:hint="eastAsia" w:ascii="方正小标宋简体" w:hAnsi="方正小标宋简体" w:eastAsia="方正小标宋简体" w:cs="方正小标宋简体"/>
              <w:szCs w:val="44"/>
            </w:rPr>
            <w:fldChar w:fldCharType="separate"/>
          </w:r>
          <w:r>
            <w:rPr>
              <w:rFonts w:hint="eastAsia"/>
              <w:lang w:eastAsia="zh-CN"/>
            </w:rPr>
            <w:t>四、对事故有关责任人员及责任单位的处理建议</w:t>
          </w:r>
          <w:r>
            <w:tab/>
          </w:r>
          <w:r>
            <w:fldChar w:fldCharType="begin"/>
          </w:r>
          <w:r>
            <w:instrText xml:space="preserve"> PAGEREF _Toc19411 \h </w:instrText>
          </w:r>
          <w:r>
            <w:fldChar w:fldCharType="separate"/>
          </w:r>
          <w:r>
            <w:t>9</w:t>
          </w:r>
          <w:r>
            <w:fldChar w:fldCharType="end"/>
          </w:r>
          <w:r>
            <w:rPr>
              <w:rFonts w:hint="eastAsia" w:ascii="方正小标宋简体" w:hAnsi="方正小标宋简体" w:eastAsia="方正小标宋简体" w:cs="方正小标宋简体"/>
              <w:szCs w:val="44"/>
            </w:rPr>
            <w:fldChar w:fldCharType="end"/>
          </w:r>
        </w:p>
        <w:p w14:paraId="4D9F7536">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_Toc26617 </w:instrText>
          </w:r>
          <w:r>
            <w:rPr>
              <w:rFonts w:hint="eastAsia" w:ascii="方正小标宋简体" w:hAnsi="方正小标宋简体" w:eastAsia="方正小标宋简体" w:cs="方正小标宋简体"/>
              <w:szCs w:val="44"/>
            </w:rPr>
            <w:fldChar w:fldCharType="separate"/>
          </w:r>
          <w:r>
            <w:rPr>
              <w:rFonts w:hint="eastAsia"/>
              <w:lang w:eastAsia="zh-CN"/>
            </w:rPr>
            <w:t>（一）</w:t>
          </w:r>
          <w:r>
            <w:rPr>
              <w:rFonts w:hint="eastAsia"/>
            </w:rPr>
            <w:t>建议给予行政处罚的人员和单位</w:t>
          </w:r>
          <w:r>
            <w:tab/>
          </w:r>
          <w:r>
            <w:fldChar w:fldCharType="begin"/>
          </w:r>
          <w:r>
            <w:instrText xml:space="preserve"> PAGEREF _Toc26617 \h </w:instrText>
          </w:r>
          <w:r>
            <w:fldChar w:fldCharType="separate"/>
          </w:r>
          <w:r>
            <w:t>9</w:t>
          </w:r>
          <w:r>
            <w:fldChar w:fldCharType="end"/>
          </w:r>
          <w:r>
            <w:rPr>
              <w:rFonts w:hint="eastAsia" w:ascii="方正小标宋简体" w:hAnsi="方正小标宋简体" w:eastAsia="方正小标宋简体" w:cs="方正小标宋简体"/>
              <w:szCs w:val="44"/>
            </w:rPr>
            <w:fldChar w:fldCharType="end"/>
          </w:r>
        </w:p>
        <w:p w14:paraId="1A82C7E3">
          <w:pPr>
            <w:pStyle w:val="12"/>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_Toc20203 </w:instrText>
          </w:r>
          <w:r>
            <w:rPr>
              <w:rFonts w:hint="eastAsia" w:ascii="方正小标宋简体" w:hAnsi="方正小标宋简体" w:eastAsia="方正小标宋简体" w:cs="方正小标宋简体"/>
              <w:szCs w:val="44"/>
            </w:rPr>
            <w:fldChar w:fldCharType="separate"/>
          </w:r>
          <w:r>
            <w:rPr>
              <w:rFonts w:hint="eastAsia"/>
              <w:lang w:eastAsia="zh-CN"/>
            </w:rPr>
            <w:t>（二）建议企业内部处理人员</w:t>
          </w:r>
          <w:r>
            <w:tab/>
          </w:r>
          <w:r>
            <w:fldChar w:fldCharType="begin"/>
          </w:r>
          <w:r>
            <w:instrText xml:space="preserve"> PAGEREF _Toc20203 \h </w:instrText>
          </w:r>
          <w:r>
            <w:fldChar w:fldCharType="separate"/>
          </w:r>
          <w:r>
            <w:t>11</w:t>
          </w:r>
          <w:r>
            <w:fldChar w:fldCharType="end"/>
          </w:r>
          <w:r>
            <w:rPr>
              <w:rFonts w:hint="eastAsia" w:ascii="方正小标宋简体" w:hAnsi="方正小标宋简体" w:eastAsia="方正小标宋简体" w:cs="方正小标宋简体"/>
              <w:szCs w:val="44"/>
            </w:rPr>
            <w:fldChar w:fldCharType="end"/>
          </w:r>
        </w:p>
        <w:p w14:paraId="6394695E">
          <w:pPr>
            <w:pStyle w:val="10"/>
            <w:tabs>
              <w:tab w:val="right" w:leader="dot" w:pos="8838"/>
            </w:tabs>
          </w:pPr>
          <w:r>
            <w:rPr>
              <w:rFonts w:hint="eastAsia" w:ascii="方正小标宋简体" w:hAnsi="方正小标宋简体" w:eastAsia="方正小标宋简体" w:cs="方正小标宋简体"/>
              <w:szCs w:val="44"/>
            </w:rPr>
            <w:fldChar w:fldCharType="begin"/>
          </w:r>
          <w:r>
            <w:rPr>
              <w:rFonts w:hint="eastAsia" w:ascii="方正小标宋简体" w:hAnsi="方正小标宋简体" w:eastAsia="方正小标宋简体" w:cs="方正小标宋简体"/>
              <w:szCs w:val="44"/>
            </w:rPr>
            <w:instrText xml:space="preserve"> HYPERLINK \l _Toc10648 </w:instrText>
          </w:r>
          <w:r>
            <w:rPr>
              <w:rFonts w:hint="eastAsia" w:ascii="方正小标宋简体" w:hAnsi="方正小标宋简体" w:eastAsia="方正小标宋简体" w:cs="方正小标宋简体"/>
              <w:szCs w:val="44"/>
            </w:rPr>
            <w:fldChar w:fldCharType="separate"/>
          </w:r>
          <w:r>
            <w:rPr>
              <w:rFonts w:hint="eastAsia" w:ascii="Arial" w:hAnsi="Arial" w:eastAsia="Arial" w:cs="Arial"/>
              <w:snapToGrid w:val="0"/>
              <w:color w:val="000000"/>
              <w:sz w:val="21"/>
              <w:szCs w:val="21"/>
              <w:lang w:val="en-US" w:eastAsia="en-US" w:bidi="ar-SA"/>
            </w:rPr>
            <w:t>附件1：事故调查组成员意见签署表</w:t>
          </w:r>
          <w:r>
            <w:tab/>
          </w:r>
          <w:r>
            <w:fldChar w:fldCharType="begin"/>
          </w:r>
          <w:r>
            <w:instrText xml:space="preserve"> PAGEREF _Toc10648 \h </w:instrText>
          </w:r>
          <w:r>
            <w:fldChar w:fldCharType="separate"/>
          </w:r>
          <w:r>
            <w:t>13</w:t>
          </w:r>
          <w:r>
            <w:fldChar w:fldCharType="end"/>
          </w:r>
          <w:r>
            <w:rPr>
              <w:rFonts w:hint="eastAsia" w:ascii="方正小标宋简体" w:hAnsi="方正小标宋简体" w:eastAsia="方正小标宋简体" w:cs="方正小标宋简体"/>
              <w:szCs w:val="44"/>
            </w:rPr>
            <w:fldChar w:fldCharType="end"/>
          </w:r>
        </w:p>
        <w:p w14:paraId="49253994">
          <w:pPr>
            <w:keepNext w:val="0"/>
            <w:keepLines w:val="0"/>
            <w:pageBreakBefore w:val="0"/>
            <w:widowControl w:val="0"/>
            <w:kinsoku/>
            <w:wordWrap/>
            <w:overflowPunct/>
            <w:topLinePunct w:val="0"/>
            <w:autoSpaceDN/>
            <w:bidi w:val="0"/>
            <w:spacing w:after="240" w:line="560" w:lineRule="exact"/>
            <w:jc w:val="both"/>
            <w:textAlignment w:val="auto"/>
            <w:rPr>
              <w:rFonts w:ascii="方正小标宋简体" w:hAnsi="方正小标宋简体" w:eastAsia="方正小标宋简体" w:cs="方正小标宋简体"/>
              <w:szCs w:val="44"/>
            </w:rPr>
            <w:sectPr>
              <w:footerReference r:id="rId5" w:type="default"/>
              <w:pgSz w:w="11900" w:h="16840"/>
              <w:pgMar w:top="2098" w:right="1474" w:bottom="1985" w:left="1588" w:header="0" w:footer="1134" w:gutter="0"/>
              <w:pgNumType w:fmt="decimal" w:start="1"/>
              <w:cols w:space="720" w:num="1"/>
            </w:sectPr>
          </w:pPr>
          <w:r>
            <w:rPr>
              <w:rFonts w:hint="eastAsia" w:ascii="方正小标宋简体" w:hAnsi="方正小标宋简体" w:eastAsia="方正小标宋简体" w:cs="方正小标宋简体"/>
              <w:szCs w:val="44"/>
            </w:rPr>
            <w:fldChar w:fldCharType="end"/>
          </w:r>
        </w:p>
      </w:sdtContent>
    </w:sdt>
    <w:bookmarkEnd w:id="0"/>
    <w:bookmarkEnd w:id="1"/>
    <w:p w14:paraId="4FB5FF31">
      <w:pPr>
        <w:keepNext w:val="0"/>
        <w:keepLines w:val="0"/>
        <w:pageBreakBefore w:val="0"/>
        <w:widowControl w:val="0"/>
        <w:kinsoku/>
        <w:wordWrap/>
        <w:overflowPunct/>
        <w:topLinePunct w:val="0"/>
        <w:autoSpaceDN/>
        <w:bidi w:val="0"/>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章丘</w:t>
      </w:r>
      <w:r>
        <w:rPr>
          <w:rFonts w:hint="eastAsia" w:ascii="方正小标宋简体" w:hAnsi="方正小标宋简体" w:eastAsia="方正小标宋简体" w:cs="方正小标宋简体"/>
          <w:sz w:val="44"/>
          <w:szCs w:val="44"/>
          <w:lang w:eastAsia="zh-CN"/>
        </w:rPr>
        <w:t>刁镇化工产业园</w:t>
      </w:r>
      <w:r>
        <w:rPr>
          <w:rFonts w:hint="eastAsia" w:ascii="方正小标宋简体" w:hAnsi="方正小标宋简体" w:eastAsia="方正小标宋简体" w:cs="方正小标宋简体"/>
          <w:sz w:val="44"/>
          <w:szCs w:val="44"/>
        </w:rPr>
        <w:t>济南久安酯类化工有限</w:t>
      </w:r>
    </w:p>
    <w:p w14:paraId="7A2D7F84">
      <w:pPr>
        <w:keepNext w:val="0"/>
        <w:keepLines w:val="0"/>
        <w:pageBreakBefore w:val="0"/>
        <w:widowControl w:val="0"/>
        <w:kinsoku/>
        <w:wordWrap/>
        <w:overflowPunct/>
        <w:topLinePunct w:val="0"/>
        <w:autoSpaceDN/>
        <w:bidi w:val="0"/>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公司“4·12”一般火灾事故调查报告</w:t>
      </w:r>
    </w:p>
    <w:p w14:paraId="2FB50177">
      <w:pPr>
        <w:keepNext w:val="0"/>
        <w:keepLines w:val="0"/>
        <w:pageBreakBefore w:val="0"/>
        <w:widowControl w:val="0"/>
        <w:kinsoku/>
        <w:wordWrap/>
        <w:overflowPunct/>
        <w:topLinePunct w:val="0"/>
        <w:autoSpaceDN/>
        <w:bidi w:val="0"/>
        <w:spacing w:line="560" w:lineRule="exact"/>
        <w:jc w:val="center"/>
        <w:textAlignment w:val="auto"/>
        <w:rPr>
          <w:rFonts w:hint="eastAsia" w:ascii="方正小标宋简体" w:hAnsi="方正小标宋简体" w:eastAsia="方正小标宋简体" w:cs="方正小标宋简体"/>
          <w:sz w:val="44"/>
          <w:szCs w:val="44"/>
          <w:lang w:eastAsia="zh-CN"/>
        </w:rPr>
      </w:pPr>
    </w:p>
    <w:p w14:paraId="4F2B8B7D">
      <w:pPr>
        <w:keepNext w:val="0"/>
        <w:keepLines w:val="0"/>
        <w:pageBreakBefore w:val="0"/>
        <w:widowControl w:val="0"/>
        <w:wordWrap/>
        <w:overflowPunct/>
        <w:topLinePunct w:val="0"/>
        <w:bidi w:val="0"/>
        <w:spacing w:line="54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日</w:t>
      </w:r>
      <w:r>
        <w:rPr>
          <w:rFonts w:hint="default" w:ascii="仿宋_GB2312" w:hAnsi="仿宋_GB2312" w:eastAsia="仿宋_GB2312" w:cs="仿宋_GB2312"/>
          <w:sz w:val="32"/>
          <w:szCs w:val="32"/>
          <w:lang w:val="en-US"/>
        </w:rPr>
        <w:t>5</w:t>
      </w:r>
      <w:r>
        <w:rPr>
          <w:rFonts w:hint="eastAsia" w:ascii="仿宋_GB2312" w:hAnsi="仿宋_GB2312" w:eastAsia="仿宋_GB2312" w:cs="仿宋_GB2312"/>
          <w:sz w:val="32"/>
          <w:szCs w:val="32"/>
          <w:lang w:val="en-US" w:eastAsia="zh-CN"/>
        </w:rPr>
        <w:t>时39分</w:t>
      </w:r>
      <w:r>
        <w:rPr>
          <w:rFonts w:hint="eastAsia" w:ascii="仿宋_GB2312" w:hAnsi="仿宋_GB2312" w:eastAsia="仿宋_GB2312" w:cs="仿宋_GB2312"/>
          <w:sz w:val="32"/>
          <w:szCs w:val="32"/>
        </w:rPr>
        <w:t>，章丘区</w:t>
      </w:r>
      <w:r>
        <w:rPr>
          <w:rFonts w:hint="eastAsia" w:ascii="仿宋_GB2312" w:hAnsi="仿宋_GB2312" w:eastAsia="仿宋_GB2312" w:cs="仿宋_GB2312"/>
          <w:sz w:val="32"/>
          <w:szCs w:val="32"/>
          <w:lang w:eastAsia="zh-CN"/>
        </w:rPr>
        <w:t>刁镇化工产业园</w:t>
      </w:r>
      <w:r>
        <w:rPr>
          <w:rFonts w:hint="eastAsia" w:ascii="仿宋_GB2312" w:hAnsi="仿宋_GB2312" w:eastAsia="仿宋_GB2312" w:cs="仿宋_GB2312"/>
          <w:sz w:val="32"/>
          <w:szCs w:val="32"/>
        </w:rPr>
        <w:t>济南久安酯类化工有限公司发生一起</w:t>
      </w:r>
      <w:r>
        <w:rPr>
          <w:rFonts w:hint="eastAsia" w:ascii="仿宋_GB2312" w:hAnsi="仿宋_GB2312" w:eastAsia="仿宋_GB2312" w:cs="仿宋_GB2312"/>
          <w:sz w:val="32"/>
          <w:szCs w:val="32"/>
          <w:lang w:val="en-US" w:eastAsia="zh-CN"/>
        </w:rPr>
        <w:t>火灾</w:t>
      </w:r>
      <w:r>
        <w:rPr>
          <w:rFonts w:hint="eastAsia" w:ascii="仿宋_GB2312" w:hAnsi="仿宋_GB2312" w:eastAsia="仿宋_GB2312" w:cs="仿宋_GB2312"/>
          <w:sz w:val="32"/>
          <w:szCs w:val="32"/>
        </w:rPr>
        <w:t>事故，</w:t>
      </w:r>
      <w:r>
        <w:rPr>
          <w:rFonts w:hint="eastAsia" w:ascii="仿宋_GB2312" w:hAnsi="仿宋_GB2312" w:eastAsia="仿宋_GB2312" w:cs="仿宋_GB2312"/>
          <w:sz w:val="32"/>
          <w:szCs w:val="32"/>
          <w:lang w:eastAsia="zh-CN"/>
        </w:rPr>
        <w:t>过火面积</w:t>
      </w:r>
      <w:r>
        <w:rPr>
          <w:rFonts w:hint="eastAsia" w:ascii="仿宋_GB2312" w:hAnsi="仿宋_GB2312" w:eastAsia="仿宋_GB2312" w:cs="仿宋_GB2312"/>
          <w:sz w:val="32"/>
          <w:szCs w:val="32"/>
          <w:lang w:val="en-US" w:eastAsia="zh-CN"/>
        </w:rPr>
        <w:t>40余平方米，未</w:t>
      </w:r>
      <w:r>
        <w:rPr>
          <w:rFonts w:hint="eastAsia" w:ascii="仿宋_GB2312" w:hAnsi="仿宋_GB2312" w:eastAsia="仿宋_GB2312" w:cs="仿宋_GB2312"/>
          <w:sz w:val="32"/>
          <w:szCs w:val="32"/>
        </w:rPr>
        <w:t>造成</w:t>
      </w:r>
      <w:r>
        <w:rPr>
          <w:rFonts w:hint="eastAsia" w:ascii="仿宋_GB2312" w:hAnsi="仿宋_GB2312" w:eastAsia="仿宋_GB2312" w:cs="仿宋_GB2312"/>
          <w:sz w:val="32"/>
          <w:szCs w:val="32"/>
          <w:lang w:val="en-US" w:eastAsia="zh-CN"/>
        </w:rPr>
        <w:t>人员伤亡</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Cs/>
          <w:snapToGrid/>
          <w:color w:val="auto"/>
          <w:kern w:val="2"/>
          <w:sz w:val="32"/>
          <w:szCs w:val="32"/>
          <w:lang w:eastAsia="zh-CN"/>
        </w:rPr>
        <w:t>直接经济损失约</w:t>
      </w:r>
      <w:r>
        <w:rPr>
          <w:rFonts w:hint="eastAsia" w:ascii="仿宋_GB2312" w:hAnsi="仿宋_GB2312" w:eastAsia="仿宋_GB2312" w:cs="仿宋_GB2312"/>
          <w:snapToGrid/>
          <w:color w:val="auto"/>
          <w:kern w:val="2"/>
          <w:sz w:val="32"/>
          <w:szCs w:val="32"/>
          <w:highlight w:val="none"/>
          <w:lang w:val="en-US" w:eastAsia="zh-CN"/>
        </w:rPr>
        <w:t>2.9</w:t>
      </w:r>
      <w:r>
        <w:rPr>
          <w:rFonts w:hint="eastAsia" w:ascii="仿宋_GB2312" w:hAnsi="仿宋_GB2312" w:eastAsia="仿宋_GB2312" w:cs="仿宋_GB2312"/>
          <w:bCs/>
          <w:snapToGrid/>
          <w:color w:val="auto"/>
          <w:kern w:val="2"/>
          <w:sz w:val="32"/>
          <w:szCs w:val="32"/>
          <w:highlight w:val="none"/>
          <w:lang w:eastAsia="zh-CN"/>
        </w:rPr>
        <w:t>万元</w:t>
      </w:r>
      <w:r>
        <w:rPr>
          <w:rFonts w:hint="eastAsia" w:ascii="仿宋_GB2312" w:hAnsi="仿宋_GB2312" w:eastAsia="仿宋_GB2312" w:cs="仿宋_GB2312"/>
          <w:bCs/>
          <w:snapToGrid/>
          <w:color w:val="auto"/>
          <w:kern w:val="2"/>
          <w:sz w:val="32"/>
          <w:szCs w:val="32"/>
          <w:lang w:eastAsia="zh-CN"/>
        </w:rPr>
        <w:t>。</w:t>
      </w:r>
    </w:p>
    <w:p w14:paraId="33185597">
      <w:pPr>
        <w:keepNext w:val="0"/>
        <w:keepLines w:val="0"/>
        <w:pageBreakBefore w:val="0"/>
        <w:widowControl w:val="0"/>
        <w:kinsoku/>
        <w:wordWrap/>
        <w:overflowPunct/>
        <w:topLinePunct w:val="0"/>
        <w:autoSpaceDN/>
        <w:bidi w:val="0"/>
        <w:spacing w:line="560" w:lineRule="exact"/>
        <w:ind w:firstLine="640" w:firstLineChars="200"/>
        <w:jc w:val="both"/>
        <w:textAlignment w:val="auto"/>
        <w:rPr>
          <w:rFonts w:ascii="仿宋_GB2312" w:hAnsi="仿宋" w:eastAsia="仿宋_GB2312" w:cs="仿宋_GB2312"/>
          <w:snapToGrid/>
          <w:color w:val="000000" w:themeColor="text1"/>
          <w:kern w:val="2"/>
          <w:sz w:val="32"/>
          <w:szCs w:val="32"/>
          <w:lang w:eastAsia="zh-CN"/>
          <w14:textFill>
            <w14:solidFill>
              <w14:schemeClr w14:val="tx1"/>
            </w14:solidFill>
          </w14:textFill>
        </w:rPr>
      </w:pPr>
      <w:r>
        <w:rPr>
          <w:rFonts w:hint="eastAsia" w:ascii="仿宋_GB2312" w:hAnsi="仿宋_GB2312" w:eastAsia="仿宋_GB2312" w:cs="仿宋_GB2312"/>
          <w:snapToGrid/>
          <w:color w:val="000000" w:themeColor="text1"/>
          <w:kern w:val="2"/>
          <w:sz w:val="32"/>
          <w:szCs w:val="32"/>
          <w:highlight w:val="none"/>
          <w:lang w:eastAsia="zh-CN"/>
          <w14:textFill>
            <w14:solidFill>
              <w14:schemeClr w14:val="tx1"/>
            </w14:solidFill>
          </w14:textFill>
        </w:rPr>
        <w:t>事故发生后省市领导关注，做出批示，省厅派员到现场指导救援。根据《中华人民共和国安全生产法》《生产安全事故报告和调查处理条例》</w:t>
      </w: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和《山东省生产安全事故报告和调查处理办法》《</w:t>
      </w:r>
      <w:r>
        <w:rPr>
          <w:rFonts w:hint="eastAsia" w:ascii="仿宋_GB2312" w:hAnsi="仿宋_GB2312" w:eastAsia="仿宋_GB2312" w:cs="仿宋_GB2312"/>
          <w:snapToGrid/>
          <w:color w:val="000000" w:themeColor="text1"/>
          <w:kern w:val="2"/>
          <w:sz w:val="32"/>
          <w:szCs w:val="32"/>
          <w:lang w:val="en-US" w:eastAsia="zh-CN"/>
          <w14:textFill>
            <w14:solidFill>
              <w14:schemeClr w14:val="tx1"/>
            </w14:solidFill>
          </w14:textFill>
        </w:rPr>
        <w:t>山东省生产经营性火灾事故调查处理办法</w:t>
      </w: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》等法律法规规定，章丘区政府决定组织事故调查，成立由分管副区长任组长，区应急管</w:t>
      </w:r>
      <w:r>
        <w:rPr>
          <w:rFonts w:hint="eastAsia" w:ascii="仿宋_GB2312" w:hAnsi="仿宋_GB2312" w:eastAsia="仿宋_GB2312" w:cs="仿宋_GB2312"/>
          <w:snapToGrid/>
          <w:color w:val="auto"/>
          <w:kern w:val="2"/>
          <w:sz w:val="32"/>
          <w:szCs w:val="32"/>
          <w:lang w:eastAsia="zh-CN"/>
        </w:rPr>
        <w:t>理局、区公安分局、区总工会、区消防救援大队、刁镇化工产业园</w:t>
      </w:r>
      <w:r>
        <w:rPr>
          <w:rFonts w:hint="eastAsia" w:ascii="仿宋_GB2312" w:hAnsi="仿宋_GB2312" w:eastAsia="仿宋_GB2312" w:cs="仿宋_GB2312"/>
          <w:snapToGrid/>
          <w:color w:val="auto"/>
          <w:kern w:val="2"/>
          <w:sz w:val="32"/>
          <w:szCs w:val="32"/>
          <w:lang w:val="en-US" w:eastAsia="zh-CN"/>
        </w:rPr>
        <w:t>管理</w:t>
      </w:r>
      <w:r>
        <w:rPr>
          <w:rFonts w:hint="eastAsia" w:ascii="仿宋_GB2312" w:hAnsi="仿宋_GB2312" w:eastAsia="仿宋_GB2312" w:cs="仿宋_GB2312"/>
          <w:snapToGrid/>
          <w:color w:val="auto"/>
          <w:kern w:val="2"/>
          <w:sz w:val="32"/>
          <w:szCs w:val="32"/>
          <w:lang w:eastAsia="zh-CN"/>
        </w:rPr>
        <w:t>办公室组成的章丘刁镇化工产业园济南久安酯类化工有限公司“4·12”一般火灾事故</w:t>
      </w:r>
      <w:r>
        <w:rPr>
          <w:rFonts w:hint="eastAsia" w:ascii="仿宋_GB2312" w:hAnsi="仿宋_GB2312" w:eastAsia="仿宋_GB2312" w:cs="仿宋_GB2312"/>
          <w:bCs/>
          <w:snapToGrid/>
          <w:color w:val="auto"/>
          <w:kern w:val="2"/>
          <w:sz w:val="32"/>
          <w:szCs w:val="32"/>
          <w:lang w:eastAsia="zh-CN"/>
        </w:rPr>
        <w:t>调查组</w:t>
      </w:r>
      <w:r>
        <w:rPr>
          <w:rFonts w:hint="eastAsia" w:ascii="仿宋_GB2312" w:hAnsi="仿宋_GB2312" w:eastAsia="仿宋_GB2312" w:cs="仿宋_GB2312"/>
          <w:snapToGrid/>
          <w:color w:val="auto"/>
          <w:kern w:val="2"/>
          <w:sz w:val="32"/>
          <w:szCs w:val="32"/>
          <w:lang w:eastAsia="zh-CN"/>
        </w:rPr>
        <w:t>（以</w:t>
      </w: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下简称事故调查</w:t>
      </w:r>
      <w:r>
        <w:rPr>
          <w:rFonts w:hint="eastAsia" w:ascii="仿宋_GB2312" w:hAnsi="仿宋" w:eastAsia="仿宋_GB2312" w:cs="仿宋_GB2312"/>
          <w:snapToGrid/>
          <w:color w:val="000000" w:themeColor="text1"/>
          <w:kern w:val="2"/>
          <w:sz w:val="32"/>
          <w:szCs w:val="32"/>
          <w:lang w:eastAsia="zh-CN"/>
          <w14:textFill>
            <w14:solidFill>
              <w14:schemeClr w14:val="tx1"/>
            </w14:solidFill>
          </w14:textFill>
        </w:rPr>
        <w:t>组），邀请区纪委监委、区检察院派员参加，依法对该起事故进行全面调查，并聘请省专家库专家组成专家组，为事故调查工作提供技术指导。</w:t>
      </w:r>
    </w:p>
    <w:p w14:paraId="393066B0">
      <w:pPr>
        <w:keepNext w:val="0"/>
        <w:keepLines w:val="0"/>
        <w:pageBreakBefore w:val="0"/>
        <w:widowControl w:val="0"/>
        <w:kinsoku/>
        <w:wordWrap/>
        <w:overflowPunct/>
        <w:topLinePunct w:val="0"/>
        <w:autoSpaceDN/>
        <w:bidi w:val="0"/>
        <w:spacing w:line="560" w:lineRule="exact"/>
        <w:ind w:firstLine="640" w:firstLineChars="200"/>
        <w:jc w:val="both"/>
        <w:textAlignment w:val="auto"/>
        <w:rPr>
          <w:rFonts w:ascii="仿宋_GB2312" w:hAnsi="仿宋" w:eastAsia="仿宋_GB2312" w:cs="仿宋_GB2312"/>
          <w:snapToGrid/>
          <w:color w:val="000000" w:themeColor="text1"/>
          <w:kern w:val="2"/>
          <w:sz w:val="32"/>
          <w:szCs w:val="32"/>
          <w:lang w:eastAsia="zh-CN"/>
          <w14:textFill>
            <w14:solidFill>
              <w14:schemeClr w14:val="tx1"/>
            </w14:solidFill>
          </w14:textFill>
        </w:rPr>
      </w:pPr>
      <w:r>
        <w:rPr>
          <w:rFonts w:hint="eastAsia" w:ascii="仿宋_GB2312" w:hAnsi="仿宋" w:eastAsia="仿宋_GB2312" w:cs="仿宋_GB2312"/>
          <w:snapToGrid/>
          <w:color w:val="000000" w:themeColor="text1"/>
          <w:kern w:val="2"/>
          <w:sz w:val="32"/>
          <w:szCs w:val="32"/>
          <w:lang w:eastAsia="zh-CN"/>
          <w14:textFill>
            <w14:solidFill>
              <w14:schemeClr w14:val="tx1"/>
            </w14:solidFill>
          </w14:textFill>
        </w:rPr>
        <w:t>事故调查组按照“四不放过”和“科学严谨、依法依规、实事求是、注重实效”原则，通过现场勘查、人员询问、专家论证、检测检验和综合分析，查明了事故发生的经过、原因、应急处置和直接经济损失及报告情况，认定了事故性质和责任，提出了对有关责任单位及责任人的处理建议；查明了相关职能部门履职情况和事故教训，并针对事故原因和暴露出的突出问题，提出了事故防范和整改措施建议。现将有关情况报告如下：</w:t>
      </w:r>
    </w:p>
    <w:p w14:paraId="7BF92161">
      <w:pPr>
        <w:keepNext w:val="0"/>
        <w:keepLines w:val="0"/>
        <w:pageBreakBefore w:val="0"/>
        <w:widowControl w:val="0"/>
        <w:kinsoku/>
        <w:wordWrap/>
        <w:overflowPunct/>
        <w:topLinePunct w:val="0"/>
        <w:autoSpaceDN/>
        <w:bidi w:val="0"/>
        <w:spacing w:line="560" w:lineRule="exact"/>
        <w:ind w:firstLine="640" w:firstLineChars="200"/>
        <w:jc w:val="both"/>
        <w:textAlignment w:val="auto"/>
        <w:rPr>
          <w:rFonts w:ascii="仿宋_GB2312" w:hAnsi="仿宋" w:eastAsia="仿宋_GB2312" w:cs="仿宋_GB2312"/>
          <w:snapToGrid/>
          <w:color w:val="auto"/>
          <w:kern w:val="2"/>
          <w:sz w:val="32"/>
          <w:szCs w:val="32"/>
          <w:lang w:eastAsia="zh-CN"/>
        </w:rPr>
      </w:pPr>
      <w:r>
        <w:rPr>
          <w:rFonts w:hint="eastAsia" w:ascii="仿宋_GB2312" w:hAnsi="仿宋" w:eastAsia="仿宋_GB2312" w:cs="仿宋_GB2312"/>
          <w:snapToGrid/>
          <w:color w:val="000000" w:themeColor="text1"/>
          <w:kern w:val="2"/>
          <w:sz w:val="32"/>
          <w:szCs w:val="32"/>
          <w:lang w:eastAsia="zh-CN"/>
          <w14:textFill>
            <w14:solidFill>
              <w14:schemeClr w14:val="tx1"/>
            </w14:solidFill>
          </w14:textFill>
        </w:rPr>
        <w:t>经调查认定，该事故是一起因企业安全生产主体责任不落实，擅自变更工艺组织生产导致的一般生产安全责任事故</w:t>
      </w:r>
      <w:r>
        <w:rPr>
          <w:rFonts w:hint="eastAsia" w:ascii="仿宋_GB2312" w:hAnsi="仿宋" w:eastAsia="仿宋_GB2312" w:cs="仿宋_GB2312"/>
          <w:snapToGrid/>
          <w:color w:val="auto"/>
          <w:kern w:val="2"/>
          <w:sz w:val="32"/>
          <w:szCs w:val="32"/>
          <w:lang w:eastAsia="zh-CN"/>
        </w:rPr>
        <w:t>。</w:t>
      </w:r>
      <w:bookmarkStart w:id="2" w:name="_Toc625269724"/>
      <w:bookmarkStart w:id="3" w:name="_Toc32569"/>
    </w:p>
    <w:p w14:paraId="28DE2C4D">
      <w:pPr>
        <w:pStyle w:val="2"/>
        <w:keepNext w:val="0"/>
        <w:keepLines w:val="0"/>
        <w:pageBreakBefore w:val="0"/>
        <w:widowControl w:val="0"/>
        <w:wordWrap/>
        <w:overflowPunct/>
        <w:topLinePunct w:val="0"/>
        <w:bidi w:val="0"/>
        <w:ind w:firstLine="640"/>
        <w:rPr>
          <w:rFonts w:ascii="黑体" w:hAnsi="黑体" w:cs="黑体"/>
          <w:szCs w:val="32"/>
        </w:rPr>
      </w:pPr>
      <w:bookmarkStart w:id="4" w:name="_Toc7911"/>
      <w:r>
        <w:rPr>
          <w:rFonts w:hint="eastAsia" w:ascii="黑体" w:hAnsi="黑体" w:cs="黑体"/>
          <w:szCs w:val="32"/>
          <w:lang w:eastAsia="zh-CN"/>
        </w:rPr>
        <w:t>一、事故</w:t>
      </w:r>
      <w:r>
        <w:rPr>
          <w:rFonts w:hint="eastAsia" w:ascii="黑体" w:hAnsi="黑体" w:cs="黑体"/>
          <w:szCs w:val="32"/>
        </w:rPr>
        <w:t>基本情况</w:t>
      </w:r>
      <w:bookmarkEnd w:id="2"/>
      <w:bookmarkEnd w:id="3"/>
      <w:bookmarkEnd w:id="4"/>
      <w:bookmarkStart w:id="5" w:name="_Toc26610"/>
    </w:p>
    <w:p w14:paraId="66E19DB7">
      <w:pPr>
        <w:pStyle w:val="3"/>
        <w:keepNext w:val="0"/>
        <w:keepLines w:val="0"/>
        <w:pageBreakBefore w:val="0"/>
        <w:widowControl w:val="0"/>
        <w:wordWrap/>
        <w:overflowPunct/>
        <w:topLinePunct w:val="0"/>
        <w:bidi w:val="0"/>
        <w:ind w:firstLine="640"/>
        <w:rPr>
          <w:lang w:eastAsia="zh-CN"/>
        </w:rPr>
      </w:pPr>
      <w:bookmarkStart w:id="6" w:name="_Toc11596"/>
      <w:r>
        <w:rPr>
          <w:rFonts w:hint="eastAsia"/>
          <w:lang w:eastAsia="zh-CN"/>
        </w:rPr>
        <w:t>（一）</w:t>
      </w:r>
      <w:bookmarkEnd w:id="5"/>
      <w:bookmarkStart w:id="7" w:name="_Toc28446"/>
      <w:r>
        <w:rPr>
          <w:rFonts w:hint="eastAsia"/>
          <w:lang w:eastAsia="zh-CN"/>
        </w:rPr>
        <w:t>事故单位基本情况</w:t>
      </w:r>
      <w:bookmarkEnd w:id="6"/>
      <w:bookmarkEnd w:id="7"/>
    </w:p>
    <w:p w14:paraId="604345C9">
      <w:pPr>
        <w:keepNext w:val="0"/>
        <w:keepLines w:val="0"/>
        <w:pageBreakBefore w:val="0"/>
        <w:widowControl w:val="0"/>
        <w:wordWrap/>
        <w:overflowPunct/>
        <w:topLinePunct w:val="0"/>
        <w:bidi w:val="0"/>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sz w:val="32"/>
          <w:szCs w:val="32"/>
          <w:lang w:val="en-US" w:eastAsia="zh-CN"/>
        </w:rPr>
        <w:drawing>
          <wp:anchor distT="0" distB="0" distL="114300" distR="114300" simplePos="0" relativeHeight="251663360" behindDoc="0" locked="0" layoutInCell="1" allowOverlap="1">
            <wp:simplePos x="0" y="0"/>
            <wp:positionH relativeFrom="column">
              <wp:posOffset>786765</wp:posOffset>
            </wp:positionH>
            <wp:positionV relativeFrom="paragraph">
              <wp:posOffset>2484755</wp:posOffset>
            </wp:positionV>
            <wp:extent cx="3768725" cy="3569970"/>
            <wp:effectExtent l="0" t="0" r="3175" b="11430"/>
            <wp:wrapNone/>
            <wp:docPr id="15" name="图片 15" descr="f0d471eb47faac7616cf1eb87d9c28e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d471eb47faac7616cf1eb87d9c28ef(1)"/>
                    <pic:cNvPicPr>
                      <a:picLocks noChangeAspect="1"/>
                    </pic:cNvPicPr>
                  </pic:nvPicPr>
                  <pic:blipFill>
                    <a:blip r:embed="rId8"/>
                    <a:stretch>
                      <a:fillRect/>
                    </a:stretch>
                  </pic:blipFill>
                  <pic:spPr>
                    <a:xfrm>
                      <a:off x="0" y="0"/>
                      <a:ext cx="3768725" cy="3569970"/>
                    </a:xfrm>
                    <a:prstGeom prst="rect">
                      <a:avLst/>
                    </a:prstGeom>
                  </pic:spPr>
                </pic:pic>
              </a:graphicData>
            </a:graphic>
          </wp:anchor>
        </w:drawing>
      </w:r>
      <w:r>
        <w:rPr>
          <w:rFonts w:hint="eastAsia" w:ascii="仿宋_GB2312" w:hAnsi="仿宋_GB2312" w:eastAsia="仿宋_GB2312" w:cs="仿宋_GB2312"/>
          <w:color w:val="auto"/>
          <w:sz w:val="32"/>
          <w:szCs w:val="32"/>
          <w:highlight w:val="none"/>
          <w:lang w:val="en-US" w:eastAsia="zh-CN"/>
        </w:rPr>
        <w:t>济南久安酯类化工有限公司，统一社会信用代码为913701817763499204，法定代表人为范某芹，主要负责人为王某友，类型为有限责任公司(自然人投资或控股)，成立于2005年6月24日，住所在山东省济南市章丘区刁镇化工产业园（水南村东），公司经营范围包括食品添加剂胆碱及其盐、甜菜碱及其盐、饲料添加剂氯化胆碱、结晶尿素等，不需要取得危险化学品使用许可。</w:t>
      </w:r>
    </w:p>
    <w:p w14:paraId="0F682679">
      <w:pPr>
        <w:keepNext w:val="0"/>
        <w:keepLines w:val="0"/>
        <w:pageBreakBefore w:val="0"/>
        <w:widowControl w:val="0"/>
        <w:wordWrap/>
        <w:overflowPunct/>
        <w:topLinePunct w:val="0"/>
        <w:bidi w:val="0"/>
        <w:spacing w:line="240" w:lineRule="auto"/>
        <w:ind w:firstLine="640" w:firstLineChars="200"/>
        <w:jc w:val="both"/>
        <w:rPr>
          <w:rFonts w:hint="default" w:ascii="仿宋_GB2312" w:hAnsi="仿宋_GB2312" w:eastAsia="仿宋_GB2312" w:cs="仿宋_GB2312"/>
          <w:sz w:val="32"/>
          <w:szCs w:val="32"/>
          <w:lang w:val="en-US" w:eastAsia="zh-CN"/>
        </w:rPr>
      </w:pPr>
    </w:p>
    <w:p w14:paraId="3126774B">
      <w:pPr>
        <w:keepNext w:val="0"/>
        <w:keepLines w:val="0"/>
        <w:pageBreakBefore w:val="0"/>
        <w:widowControl w:val="0"/>
        <w:wordWrap/>
        <w:overflowPunct/>
        <w:topLinePunct w:val="0"/>
        <w:bidi w:val="0"/>
        <w:spacing w:line="560" w:lineRule="exact"/>
        <w:ind w:firstLine="640" w:firstLineChars="200"/>
        <w:jc w:val="both"/>
        <w:rPr>
          <w:rFonts w:hint="default" w:ascii="仿宋_GB2312" w:hAnsi="仿宋_GB2312" w:eastAsia="仿宋_GB2312" w:cs="仿宋_GB2312"/>
          <w:sz w:val="32"/>
          <w:szCs w:val="32"/>
          <w:lang w:val="en-US" w:eastAsia="zh-CN"/>
        </w:rPr>
      </w:pPr>
    </w:p>
    <w:p w14:paraId="55BC64C4">
      <w:pPr>
        <w:keepNext w:val="0"/>
        <w:keepLines w:val="0"/>
        <w:pageBreakBefore w:val="0"/>
        <w:widowControl w:val="0"/>
        <w:wordWrap/>
        <w:overflowPunct/>
        <w:topLinePunct w:val="0"/>
        <w:bidi w:val="0"/>
        <w:spacing w:line="560" w:lineRule="exact"/>
        <w:ind w:firstLine="640" w:firstLineChars="200"/>
        <w:jc w:val="both"/>
        <w:rPr>
          <w:rFonts w:hint="default" w:ascii="仿宋_GB2312" w:hAnsi="仿宋_GB2312" w:eastAsia="仿宋_GB2312" w:cs="仿宋_GB2312"/>
          <w:sz w:val="32"/>
          <w:szCs w:val="32"/>
          <w:lang w:val="en-US" w:eastAsia="zh-CN"/>
        </w:rPr>
      </w:pPr>
    </w:p>
    <w:p w14:paraId="5AE1E466">
      <w:pPr>
        <w:keepNext w:val="0"/>
        <w:keepLines w:val="0"/>
        <w:pageBreakBefore w:val="0"/>
        <w:widowControl w:val="0"/>
        <w:wordWrap/>
        <w:overflowPunct/>
        <w:topLinePunct w:val="0"/>
        <w:bidi w:val="0"/>
        <w:spacing w:line="560" w:lineRule="exact"/>
        <w:ind w:firstLine="640" w:firstLineChars="200"/>
        <w:jc w:val="both"/>
        <w:rPr>
          <w:rFonts w:hint="default" w:ascii="仿宋_GB2312" w:hAnsi="仿宋_GB2312" w:eastAsia="仿宋_GB2312" w:cs="仿宋_GB2312"/>
          <w:sz w:val="32"/>
          <w:szCs w:val="32"/>
          <w:lang w:val="en-US" w:eastAsia="zh-CN"/>
        </w:rPr>
      </w:pPr>
    </w:p>
    <w:p w14:paraId="25D0A721">
      <w:pPr>
        <w:keepNext w:val="0"/>
        <w:keepLines w:val="0"/>
        <w:pageBreakBefore w:val="0"/>
        <w:widowControl w:val="0"/>
        <w:wordWrap/>
        <w:overflowPunct/>
        <w:topLinePunct w:val="0"/>
        <w:bidi w:val="0"/>
        <w:spacing w:line="560" w:lineRule="exact"/>
        <w:ind w:firstLine="640" w:firstLineChars="200"/>
        <w:jc w:val="both"/>
        <w:rPr>
          <w:rFonts w:hint="default" w:ascii="仿宋_GB2312" w:hAnsi="仿宋_GB2312" w:eastAsia="仿宋_GB2312" w:cs="仿宋_GB2312"/>
          <w:sz w:val="32"/>
          <w:szCs w:val="32"/>
          <w:lang w:val="en-US" w:eastAsia="zh-CN"/>
        </w:rPr>
      </w:pPr>
    </w:p>
    <w:p w14:paraId="339A6D33">
      <w:pPr>
        <w:keepNext w:val="0"/>
        <w:keepLines w:val="0"/>
        <w:pageBreakBefore w:val="0"/>
        <w:widowControl w:val="0"/>
        <w:wordWrap/>
        <w:overflowPunct/>
        <w:topLinePunct w:val="0"/>
        <w:bidi w:val="0"/>
        <w:spacing w:line="560" w:lineRule="exact"/>
        <w:ind w:firstLine="640" w:firstLineChars="200"/>
        <w:jc w:val="both"/>
        <w:rPr>
          <w:rFonts w:hint="default" w:ascii="仿宋_GB2312" w:hAnsi="仿宋_GB2312" w:eastAsia="仿宋_GB2312" w:cs="仿宋_GB2312"/>
          <w:sz w:val="32"/>
          <w:szCs w:val="32"/>
          <w:lang w:val="en-US" w:eastAsia="zh-CN"/>
        </w:rPr>
      </w:pPr>
    </w:p>
    <w:p w14:paraId="72DA0CA4">
      <w:pPr>
        <w:keepNext w:val="0"/>
        <w:keepLines w:val="0"/>
        <w:pageBreakBefore w:val="0"/>
        <w:widowControl w:val="0"/>
        <w:wordWrap/>
        <w:overflowPunct/>
        <w:topLinePunct w:val="0"/>
        <w:bidi w:val="0"/>
        <w:spacing w:line="560" w:lineRule="exact"/>
        <w:ind w:firstLine="640" w:firstLineChars="200"/>
        <w:jc w:val="both"/>
        <w:rPr>
          <w:rFonts w:hint="default" w:ascii="仿宋_GB2312" w:hAnsi="仿宋_GB2312" w:eastAsia="仿宋_GB2312" w:cs="仿宋_GB2312"/>
          <w:sz w:val="32"/>
          <w:szCs w:val="32"/>
          <w:lang w:val="en-US" w:eastAsia="zh-CN"/>
        </w:rPr>
      </w:pPr>
    </w:p>
    <w:p w14:paraId="155F42F8">
      <w:pPr>
        <w:keepNext w:val="0"/>
        <w:keepLines w:val="0"/>
        <w:pageBreakBefore w:val="0"/>
        <w:widowControl w:val="0"/>
        <w:wordWrap/>
        <w:overflowPunct/>
        <w:topLinePunct w:val="0"/>
        <w:bidi w:val="0"/>
        <w:spacing w:line="560" w:lineRule="exact"/>
        <w:ind w:firstLine="640" w:firstLineChars="200"/>
        <w:jc w:val="both"/>
        <w:rPr>
          <w:rFonts w:hint="default" w:ascii="仿宋_GB2312" w:hAnsi="仿宋_GB2312" w:eastAsia="仿宋_GB2312" w:cs="仿宋_GB2312"/>
          <w:sz w:val="32"/>
          <w:szCs w:val="32"/>
          <w:lang w:val="en-US" w:eastAsia="zh-CN"/>
        </w:rPr>
      </w:pPr>
    </w:p>
    <w:p w14:paraId="75C26828">
      <w:pPr>
        <w:keepNext w:val="0"/>
        <w:keepLines w:val="0"/>
        <w:pageBreakBefore w:val="0"/>
        <w:widowControl w:val="0"/>
        <w:wordWrap/>
        <w:overflowPunct/>
        <w:topLinePunct w:val="0"/>
        <w:bidi w:val="0"/>
        <w:spacing w:line="560" w:lineRule="exact"/>
        <w:ind w:firstLine="640" w:firstLineChars="200"/>
        <w:jc w:val="both"/>
        <w:rPr>
          <w:rFonts w:hint="default" w:ascii="仿宋_GB2312" w:hAnsi="仿宋_GB2312" w:eastAsia="仿宋_GB2312" w:cs="仿宋_GB2312"/>
          <w:sz w:val="32"/>
          <w:szCs w:val="32"/>
          <w:lang w:val="en-US" w:eastAsia="zh-CN"/>
        </w:rPr>
      </w:pPr>
    </w:p>
    <w:p w14:paraId="6388DC84">
      <w:pPr>
        <w:keepNext w:val="0"/>
        <w:keepLines w:val="0"/>
        <w:pageBreakBefore w:val="0"/>
        <w:widowControl w:val="0"/>
        <w:wordWrap/>
        <w:overflowPunct/>
        <w:topLinePunct w:val="0"/>
        <w:bidi w:val="0"/>
        <w:spacing w:line="560" w:lineRule="exact"/>
        <w:jc w:val="both"/>
        <w:rPr>
          <w:rFonts w:hint="default" w:ascii="仿宋_GB2312" w:hAnsi="仿宋_GB2312" w:eastAsia="仿宋_GB2312" w:cs="仿宋_GB2312"/>
          <w:sz w:val="32"/>
          <w:szCs w:val="32"/>
          <w:lang w:val="en-US" w:eastAsia="zh-CN"/>
        </w:rPr>
      </w:pPr>
    </w:p>
    <w:p w14:paraId="18D8766F">
      <w:pPr>
        <w:keepNext w:val="0"/>
        <w:keepLines w:val="0"/>
        <w:pageBreakBefore w:val="0"/>
        <w:widowControl w:val="0"/>
        <w:wordWrap/>
        <w:overflowPunct/>
        <w:topLinePunct w:val="0"/>
        <w:bidi w:val="0"/>
        <w:spacing w:line="560" w:lineRule="exact"/>
        <w:ind w:firstLine="480" w:firstLineChars="20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济南久安酯类化工有限公司总平面图</w:t>
      </w:r>
    </w:p>
    <w:p w14:paraId="355057C2">
      <w:pPr>
        <w:keepNext w:val="0"/>
        <w:keepLines w:val="0"/>
        <w:pageBreakBefore w:val="0"/>
        <w:widowControl w:val="0"/>
        <w:wordWrap/>
        <w:overflowPunct/>
        <w:topLinePunct w:val="0"/>
        <w:bidi w:val="0"/>
        <w:spacing w:line="560" w:lineRule="exact"/>
        <w:ind w:firstLine="480" w:firstLineChars="20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drawing>
          <wp:anchor distT="0" distB="0" distL="114300" distR="114300" simplePos="0" relativeHeight="251664384" behindDoc="0" locked="0" layoutInCell="1" allowOverlap="1">
            <wp:simplePos x="0" y="0"/>
            <wp:positionH relativeFrom="column">
              <wp:posOffset>798830</wp:posOffset>
            </wp:positionH>
            <wp:positionV relativeFrom="paragraph">
              <wp:posOffset>8255</wp:posOffset>
            </wp:positionV>
            <wp:extent cx="3924935" cy="2943225"/>
            <wp:effectExtent l="0" t="0" r="18415" b="9525"/>
            <wp:wrapNone/>
            <wp:docPr id="17" name="图片 17" descr="ab6665dfa9399f1463da9afdf15e96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ab6665dfa9399f1463da9afdf15e96a9"/>
                    <pic:cNvPicPr>
                      <a:picLocks noChangeAspect="1"/>
                    </pic:cNvPicPr>
                  </pic:nvPicPr>
                  <pic:blipFill>
                    <a:blip r:embed="rId9"/>
                    <a:stretch>
                      <a:fillRect/>
                    </a:stretch>
                  </pic:blipFill>
                  <pic:spPr>
                    <a:xfrm>
                      <a:off x="0" y="0"/>
                      <a:ext cx="3924935" cy="2943225"/>
                    </a:xfrm>
                    <a:prstGeom prst="rect">
                      <a:avLst/>
                    </a:prstGeom>
                  </pic:spPr>
                </pic:pic>
              </a:graphicData>
            </a:graphic>
          </wp:anchor>
        </w:drawing>
      </w:r>
    </w:p>
    <w:p w14:paraId="0C65A687">
      <w:pPr>
        <w:keepNext w:val="0"/>
        <w:keepLines w:val="0"/>
        <w:pageBreakBefore w:val="0"/>
        <w:widowControl w:val="0"/>
        <w:wordWrap/>
        <w:overflowPunct/>
        <w:topLinePunct w:val="0"/>
        <w:bidi w:val="0"/>
        <w:spacing w:line="560" w:lineRule="exact"/>
        <w:ind w:firstLine="480" w:firstLineChars="200"/>
        <w:jc w:val="center"/>
        <w:rPr>
          <w:rFonts w:hint="eastAsia" w:ascii="仿宋_GB2312" w:hAnsi="仿宋_GB2312" w:eastAsia="仿宋_GB2312" w:cs="仿宋_GB2312"/>
          <w:color w:val="auto"/>
          <w:sz w:val="24"/>
          <w:szCs w:val="24"/>
          <w:highlight w:val="none"/>
          <w:lang w:val="en-US" w:eastAsia="zh-CN"/>
        </w:rPr>
      </w:pPr>
    </w:p>
    <w:p w14:paraId="4790C12D">
      <w:pPr>
        <w:keepNext w:val="0"/>
        <w:keepLines w:val="0"/>
        <w:pageBreakBefore w:val="0"/>
        <w:widowControl w:val="0"/>
        <w:wordWrap/>
        <w:overflowPunct/>
        <w:topLinePunct w:val="0"/>
        <w:bidi w:val="0"/>
        <w:spacing w:line="560" w:lineRule="exact"/>
        <w:ind w:firstLine="480" w:firstLineChars="200"/>
        <w:jc w:val="center"/>
        <w:rPr>
          <w:rFonts w:hint="eastAsia" w:ascii="仿宋_GB2312" w:hAnsi="仿宋_GB2312" w:eastAsia="仿宋_GB2312" w:cs="仿宋_GB2312"/>
          <w:color w:val="auto"/>
          <w:sz w:val="24"/>
          <w:szCs w:val="24"/>
          <w:highlight w:val="none"/>
          <w:lang w:val="en-US" w:eastAsia="zh-CN"/>
        </w:rPr>
      </w:pPr>
    </w:p>
    <w:p w14:paraId="2E3C8DC5">
      <w:pPr>
        <w:keepNext w:val="0"/>
        <w:keepLines w:val="0"/>
        <w:pageBreakBefore w:val="0"/>
        <w:widowControl w:val="0"/>
        <w:wordWrap/>
        <w:overflowPunct/>
        <w:topLinePunct w:val="0"/>
        <w:bidi w:val="0"/>
        <w:spacing w:line="560" w:lineRule="exact"/>
        <w:ind w:firstLine="480" w:firstLineChars="200"/>
        <w:jc w:val="center"/>
        <w:rPr>
          <w:rFonts w:hint="eastAsia" w:ascii="仿宋_GB2312" w:hAnsi="仿宋_GB2312" w:eastAsia="仿宋_GB2312" w:cs="仿宋_GB2312"/>
          <w:color w:val="auto"/>
          <w:sz w:val="24"/>
          <w:szCs w:val="24"/>
          <w:highlight w:val="none"/>
          <w:lang w:val="en-US" w:eastAsia="zh-CN"/>
        </w:rPr>
      </w:pPr>
    </w:p>
    <w:p w14:paraId="4AF935A6">
      <w:pPr>
        <w:keepNext w:val="0"/>
        <w:keepLines w:val="0"/>
        <w:pageBreakBefore w:val="0"/>
        <w:widowControl w:val="0"/>
        <w:wordWrap/>
        <w:overflowPunct/>
        <w:topLinePunct w:val="0"/>
        <w:bidi w:val="0"/>
        <w:spacing w:line="560" w:lineRule="exact"/>
        <w:ind w:firstLine="480" w:firstLineChars="200"/>
        <w:jc w:val="center"/>
        <w:rPr>
          <w:rFonts w:hint="eastAsia" w:ascii="仿宋_GB2312" w:hAnsi="仿宋_GB2312" w:eastAsia="仿宋_GB2312" w:cs="仿宋_GB2312"/>
          <w:color w:val="auto"/>
          <w:sz w:val="24"/>
          <w:szCs w:val="24"/>
          <w:highlight w:val="none"/>
          <w:lang w:val="en-US" w:eastAsia="zh-CN"/>
        </w:rPr>
      </w:pPr>
    </w:p>
    <w:p w14:paraId="20C73D1D">
      <w:pPr>
        <w:keepNext w:val="0"/>
        <w:keepLines w:val="0"/>
        <w:pageBreakBefore w:val="0"/>
        <w:widowControl w:val="0"/>
        <w:wordWrap/>
        <w:overflowPunct/>
        <w:topLinePunct w:val="0"/>
        <w:bidi w:val="0"/>
        <w:spacing w:line="560" w:lineRule="exact"/>
        <w:ind w:firstLine="480" w:firstLineChars="200"/>
        <w:jc w:val="center"/>
        <w:rPr>
          <w:rFonts w:hint="eastAsia" w:ascii="仿宋_GB2312" w:hAnsi="仿宋_GB2312" w:eastAsia="仿宋_GB2312" w:cs="仿宋_GB2312"/>
          <w:color w:val="auto"/>
          <w:sz w:val="24"/>
          <w:szCs w:val="24"/>
          <w:highlight w:val="none"/>
          <w:lang w:val="en-US" w:eastAsia="zh-CN"/>
        </w:rPr>
      </w:pPr>
    </w:p>
    <w:p w14:paraId="3E0C55A9">
      <w:pPr>
        <w:keepNext w:val="0"/>
        <w:keepLines w:val="0"/>
        <w:pageBreakBefore w:val="0"/>
        <w:widowControl w:val="0"/>
        <w:wordWrap/>
        <w:overflowPunct/>
        <w:topLinePunct w:val="0"/>
        <w:bidi w:val="0"/>
        <w:spacing w:line="560" w:lineRule="exact"/>
        <w:ind w:firstLine="480" w:firstLineChars="200"/>
        <w:jc w:val="center"/>
        <w:rPr>
          <w:rFonts w:hint="eastAsia" w:ascii="仿宋_GB2312" w:hAnsi="仿宋_GB2312" w:eastAsia="仿宋_GB2312" w:cs="仿宋_GB2312"/>
          <w:color w:val="auto"/>
          <w:sz w:val="24"/>
          <w:szCs w:val="24"/>
          <w:highlight w:val="none"/>
          <w:lang w:val="en-US" w:eastAsia="zh-CN"/>
        </w:rPr>
      </w:pPr>
    </w:p>
    <w:p w14:paraId="3678BD44">
      <w:pPr>
        <w:keepNext w:val="0"/>
        <w:keepLines w:val="0"/>
        <w:pageBreakBefore w:val="0"/>
        <w:widowControl w:val="0"/>
        <w:wordWrap/>
        <w:overflowPunct/>
        <w:topLinePunct w:val="0"/>
        <w:bidi w:val="0"/>
        <w:spacing w:line="560" w:lineRule="exact"/>
        <w:ind w:firstLine="480" w:firstLineChars="200"/>
        <w:jc w:val="center"/>
        <w:rPr>
          <w:rFonts w:hint="eastAsia" w:ascii="仿宋_GB2312" w:hAnsi="仿宋_GB2312" w:eastAsia="仿宋_GB2312" w:cs="仿宋_GB2312"/>
          <w:color w:val="auto"/>
          <w:sz w:val="24"/>
          <w:szCs w:val="24"/>
          <w:highlight w:val="none"/>
          <w:lang w:val="en-US" w:eastAsia="zh-CN"/>
        </w:rPr>
      </w:pPr>
    </w:p>
    <w:p w14:paraId="148E75B4">
      <w:pPr>
        <w:keepNext w:val="0"/>
        <w:keepLines w:val="0"/>
        <w:pageBreakBefore w:val="0"/>
        <w:widowControl w:val="0"/>
        <w:wordWrap/>
        <w:overflowPunct/>
        <w:topLinePunct w:val="0"/>
        <w:bidi w:val="0"/>
        <w:spacing w:line="560" w:lineRule="exact"/>
        <w:ind w:firstLine="3360" w:firstLineChars="140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drawing>
          <wp:anchor distT="0" distB="0" distL="114300" distR="114300" simplePos="0" relativeHeight="251665408" behindDoc="0" locked="0" layoutInCell="1" allowOverlap="1">
            <wp:simplePos x="0" y="0"/>
            <wp:positionH relativeFrom="column">
              <wp:posOffset>803275</wp:posOffset>
            </wp:positionH>
            <wp:positionV relativeFrom="paragraph">
              <wp:posOffset>337185</wp:posOffset>
            </wp:positionV>
            <wp:extent cx="3892550" cy="4193540"/>
            <wp:effectExtent l="0" t="0" r="12700" b="16510"/>
            <wp:wrapNone/>
            <wp:docPr id="18" name="图片 18" descr="8538389db577fc3812464103e341b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8538389db577fc3812464103e341b193"/>
                    <pic:cNvPicPr>
                      <a:picLocks noChangeAspect="1"/>
                    </pic:cNvPicPr>
                  </pic:nvPicPr>
                  <pic:blipFill>
                    <a:blip r:embed="rId10"/>
                    <a:stretch>
                      <a:fillRect/>
                    </a:stretch>
                  </pic:blipFill>
                  <pic:spPr>
                    <a:xfrm>
                      <a:off x="0" y="0"/>
                      <a:ext cx="3892550" cy="4193540"/>
                    </a:xfrm>
                    <a:prstGeom prst="rect">
                      <a:avLst/>
                    </a:prstGeom>
                  </pic:spPr>
                </pic:pic>
              </a:graphicData>
            </a:graphic>
          </wp:anchor>
        </w:drawing>
      </w:r>
      <w:r>
        <w:rPr>
          <w:rFonts w:hint="eastAsia" w:ascii="仿宋_GB2312" w:hAnsi="仿宋_GB2312" w:eastAsia="仿宋_GB2312" w:cs="仿宋_GB2312"/>
          <w:color w:val="auto"/>
          <w:sz w:val="24"/>
          <w:szCs w:val="24"/>
          <w:highlight w:val="none"/>
          <w:lang w:val="en-US" w:eastAsia="zh-CN"/>
        </w:rPr>
        <w:t>三车间门口照片</w:t>
      </w:r>
    </w:p>
    <w:p w14:paraId="3F0907B7">
      <w:pPr>
        <w:keepNext w:val="0"/>
        <w:keepLines w:val="0"/>
        <w:pageBreakBefore w:val="0"/>
        <w:widowControl w:val="0"/>
        <w:wordWrap/>
        <w:overflowPunct/>
        <w:topLinePunct w:val="0"/>
        <w:bidi w:val="0"/>
        <w:spacing w:line="560" w:lineRule="exact"/>
        <w:ind w:firstLine="480" w:firstLineChars="200"/>
        <w:jc w:val="center"/>
        <w:rPr>
          <w:rFonts w:hint="eastAsia" w:ascii="仿宋_GB2312" w:hAnsi="仿宋_GB2312" w:eastAsia="仿宋_GB2312" w:cs="仿宋_GB2312"/>
          <w:color w:val="auto"/>
          <w:sz w:val="24"/>
          <w:szCs w:val="24"/>
          <w:highlight w:val="none"/>
          <w:lang w:val="en-US" w:eastAsia="zh-CN"/>
        </w:rPr>
      </w:pPr>
    </w:p>
    <w:p w14:paraId="44C30C96">
      <w:pPr>
        <w:keepNext w:val="0"/>
        <w:keepLines w:val="0"/>
        <w:pageBreakBefore w:val="0"/>
        <w:widowControl w:val="0"/>
        <w:wordWrap/>
        <w:overflowPunct/>
        <w:topLinePunct w:val="0"/>
        <w:bidi w:val="0"/>
        <w:spacing w:line="560" w:lineRule="exact"/>
        <w:ind w:firstLine="480" w:firstLineChars="200"/>
        <w:jc w:val="center"/>
        <w:rPr>
          <w:rFonts w:hint="eastAsia" w:ascii="仿宋_GB2312" w:hAnsi="仿宋_GB2312" w:eastAsia="仿宋_GB2312" w:cs="仿宋_GB2312"/>
          <w:color w:val="auto"/>
          <w:sz w:val="24"/>
          <w:szCs w:val="24"/>
          <w:highlight w:val="none"/>
          <w:lang w:val="en-US" w:eastAsia="zh-CN"/>
        </w:rPr>
      </w:pPr>
    </w:p>
    <w:p w14:paraId="7BBCEAFF">
      <w:pPr>
        <w:keepNext w:val="0"/>
        <w:keepLines w:val="0"/>
        <w:pageBreakBefore w:val="0"/>
        <w:widowControl w:val="0"/>
        <w:wordWrap/>
        <w:overflowPunct/>
        <w:topLinePunct w:val="0"/>
        <w:bidi w:val="0"/>
        <w:spacing w:line="560" w:lineRule="exact"/>
        <w:ind w:firstLine="480" w:firstLineChars="200"/>
        <w:jc w:val="center"/>
        <w:rPr>
          <w:rFonts w:hint="eastAsia" w:ascii="仿宋_GB2312" w:hAnsi="仿宋_GB2312" w:eastAsia="仿宋_GB2312" w:cs="仿宋_GB2312"/>
          <w:color w:val="auto"/>
          <w:sz w:val="24"/>
          <w:szCs w:val="24"/>
          <w:highlight w:val="none"/>
          <w:lang w:val="en-US" w:eastAsia="zh-CN"/>
        </w:rPr>
      </w:pPr>
    </w:p>
    <w:p w14:paraId="0430296C">
      <w:pPr>
        <w:keepNext w:val="0"/>
        <w:keepLines w:val="0"/>
        <w:pageBreakBefore w:val="0"/>
        <w:widowControl w:val="0"/>
        <w:wordWrap/>
        <w:overflowPunct/>
        <w:topLinePunct w:val="0"/>
        <w:bidi w:val="0"/>
        <w:spacing w:line="560" w:lineRule="exact"/>
        <w:ind w:firstLine="480" w:firstLineChars="200"/>
        <w:jc w:val="center"/>
        <w:rPr>
          <w:rFonts w:hint="eastAsia" w:ascii="仿宋_GB2312" w:hAnsi="仿宋_GB2312" w:eastAsia="仿宋_GB2312" w:cs="仿宋_GB2312"/>
          <w:color w:val="auto"/>
          <w:sz w:val="24"/>
          <w:szCs w:val="24"/>
          <w:highlight w:val="none"/>
          <w:lang w:val="en-US" w:eastAsia="zh-CN"/>
        </w:rPr>
      </w:pPr>
    </w:p>
    <w:p w14:paraId="5A4B707D">
      <w:pPr>
        <w:keepNext w:val="0"/>
        <w:keepLines w:val="0"/>
        <w:pageBreakBefore w:val="0"/>
        <w:widowControl w:val="0"/>
        <w:wordWrap/>
        <w:overflowPunct/>
        <w:topLinePunct w:val="0"/>
        <w:bidi w:val="0"/>
        <w:spacing w:line="560" w:lineRule="exact"/>
        <w:ind w:firstLine="480" w:firstLineChars="200"/>
        <w:jc w:val="center"/>
        <w:rPr>
          <w:rFonts w:hint="eastAsia" w:ascii="仿宋_GB2312" w:hAnsi="仿宋_GB2312" w:eastAsia="仿宋_GB2312" w:cs="仿宋_GB2312"/>
          <w:color w:val="auto"/>
          <w:sz w:val="24"/>
          <w:szCs w:val="24"/>
          <w:highlight w:val="none"/>
          <w:lang w:val="en-US" w:eastAsia="zh-CN"/>
        </w:rPr>
      </w:pPr>
    </w:p>
    <w:p w14:paraId="7F8F7690">
      <w:pPr>
        <w:keepNext w:val="0"/>
        <w:keepLines w:val="0"/>
        <w:pageBreakBefore w:val="0"/>
        <w:widowControl w:val="0"/>
        <w:wordWrap/>
        <w:overflowPunct/>
        <w:topLinePunct w:val="0"/>
        <w:bidi w:val="0"/>
        <w:spacing w:line="560" w:lineRule="exact"/>
        <w:ind w:firstLine="480" w:firstLineChars="200"/>
        <w:jc w:val="center"/>
        <w:rPr>
          <w:rFonts w:hint="eastAsia" w:ascii="仿宋_GB2312" w:hAnsi="仿宋_GB2312" w:eastAsia="仿宋_GB2312" w:cs="仿宋_GB2312"/>
          <w:color w:val="auto"/>
          <w:sz w:val="24"/>
          <w:szCs w:val="24"/>
          <w:highlight w:val="none"/>
          <w:lang w:val="en-US" w:eastAsia="zh-CN"/>
        </w:rPr>
      </w:pPr>
    </w:p>
    <w:p w14:paraId="33EA6145">
      <w:pPr>
        <w:keepNext w:val="0"/>
        <w:keepLines w:val="0"/>
        <w:pageBreakBefore w:val="0"/>
        <w:widowControl w:val="0"/>
        <w:wordWrap/>
        <w:overflowPunct/>
        <w:topLinePunct w:val="0"/>
        <w:bidi w:val="0"/>
        <w:spacing w:line="560" w:lineRule="exact"/>
        <w:ind w:firstLine="480" w:firstLineChars="200"/>
        <w:jc w:val="center"/>
        <w:rPr>
          <w:rFonts w:hint="eastAsia" w:ascii="仿宋_GB2312" w:hAnsi="仿宋_GB2312" w:eastAsia="仿宋_GB2312" w:cs="仿宋_GB2312"/>
          <w:color w:val="auto"/>
          <w:sz w:val="24"/>
          <w:szCs w:val="24"/>
          <w:highlight w:val="none"/>
          <w:lang w:val="en-US" w:eastAsia="zh-CN"/>
        </w:rPr>
      </w:pPr>
    </w:p>
    <w:p w14:paraId="114C6EFC">
      <w:pPr>
        <w:keepNext w:val="0"/>
        <w:keepLines w:val="0"/>
        <w:pageBreakBefore w:val="0"/>
        <w:widowControl w:val="0"/>
        <w:wordWrap/>
        <w:overflowPunct/>
        <w:topLinePunct w:val="0"/>
        <w:bidi w:val="0"/>
        <w:spacing w:line="560" w:lineRule="exact"/>
        <w:ind w:firstLine="480" w:firstLineChars="200"/>
        <w:jc w:val="center"/>
        <w:rPr>
          <w:rFonts w:hint="eastAsia" w:ascii="仿宋_GB2312" w:hAnsi="仿宋_GB2312" w:eastAsia="仿宋_GB2312" w:cs="仿宋_GB2312"/>
          <w:color w:val="auto"/>
          <w:sz w:val="24"/>
          <w:szCs w:val="24"/>
          <w:highlight w:val="none"/>
          <w:lang w:val="en-US" w:eastAsia="zh-CN"/>
        </w:rPr>
      </w:pPr>
    </w:p>
    <w:p w14:paraId="420DFA7F">
      <w:pPr>
        <w:keepNext w:val="0"/>
        <w:keepLines w:val="0"/>
        <w:pageBreakBefore w:val="0"/>
        <w:widowControl w:val="0"/>
        <w:wordWrap/>
        <w:overflowPunct/>
        <w:topLinePunct w:val="0"/>
        <w:bidi w:val="0"/>
        <w:spacing w:line="560" w:lineRule="exact"/>
        <w:ind w:firstLine="480" w:firstLineChars="200"/>
        <w:jc w:val="center"/>
        <w:rPr>
          <w:rFonts w:hint="eastAsia" w:ascii="仿宋_GB2312" w:hAnsi="仿宋_GB2312" w:eastAsia="仿宋_GB2312" w:cs="仿宋_GB2312"/>
          <w:color w:val="auto"/>
          <w:sz w:val="24"/>
          <w:szCs w:val="24"/>
          <w:highlight w:val="none"/>
          <w:lang w:val="en-US" w:eastAsia="zh-CN"/>
        </w:rPr>
      </w:pPr>
    </w:p>
    <w:p w14:paraId="303432B8">
      <w:pPr>
        <w:keepNext w:val="0"/>
        <w:keepLines w:val="0"/>
        <w:pageBreakBefore w:val="0"/>
        <w:widowControl w:val="0"/>
        <w:wordWrap/>
        <w:overflowPunct/>
        <w:topLinePunct w:val="0"/>
        <w:bidi w:val="0"/>
        <w:spacing w:line="560" w:lineRule="exact"/>
        <w:ind w:firstLine="480" w:firstLineChars="200"/>
        <w:jc w:val="center"/>
        <w:rPr>
          <w:rFonts w:hint="eastAsia" w:ascii="仿宋_GB2312" w:hAnsi="仿宋_GB2312" w:eastAsia="仿宋_GB2312" w:cs="仿宋_GB2312"/>
          <w:color w:val="auto"/>
          <w:sz w:val="24"/>
          <w:szCs w:val="24"/>
          <w:highlight w:val="none"/>
          <w:lang w:val="en-US" w:eastAsia="zh-CN"/>
        </w:rPr>
      </w:pPr>
    </w:p>
    <w:p w14:paraId="026B8FBF">
      <w:pPr>
        <w:keepNext w:val="0"/>
        <w:keepLines w:val="0"/>
        <w:pageBreakBefore w:val="0"/>
        <w:widowControl w:val="0"/>
        <w:wordWrap/>
        <w:overflowPunct/>
        <w:topLinePunct w:val="0"/>
        <w:bidi w:val="0"/>
        <w:spacing w:line="560" w:lineRule="exact"/>
        <w:ind w:firstLine="480" w:firstLineChars="200"/>
        <w:jc w:val="center"/>
        <w:rPr>
          <w:rFonts w:hint="default" w:ascii="仿宋_GB2312" w:hAnsi="仿宋_GB2312" w:eastAsia="仿宋_GB2312" w:cs="仿宋_GB2312"/>
          <w:color w:val="auto"/>
          <w:sz w:val="24"/>
          <w:szCs w:val="24"/>
          <w:highlight w:val="none"/>
          <w:lang w:val="en-US" w:eastAsia="zh-CN"/>
        </w:rPr>
      </w:pPr>
    </w:p>
    <w:p w14:paraId="7F83A4C0">
      <w:pPr>
        <w:pStyle w:val="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textAlignment w:val="baseline"/>
        <w:outlineLvl w:val="1"/>
        <w:rPr>
          <w:rFonts w:hint="eastAsia"/>
          <w:lang w:val="en-US" w:eastAsia="zh-CN"/>
        </w:rPr>
      </w:pPr>
    </w:p>
    <w:p w14:paraId="08E0824C">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三车间内部照片</w:t>
      </w:r>
    </w:p>
    <w:p w14:paraId="7AB1BF36">
      <w:pPr>
        <w:rPr>
          <w:rFonts w:hint="eastAsia"/>
          <w:lang w:val="en-US" w:eastAsia="zh-CN"/>
        </w:rPr>
      </w:pPr>
    </w:p>
    <w:p w14:paraId="2D0100AF">
      <w:pPr>
        <w:rPr>
          <w:rFonts w:hint="eastAsia"/>
          <w:lang w:val="en-US" w:eastAsia="zh-CN"/>
        </w:rPr>
      </w:pPr>
    </w:p>
    <w:p w14:paraId="76B4F5F5">
      <w:pPr>
        <w:rPr>
          <w:rFonts w:hint="eastAsia"/>
          <w:lang w:val="en-US" w:eastAsia="zh-CN"/>
        </w:rPr>
      </w:pPr>
    </w:p>
    <w:p w14:paraId="09B97184">
      <w:pPr>
        <w:rPr>
          <w:rFonts w:hint="eastAsia"/>
          <w:lang w:val="en-US" w:eastAsia="zh-CN"/>
        </w:rPr>
      </w:pPr>
      <w:r>
        <w:rPr>
          <w:rFonts w:hint="eastAsia"/>
          <w:lang w:val="en-US" w:eastAsia="zh-CN"/>
        </w:rPr>
        <w:drawing>
          <wp:anchor distT="0" distB="0" distL="114300" distR="114300" simplePos="0" relativeHeight="251666432" behindDoc="0" locked="0" layoutInCell="1" allowOverlap="1">
            <wp:simplePos x="0" y="0"/>
            <wp:positionH relativeFrom="column">
              <wp:posOffset>749300</wp:posOffset>
            </wp:positionH>
            <wp:positionV relativeFrom="paragraph">
              <wp:posOffset>-238760</wp:posOffset>
            </wp:positionV>
            <wp:extent cx="4229735" cy="3485515"/>
            <wp:effectExtent l="0" t="0" r="18415" b="635"/>
            <wp:wrapNone/>
            <wp:docPr id="19" name="图片 19" descr="d8562f9ce4e3e22403d5b0d96ed234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8562f9ce4e3e22403d5b0d96ed234aa"/>
                    <pic:cNvPicPr>
                      <a:picLocks noChangeAspect="1"/>
                    </pic:cNvPicPr>
                  </pic:nvPicPr>
                  <pic:blipFill>
                    <a:blip r:embed="rId11"/>
                    <a:stretch>
                      <a:fillRect/>
                    </a:stretch>
                  </pic:blipFill>
                  <pic:spPr>
                    <a:xfrm>
                      <a:off x="0" y="0"/>
                      <a:ext cx="4229735" cy="3485515"/>
                    </a:xfrm>
                    <a:prstGeom prst="rect">
                      <a:avLst/>
                    </a:prstGeom>
                  </pic:spPr>
                </pic:pic>
              </a:graphicData>
            </a:graphic>
          </wp:anchor>
        </w:drawing>
      </w:r>
    </w:p>
    <w:p w14:paraId="7AA5C17F">
      <w:pPr>
        <w:rPr>
          <w:rFonts w:hint="eastAsia"/>
          <w:lang w:val="en-US" w:eastAsia="zh-CN"/>
        </w:rPr>
      </w:pPr>
    </w:p>
    <w:p w14:paraId="6DA2CF1A">
      <w:pPr>
        <w:rPr>
          <w:rFonts w:hint="eastAsia"/>
          <w:lang w:val="en-US" w:eastAsia="zh-CN"/>
        </w:rPr>
      </w:pPr>
    </w:p>
    <w:p w14:paraId="650708A5">
      <w:pPr>
        <w:rPr>
          <w:rFonts w:hint="eastAsia"/>
          <w:lang w:val="en-US" w:eastAsia="zh-CN"/>
        </w:rPr>
      </w:pPr>
    </w:p>
    <w:p w14:paraId="3066E71F">
      <w:pPr>
        <w:rPr>
          <w:rFonts w:hint="eastAsia"/>
          <w:lang w:val="en-US" w:eastAsia="zh-CN"/>
        </w:rPr>
      </w:pPr>
    </w:p>
    <w:p w14:paraId="76DF3357">
      <w:pPr>
        <w:rPr>
          <w:rFonts w:hint="eastAsia"/>
          <w:lang w:val="en-US" w:eastAsia="zh-CN"/>
        </w:rPr>
      </w:pPr>
    </w:p>
    <w:p w14:paraId="3D1765AF">
      <w:pPr>
        <w:rPr>
          <w:rFonts w:hint="eastAsia"/>
          <w:lang w:val="en-US" w:eastAsia="zh-CN"/>
        </w:rPr>
      </w:pPr>
    </w:p>
    <w:p w14:paraId="15F148C1">
      <w:pPr>
        <w:rPr>
          <w:rFonts w:hint="eastAsia"/>
          <w:lang w:val="en-US" w:eastAsia="zh-CN"/>
        </w:rPr>
      </w:pPr>
    </w:p>
    <w:p w14:paraId="132713F0">
      <w:pPr>
        <w:rPr>
          <w:rFonts w:hint="eastAsia"/>
          <w:lang w:val="en-US" w:eastAsia="zh-CN"/>
        </w:rPr>
      </w:pPr>
    </w:p>
    <w:p w14:paraId="26774FE8">
      <w:pPr>
        <w:rPr>
          <w:rFonts w:hint="eastAsia"/>
          <w:lang w:val="en-US" w:eastAsia="zh-CN"/>
        </w:rPr>
      </w:pPr>
    </w:p>
    <w:p w14:paraId="1F91BA20">
      <w:pPr>
        <w:rPr>
          <w:rFonts w:hint="eastAsia"/>
          <w:lang w:val="en-US" w:eastAsia="zh-CN"/>
        </w:rPr>
      </w:pPr>
    </w:p>
    <w:p w14:paraId="77D665C3">
      <w:pPr>
        <w:rPr>
          <w:rFonts w:hint="eastAsia"/>
          <w:lang w:val="en-US" w:eastAsia="zh-CN"/>
        </w:rPr>
      </w:pPr>
    </w:p>
    <w:p w14:paraId="1CD84D7C">
      <w:pPr>
        <w:rPr>
          <w:rFonts w:hint="eastAsia"/>
          <w:lang w:val="en-US" w:eastAsia="zh-CN"/>
        </w:rPr>
      </w:pPr>
    </w:p>
    <w:p w14:paraId="26D9CDFC">
      <w:pPr>
        <w:rPr>
          <w:rFonts w:hint="eastAsia"/>
          <w:lang w:val="en-US" w:eastAsia="zh-CN"/>
        </w:rPr>
      </w:pPr>
    </w:p>
    <w:p w14:paraId="050E33CC">
      <w:pPr>
        <w:rPr>
          <w:rFonts w:hint="eastAsia"/>
          <w:lang w:val="en-US" w:eastAsia="zh-CN"/>
        </w:rPr>
      </w:pPr>
    </w:p>
    <w:p w14:paraId="4C54C382">
      <w:pPr>
        <w:rPr>
          <w:rFonts w:hint="eastAsia"/>
          <w:lang w:val="en-US" w:eastAsia="zh-CN"/>
        </w:rPr>
      </w:pPr>
    </w:p>
    <w:p w14:paraId="2F8E5C63">
      <w:pPr>
        <w:rPr>
          <w:rFonts w:hint="eastAsia"/>
          <w:lang w:val="en-US" w:eastAsia="zh-CN"/>
        </w:rPr>
      </w:pPr>
    </w:p>
    <w:p w14:paraId="4E846B9F">
      <w:pPr>
        <w:rPr>
          <w:rFonts w:hint="eastAsia"/>
          <w:lang w:val="en-US" w:eastAsia="zh-CN"/>
        </w:rPr>
      </w:pPr>
    </w:p>
    <w:p w14:paraId="10853B7D">
      <w:pPr>
        <w:rPr>
          <w:rFonts w:hint="eastAsia"/>
          <w:lang w:val="en-US" w:eastAsia="zh-CN"/>
        </w:rPr>
      </w:pPr>
    </w:p>
    <w:p w14:paraId="44979E94">
      <w:pPr>
        <w:rPr>
          <w:rFonts w:hint="eastAsia"/>
          <w:lang w:val="en-US" w:eastAsia="zh-CN"/>
        </w:rPr>
      </w:pPr>
    </w:p>
    <w:p w14:paraId="613B6DD7">
      <w:pPr>
        <w:rPr>
          <w:rFonts w:hint="eastAsia"/>
          <w:lang w:val="en-US" w:eastAsia="zh-CN"/>
        </w:rPr>
      </w:pPr>
    </w:p>
    <w:p w14:paraId="17572391">
      <w:pPr>
        <w:rPr>
          <w:rFonts w:hint="eastAsia"/>
          <w:lang w:val="en-US" w:eastAsia="zh-CN"/>
        </w:rPr>
      </w:pPr>
    </w:p>
    <w:p w14:paraId="0F952FD8">
      <w:pPr>
        <w:jc w:val="center"/>
        <w:rPr>
          <w:rFonts w:hint="eastAsia"/>
          <w:lang w:val="en-US" w:eastAsia="zh-CN"/>
        </w:rPr>
      </w:pPr>
      <w:r>
        <w:rPr>
          <w:rFonts w:hint="eastAsia" w:ascii="仿宋_GB2312" w:hAnsi="仿宋_GB2312" w:eastAsia="仿宋_GB2312" w:cs="仿宋_GB2312"/>
          <w:sz w:val="24"/>
          <w:szCs w:val="24"/>
          <w:lang w:val="en-US" w:eastAsia="zh-CN"/>
        </w:rPr>
        <w:t>3车间二层平台</w:t>
      </w:r>
    </w:p>
    <w:p w14:paraId="72E65AC6">
      <w:pPr>
        <w:pStyle w:val="3"/>
        <w:keepNext w:val="0"/>
        <w:keepLines w:val="0"/>
        <w:pageBreakBefore w:val="0"/>
        <w:widowControl w:val="0"/>
        <w:wordWrap/>
        <w:overflowPunct/>
        <w:topLinePunct w:val="0"/>
        <w:bidi w:val="0"/>
        <w:ind w:firstLine="640"/>
        <w:rPr>
          <w:rFonts w:hint="eastAsia"/>
          <w:lang w:val="en-US" w:eastAsia="zh-CN"/>
        </w:rPr>
      </w:pPr>
      <w:bookmarkStart w:id="8" w:name="_Toc26282"/>
      <w:r>
        <w:rPr>
          <w:rFonts w:hint="eastAsia"/>
          <w:lang w:val="en-US" w:eastAsia="zh-CN"/>
        </w:rPr>
        <w:t>（二）事故地点及生产流程工序情况</w:t>
      </w:r>
      <w:bookmarkEnd w:id="8"/>
    </w:p>
    <w:p w14:paraId="68652443">
      <w:pPr>
        <w:pStyle w:val="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lang w:val="en-US" w:eastAsia="zh-CN"/>
        </w:rPr>
      </w:pPr>
      <w:bookmarkStart w:id="9" w:name="_Toc1780012689"/>
      <w:bookmarkStart w:id="10" w:name="_Toc220"/>
      <w:r>
        <w:rPr>
          <w:rFonts w:hint="eastAsia" w:ascii="仿宋_GB2312" w:hAnsi="仿宋_GB2312" w:eastAsia="仿宋_GB2312" w:cs="仿宋_GB2312"/>
          <w:lang w:val="en-US" w:eastAsia="zh-CN"/>
        </w:rPr>
        <w:t>该公司共有5个车间，发生事故的为3车间（精制车间，丙类，二级，</w:t>
      </w:r>
      <w:r>
        <w:rPr>
          <w:rFonts w:hint="eastAsia" w:ascii="仿宋_GB2312" w:hAnsi="仿宋_GB2312" w:eastAsia="仿宋_GB2312" w:cs="仿宋_GB2312"/>
          <w:sz w:val="32"/>
          <w:szCs w:val="32"/>
          <w:lang w:val="en-US" w:eastAsia="zh-CN"/>
        </w:rPr>
        <w:t>范</w:t>
      </w:r>
      <w:r>
        <w:rPr>
          <w:rFonts w:hint="eastAsia" w:ascii="仿宋_GB2312" w:hAnsi="仿宋_GB2312" w:eastAsia="仿宋_GB2312" w:cs="仿宋_GB2312"/>
          <w:color w:val="auto"/>
          <w:sz w:val="32"/>
          <w:szCs w:val="32"/>
          <w:highlight w:val="none"/>
          <w:lang w:val="en-US" w:eastAsia="zh-CN"/>
        </w:rPr>
        <w:t>某</w:t>
      </w:r>
      <w:r>
        <w:rPr>
          <w:rFonts w:hint="eastAsia" w:ascii="仿宋_GB2312" w:hAnsi="仿宋_GB2312" w:eastAsia="仿宋_GB2312" w:cs="仿宋_GB2312"/>
          <w:sz w:val="32"/>
          <w:szCs w:val="32"/>
          <w:lang w:val="en-US" w:eastAsia="zh-CN"/>
        </w:rPr>
        <w:t>光、孙</w:t>
      </w:r>
      <w:r>
        <w:rPr>
          <w:rFonts w:hint="eastAsia" w:ascii="仿宋_GB2312" w:hAnsi="仿宋_GB2312" w:eastAsia="仿宋_GB2312" w:cs="仿宋_GB2312"/>
          <w:color w:val="auto"/>
          <w:sz w:val="32"/>
          <w:szCs w:val="32"/>
          <w:highlight w:val="none"/>
          <w:lang w:val="en-US" w:eastAsia="zh-CN"/>
        </w:rPr>
        <w:t>某</w:t>
      </w:r>
      <w:r>
        <w:rPr>
          <w:rFonts w:hint="eastAsia" w:ascii="仿宋_GB2312" w:hAnsi="仿宋_GB2312" w:eastAsia="仿宋_GB2312" w:cs="仿宋_GB2312"/>
          <w:sz w:val="32"/>
          <w:szCs w:val="32"/>
          <w:lang w:val="en-US" w:eastAsia="zh-CN"/>
        </w:rPr>
        <w:t>为当日操作工</w:t>
      </w:r>
      <w:r>
        <w:rPr>
          <w:rFonts w:hint="eastAsia" w:ascii="仿宋_GB2312" w:hAnsi="仿宋_GB2312" w:eastAsia="仿宋_GB2312" w:cs="仿宋_GB2312"/>
          <w:lang w:val="en-US" w:eastAsia="zh-CN"/>
        </w:rPr>
        <w:t>），位于该公司生产厂区的北部中段。车间东侧为2车间（重结晶车间，丙类，二级），西侧为控制室（丁类，一级），南侧为框架结构的1400吨每年甜菜碱胆碱生产装置（甲类，二级），北侧为易制毒仓库（戊类，二级）。事发后发现3车间外消防栓损坏。</w:t>
      </w:r>
      <w:bookmarkEnd w:id="9"/>
      <w:bookmarkEnd w:id="10"/>
    </w:p>
    <w:p w14:paraId="32A3493C">
      <w:pPr>
        <w:pStyle w:val="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lang w:val="en-US" w:eastAsia="zh-CN"/>
        </w:rPr>
      </w:pPr>
      <w:bookmarkStart w:id="11" w:name="_Toc1226637310"/>
      <w:bookmarkStart w:id="12" w:name="_Toc17299"/>
      <w:r>
        <w:rPr>
          <w:rFonts w:hint="eastAsia" w:ascii="仿宋_GB2312" w:hAnsi="仿宋_GB2312" w:eastAsia="仿宋_GB2312" w:cs="仿宋_GB2312"/>
          <w:lang w:val="en-US" w:eastAsia="zh-CN"/>
        </w:rPr>
        <w:t>3车间东侧共有4台反应釜，南侧两台自东向西分别为R101B溶解釜、R101A溶解釜，北侧两台自东向西分别为R102B结晶釜、R102A结晶釜，起火点为二层R101A溶解釜上部，发生火灾时R102A结晶釜未参与生产，其他三台反应釜投料生产。</w:t>
      </w:r>
      <w:bookmarkEnd w:id="11"/>
      <w:bookmarkEnd w:id="12"/>
    </w:p>
    <w:p w14:paraId="1DF5B1B2">
      <w:pPr>
        <w:pStyle w:val="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lang w:val="en-US" w:eastAsia="zh-CN"/>
        </w:rPr>
      </w:pPr>
      <w:bookmarkStart w:id="13" w:name="_Toc1373531091"/>
      <w:bookmarkStart w:id="14" w:name="_Toc23284"/>
      <w:r>
        <w:rPr>
          <w:rFonts w:hint="eastAsia" w:ascii="仿宋_GB2312" w:hAnsi="仿宋_GB2312" w:eastAsia="仿宋_GB2312" w:cs="仿宋_GB2312"/>
          <w:lang w:val="en-US" w:eastAsia="zh-CN"/>
        </w:rPr>
        <w:t>3车间生产过程不涉及化学反应，仅为物理过程，</w:t>
      </w:r>
      <w:bookmarkEnd w:id="13"/>
      <w:bookmarkStart w:id="15" w:name="_Toc1516776343"/>
      <w:r>
        <w:rPr>
          <w:rFonts w:hint="eastAsia" w:ascii="仿宋_GB2312" w:hAnsi="仿宋_GB2312" w:eastAsia="仿宋_GB2312" w:cs="仿宋_GB2312"/>
          <w:lang w:val="en-US" w:eastAsia="zh-CN"/>
        </w:rPr>
        <w:t>生产食品添加剂甜菜碱、甜菜碱盐酸盐、结晶尿素三种产品，生产工艺基本相同。以甜菜碱生产工艺为例：以定制的甜菜碱为原料，袋装固体原料甜菜碱经吊笼提升至二层平台，计量倒入溶解釜(R101A/R101B）并加入一定比例纯水进行加热溶解，加热过程溶解釜夹套通入蒸汽，溶解温度设置在110℃，完全溶解后打开放料底阀，经过滤器（X101A/X101B）压入结晶釜（R102A/R102B），结晶釜夹套开启循环水冷凝（E101A/E101B）降温结晶，待温度降至30℃时将结晶的物料及水混合物经管道放料至平板离心机离心（M101A/M101B），离心的液体进入母液池全部回用于下一批次溶解工序，最后一批次母液装桶（V102A/V102B）收集，下次生产时回用（母液反复浓缩每2个月淘汰一批，淘汰的母液主要是因为颜色比较深，可以做成饲料级甜菜碱）。固体物料进入烘干设备（X102）烘干，烘干设备采用蒸汽加热空气形成热风来对物料进行烘干，烘干后进入包装设备，经震动筛（M102）筛分后包装。经处理后，甜菜碱满足食品级添加剂的要求。</w:t>
      </w:r>
      <w:bookmarkEnd w:id="14"/>
    </w:p>
    <w:p w14:paraId="67E96593">
      <w:pPr>
        <w:pStyle w:val="3"/>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lang w:val="en-US" w:eastAsia="zh-CN"/>
        </w:rPr>
      </w:pPr>
      <w:bookmarkStart w:id="16" w:name="_Toc31729"/>
      <w:r>
        <w:rPr>
          <w:rFonts w:hint="eastAsia" w:ascii="仿宋_GB2312" w:hAnsi="仿宋_GB2312" w:eastAsia="仿宋_GB2312" w:cs="仿宋_GB2312"/>
          <w:lang w:val="en-US" w:eastAsia="zh-CN"/>
        </w:rPr>
        <w:t>三种产品共用同一套生产设备，更换产品时需对设备及管线进行冲洗，冲洗时将纯水投入溶解釜，开启溶解釜设备搅拌，清洗釜内一段时间后然后采用负压抽入结晶釜，再开启搅拌，清洗后进入离心机设备，冲洗离心机,清洗过程进行2次，冲洗的废水经废水罐（V101A/V101B）收集后排入污水站集中处理</w:t>
      </w:r>
      <w:r>
        <w:rPr>
          <w:rStyle w:val="20"/>
          <w:rFonts w:hint="eastAsia" w:ascii="仿宋_GB2312" w:hAnsi="仿宋_GB2312" w:eastAsia="仿宋_GB2312" w:cs="仿宋_GB2312"/>
          <w:lang w:val="en-US" w:eastAsia="zh-CN"/>
        </w:rPr>
        <w:t>[</w:t>
      </w:r>
      <w:r>
        <w:rPr>
          <w:rStyle w:val="20"/>
          <w:rFonts w:hint="eastAsia" w:ascii="仿宋_GB2312" w:hAnsi="仿宋_GB2312" w:eastAsia="仿宋_GB2312" w:cs="仿宋_GB2312"/>
          <w:lang w:val="en-US" w:eastAsia="zh-CN"/>
        </w:rPr>
        <w:footnoteReference w:id="0"/>
      </w:r>
      <w:r>
        <w:rPr>
          <w:rStyle w:val="20"/>
          <w:rFonts w:hint="eastAsia" w:ascii="仿宋_GB2312" w:hAnsi="仿宋_GB2312" w:eastAsia="仿宋_GB2312" w:cs="仿宋_GB2312"/>
          <w:lang w:val="en-US" w:eastAsia="zh-CN"/>
        </w:rPr>
        <w:t>]</w:t>
      </w:r>
      <w:r>
        <w:rPr>
          <w:rFonts w:hint="eastAsia" w:ascii="仿宋_GB2312" w:hAnsi="仿宋_GB2312" w:eastAsia="仿宋_GB2312" w:cs="仿宋_GB2312"/>
          <w:lang w:val="en-US" w:eastAsia="zh-CN"/>
        </w:rPr>
        <w:t>。</w:t>
      </w:r>
      <w:bookmarkEnd w:id="15"/>
      <w:bookmarkEnd w:id="16"/>
    </w:p>
    <w:p w14:paraId="78F75308">
      <w:pPr>
        <w:pStyle w:val="3"/>
        <w:bidi w:val="0"/>
        <w:rPr>
          <w:rFonts w:hint="eastAsia"/>
          <w:lang w:val="en-US" w:eastAsia="zh-CN"/>
        </w:rPr>
      </w:pPr>
      <w:bookmarkStart w:id="17" w:name="_Toc4751"/>
      <w:r>
        <w:rPr>
          <w:rFonts w:hint="eastAsia"/>
          <w:lang w:val="en-US" w:eastAsia="zh-CN"/>
        </w:rPr>
        <w:t>（三）事故单位安全管理情况</w:t>
      </w:r>
      <w:bookmarkEnd w:id="17"/>
    </w:p>
    <w:p w14:paraId="708E850C">
      <w:pPr>
        <w:keepNext w:val="0"/>
        <w:keepLines w:val="0"/>
        <w:pageBreakBefore w:val="0"/>
        <w:widowControl w:val="0"/>
        <w:kinsoku/>
        <w:wordWrap/>
        <w:overflowPunct/>
        <w:topLinePunct w:val="0"/>
        <w:autoSpaceDE w:val="0"/>
        <w:autoSpaceDN w:val="0"/>
        <w:bidi w:val="0"/>
        <w:adjustRightInd w:val="0"/>
        <w:snapToGrid w:val="0"/>
        <w:spacing w:line="560" w:lineRule="exact"/>
        <w:ind w:firstLine="640"/>
        <w:jc w:val="left"/>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highlight w:val="none"/>
          <w:lang w:val="en-US" w:eastAsia="zh-CN"/>
        </w:rPr>
        <w:t>济南久安酯类化工有限公司</w:t>
      </w:r>
      <w:r>
        <w:rPr>
          <w:rFonts w:hint="eastAsia" w:ascii="仿宋_GB2312" w:hAnsi="仿宋_GB2312" w:eastAsia="仿宋_GB2312" w:cs="仿宋_GB2312"/>
          <w:color w:val="auto"/>
          <w:sz w:val="32"/>
          <w:szCs w:val="32"/>
          <w:lang w:val="en-US" w:eastAsia="zh-CN"/>
        </w:rPr>
        <w:t>任命王</w:t>
      </w:r>
      <w:r>
        <w:rPr>
          <w:rFonts w:hint="eastAsia" w:ascii="仿宋_GB2312" w:hAnsi="仿宋_GB2312" w:eastAsia="仿宋_GB2312" w:cs="仿宋_GB2312"/>
          <w:color w:val="auto"/>
          <w:sz w:val="32"/>
          <w:szCs w:val="32"/>
          <w:highlight w:val="none"/>
          <w:lang w:val="en-US" w:eastAsia="zh-CN"/>
        </w:rPr>
        <w:t>某</w:t>
      </w:r>
      <w:r>
        <w:rPr>
          <w:rFonts w:hint="eastAsia" w:ascii="仿宋_GB2312" w:hAnsi="仿宋_GB2312" w:eastAsia="仿宋_GB2312" w:cs="仿宋_GB2312"/>
          <w:color w:val="auto"/>
          <w:sz w:val="32"/>
          <w:szCs w:val="32"/>
          <w:lang w:val="en-US" w:eastAsia="zh-CN"/>
        </w:rPr>
        <w:t>友为总经理，负责公司全面工作；副总经理林</w:t>
      </w:r>
      <w:r>
        <w:rPr>
          <w:rFonts w:hint="eastAsia" w:ascii="仿宋_GB2312" w:hAnsi="仿宋_GB2312" w:eastAsia="仿宋_GB2312" w:cs="仿宋_GB2312"/>
          <w:color w:val="auto"/>
          <w:sz w:val="32"/>
          <w:szCs w:val="32"/>
          <w:highlight w:val="none"/>
          <w:lang w:val="en-US" w:eastAsia="zh-CN"/>
        </w:rPr>
        <w:t>某</w:t>
      </w:r>
      <w:r>
        <w:rPr>
          <w:rFonts w:hint="eastAsia" w:ascii="仿宋_GB2312" w:hAnsi="仿宋_GB2312" w:eastAsia="仿宋_GB2312" w:cs="仿宋_GB2312"/>
          <w:color w:val="auto"/>
          <w:sz w:val="32"/>
          <w:szCs w:val="32"/>
          <w:lang w:val="en-US" w:eastAsia="zh-CN"/>
        </w:rPr>
        <w:t>峰分管安全生产工作；董</w:t>
      </w:r>
      <w:r>
        <w:rPr>
          <w:rFonts w:hint="eastAsia" w:ascii="仿宋_GB2312" w:hAnsi="仿宋_GB2312" w:eastAsia="仿宋_GB2312" w:cs="仿宋_GB2312"/>
          <w:color w:val="auto"/>
          <w:sz w:val="32"/>
          <w:szCs w:val="32"/>
          <w:highlight w:val="none"/>
          <w:lang w:val="en-US" w:eastAsia="zh-CN"/>
        </w:rPr>
        <w:t>某</w:t>
      </w:r>
      <w:r>
        <w:rPr>
          <w:rFonts w:hint="eastAsia" w:ascii="仿宋_GB2312" w:hAnsi="仿宋_GB2312" w:eastAsia="仿宋_GB2312" w:cs="仿宋_GB2312"/>
          <w:color w:val="auto"/>
          <w:sz w:val="32"/>
          <w:szCs w:val="32"/>
          <w:lang w:val="en-US" w:eastAsia="zh-CN"/>
        </w:rPr>
        <w:t>进为安环部经理、赵</w:t>
      </w:r>
      <w:r>
        <w:rPr>
          <w:rFonts w:hint="eastAsia" w:ascii="仿宋_GB2312" w:hAnsi="仿宋_GB2312" w:eastAsia="仿宋_GB2312" w:cs="仿宋_GB2312"/>
          <w:color w:val="auto"/>
          <w:sz w:val="32"/>
          <w:szCs w:val="32"/>
          <w:highlight w:val="none"/>
          <w:lang w:val="en-US" w:eastAsia="zh-CN"/>
        </w:rPr>
        <w:t>某</w:t>
      </w:r>
      <w:r>
        <w:rPr>
          <w:rFonts w:hint="eastAsia" w:ascii="仿宋_GB2312" w:hAnsi="仿宋_GB2312" w:eastAsia="仿宋_GB2312" w:cs="仿宋_GB2312"/>
          <w:color w:val="auto"/>
          <w:sz w:val="32"/>
          <w:szCs w:val="32"/>
          <w:lang w:val="en-US" w:eastAsia="zh-CN"/>
        </w:rPr>
        <w:t>章为生产部经理。建立了全员安全生产责任制和包括《安全管理人员每日巡查制度》《安全检维修管理制度》《工艺安全管理制度》《变更管理制度》《济南久安酯类化工有限公司甜菜碱、胆碱岗位安全生产操作规程》在内的安全生产规章制度和操作规程。</w:t>
      </w:r>
    </w:p>
    <w:p w14:paraId="56BEF9E8">
      <w:pPr>
        <w:pStyle w:val="2"/>
        <w:keepNext w:val="0"/>
        <w:keepLines w:val="0"/>
        <w:pageBreakBefore w:val="0"/>
        <w:widowControl w:val="0"/>
        <w:kinsoku/>
        <w:wordWrap/>
        <w:overflowPunct w:val="0"/>
        <w:topLinePunct w:val="0"/>
        <w:autoSpaceDE/>
        <w:autoSpaceDN/>
        <w:bidi w:val="0"/>
        <w:ind w:firstLine="640"/>
        <w:jc w:val="both"/>
        <w:rPr>
          <w:lang w:eastAsia="zh-CN"/>
        </w:rPr>
      </w:pPr>
      <w:bookmarkStart w:id="18" w:name="_Toc13325"/>
      <w:bookmarkStart w:id="19" w:name="_Toc5419"/>
      <w:r>
        <w:rPr>
          <w:rFonts w:hint="eastAsia"/>
          <w:lang w:eastAsia="zh-CN"/>
        </w:rPr>
        <w:t>二、事故发生经过、应急处置、事故报告及四位一体工作开展及事故警示教育情况</w:t>
      </w:r>
      <w:bookmarkEnd w:id="18"/>
      <w:bookmarkEnd w:id="19"/>
    </w:p>
    <w:p w14:paraId="3CAFDD40">
      <w:pPr>
        <w:pStyle w:val="3"/>
        <w:keepNext w:val="0"/>
        <w:keepLines w:val="0"/>
        <w:pageBreakBefore w:val="0"/>
        <w:widowControl w:val="0"/>
        <w:kinsoku/>
        <w:wordWrap/>
        <w:overflowPunct w:val="0"/>
        <w:topLinePunct w:val="0"/>
        <w:autoSpaceDE/>
        <w:autoSpaceDN/>
        <w:bidi w:val="0"/>
        <w:rPr>
          <w:rFonts w:hint="eastAsia"/>
          <w:lang w:val="en-US" w:eastAsia="zh-CN"/>
        </w:rPr>
      </w:pPr>
      <w:bookmarkStart w:id="20" w:name="_Toc24673"/>
      <w:r>
        <w:rPr>
          <w:rFonts w:hint="eastAsia"/>
          <w:lang w:val="en-US" w:eastAsia="zh-CN"/>
        </w:rPr>
        <w:t>（一）事故发生经过</w:t>
      </w:r>
      <w:bookmarkEnd w:id="20"/>
    </w:p>
    <w:p w14:paraId="5274805D">
      <w:pPr>
        <w:pStyle w:val="3"/>
        <w:keepNext w:val="0"/>
        <w:keepLines w:val="0"/>
        <w:pageBreakBefore w:val="0"/>
        <w:widowControl w:val="0"/>
        <w:kinsoku/>
        <w:wordWrap/>
        <w:overflowPunct w:val="0"/>
        <w:topLinePunct w:val="0"/>
        <w:autoSpaceDE/>
        <w:autoSpaceDN/>
        <w:bidi w:val="0"/>
        <w:rPr>
          <w:rFonts w:hint="eastAsia" w:ascii="仿宋_GB2312" w:hAnsi="仿宋_GB2312" w:eastAsia="仿宋_GB2312" w:cs="仿宋_GB2312"/>
          <w:sz w:val="32"/>
          <w:szCs w:val="32"/>
          <w:lang w:val="en-US" w:eastAsia="zh-CN"/>
        </w:rPr>
      </w:pPr>
      <w:bookmarkStart w:id="21" w:name="_Toc21070"/>
      <w:r>
        <w:rPr>
          <w:rFonts w:hint="eastAsia" w:ascii="仿宋_GB2312" w:hAnsi="仿宋_GB2312" w:eastAsia="仿宋_GB2312" w:cs="仿宋_GB2312"/>
          <w:sz w:val="32"/>
          <w:szCs w:val="32"/>
          <w:lang w:val="en-US" w:eastAsia="zh-CN"/>
        </w:rPr>
        <w:t>2026年4月12日早上5点左右，该公司3车间正在精制甜菜碱。操作工范</w:t>
      </w:r>
      <w:r>
        <w:rPr>
          <w:rFonts w:hint="eastAsia" w:ascii="仿宋_GB2312" w:hAnsi="仿宋_GB2312" w:eastAsia="仿宋_GB2312" w:cs="仿宋_GB2312"/>
          <w:color w:val="auto"/>
          <w:sz w:val="32"/>
          <w:szCs w:val="32"/>
          <w:highlight w:val="none"/>
          <w:lang w:val="en-US" w:eastAsia="zh-CN"/>
        </w:rPr>
        <w:t>某</w:t>
      </w:r>
      <w:r>
        <w:rPr>
          <w:rFonts w:hint="eastAsia" w:ascii="仿宋_GB2312" w:hAnsi="仿宋_GB2312" w:eastAsia="仿宋_GB2312" w:cs="仿宋_GB2312"/>
          <w:sz w:val="32"/>
          <w:szCs w:val="32"/>
          <w:lang w:val="en-US" w:eastAsia="zh-CN"/>
        </w:rPr>
        <w:t>光、孙</w:t>
      </w:r>
      <w:r>
        <w:rPr>
          <w:rFonts w:hint="eastAsia" w:ascii="仿宋_GB2312" w:hAnsi="仿宋_GB2312" w:eastAsia="仿宋_GB2312" w:cs="仿宋_GB2312"/>
          <w:color w:val="auto"/>
          <w:sz w:val="32"/>
          <w:szCs w:val="32"/>
          <w:highlight w:val="none"/>
          <w:lang w:val="en-US" w:eastAsia="zh-CN"/>
        </w:rPr>
        <w:t>某</w:t>
      </w:r>
      <w:r>
        <w:rPr>
          <w:rFonts w:hint="eastAsia" w:ascii="仿宋_GB2312" w:hAnsi="仿宋_GB2312" w:eastAsia="仿宋_GB2312" w:cs="仿宋_GB2312"/>
          <w:sz w:val="32"/>
          <w:szCs w:val="32"/>
          <w:lang w:val="en-US" w:eastAsia="zh-CN"/>
        </w:rPr>
        <w:t>通过真空泵从吨桶里往R101A溶解釜抽了75公斤左右的水后手动投了3袋甜菜碱，再抽700公斤左右的甲醇后又手动向釜内投了7袋甜菜碱，共计投料250公斤，投完料范</w:t>
      </w:r>
      <w:r>
        <w:rPr>
          <w:rFonts w:hint="eastAsia" w:ascii="仿宋_GB2312" w:hAnsi="仿宋_GB2312" w:eastAsia="仿宋_GB2312" w:cs="仿宋_GB2312"/>
          <w:color w:val="auto"/>
          <w:sz w:val="32"/>
          <w:szCs w:val="32"/>
          <w:highlight w:val="none"/>
          <w:lang w:val="en-US" w:eastAsia="zh-CN"/>
        </w:rPr>
        <w:t>某</w:t>
      </w:r>
      <w:r>
        <w:rPr>
          <w:rFonts w:hint="eastAsia" w:ascii="仿宋_GB2312" w:hAnsi="仿宋_GB2312" w:eastAsia="仿宋_GB2312" w:cs="仿宋_GB2312"/>
          <w:sz w:val="32"/>
          <w:szCs w:val="32"/>
          <w:lang w:val="en-US" w:eastAsia="zh-CN"/>
        </w:rPr>
        <w:t>光手动打开蒸汽管道阀门进行升温，大约20分钟后釜内温度到60度左右，他手动将蒸汽阀门关闭，让釜内物料继续升温到70度左右，加热完毕后手动打开加压泵</w:t>
      </w:r>
      <w:r>
        <w:rPr>
          <w:rFonts w:hint="eastAsia" w:ascii="仿宋_GB2312" w:hAnsi="仿宋_GB2312" w:eastAsia="仿宋_GB2312" w:cs="仿宋_GB2312"/>
          <w:sz w:val="32"/>
          <w:szCs w:val="32"/>
          <w:lang w:eastAsia="zh-CN"/>
        </w:rPr>
        <w:t>准备往</w:t>
      </w:r>
      <w:r>
        <w:rPr>
          <w:rFonts w:hint="eastAsia" w:ascii="仿宋_GB2312" w:hAnsi="仿宋_GB2312" w:eastAsia="仿宋_GB2312" w:cs="仿宋_GB2312"/>
          <w:sz w:val="32"/>
          <w:szCs w:val="32"/>
          <w:lang w:val="en-US" w:eastAsia="zh-CN"/>
        </w:rPr>
        <w:t>R102A</w:t>
      </w:r>
      <w:r>
        <w:rPr>
          <w:rFonts w:hint="eastAsia" w:ascii="仿宋_GB2312" w:hAnsi="仿宋_GB2312" w:eastAsia="仿宋_GB2312" w:cs="仿宋_GB2312"/>
          <w:sz w:val="32"/>
          <w:szCs w:val="32"/>
          <w:lang w:eastAsia="zh-CN"/>
        </w:rPr>
        <w:t>打料</w:t>
      </w:r>
      <w:r>
        <w:rPr>
          <w:rFonts w:hint="eastAsia" w:ascii="仿宋_GB2312" w:hAnsi="仿宋_GB2312" w:eastAsia="仿宋_GB2312" w:cs="仿宋_GB2312"/>
          <w:sz w:val="32"/>
          <w:szCs w:val="32"/>
          <w:lang w:val="en-US" w:eastAsia="zh-CN"/>
        </w:rPr>
        <w:t>，加压泵出口压力表显示1公斤左右打开结晶釜底阀准备打料时，他听见上面有泄露的声音，看见火花后范</w:t>
      </w:r>
      <w:r>
        <w:rPr>
          <w:rFonts w:hint="eastAsia" w:ascii="仿宋_GB2312" w:hAnsi="仿宋_GB2312" w:eastAsia="仿宋_GB2312" w:cs="仿宋_GB2312"/>
          <w:color w:val="auto"/>
          <w:sz w:val="32"/>
          <w:szCs w:val="32"/>
          <w:highlight w:val="none"/>
          <w:lang w:val="en-US" w:eastAsia="zh-CN"/>
        </w:rPr>
        <w:t>某</w:t>
      </w:r>
      <w:r>
        <w:rPr>
          <w:rFonts w:hint="eastAsia" w:ascii="仿宋_GB2312" w:hAnsi="仿宋_GB2312" w:eastAsia="仿宋_GB2312" w:cs="仿宋_GB2312"/>
          <w:sz w:val="32"/>
          <w:szCs w:val="32"/>
          <w:lang w:val="en-US" w:eastAsia="zh-CN"/>
        </w:rPr>
        <w:t>光、孙</w:t>
      </w:r>
      <w:r>
        <w:rPr>
          <w:rFonts w:hint="eastAsia" w:ascii="仿宋_GB2312" w:hAnsi="仿宋_GB2312" w:eastAsia="仿宋_GB2312" w:cs="仿宋_GB2312"/>
          <w:color w:val="auto"/>
          <w:sz w:val="32"/>
          <w:szCs w:val="32"/>
          <w:highlight w:val="none"/>
          <w:lang w:val="en-US" w:eastAsia="zh-CN"/>
        </w:rPr>
        <w:t>某</w:t>
      </w:r>
      <w:r>
        <w:rPr>
          <w:rFonts w:hint="eastAsia" w:ascii="仿宋_GB2312" w:hAnsi="仿宋_GB2312" w:eastAsia="仿宋_GB2312" w:cs="仿宋_GB2312"/>
          <w:sz w:val="32"/>
          <w:szCs w:val="32"/>
          <w:lang w:val="en-US" w:eastAsia="zh-CN"/>
        </w:rPr>
        <w:t>就跑出了车间。随后发生闪燃，未造成人员伤亡。通过监控发现5时35分许R101A溶解釜上部出现白色蒸气雾团，5时38分电缆桥架处出现电火花、发现掉落物，5时39分闪燃发生。</w:t>
      </w:r>
      <w:bookmarkEnd w:id="21"/>
      <w:r>
        <w:rPr>
          <w:rFonts w:hint="eastAsia" w:ascii="仿宋_GB2312" w:hAnsi="仿宋_GB2312" w:eastAsia="仿宋_GB2312" w:cs="仿宋_GB2312"/>
          <w:sz w:val="32"/>
          <w:szCs w:val="32"/>
          <w:lang w:val="en-US" w:eastAsia="zh-CN"/>
        </w:rPr>
        <w:t xml:space="preserve">   </w:t>
      </w:r>
    </w:p>
    <w:p w14:paraId="4EB9F4ED">
      <w:pPr>
        <w:pStyle w:val="3"/>
        <w:keepNext w:val="0"/>
        <w:keepLines w:val="0"/>
        <w:pageBreakBefore w:val="0"/>
        <w:widowControl w:val="0"/>
        <w:kinsoku/>
        <w:wordWrap/>
        <w:overflowPunct w:val="0"/>
        <w:topLinePunct w:val="0"/>
        <w:autoSpaceDE/>
        <w:autoSpaceDN/>
        <w:bidi w:val="0"/>
        <w:rPr>
          <w:rFonts w:hint="eastAsia"/>
          <w:lang w:val="en-US" w:eastAsia="zh-CN"/>
        </w:rPr>
      </w:pPr>
      <w:bookmarkStart w:id="22" w:name="_Toc23502"/>
      <w:r>
        <w:rPr>
          <w:rFonts w:hint="eastAsia"/>
          <w:lang w:val="en-US" w:eastAsia="zh-CN"/>
        </w:rPr>
        <w:t>（二）事故应急处置情况及善后处理情况</w:t>
      </w:r>
      <w:bookmarkEnd w:id="22"/>
    </w:p>
    <w:p w14:paraId="5D95D57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发生火灾后，现场人员随即拨打119报警。5时55分，消防救援人员到达现场实施救援。6时10分，明火被扑灭，未造成人员伤亡及次生灾害。</w:t>
      </w:r>
    </w:p>
    <w:p w14:paraId="29BD2943">
      <w:pPr>
        <w:pStyle w:val="3"/>
        <w:keepNext w:val="0"/>
        <w:keepLines w:val="0"/>
        <w:pageBreakBefore w:val="0"/>
        <w:widowControl w:val="0"/>
        <w:kinsoku/>
        <w:wordWrap/>
        <w:overflowPunct w:val="0"/>
        <w:topLinePunct w:val="0"/>
        <w:autoSpaceDE/>
        <w:autoSpaceDN/>
        <w:bidi w:val="0"/>
        <w:rPr>
          <w:rFonts w:hint="eastAsia"/>
          <w:lang w:val="en-US" w:eastAsia="zh-CN"/>
        </w:rPr>
      </w:pPr>
      <w:bookmarkStart w:id="23" w:name="_Toc21416"/>
      <w:r>
        <w:rPr>
          <w:rFonts w:hint="eastAsia"/>
          <w:lang w:val="en-US" w:eastAsia="zh-CN"/>
        </w:rPr>
        <w:t>（三）事故报告情况</w:t>
      </w:r>
      <w:bookmarkEnd w:id="23"/>
    </w:p>
    <w:p w14:paraId="30B6C80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5时40分许，现场员工沈某亮拨打119报警电话并向公司副总林某峰电话汇报了事故；6时许，林某峰向王某友报告了事故，王某友安排核实情况后上报；6时15分，王某友向区应急局报告事故。</w:t>
      </w:r>
      <w:r>
        <w:rPr>
          <w:rFonts w:hint="eastAsia" w:ascii="仿宋_GB2312" w:hAnsi="仿宋_GB2312" w:eastAsia="仿宋_GB2312" w:cs="仿宋_GB2312"/>
          <w:snapToGrid/>
          <w:color w:val="auto"/>
          <w:kern w:val="2"/>
          <w:sz w:val="32"/>
          <w:szCs w:val="32"/>
          <w:highlight w:val="none"/>
          <w:lang w:eastAsia="zh-CN"/>
        </w:rPr>
        <w:t>接报后，区应急局立即启动应急预案，赶赴现场，组织现场勘查调查等工作，按规定程序、时限上报。</w:t>
      </w:r>
    </w:p>
    <w:p w14:paraId="7EE27004">
      <w:pPr>
        <w:pStyle w:val="3"/>
        <w:bidi w:val="0"/>
        <w:rPr>
          <w:lang w:eastAsia="zh-CN"/>
        </w:rPr>
      </w:pPr>
      <w:bookmarkStart w:id="24" w:name="_Toc22649"/>
      <w:bookmarkStart w:id="25" w:name="_Toc169"/>
      <w:r>
        <w:rPr>
          <w:rFonts w:hint="eastAsia"/>
          <w:lang w:eastAsia="zh-CN"/>
        </w:rPr>
        <w:t>（</w:t>
      </w:r>
      <w:r>
        <w:rPr>
          <w:rFonts w:hint="eastAsia"/>
          <w:lang w:val="en-US" w:eastAsia="zh-CN"/>
        </w:rPr>
        <w:t>四</w:t>
      </w:r>
      <w:r>
        <w:rPr>
          <w:rFonts w:hint="eastAsia"/>
          <w:lang w:eastAsia="zh-CN"/>
        </w:rPr>
        <w:t>）事故应急处置评估</w:t>
      </w:r>
      <w:bookmarkEnd w:id="24"/>
      <w:bookmarkEnd w:id="25"/>
    </w:p>
    <w:p w14:paraId="53A3AB1B">
      <w:pPr>
        <w:keepNext w:val="0"/>
        <w:keepLines w:val="0"/>
        <w:pageBreakBefore w:val="0"/>
        <w:widowControl w:val="0"/>
        <w:shd w:val="clear" w:color="auto" w:fill="FFFFFF"/>
        <w:kinsoku/>
        <w:wordWrap/>
        <w:overflowPunct/>
        <w:topLinePunct w:val="0"/>
        <w:autoSpaceDE w:val="0"/>
        <w:autoSpaceDN/>
        <w:bidi w:val="0"/>
        <w:adjustRightInd w:val="0"/>
        <w:snapToGrid w:val="0"/>
        <w:spacing w:line="580" w:lineRule="exact"/>
        <w:ind w:firstLine="640" w:firstLineChars="200"/>
        <w:jc w:val="both"/>
        <w:textAlignment w:val="auto"/>
        <w:rPr>
          <w:rFonts w:ascii="仿宋_GB2312" w:hAnsi="Times New Roman" w:eastAsia="仿宋_GB2312" w:cs="Times New Roman"/>
          <w:snapToGrid/>
          <w:color w:val="000000" w:themeColor="text1"/>
          <w:kern w:val="2"/>
          <w:sz w:val="32"/>
          <w:szCs w:val="24"/>
          <w:lang w:eastAsia="zh-CN"/>
          <w14:textFill>
            <w14:solidFill>
              <w14:schemeClr w14:val="tx1"/>
            </w14:solidFill>
          </w14:textFill>
        </w:rPr>
      </w:pPr>
      <w:r>
        <w:rPr>
          <w:rFonts w:ascii="仿宋_GB2312" w:hAnsi="Times New Roman" w:eastAsia="仿宋_GB2312" w:cs="Times New Roman"/>
          <w:snapToGrid/>
          <w:color w:val="000000" w:themeColor="text1"/>
          <w:kern w:val="2"/>
          <w:sz w:val="32"/>
          <w:szCs w:val="24"/>
          <w:lang w:eastAsia="zh-CN"/>
          <w14:textFill>
            <w14:solidFill>
              <w14:schemeClr w14:val="tx1"/>
            </w14:solidFill>
          </w14:textFill>
        </w:rPr>
        <w:t>事故发生后，</w:t>
      </w:r>
      <w:r>
        <w:rPr>
          <w:rFonts w:hint="eastAsia" w:ascii="仿宋_GB2312" w:hAnsi="Times New Roman" w:eastAsia="仿宋_GB2312" w:cs="Times New Roman"/>
          <w:snapToGrid/>
          <w:color w:val="000000" w:themeColor="text1"/>
          <w:kern w:val="2"/>
          <w:sz w:val="32"/>
          <w:szCs w:val="24"/>
          <w:lang w:eastAsia="zh-CN"/>
          <w14:textFill>
            <w14:solidFill>
              <w14:schemeClr w14:val="tx1"/>
            </w14:solidFill>
          </w14:textFill>
        </w:rPr>
        <w:t>章丘区政府、刁镇化工产业园管理办公室及相关部门</w:t>
      </w:r>
      <w:r>
        <w:rPr>
          <w:rFonts w:ascii="仿宋_GB2312" w:hAnsi="Times New Roman" w:eastAsia="仿宋_GB2312" w:cs="Times New Roman"/>
          <w:snapToGrid/>
          <w:color w:val="000000" w:themeColor="text1"/>
          <w:kern w:val="2"/>
          <w:sz w:val="32"/>
          <w:szCs w:val="24"/>
          <w:lang w:eastAsia="zh-CN"/>
          <w14:textFill>
            <w14:solidFill>
              <w14:schemeClr w14:val="tx1"/>
            </w14:solidFill>
          </w14:textFill>
        </w:rPr>
        <w:t>应急机制启动及时有效，救援处置措施得当，未</w:t>
      </w:r>
      <w:r>
        <w:rPr>
          <w:rFonts w:hint="eastAsia" w:ascii="仿宋_GB2312" w:hAnsi="Times New Roman" w:eastAsia="仿宋_GB2312" w:cs="Times New Roman"/>
          <w:snapToGrid/>
          <w:color w:val="000000" w:themeColor="text1"/>
          <w:kern w:val="2"/>
          <w:sz w:val="32"/>
          <w:szCs w:val="24"/>
          <w:lang w:eastAsia="zh-CN"/>
          <w14:textFill>
            <w14:solidFill>
              <w14:schemeClr w14:val="tx1"/>
            </w14:solidFill>
          </w14:textFill>
        </w:rPr>
        <w:t>发生</w:t>
      </w:r>
      <w:r>
        <w:rPr>
          <w:rFonts w:ascii="仿宋_GB2312" w:hAnsi="Times New Roman" w:eastAsia="仿宋_GB2312" w:cs="Times New Roman"/>
          <w:snapToGrid/>
          <w:color w:val="000000" w:themeColor="text1"/>
          <w:kern w:val="2"/>
          <w:sz w:val="32"/>
          <w:szCs w:val="24"/>
          <w:lang w:eastAsia="zh-CN"/>
          <w14:textFill>
            <w14:solidFill>
              <w14:schemeClr w14:val="tx1"/>
            </w14:solidFill>
          </w14:textFill>
        </w:rPr>
        <w:t>次生事故</w:t>
      </w:r>
      <w:r>
        <w:rPr>
          <w:rFonts w:hint="eastAsia" w:ascii="仿宋_GB2312" w:hAnsi="Times New Roman" w:eastAsia="仿宋_GB2312" w:cs="Times New Roman"/>
          <w:snapToGrid/>
          <w:color w:val="000000" w:themeColor="text1"/>
          <w:kern w:val="2"/>
          <w:sz w:val="32"/>
          <w:szCs w:val="24"/>
          <w:lang w:eastAsia="zh-CN"/>
          <w14:textFill>
            <w14:solidFill>
              <w14:schemeClr w14:val="tx1"/>
            </w14:solidFill>
          </w14:textFill>
        </w:rPr>
        <w:t>；积极</w:t>
      </w:r>
      <w:r>
        <w:rPr>
          <w:rFonts w:ascii="仿宋_GB2312" w:hAnsi="Times New Roman" w:eastAsia="仿宋_GB2312" w:cs="Times New Roman"/>
          <w:snapToGrid/>
          <w:color w:val="000000" w:themeColor="text1"/>
          <w:kern w:val="2"/>
          <w:sz w:val="32"/>
          <w:szCs w:val="24"/>
          <w:lang w:eastAsia="zh-CN"/>
          <w14:textFill>
            <w14:solidFill>
              <w14:schemeClr w14:val="tx1"/>
            </w14:solidFill>
          </w14:textFill>
        </w:rPr>
        <w:t>开展善后工作</w:t>
      </w:r>
      <w:r>
        <w:rPr>
          <w:rFonts w:hint="eastAsia" w:ascii="仿宋_GB2312" w:hAnsi="Times New Roman" w:eastAsia="仿宋_GB2312" w:cs="Times New Roman"/>
          <w:snapToGrid/>
          <w:color w:val="000000" w:themeColor="text1"/>
          <w:kern w:val="2"/>
          <w:sz w:val="32"/>
          <w:szCs w:val="24"/>
          <w:lang w:eastAsia="zh-CN"/>
          <w14:textFill>
            <w14:solidFill>
              <w14:schemeClr w14:val="tx1"/>
            </w14:solidFill>
          </w14:textFill>
        </w:rPr>
        <w:t>，</w:t>
      </w:r>
      <w:r>
        <w:rPr>
          <w:rFonts w:ascii="仿宋_GB2312" w:hAnsi="Times New Roman" w:eastAsia="仿宋_GB2312" w:cs="Times New Roman"/>
          <w:snapToGrid/>
          <w:color w:val="000000" w:themeColor="text1"/>
          <w:kern w:val="2"/>
          <w:sz w:val="32"/>
          <w:szCs w:val="24"/>
          <w:lang w:eastAsia="zh-CN"/>
          <w14:textFill>
            <w14:solidFill>
              <w14:schemeClr w14:val="tx1"/>
            </w14:solidFill>
          </w14:textFill>
        </w:rPr>
        <w:t>事故调查处理</w:t>
      </w:r>
      <w:r>
        <w:rPr>
          <w:rFonts w:hint="eastAsia" w:ascii="仿宋_GB2312" w:hAnsi="Times New Roman" w:eastAsia="仿宋_GB2312" w:cs="Times New Roman"/>
          <w:snapToGrid/>
          <w:color w:val="000000" w:themeColor="text1"/>
          <w:kern w:val="2"/>
          <w:sz w:val="32"/>
          <w:szCs w:val="24"/>
          <w:lang w:eastAsia="zh-CN"/>
          <w14:textFill>
            <w14:solidFill>
              <w14:schemeClr w14:val="tx1"/>
            </w14:solidFill>
          </w14:textFill>
        </w:rPr>
        <w:t>推进</w:t>
      </w:r>
      <w:r>
        <w:rPr>
          <w:rFonts w:ascii="仿宋_GB2312" w:hAnsi="Times New Roman" w:eastAsia="仿宋_GB2312" w:cs="Times New Roman"/>
          <w:snapToGrid/>
          <w:color w:val="000000" w:themeColor="text1"/>
          <w:kern w:val="2"/>
          <w:sz w:val="32"/>
          <w:szCs w:val="24"/>
          <w:lang w:eastAsia="zh-CN"/>
          <w14:textFill>
            <w14:solidFill>
              <w14:schemeClr w14:val="tx1"/>
            </w14:solidFill>
          </w14:textFill>
        </w:rPr>
        <w:t>有序</w:t>
      </w:r>
      <w:r>
        <w:rPr>
          <w:rFonts w:hint="eastAsia" w:ascii="仿宋_GB2312" w:hAnsi="Times New Roman" w:eastAsia="仿宋_GB2312" w:cs="Times New Roman"/>
          <w:snapToGrid/>
          <w:color w:val="000000" w:themeColor="text1"/>
          <w:kern w:val="2"/>
          <w:sz w:val="32"/>
          <w:szCs w:val="24"/>
          <w:lang w:eastAsia="zh-CN"/>
          <w14:textFill>
            <w14:solidFill>
              <w14:schemeClr w14:val="tx1"/>
            </w14:solidFill>
          </w14:textFill>
        </w:rPr>
        <w:t>。经评估，政府事故</w:t>
      </w:r>
      <w:r>
        <w:rPr>
          <w:rFonts w:ascii="仿宋_GB2312" w:hAnsi="Times New Roman" w:eastAsia="仿宋_GB2312" w:cs="Times New Roman"/>
          <w:snapToGrid/>
          <w:color w:val="000000" w:themeColor="text1"/>
          <w:kern w:val="2"/>
          <w:sz w:val="32"/>
          <w:szCs w:val="24"/>
          <w:lang w:eastAsia="zh-CN"/>
          <w14:textFill>
            <w14:solidFill>
              <w14:schemeClr w14:val="tx1"/>
            </w14:solidFill>
          </w14:textFill>
        </w:rPr>
        <w:t>应急处置得当</w:t>
      </w:r>
      <w:r>
        <w:rPr>
          <w:rFonts w:hint="eastAsia" w:ascii="仿宋_GB2312" w:hAnsi="Times New Roman" w:eastAsia="仿宋_GB2312" w:cs="Times New Roman"/>
          <w:snapToGrid/>
          <w:color w:val="000000" w:themeColor="text1"/>
          <w:kern w:val="2"/>
          <w:sz w:val="32"/>
          <w:szCs w:val="24"/>
          <w:lang w:eastAsia="zh-CN"/>
          <w14:textFill>
            <w14:solidFill>
              <w14:schemeClr w14:val="tx1"/>
            </w14:solidFill>
          </w14:textFill>
        </w:rPr>
        <w:t>。</w:t>
      </w:r>
    </w:p>
    <w:p w14:paraId="43C3E7F5">
      <w:pPr>
        <w:pStyle w:val="3"/>
        <w:pageBreakBefore w:val="0"/>
        <w:wordWrap/>
        <w:topLinePunct w:val="0"/>
        <w:autoSpaceDE w:val="0"/>
        <w:bidi w:val="0"/>
        <w:adjustRightInd w:val="0"/>
        <w:snapToGrid w:val="0"/>
        <w:spacing w:line="580" w:lineRule="exact"/>
        <w:rPr>
          <w:lang w:eastAsia="zh-CN"/>
        </w:rPr>
      </w:pPr>
      <w:bookmarkStart w:id="26" w:name="_Toc21996"/>
      <w:bookmarkStart w:id="27" w:name="_Toc18589"/>
      <w:r>
        <w:rPr>
          <w:rFonts w:hint="eastAsia"/>
          <w:lang w:eastAsia="zh-CN"/>
        </w:rPr>
        <w:t>（</w:t>
      </w:r>
      <w:r>
        <w:rPr>
          <w:rFonts w:hint="eastAsia"/>
          <w:lang w:val="en-US" w:eastAsia="zh-CN"/>
        </w:rPr>
        <w:t>五</w:t>
      </w:r>
      <w:r>
        <w:rPr>
          <w:rFonts w:hint="eastAsia"/>
          <w:lang w:eastAsia="zh-CN"/>
        </w:rPr>
        <w:t>）</w:t>
      </w:r>
      <w:r>
        <w:rPr>
          <w:rFonts w:hint="eastAsia"/>
        </w:rPr>
        <w:t>“四位一体”工作开展</w:t>
      </w:r>
      <w:r>
        <w:rPr>
          <w:rFonts w:hint="eastAsia"/>
          <w:lang w:eastAsia="zh-CN"/>
        </w:rPr>
        <w:t>情况</w:t>
      </w:r>
      <w:bookmarkEnd w:id="26"/>
      <w:bookmarkEnd w:id="27"/>
    </w:p>
    <w:p w14:paraId="4F7623E7">
      <w:pPr>
        <w:keepNext w:val="0"/>
        <w:keepLines w:val="0"/>
        <w:pageBreakBefore w:val="0"/>
        <w:widowControl w:val="0"/>
        <w:kinsoku/>
        <w:wordWrap/>
        <w:overflowPunct/>
        <w:topLinePunct w:val="0"/>
        <w:autoSpaceDE w:val="0"/>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pP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根据《山东省人民政府安全生产委员会办公室关于“四位一体”加强事故调查处理工作的通知》（鲁安办发〔</w:t>
      </w:r>
      <w:r>
        <w:rPr>
          <w:rFonts w:hint="eastAsia" w:ascii="仿宋_GB2312" w:hAnsi="仿宋_GB2312" w:eastAsia="仿宋_GB2312" w:cs="仿宋_GB2312"/>
          <w:color w:val="000000" w:themeColor="text1"/>
          <w:sz w:val="32"/>
          <w:szCs w:val="32"/>
          <w:lang w:eastAsia="zh-CN"/>
          <w14:textFill>
            <w14:solidFill>
              <w14:schemeClr w14:val="tx1"/>
            </w14:solidFill>
          </w14:textFill>
        </w:rPr>
        <w:t>2022</w:t>
      </w: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5</w:t>
      </w: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号）要求，事故调查组对负有安全监管责任的有关部门、属地街道办事处相关人员在廉政建设、涉黑涉恶、干部作风等方面进行了调查</w:t>
      </w:r>
      <w:r>
        <w:rPr>
          <w:rFonts w:ascii="仿宋_GB2312" w:hAnsi="仿宋_GB2312" w:eastAsia="仿宋_GB2312" w:cs="仿宋_GB2312"/>
          <w:snapToGrid/>
          <w:color w:val="000000" w:themeColor="text1"/>
          <w:kern w:val="2"/>
          <w:sz w:val="32"/>
          <w:szCs w:val="32"/>
          <w:lang w:eastAsia="zh-CN"/>
          <w14:textFill>
            <w14:solidFill>
              <w14:schemeClr w14:val="tx1"/>
            </w14:solidFill>
          </w14:textFill>
        </w:rPr>
        <w:t>,</w:t>
      </w: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未发现相关问题。</w:t>
      </w:r>
    </w:p>
    <w:p w14:paraId="23AAD2C3">
      <w:pPr>
        <w:keepNext w:val="0"/>
        <w:keepLines w:val="0"/>
        <w:pageBreakBefore w:val="0"/>
        <w:widowControl w:val="0"/>
        <w:kinsoku/>
        <w:wordWrap/>
        <w:overflowPunct/>
        <w:topLinePunct w:val="0"/>
        <w:autoSpaceDE w:val="0"/>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eastAsia="zh-CN"/>
        </w:rPr>
        <w:t>根据监督检查计划，</w:t>
      </w:r>
      <w:r>
        <w:rPr>
          <w:rFonts w:hint="eastAsia" w:ascii="仿宋_GB2312" w:hAnsi="仿宋_GB2312" w:eastAsia="仿宋_GB2312" w:cs="仿宋_GB2312"/>
          <w:snapToGrid/>
          <w:color w:val="auto"/>
          <w:kern w:val="2"/>
          <w:sz w:val="32"/>
          <w:szCs w:val="32"/>
          <w:lang w:val="en-US" w:eastAsia="zh-CN"/>
        </w:rPr>
        <w:t>区应急管理局2025年5月、7月分别对</w:t>
      </w:r>
      <w:r>
        <w:rPr>
          <w:rFonts w:hint="eastAsia" w:ascii="仿宋_GB2312" w:hAnsi="仿宋_GB2312" w:eastAsia="仿宋_GB2312" w:cs="仿宋_GB2312"/>
          <w:color w:val="auto"/>
          <w:sz w:val="32"/>
          <w:szCs w:val="32"/>
          <w:highlight w:val="none"/>
          <w:lang w:val="en-US" w:eastAsia="zh-CN"/>
        </w:rPr>
        <w:t>济南久安酯类化工有限公司</w:t>
      </w:r>
      <w:r>
        <w:rPr>
          <w:rFonts w:hint="eastAsia" w:ascii="仿宋_GB2312" w:hAnsi="仿宋_GB2312" w:eastAsia="仿宋_GB2312" w:cs="仿宋_GB2312"/>
          <w:snapToGrid/>
          <w:color w:val="auto"/>
          <w:kern w:val="2"/>
          <w:sz w:val="32"/>
          <w:szCs w:val="32"/>
          <w:lang w:val="en-US" w:eastAsia="zh-CN"/>
        </w:rPr>
        <w:t>进行了检查，</w:t>
      </w:r>
      <w:r>
        <w:rPr>
          <w:rFonts w:hint="eastAsia" w:ascii="仿宋_GB2312" w:hAnsi="仿宋_GB2312" w:eastAsia="仿宋_GB2312" w:cs="仿宋_GB2312"/>
          <w:snapToGrid/>
          <w:color w:val="auto"/>
          <w:kern w:val="2"/>
          <w:sz w:val="32"/>
          <w:szCs w:val="32"/>
          <w:lang w:eastAsia="zh-CN"/>
        </w:rPr>
        <w:t>依法下达了《责令限期整改指令书》并对发现的违法行为进行了立案处罚，督促企业将检查发现的问题在规定时间内整改完毕。</w:t>
      </w:r>
      <w:r>
        <w:rPr>
          <w:rFonts w:hint="eastAsia" w:ascii="仿宋_GB2312" w:hAnsi="仿宋_GB2312" w:eastAsia="仿宋_GB2312" w:cs="仿宋_GB2312"/>
          <w:snapToGrid/>
          <w:color w:val="auto"/>
          <w:kern w:val="2"/>
          <w:sz w:val="32"/>
          <w:szCs w:val="32"/>
          <w:lang w:val="en-US" w:eastAsia="zh-CN"/>
        </w:rPr>
        <w:t>区应急局已于年初将</w:t>
      </w:r>
      <w:r>
        <w:rPr>
          <w:rFonts w:hint="eastAsia" w:ascii="仿宋_GB2312" w:hAnsi="仿宋_GB2312" w:eastAsia="仿宋_GB2312" w:cs="仿宋_GB2312"/>
          <w:color w:val="auto"/>
          <w:sz w:val="32"/>
          <w:szCs w:val="32"/>
          <w:highlight w:val="none"/>
          <w:lang w:val="en-US" w:eastAsia="zh-CN"/>
        </w:rPr>
        <w:t>济南久安酯类化工有限公司</w:t>
      </w:r>
      <w:r>
        <w:rPr>
          <w:rFonts w:hint="eastAsia" w:ascii="仿宋_GB2312" w:hAnsi="仿宋_GB2312" w:eastAsia="仿宋_GB2312" w:cs="仿宋_GB2312"/>
          <w:snapToGrid/>
          <w:color w:val="auto"/>
          <w:kern w:val="2"/>
          <w:sz w:val="32"/>
          <w:szCs w:val="32"/>
          <w:lang w:val="en-US" w:eastAsia="zh-CN"/>
        </w:rPr>
        <w:t>列入2026年度监督检查计划</w:t>
      </w:r>
      <w:bookmarkStart w:id="28" w:name="_Toc6253"/>
      <w:r>
        <w:rPr>
          <w:rFonts w:hint="eastAsia" w:ascii="仿宋_GB2312" w:hAnsi="仿宋_GB2312" w:eastAsia="仿宋_GB2312" w:cs="仿宋_GB2312"/>
          <w:snapToGrid/>
          <w:color w:val="auto"/>
          <w:kern w:val="2"/>
          <w:sz w:val="32"/>
          <w:szCs w:val="32"/>
          <w:lang w:val="en-US" w:eastAsia="zh-CN"/>
        </w:rPr>
        <w:t>，监管部门履行了自身的安全管理职责。</w:t>
      </w:r>
    </w:p>
    <w:p w14:paraId="4FC4E6E4">
      <w:pPr>
        <w:keepNext w:val="0"/>
        <w:keepLines w:val="0"/>
        <w:pageBreakBefore w:val="0"/>
        <w:widowControl w:val="0"/>
        <w:kinsoku/>
        <w:wordWrap/>
        <w:overflowPunct/>
        <w:topLinePunct w:val="0"/>
        <w:autoSpaceDE w:val="0"/>
        <w:autoSpaceDN/>
        <w:bidi w:val="0"/>
        <w:adjustRightInd w:val="0"/>
        <w:snapToGrid w:val="0"/>
        <w:spacing w:line="580" w:lineRule="exact"/>
        <w:ind w:firstLine="640" w:firstLineChars="200"/>
        <w:jc w:val="both"/>
        <w:textAlignment w:val="auto"/>
        <w:rPr>
          <w:rFonts w:ascii="仿宋_GB2312" w:hAnsi="仿宋_GB2312" w:eastAsia="仿宋_GB2312" w:cs="仿宋_GB2312"/>
          <w:snapToGrid/>
          <w:color w:val="auto"/>
          <w:kern w:val="2"/>
          <w:sz w:val="32"/>
          <w:szCs w:val="32"/>
          <w:lang w:eastAsia="zh-CN"/>
        </w:rPr>
      </w:pPr>
      <w:r>
        <w:rPr>
          <w:rFonts w:hint="eastAsia" w:ascii="仿宋_GB2312" w:hAnsi="Times New Roman" w:eastAsia="仿宋_GB2312" w:cs="Times New Roman"/>
          <w:snapToGrid/>
          <w:color w:val="000000" w:themeColor="text1"/>
          <w:kern w:val="2"/>
          <w:sz w:val="32"/>
          <w:szCs w:val="24"/>
          <w:lang w:eastAsia="zh-CN"/>
          <w14:textFill>
            <w14:solidFill>
              <w14:schemeClr w14:val="tx1"/>
            </w14:solidFill>
          </w14:textFill>
        </w:rPr>
        <w:t>刁镇化工产业园管理办公室日常巡查不细致，未及时发现</w:t>
      </w:r>
      <w:r>
        <w:rPr>
          <w:rFonts w:hint="eastAsia" w:ascii="仿宋_GB2312" w:hAnsi="仿宋_GB2312" w:eastAsia="仿宋_GB2312" w:cs="仿宋_GB2312"/>
          <w:color w:val="auto"/>
          <w:sz w:val="32"/>
          <w:szCs w:val="32"/>
          <w:highlight w:val="none"/>
          <w:lang w:val="en-US" w:eastAsia="zh-CN"/>
        </w:rPr>
        <w:t>济南久安酯类化工有限公司变更工艺组织生产的违规行为。</w:t>
      </w:r>
    </w:p>
    <w:p w14:paraId="6BD262F9">
      <w:pPr>
        <w:pStyle w:val="3"/>
        <w:pageBreakBefore w:val="0"/>
        <w:wordWrap/>
        <w:overflowPunct/>
        <w:topLinePunct w:val="0"/>
        <w:autoSpaceDE w:val="0"/>
        <w:bidi w:val="0"/>
        <w:adjustRightInd w:val="0"/>
        <w:snapToGrid w:val="0"/>
        <w:spacing w:line="580" w:lineRule="exact"/>
      </w:pPr>
      <w:bookmarkStart w:id="29" w:name="_Toc29015"/>
      <w:r>
        <w:rPr>
          <w:rFonts w:hint="eastAsia"/>
        </w:rPr>
        <w:t>（</w:t>
      </w:r>
      <w:r>
        <w:rPr>
          <w:rFonts w:hint="eastAsia"/>
          <w:lang w:val="en-US" w:eastAsia="zh-CN"/>
        </w:rPr>
        <w:t>六</w:t>
      </w:r>
      <w:r>
        <w:rPr>
          <w:rFonts w:hint="eastAsia"/>
        </w:rPr>
        <w:t>）事故现场警示教育会情况</w:t>
      </w:r>
      <w:bookmarkEnd w:id="28"/>
      <w:bookmarkEnd w:id="29"/>
    </w:p>
    <w:p w14:paraId="7157EB5E">
      <w:pPr>
        <w:keepNext w:val="0"/>
        <w:keepLines w:val="0"/>
        <w:pageBreakBefore w:val="0"/>
        <w:widowControl w:val="0"/>
        <w:kinsoku/>
        <w:wordWrap/>
        <w:overflowPunct/>
        <w:topLinePunct w:val="0"/>
        <w:autoSpaceDE w:val="0"/>
        <w:autoSpaceDN/>
        <w:bidi w:val="0"/>
        <w:adjustRightInd w:val="0"/>
        <w:snapToGrid w:val="0"/>
        <w:spacing w:line="580" w:lineRule="exact"/>
        <w:ind w:firstLine="640" w:firstLineChars="200"/>
        <w:jc w:val="both"/>
        <w:textAlignment w:val="auto"/>
        <w:rPr>
          <w:rFonts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章丘区安委会办公室于</w:t>
      </w:r>
      <w:r>
        <w:rPr>
          <w:rFonts w:hint="eastAsia" w:ascii="仿宋_GB2312" w:hAnsi="仿宋_GB2312" w:eastAsia="仿宋_GB2312" w:cs="仿宋_GB2312"/>
          <w:color w:val="000000" w:themeColor="text1"/>
          <w:sz w:val="32"/>
          <w:szCs w:val="32"/>
          <w:lang w:eastAsia="zh-CN"/>
          <w14:textFill>
            <w14:solidFill>
              <w14:schemeClr w14:val="tx1"/>
            </w14:solidFill>
          </w14:textFill>
        </w:rPr>
        <w:t>2026</w:t>
      </w: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年</w:t>
      </w:r>
      <w:r>
        <w:rPr>
          <w:rFonts w:hint="eastAsia" w:ascii="仿宋_GB2312" w:hAnsi="仿宋_GB2312" w:eastAsia="仿宋_GB2312" w:cs="仿宋_GB2312"/>
          <w:snapToGrid/>
          <w:color w:val="000000" w:themeColor="text1"/>
          <w:kern w:val="2"/>
          <w:sz w:val="32"/>
          <w:szCs w:val="32"/>
          <w:lang w:val="en-US" w:eastAsia="zh-CN"/>
          <w14:textFill>
            <w14:solidFill>
              <w14:schemeClr w14:val="tx1"/>
            </w14:solidFill>
          </w14:textFill>
        </w:rPr>
        <w:t>4</w:t>
      </w: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月</w:t>
      </w:r>
      <w:r>
        <w:rPr>
          <w:rFonts w:hint="eastAsia" w:ascii="仿宋_GB2312" w:hAnsi="仿宋_GB2312" w:eastAsia="仿宋_GB2312" w:cs="仿宋_GB2312"/>
          <w:snapToGrid/>
          <w:color w:val="000000" w:themeColor="text1"/>
          <w:kern w:val="2"/>
          <w:sz w:val="32"/>
          <w:szCs w:val="32"/>
          <w:lang w:val="en-US" w:eastAsia="zh-CN"/>
          <w14:textFill>
            <w14:solidFill>
              <w14:schemeClr w14:val="tx1"/>
            </w14:solidFill>
          </w14:textFill>
        </w:rPr>
        <w:t>15</w:t>
      </w:r>
      <w:r>
        <w:rPr>
          <w:rFonts w:hint="eastAsia" w:ascii="仿宋_GB2312" w:hAnsi="仿宋_GB2312" w:eastAsia="仿宋_GB2312" w:cs="仿宋_GB2312"/>
          <w:snapToGrid/>
          <w:color w:val="000000" w:themeColor="text1"/>
          <w:kern w:val="2"/>
          <w:sz w:val="32"/>
          <w:szCs w:val="32"/>
          <w:lang w:eastAsia="zh-CN"/>
          <w14:textFill>
            <w14:solidFill>
              <w14:schemeClr w14:val="tx1"/>
            </w14:solidFill>
          </w14:textFill>
        </w:rPr>
        <w:t>日</w:t>
      </w:r>
      <w:r>
        <w:rPr>
          <w:rFonts w:hint="eastAsia" w:ascii="仿宋_GB2312" w:hAnsi="仿宋_GB2312" w:eastAsia="仿宋_GB2312" w:cs="仿宋_GB2312"/>
          <w:snapToGrid/>
          <w:color w:val="auto"/>
          <w:kern w:val="2"/>
          <w:sz w:val="32"/>
          <w:szCs w:val="32"/>
          <w:lang w:eastAsia="zh-CN"/>
        </w:rPr>
        <w:t>组织召开事故现场警示教育会，有关部门、街道及</w:t>
      </w:r>
      <w:r>
        <w:rPr>
          <w:rFonts w:hint="eastAsia" w:ascii="仿宋_GB2312" w:hAnsi="仿宋_GB2312" w:eastAsia="仿宋_GB2312" w:cs="仿宋_GB2312"/>
          <w:snapToGrid/>
          <w:color w:val="auto"/>
          <w:kern w:val="2"/>
          <w:sz w:val="32"/>
          <w:szCs w:val="32"/>
          <w:lang w:val="en-US" w:eastAsia="zh-CN"/>
        </w:rPr>
        <w:t>45</w:t>
      </w:r>
      <w:r>
        <w:rPr>
          <w:rFonts w:hint="eastAsia" w:ascii="仿宋_GB2312" w:hAnsi="仿宋_GB2312" w:eastAsia="仿宋_GB2312" w:cs="仿宋_GB2312"/>
          <w:snapToGrid/>
          <w:color w:val="auto"/>
          <w:kern w:val="2"/>
          <w:sz w:val="32"/>
          <w:szCs w:val="32"/>
          <w:highlight w:val="none"/>
          <w:lang w:val="en-US" w:eastAsia="zh-CN"/>
        </w:rPr>
        <w:t>家</w:t>
      </w:r>
      <w:r>
        <w:rPr>
          <w:rFonts w:hint="eastAsia" w:ascii="仿宋_GB2312" w:hAnsi="仿宋_GB2312" w:eastAsia="仿宋_GB2312" w:cs="仿宋_GB2312"/>
          <w:snapToGrid/>
          <w:color w:val="auto"/>
          <w:kern w:val="2"/>
          <w:sz w:val="32"/>
          <w:szCs w:val="32"/>
          <w:lang w:eastAsia="zh-CN"/>
        </w:rPr>
        <w:t>相关企业的负责人参加会议。</w:t>
      </w:r>
      <w:bookmarkStart w:id="30" w:name="_Toc26817"/>
    </w:p>
    <w:p w14:paraId="740911C5">
      <w:pPr>
        <w:pStyle w:val="2"/>
        <w:pageBreakBefore w:val="0"/>
        <w:wordWrap/>
        <w:topLinePunct w:val="0"/>
        <w:autoSpaceDE w:val="0"/>
        <w:bidi w:val="0"/>
        <w:adjustRightInd w:val="0"/>
        <w:snapToGrid w:val="0"/>
        <w:spacing w:line="580" w:lineRule="exact"/>
        <w:rPr>
          <w:lang w:eastAsia="zh-CN"/>
        </w:rPr>
      </w:pPr>
      <w:bookmarkStart w:id="31" w:name="_Toc27877"/>
      <w:r>
        <w:rPr>
          <w:rFonts w:hint="eastAsia"/>
          <w:lang w:eastAsia="zh-CN"/>
        </w:rPr>
        <w:t>三、事故原因和性质</w:t>
      </w:r>
      <w:bookmarkEnd w:id="30"/>
      <w:bookmarkEnd w:id="31"/>
      <w:bookmarkStart w:id="32" w:name="_Toc21547"/>
    </w:p>
    <w:p w14:paraId="3F387982">
      <w:pPr>
        <w:pStyle w:val="3"/>
        <w:pageBreakBefore w:val="0"/>
        <w:wordWrap/>
        <w:topLinePunct w:val="0"/>
        <w:autoSpaceDE w:val="0"/>
        <w:bidi w:val="0"/>
        <w:adjustRightInd w:val="0"/>
        <w:snapToGrid w:val="0"/>
        <w:spacing w:line="580" w:lineRule="exact"/>
        <w:rPr>
          <w:rFonts w:hint="eastAsia"/>
          <w:lang w:eastAsia="zh-CN"/>
        </w:rPr>
      </w:pPr>
      <w:bookmarkStart w:id="33" w:name="_Toc13687"/>
      <w:r>
        <w:rPr>
          <w:rFonts w:hint="eastAsia"/>
          <w:lang w:eastAsia="zh-CN"/>
        </w:rPr>
        <w:t>（一）直接原因</w:t>
      </w:r>
      <w:bookmarkEnd w:id="32"/>
      <w:bookmarkEnd w:id="33"/>
    </w:p>
    <w:p w14:paraId="2560710B">
      <w:pPr>
        <w:pStyle w:val="13"/>
        <w:widowControl w:val="0"/>
        <w:overflowPunct w:val="0"/>
        <w:topLinePunct/>
        <w:spacing w:before="0" w:beforeAutospacing="0" w:after="0" w:afterAutospacing="0" w:line="600" w:lineRule="exact"/>
        <w:ind w:firstLine="640" w:firstLineChars="200"/>
        <w:contextualSpacing/>
        <w:jc w:val="both"/>
        <w:rPr>
          <w:rFonts w:hint="default" w:ascii="仿宋_GB2312" w:hAnsi="仿宋_GB2312" w:eastAsia="仿宋_GB2312" w:cs="仿宋_GB2312"/>
          <w:kern w:val="2"/>
          <w:sz w:val="32"/>
          <w:szCs w:val="32"/>
        </w:rPr>
      </w:pPr>
      <w:bookmarkStart w:id="34" w:name="_Toc20712"/>
      <w:r>
        <w:rPr>
          <w:rFonts w:hint="default" w:ascii="仿宋_GB2312" w:hAnsi="仿宋_GB2312" w:eastAsia="仿宋_GB2312" w:cs="仿宋_GB2312"/>
          <w:kern w:val="2"/>
          <w:sz w:val="32"/>
          <w:szCs w:val="32"/>
          <w:lang w:val="en-US" w:eastAsia="zh-CN"/>
        </w:rPr>
        <w:t>3车间甜菜碱溶解工序中</w:t>
      </w:r>
      <w:r>
        <w:rPr>
          <w:rFonts w:hint="eastAsia" w:ascii="仿宋_GB2312" w:hAnsi="仿宋_GB2312" w:eastAsia="仿宋_GB2312" w:cs="仿宋_GB2312"/>
          <w:kern w:val="2"/>
          <w:sz w:val="32"/>
          <w:szCs w:val="32"/>
          <w:lang w:val="en-US" w:eastAsia="zh-CN"/>
        </w:rPr>
        <w:t>擅自</w:t>
      </w:r>
      <w:r>
        <w:rPr>
          <w:rFonts w:hint="default" w:ascii="仿宋_GB2312" w:hAnsi="仿宋_GB2312" w:eastAsia="仿宋_GB2312" w:cs="仿宋_GB2312"/>
          <w:kern w:val="2"/>
          <w:sz w:val="32"/>
          <w:szCs w:val="32"/>
          <w:lang w:val="en-US" w:eastAsia="zh-CN"/>
        </w:rPr>
        <w:t>使用甲醇溶剂，升温过程中甲醇挥发形成蒸气</w:t>
      </w:r>
      <w:r>
        <w:rPr>
          <w:rFonts w:hint="eastAsia" w:ascii="仿宋_GB2312" w:hAnsi="仿宋_GB2312" w:eastAsia="仿宋_GB2312" w:cs="仿宋_GB2312"/>
          <w:kern w:val="2"/>
          <w:sz w:val="32"/>
          <w:szCs w:val="32"/>
          <w:lang w:val="en-US" w:eastAsia="zh-CN"/>
        </w:rPr>
        <w:t>。</w:t>
      </w:r>
      <w:r>
        <w:rPr>
          <w:rFonts w:hint="default" w:ascii="仿宋_GB2312" w:hAnsi="仿宋_GB2312" w:eastAsia="仿宋_GB2312" w:cs="仿宋_GB2312"/>
          <w:kern w:val="2"/>
          <w:sz w:val="32"/>
          <w:szCs w:val="32"/>
          <w:lang w:val="en-US" w:eastAsia="zh-CN"/>
        </w:rPr>
        <w:t>R101A溶解釜顶部法兰垫片</w:t>
      </w:r>
      <w:r>
        <w:rPr>
          <w:rFonts w:hint="eastAsia" w:ascii="仿宋_GB2312" w:hAnsi="仿宋_GB2312" w:eastAsia="仿宋_GB2312" w:cs="仿宋_GB2312"/>
          <w:kern w:val="2"/>
          <w:sz w:val="32"/>
          <w:szCs w:val="32"/>
          <w:lang w:val="en-US" w:eastAsia="zh-CN"/>
        </w:rPr>
        <w:t>或塑料管道</w:t>
      </w:r>
      <w:r>
        <w:rPr>
          <w:rFonts w:hint="default" w:ascii="仿宋_GB2312" w:hAnsi="仿宋_GB2312" w:eastAsia="仿宋_GB2312" w:cs="仿宋_GB2312"/>
          <w:kern w:val="2"/>
          <w:sz w:val="32"/>
          <w:szCs w:val="32"/>
          <w:lang w:val="en-US" w:eastAsia="zh-CN"/>
        </w:rPr>
        <w:t>密封</w:t>
      </w:r>
      <w:r>
        <w:rPr>
          <w:rFonts w:hint="eastAsia" w:ascii="仿宋_GB2312" w:hAnsi="仿宋_GB2312" w:eastAsia="仿宋_GB2312" w:cs="仿宋_GB2312"/>
          <w:kern w:val="2"/>
          <w:sz w:val="32"/>
          <w:szCs w:val="32"/>
          <w:lang w:val="en-US" w:eastAsia="zh-CN"/>
        </w:rPr>
        <w:t>不严</w:t>
      </w:r>
      <w:r>
        <w:rPr>
          <w:rFonts w:hint="default" w:ascii="仿宋_GB2312" w:hAnsi="仿宋_GB2312" w:eastAsia="仿宋_GB2312" w:cs="仿宋_GB2312"/>
          <w:kern w:val="2"/>
          <w:sz w:val="32"/>
          <w:szCs w:val="32"/>
          <w:lang w:val="en-US" w:eastAsia="zh-CN"/>
        </w:rPr>
        <w:t>导致甲醇蒸气泄漏并在二层平台上方积聚</w:t>
      </w:r>
      <w:r>
        <w:rPr>
          <w:rFonts w:hint="eastAsia" w:ascii="仿宋_GB2312" w:hAnsi="仿宋_GB2312" w:eastAsia="仿宋_GB2312" w:cs="仿宋_GB2312"/>
          <w:kern w:val="2"/>
          <w:sz w:val="32"/>
          <w:szCs w:val="32"/>
          <w:lang w:val="en-US" w:eastAsia="zh-CN"/>
        </w:rPr>
        <w:t>。</w:t>
      </w:r>
      <w:r>
        <w:rPr>
          <w:rFonts w:hint="default" w:ascii="仿宋_GB2312" w:hAnsi="仿宋_GB2312" w:eastAsia="仿宋_GB2312" w:cs="仿宋_GB2312"/>
          <w:kern w:val="2"/>
          <w:sz w:val="32"/>
          <w:szCs w:val="32"/>
          <w:lang w:val="en-US" w:eastAsia="zh-CN"/>
        </w:rPr>
        <w:t>车间电缆桥架内电气线路老化绝缘层破损发生短路，产生电火花并引燃电缆，燃烧电缆掉落火星遇泄漏的甲醇蒸气云发生闪燃，回火引燃车间可燃物，</w:t>
      </w:r>
      <w:r>
        <w:rPr>
          <w:rFonts w:hint="eastAsia" w:ascii="仿宋_GB2312" w:hAnsi="仿宋_GB2312" w:eastAsia="仿宋_GB2312" w:cs="仿宋_GB2312"/>
          <w:kern w:val="2"/>
          <w:sz w:val="32"/>
          <w:szCs w:val="32"/>
          <w:lang w:val="en-US" w:eastAsia="zh-CN"/>
        </w:rPr>
        <w:t>这是事故发生的直接原因</w:t>
      </w:r>
      <w:r>
        <w:rPr>
          <w:rFonts w:hint="default" w:ascii="仿宋_GB2312" w:hAnsi="仿宋_GB2312" w:eastAsia="仿宋_GB2312" w:cs="仿宋_GB2312"/>
          <w:kern w:val="2"/>
          <w:sz w:val="32"/>
          <w:szCs w:val="32"/>
          <w:lang w:val="en-US" w:eastAsia="zh-CN"/>
        </w:rPr>
        <w:t>。</w:t>
      </w:r>
    </w:p>
    <w:p w14:paraId="057E9CEA">
      <w:pPr>
        <w:pStyle w:val="3"/>
        <w:keepNext w:val="0"/>
        <w:keepLines w:val="0"/>
        <w:pageBreakBefore w:val="0"/>
        <w:widowControl w:val="0"/>
        <w:kinsoku w:val="0"/>
        <w:wordWrap/>
        <w:overflowPunct w:val="0"/>
        <w:topLinePunct w:val="0"/>
        <w:autoSpaceDE w:val="0"/>
        <w:autoSpaceDN w:val="0"/>
        <w:bidi w:val="0"/>
        <w:adjustRightInd w:val="0"/>
        <w:snapToGrid w:val="0"/>
        <w:textAlignment w:val="baseline"/>
      </w:pPr>
      <w:bookmarkStart w:id="35" w:name="_Toc5314"/>
      <w:r>
        <w:rPr>
          <w:rFonts w:hint="eastAsia"/>
          <w:lang w:eastAsia="zh-CN"/>
        </w:rPr>
        <w:t>（二）</w:t>
      </w:r>
      <w:r>
        <w:rPr>
          <w:rFonts w:hint="eastAsia"/>
        </w:rPr>
        <w:t>间接原因</w:t>
      </w:r>
      <w:bookmarkEnd w:id="34"/>
      <w:bookmarkEnd w:id="35"/>
    </w:p>
    <w:p w14:paraId="2A8CAFEF">
      <w:pPr>
        <w:pStyle w:val="5"/>
        <w:keepNext w:val="0"/>
        <w:keepLines w:val="0"/>
        <w:pageBreakBefore w:val="0"/>
        <w:widowControl w:val="0"/>
        <w:kinsoku/>
        <w:wordWrap/>
        <w:overflowPunct/>
        <w:topLinePunct w:val="0"/>
        <w:autoSpaceDN/>
        <w:bidi w:val="0"/>
        <w:spacing w:line="560" w:lineRule="exact"/>
        <w:ind w:firstLine="640" w:firstLineChars="200"/>
        <w:jc w:val="both"/>
        <w:rPr>
          <w:rFonts w:ascii="仿宋_GB2312" w:hAnsi="仿宋_GB2312" w:eastAsia="仿宋_GB2312" w:cs="仿宋_GB2312"/>
          <w:b/>
          <w:bCs/>
          <w:color w:val="000000" w:themeColor="text1"/>
          <w:sz w:val="32"/>
          <w:szCs w:val="32"/>
          <w:lang w:eastAsia="zh-CN"/>
          <w14:textFill>
            <w14:solidFill>
              <w14:schemeClr w14:val="tx1"/>
            </w14:solidFill>
          </w14:textFill>
        </w:rPr>
      </w:pPr>
      <w:r>
        <w:rPr>
          <w:rFonts w:hint="default" w:ascii="仿宋_GB2312" w:hAnsi="仿宋_GB2312" w:eastAsia="仿宋_GB2312" w:cs="仿宋_GB2312"/>
          <w:kern w:val="2"/>
          <w:sz w:val="32"/>
          <w:szCs w:val="32"/>
          <w:lang w:val="en-US" w:eastAsia="zh-CN"/>
        </w:rPr>
        <w:t>济南久安酯类化工有限公司</w:t>
      </w:r>
      <w:r>
        <w:rPr>
          <w:rFonts w:hint="eastAsia" w:ascii="仿宋_GB2312" w:hAnsi="仿宋_GB2312" w:eastAsia="仿宋_GB2312" w:cs="仿宋_GB2312"/>
          <w:kern w:val="2"/>
          <w:sz w:val="32"/>
          <w:szCs w:val="32"/>
          <w:lang w:val="en-US" w:eastAsia="zh-CN"/>
        </w:rPr>
        <w:t>安全生产主体责任不落实</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p>
    <w:p w14:paraId="1D3A77E7">
      <w:pPr>
        <w:pStyle w:val="5"/>
        <w:keepNext w:val="0"/>
        <w:keepLines w:val="0"/>
        <w:pageBreakBefore w:val="0"/>
        <w:widowControl w:val="0"/>
        <w:wordWrap/>
        <w:overflowPunct/>
        <w:topLinePunct w:val="0"/>
        <w:bidi w:val="0"/>
        <w:spacing w:line="560" w:lineRule="exact"/>
        <w:ind w:firstLine="640" w:firstLineChars="200"/>
        <w:jc w:val="both"/>
        <w:rPr>
          <w:rFonts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（1）违反操作规程</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1"/>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、生产工艺组织作业</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2"/>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，生产</w:t>
      </w:r>
      <w:r>
        <w:rPr>
          <w:rFonts w:hint="default" w:ascii="仿宋_GB2312" w:hAnsi="仿宋_GB2312" w:eastAsia="仿宋_GB2312" w:cs="仿宋_GB2312"/>
          <w:kern w:val="2"/>
          <w:sz w:val="32"/>
          <w:szCs w:val="32"/>
          <w:lang w:val="en-US" w:eastAsia="zh-CN"/>
        </w:rPr>
        <w:t>工序中使用甲醇溶剂</w:t>
      </w:r>
      <w:r>
        <w:rPr>
          <w:rFonts w:hint="eastAsia" w:ascii="仿宋_GB2312" w:hAnsi="仿宋_GB2312" w:eastAsia="仿宋_GB2312" w:cs="仿宋_GB2312"/>
          <w:kern w:val="2"/>
          <w:sz w:val="32"/>
          <w:szCs w:val="32"/>
          <w:lang w:val="en-US" w:eastAsia="zh-CN"/>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未按工艺安全管理制度履行变更管理</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3"/>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0D87A45B">
      <w:pPr>
        <w:pStyle w:val="5"/>
        <w:keepNext w:val="0"/>
        <w:keepLines w:val="0"/>
        <w:pageBreakBefore w:val="0"/>
        <w:widowControl w:val="0"/>
        <w:wordWrap/>
        <w:overflowPunct/>
        <w:topLinePunct w:val="0"/>
        <w:bidi w:val="0"/>
        <w:spacing w:line="560" w:lineRule="exact"/>
        <w:ind w:firstLine="640" w:firstLineChars="200"/>
        <w:jc w:val="both"/>
        <w:rPr>
          <w:rFonts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）未</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采取技术、管理措施，及时发现并消除</w:t>
      </w:r>
      <w:r>
        <w:rPr>
          <w:rFonts w:hint="default" w:ascii="仿宋_GB2312" w:hAnsi="仿宋_GB2312" w:eastAsia="仿宋_GB2312" w:cs="仿宋_GB2312"/>
          <w:kern w:val="2"/>
          <w:sz w:val="32"/>
          <w:szCs w:val="32"/>
          <w:lang w:val="en-US" w:eastAsia="zh-CN"/>
        </w:rPr>
        <w:t>溶解釜顶部法兰垫片</w:t>
      </w:r>
      <w:r>
        <w:rPr>
          <w:rFonts w:hint="eastAsia" w:ascii="仿宋_GB2312" w:hAnsi="仿宋_GB2312" w:eastAsia="仿宋_GB2312" w:cs="仿宋_GB2312"/>
          <w:kern w:val="2"/>
          <w:sz w:val="32"/>
          <w:szCs w:val="32"/>
          <w:lang w:val="en-US" w:eastAsia="zh-CN"/>
        </w:rPr>
        <w:t>或塑料管道</w:t>
      </w:r>
      <w:r>
        <w:rPr>
          <w:rFonts w:hint="default" w:ascii="仿宋_GB2312" w:hAnsi="仿宋_GB2312" w:eastAsia="仿宋_GB2312" w:cs="仿宋_GB2312"/>
          <w:kern w:val="2"/>
          <w:sz w:val="32"/>
          <w:szCs w:val="32"/>
          <w:lang w:val="en-US" w:eastAsia="zh-CN"/>
        </w:rPr>
        <w:t>密封</w:t>
      </w:r>
      <w:r>
        <w:rPr>
          <w:rFonts w:hint="eastAsia" w:ascii="仿宋_GB2312" w:hAnsi="仿宋_GB2312" w:eastAsia="仿宋_GB2312" w:cs="仿宋_GB2312"/>
          <w:kern w:val="2"/>
          <w:sz w:val="32"/>
          <w:szCs w:val="32"/>
          <w:lang w:val="en-US" w:eastAsia="zh-CN"/>
        </w:rPr>
        <w:t>不严、</w:t>
      </w:r>
      <w:r>
        <w:rPr>
          <w:rFonts w:hint="default" w:ascii="仿宋_GB2312" w:hAnsi="仿宋_GB2312" w:eastAsia="仿宋_GB2312" w:cs="仿宋_GB2312"/>
          <w:kern w:val="2"/>
          <w:sz w:val="32"/>
          <w:szCs w:val="32"/>
          <w:lang w:val="en-US" w:eastAsia="zh-CN"/>
        </w:rPr>
        <w:t>车间电缆桥架内电气线路老化</w:t>
      </w:r>
      <w:r>
        <w:rPr>
          <w:rFonts w:hint="eastAsia" w:ascii="仿宋_GB2312" w:hAnsi="仿宋_GB2312" w:eastAsia="仿宋_GB2312" w:cs="仿宋_GB2312"/>
          <w:kern w:val="2"/>
          <w:sz w:val="32"/>
          <w:szCs w:val="32"/>
          <w:lang w:val="en-US" w:eastAsia="zh-CN"/>
        </w:rPr>
        <w:t>的事故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隐患</w:t>
      </w:r>
      <w:r>
        <w:rPr>
          <w:rStyle w:val="20"/>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val="en-US" w:eastAsia="zh-CN"/>
          <w14:textFill>
            <w14:solidFill>
              <w14:schemeClr w14:val="tx1"/>
            </w14:solidFill>
          </w14:textFill>
        </w:rPr>
        <w:footnoteReference w:id="4"/>
      </w:r>
      <w:r>
        <w:rPr>
          <w:rStyle w:val="20"/>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306C5A28">
      <w:pPr>
        <w:pStyle w:val="2"/>
        <w:bidi w:val="0"/>
      </w:pPr>
      <w:bookmarkStart w:id="36" w:name="_Toc19411"/>
      <w:bookmarkStart w:id="37" w:name="_Toc24884"/>
      <w:bookmarkStart w:id="38" w:name="_Toc1935907636"/>
      <w:r>
        <w:rPr>
          <w:rFonts w:hint="eastAsia"/>
          <w:lang w:eastAsia="zh-CN"/>
        </w:rPr>
        <w:t>四、对事故有关责任人员及责任单位的处理建议</w:t>
      </w:r>
      <w:bookmarkEnd w:id="36"/>
      <w:bookmarkEnd w:id="37"/>
      <w:bookmarkEnd w:id="38"/>
    </w:p>
    <w:p w14:paraId="2D9B67BE">
      <w:pPr>
        <w:pStyle w:val="3"/>
        <w:bidi w:val="0"/>
      </w:pPr>
      <w:bookmarkStart w:id="39" w:name="_Toc4730"/>
      <w:bookmarkStart w:id="40" w:name="_Toc26617"/>
      <w:r>
        <w:rPr>
          <w:rFonts w:hint="eastAsia"/>
          <w:lang w:eastAsia="zh-CN"/>
        </w:rPr>
        <w:t>（一）</w:t>
      </w:r>
      <w:bookmarkEnd w:id="39"/>
      <w:bookmarkStart w:id="41" w:name="_Toc1984"/>
      <w:r>
        <w:rPr>
          <w:rFonts w:hint="eastAsia"/>
        </w:rPr>
        <w:t>建议给予行政处罚的人员和单位</w:t>
      </w:r>
      <w:bookmarkEnd w:id="40"/>
      <w:bookmarkEnd w:id="41"/>
    </w:p>
    <w:p w14:paraId="7747E0F3">
      <w:pPr>
        <w:pStyle w:val="5"/>
        <w:keepNext w:val="0"/>
        <w:keepLines w:val="0"/>
        <w:pageBreakBefore w:val="0"/>
        <w:widowControl w:val="0"/>
        <w:kinsoku/>
        <w:wordWrap/>
        <w:overflowPunct/>
        <w:topLinePunct w:val="0"/>
        <w:autoSpaceDN/>
        <w:bidi w:val="0"/>
        <w:spacing w:line="560" w:lineRule="exact"/>
        <w:ind w:firstLine="640" w:firstLineChars="200"/>
        <w:jc w:val="both"/>
        <w:rPr>
          <w:rFonts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1.</w:t>
      </w:r>
      <w:r>
        <w:rPr>
          <w:rFonts w:hint="eastAsia" w:ascii="仿宋_GB2312" w:hAnsi="仿宋_GB2312" w:eastAsia="仿宋_GB2312" w:cs="仿宋_GB2312"/>
          <w:color w:val="auto"/>
          <w:sz w:val="32"/>
          <w:szCs w:val="32"/>
          <w:lang w:val="en-US" w:eastAsia="zh-CN"/>
        </w:rPr>
        <w:t>王</w:t>
      </w:r>
      <w:r>
        <w:rPr>
          <w:rFonts w:hint="eastAsia" w:ascii="仿宋_GB2312" w:hAnsi="仿宋_GB2312" w:eastAsia="仿宋_GB2312" w:cs="仿宋_GB2312"/>
          <w:color w:val="auto"/>
          <w:sz w:val="32"/>
          <w:szCs w:val="32"/>
          <w:highlight w:val="none"/>
          <w:lang w:val="en-US" w:eastAsia="zh-CN"/>
        </w:rPr>
        <w:t>某</w:t>
      </w:r>
      <w:r>
        <w:rPr>
          <w:rFonts w:hint="eastAsia" w:ascii="仿宋_GB2312" w:hAnsi="仿宋_GB2312" w:eastAsia="仿宋_GB2312" w:cs="仿宋_GB2312"/>
          <w:color w:val="auto"/>
          <w:sz w:val="32"/>
          <w:szCs w:val="32"/>
          <w:lang w:val="en-US" w:eastAsia="zh-CN"/>
        </w:rPr>
        <w:t>友</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auto"/>
          <w:sz w:val="32"/>
          <w:szCs w:val="32"/>
          <w:highlight w:val="none"/>
          <w:lang w:val="en-US" w:eastAsia="zh-CN"/>
        </w:rPr>
        <w:t>济南久安酯类化工有限公司</w:t>
      </w:r>
      <w:r>
        <w:rPr>
          <w:rFonts w:hint="eastAsia" w:ascii="仿宋_GB2312" w:hAnsi="仿宋_GB2312" w:eastAsia="仿宋_GB2312" w:cs="仿宋_GB2312"/>
          <w:color w:val="000000" w:themeColor="text1"/>
          <w:sz w:val="32"/>
          <w:szCs w:val="32"/>
          <w:lang w:eastAsia="zh-CN"/>
          <w14:textFill>
            <w14:solidFill>
              <w14:schemeClr w14:val="tx1"/>
            </w14:solidFill>
          </w14:textFill>
        </w:rPr>
        <w:t>总经理、主要负责人，负责公司全面工作。</w:t>
      </w:r>
      <w:r>
        <w:rPr>
          <w:rFonts w:hint="eastAsia" w:ascii="仿宋_GB2312" w:hAnsi="仿宋_GB2312" w:eastAsia="仿宋_GB2312" w:cs="仿宋_GB2312"/>
          <w:color w:val="auto"/>
          <w:sz w:val="32"/>
          <w:szCs w:val="32"/>
          <w:highlight w:val="none"/>
          <w:lang w:eastAsia="zh-CN"/>
        </w:rPr>
        <w:t>督促、检查本单位的安全生产工作不到位</w:t>
      </w:r>
      <w:r>
        <w:rPr>
          <w:rFonts w:hint="eastAsia" w:ascii="仿宋_GB2312" w:hAnsi="仿宋_GB2312" w:eastAsia="仿宋_GB2312" w:cs="仿宋_GB2312"/>
          <w:color w:val="auto"/>
          <w:sz w:val="32"/>
          <w:szCs w:val="32"/>
          <w:lang w:eastAsia="zh-CN"/>
        </w:rPr>
        <w:t>，未</w:t>
      </w:r>
      <w:r>
        <w:rPr>
          <w:rFonts w:hint="eastAsia" w:ascii="仿宋_GB2312" w:hAnsi="仿宋_GB2312" w:eastAsia="仿宋_GB2312" w:cs="仿宋_GB2312"/>
          <w:color w:val="000000" w:themeColor="text1"/>
          <w:sz w:val="32"/>
          <w:szCs w:val="32"/>
          <w:lang w:eastAsia="zh-CN"/>
          <w14:textFill>
            <w14:solidFill>
              <w14:schemeClr w14:val="tx1"/>
            </w14:solidFill>
          </w14:textFill>
        </w:rPr>
        <w:t>及时消除生产安全事故隐患，违反《中华人民共和国安全生产法》第二十一条第五项</w:t>
      </w:r>
      <w:r>
        <w:rPr>
          <w:rStyle w:val="20"/>
          <w:rFonts w:hint="eastAsia" w:ascii="仿宋_GB2312" w:hAnsi="仿宋_GB2312" w:eastAsia="仿宋_GB2312" w:cs="仿宋_GB2312"/>
          <w:color w:val="000000" w:themeColor="text1"/>
          <w:sz w:val="32"/>
          <w:szCs w:val="32"/>
          <w14:textFill>
            <w14:solidFill>
              <w14:schemeClr w14:val="tx1"/>
            </w14:solidFill>
          </w14:textFill>
        </w:rPr>
        <w:t>[</w:t>
      </w:r>
      <w:r>
        <w:rPr>
          <w:rStyle w:val="20"/>
          <w:rFonts w:hint="eastAsia" w:ascii="仿宋_GB2312" w:hAnsi="仿宋_GB2312" w:eastAsia="仿宋_GB2312" w:cs="仿宋_GB2312"/>
          <w:color w:val="000000" w:themeColor="text1"/>
          <w:sz w:val="32"/>
          <w:szCs w:val="32"/>
          <w14:textFill>
            <w14:solidFill>
              <w14:schemeClr w14:val="tx1"/>
            </w14:solidFill>
          </w14:textFill>
        </w:rPr>
        <w:footnoteReference w:id="5"/>
      </w:r>
      <w:r>
        <w:rPr>
          <w:rStyle w:val="20"/>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之规定，对事故发生负有责任。依据《中华人民共和国安全生产法》第九十五条第一项</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6"/>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之规定，建议区应急管理局对其作出处上一年年收入百分之四十罚款（</w:t>
      </w:r>
      <w:r>
        <w:rPr>
          <w:rFonts w:hint="eastAsia" w:ascii="仿宋_GB2312" w:hAnsi="仿宋_GB2312" w:eastAsia="仿宋_GB2312" w:cs="仿宋_GB2312"/>
          <w:color w:val="auto"/>
          <w:sz w:val="32"/>
          <w:szCs w:val="32"/>
          <w:lang w:eastAsia="zh-CN"/>
        </w:rPr>
        <w:t>人民币</w:t>
      </w:r>
      <w:r>
        <w:rPr>
          <w:rFonts w:hint="default" w:ascii="仿宋_GB2312" w:hAnsi="仿宋_GB2312" w:eastAsia="仿宋_GB2312" w:cs="仿宋_GB2312"/>
          <w:color w:val="auto"/>
          <w:sz w:val="32"/>
          <w:szCs w:val="32"/>
          <w:lang w:val="en-US" w:eastAsia="zh-CN"/>
        </w:rPr>
        <w:t>52800</w:t>
      </w:r>
      <w:r>
        <w:rPr>
          <w:rFonts w:hint="eastAsia" w:ascii="仿宋_GB2312" w:hAnsi="仿宋_GB2312" w:eastAsia="仿宋_GB2312" w:cs="仿宋_GB2312"/>
          <w:color w:val="auto"/>
          <w:sz w:val="32"/>
          <w:szCs w:val="32"/>
          <w:lang w:eastAsia="zh-CN"/>
        </w:rPr>
        <w:t>元</w:t>
      </w:r>
      <w:r>
        <w:rPr>
          <w:rFonts w:hint="eastAsia" w:ascii="仿宋_GB2312" w:hAnsi="仿宋_GB2312" w:eastAsia="仿宋_GB2312" w:cs="仿宋_GB2312"/>
          <w:color w:val="000000" w:themeColor="text1"/>
          <w:sz w:val="32"/>
          <w:szCs w:val="32"/>
          <w:lang w:eastAsia="zh-CN"/>
          <w14:textFill>
            <w14:solidFill>
              <w14:schemeClr w14:val="tx1"/>
            </w14:solidFill>
          </w14:textFill>
        </w:rPr>
        <w:t>）的行政处罚。</w:t>
      </w:r>
    </w:p>
    <w:p w14:paraId="1A3DE4DE">
      <w:pPr>
        <w:pStyle w:val="5"/>
        <w:keepNext w:val="0"/>
        <w:keepLines w:val="0"/>
        <w:pageBreakBefore w:val="0"/>
        <w:widowControl w:val="0"/>
        <w:kinsoku/>
        <w:wordWrap/>
        <w:overflowPunct/>
        <w:topLinePunct w:val="0"/>
        <w:autoSpaceDN/>
        <w:bidi w:val="0"/>
        <w:spacing w:line="560" w:lineRule="exact"/>
        <w:ind w:firstLine="640" w:firstLineChars="200"/>
        <w:jc w:val="both"/>
        <w:rPr>
          <w:rFonts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2.林</w:t>
      </w:r>
      <w:r>
        <w:rPr>
          <w:rFonts w:hint="eastAsia" w:ascii="仿宋_GB2312" w:hAnsi="仿宋_GB2312" w:eastAsia="仿宋_GB2312" w:cs="仿宋_GB2312"/>
          <w:color w:val="auto"/>
          <w:sz w:val="32"/>
          <w:szCs w:val="32"/>
          <w:highlight w:val="none"/>
          <w:lang w:val="en-US" w:eastAsia="zh-CN"/>
        </w:rPr>
        <w:t>某</w:t>
      </w:r>
      <w:r>
        <w:rPr>
          <w:rFonts w:hint="eastAsia" w:ascii="仿宋_GB2312" w:hAnsi="仿宋_GB2312" w:eastAsia="仿宋_GB2312" w:cs="仿宋_GB2312"/>
          <w:color w:val="000000" w:themeColor="text1"/>
          <w:sz w:val="32"/>
          <w:szCs w:val="32"/>
          <w:lang w:eastAsia="zh-CN"/>
          <w14:textFill>
            <w14:solidFill>
              <w14:schemeClr w14:val="tx1"/>
            </w14:solidFill>
          </w14:textFill>
        </w:rPr>
        <w:t>峰，</w:t>
      </w:r>
      <w:r>
        <w:rPr>
          <w:rFonts w:hint="eastAsia" w:ascii="仿宋_GB2312" w:hAnsi="仿宋_GB2312" w:eastAsia="仿宋_GB2312" w:cs="仿宋_GB2312"/>
          <w:color w:val="auto"/>
          <w:sz w:val="32"/>
          <w:szCs w:val="32"/>
          <w:highlight w:val="none"/>
          <w:lang w:val="en-US" w:eastAsia="zh-CN"/>
        </w:rPr>
        <w:t>济南久安酯类化工有限公司</w:t>
      </w:r>
      <w:r>
        <w:rPr>
          <w:rFonts w:hint="eastAsia" w:ascii="仿宋_GB2312" w:hAnsi="仿宋_GB2312" w:eastAsia="仿宋_GB2312" w:cs="仿宋_GB2312"/>
          <w:color w:val="000000" w:themeColor="text1"/>
          <w:sz w:val="32"/>
          <w:szCs w:val="32"/>
          <w:lang w:eastAsia="zh-CN"/>
          <w14:textFill>
            <w14:solidFill>
              <w14:schemeClr w14:val="tx1"/>
            </w14:solidFill>
          </w14:textFill>
        </w:rPr>
        <w:t>副总经理，分管公司安全生产工作。未及时排查生产安全事故隐患，违反《中华人民共和国安全生产法》第二十五条第一款第五项</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7"/>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之规定，对事故发生负有责任。依据《中华人民共和国安全生产法》第九十六条</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8"/>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、《生产安全事故罚款处罚规定》第二十条第一项</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9"/>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之规定，建议区应急管理局对其作出处上一年年收入百分之二十五罚款（</w:t>
      </w:r>
      <w:r>
        <w:rPr>
          <w:rFonts w:hint="eastAsia" w:ascii="仿宋_GB2312" w:hAnsi="仿宋_GB2312" w:eastAsia="仿宋_GB2312" w:cs="仿宋_GB2312"/>
          <w:color w:val="auto"/>
          <w:sz w:val="32"/>
          <w:szCs w:val="32"/>
          <w:lang w:eastAsia="zh-CN"/>
        </w:rPr>
        <w:t>人民币</w:t>
      </w:r>
      <w:r>
        <w:rPr>
          <w:rFonts w:hint="default" w:ascii="仿宋_GB2312" w:hAnsi="仿宋_GB2312" w:eastAsia="仿宋_GB2312" w:cs="仿宋_GB2312"/>
          <w:color w:val="auto"/>
          <w:sz w:val="32"/>
          <w:szCs w:val="32"/>
          <w:lang w:val="en-US" w:eastAsia="zh-CN"/>
        </w:rPr>
        <w:t>29751.51</w:t>
      </w:r>
      <w:r>
        <w:rPr>
          <w:rFonts w:hint="eastAsia" w:ascii="仿宋_GB2312" w:hAnsi="仿宋_GB2312" w:eastAsia="仿宋_GB2312" w:cs="仿宋_GB2312"/>
          <w:color w:val="auto"/>
          <w:sz w:val="32"/>
          <w:szCs w:val="32"/>
          <w:lang w:eastAsia="zh-CN"/>
        </w:rPr>
        <w:t>元</w:t>
      </w:r>
      <w:r>
        <w:rPr>
          <w:rFonts w:hint="eastAsia" w:ascii="仿宋_GB2312" w:hAnsi="仿宋_GB2312" w:eastAsia="仿宋_GB2312" w:cs="仿宋_GB2312"/>
          <w:color w:val="000000" w:themeColor="text1"/>
          <w:sz w:val="32"/>
          <w:szCs w:val="32"/>
          <w:lang w:eastAsia="zh-CN"/>
          <w14:textFill>
            <w14:solidFill>
              <w14:schemeClr w14:val="tx1"/>
            </w14:solidFill>
          </w14:textFill>
        </w:rPr>
        <w:t>）的行政处罚。</w:t>
      </w:r>
    </w:p>
    <w:p w14:paraId="7732337D">
      <w:pPr>
        <w:pStyle w:val="5"/>
        <w:keepNext w:val="0"/>
        <w:keepLines w:val="0"/>
        <w:pageBreakBefore w:val="0"/>
        <w:widowControl w:val="0"/>
        <w:kinsoku/>
        <w:wordWrap/>
        <w:overflowPunct w:val="0"/>
        <w:topLinePunct/>
        <w:autoSpaceDE w:val="0"/>
        <w:autoSpaceDN w:val="0"/>
        <w:bidi w:val="0"/>
        <w:adjustRightInd w:val="0"/>
        <w:snapToGrid w:val="0"/>
        <w:spacing w:line="560" w:lineRule="exact"/>
        <w:ind w:firstLine="640" w:firstLineChars="200"/>
        <w:jc w:val="both"/>
        <w:textAlignment w:val="baseline"/>
        <w:rPr>
          <w:rFonts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auto"/>
          <w:sz w:val="32"/>
          <w:szCs w:val="32"/>
          <w:highlight w:val="none"/>
          <w:lang w:val="en-US" w:eastAsia="zh-CN"/>
        </w:rPr>
        <w:t>济南久安酯类化工有限公司</w:t>
      </w:r>
      <w:r>
        <w:rPr>
          <w:rFonts w:hint="eastAsia" w:ascii="仿宋_GB2312" w:hAnsi="仿宋_GB2312" w:eastAsia="仿宋_GB2312" w:cs="仿宋_GB2312"/>
          <w:color w:val="auto"/>
          <w:sz w:val="32"/>
          <w:szCs w:val="32"/>
        </w:rPr>
        <w:t>安全生产主体责任</w:t>
      </w:r>
      <w:r>
        <w:rPr>
          <w:rFonts w:hint="eastAsia" w:ascii="仿宋_GB2312" w:hAnsi="仿宋_GB2312" w:eastAsia="仿宋_GB2312" w:cs="仿宋_GB2312"/>
          <w:color w:val="auto"/>
          <w:sz w:val="32"/>
          <w:szCs w:val="32"/>
          <w:lang w:eastAsia="zh-CN"/>
        </w:rPr>
        <w:t>不</w:t>
      </w:r>
      <w:r>
        <w:rPr>
          <w:rFonts w:hint="eastAsia" w:ascii="仿宋_GB2312" w:hAnsi="仿宋_GB2312" w:eastAsia="仿宋_GB2312" w:cs="仿宋_GB2312"/>
          <w:color w:val="auto"/>
          <w:sz w:val="32"/>
          <w:szCs w:val="32"/>
        </w:rPr>
        <w:t>落</w:t>
      </w:r>
      <w:r>
        <w:rPr>
          <w:rFonts w:hint="eastAsia" w:ascii="仿宋_GB2312" w:hAnsi="仿宋_GB2312" w:eastAsia="仿宋_GB2312" w:cs="仿宋_GB2312"/>
          <w:color w:val="auto"/>
          <w:sz w:val="32"/>
          <w:szCs w:val="32"/>
          <w:lang w:eastAsia="zh-CN"/>
        </w:rPr>
        <w:t>实</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未</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采取技术、管理措施，及时发现并消除</w:t>
      </w:r>
      <w:r>
        <w:rPr>
          <w:rFonts w:hint="default" w:ascii="仿宋_GB2312" w:hAnsi="仿宋_GB2312" w:eastAsia="仿宋_GB2312" w:cs="仿宋_GB2312"/>
          <w:kern w:val="2"/>
          <w:sz w:val="32"/>
          <w:szCs w:val="32"/>
          <w:lang w:val="en-US" w:eastAsia="zh-CN"/>
        </w:rPr>
        <w:t>溶解釜顶部法兰垫片</w:t>
      </w:r>
      <w:r>
        <w:rPr>
          <w:rFonts w:hint="eastAsia" w:ascii="仿宋_GB2312" w:hAnsi="仿宋_GB2312" w:eastAsia="仿宋_GB2312" w:cs="仿宋_GB2312"/>
          <w:kern w:val="2"/>
          <w:sz w:val="32"/>
          <w:szCs w:val="32"/>
          <w:lang w:val="en-US" w:eastAsia="zh-CN"/>
        </w:rPr>
        <w:t>或塑料管道</w:t>
      </w:r>
      <w:r>
        <w:rPr>
          <w:rFonts w:hint="default" w:ascii="仿宋_GB2312" w:hAnsi="仿宋_GB2312" w:eastAsia="仿宋_GB2312" w:cs="仿宋_GB2312"/>
          <w:kern w:val="2"/>
          <w:sz w:val="32"/>
          <w:szCs w:val="32"/>
          <w:lang w:val="en-US" w:eastAsia="zh-CN"/>
        </w:rPr>
        <w:t>密封</w:t>
      </w:r>
      <w:r>
        <w:rPr>
          <w:rFonts w:hint="eastAsia" w:ascii="仿宋_GB2312" w:hAnsi="仿宋_GB2312" w:eastAsia="仿宋_GB2312" w:cs="仿宋_GB2312"/>
          <w:kern w:val="2"/>
          <w:sz w:val="32"/>
          <w:szCs w:val="32"/>
          <w:lang w:val="en-US" w:eastAsia="zh-CN"/>
        </w:rPr>
        <w:t>不严、</w:t>
      </w:r>
      <w:r>
        <w:rPr>
          <w:rFonts w:hint="default" w:ascii="仿宋_GB2312" w:hAnsi="仿宋_GB2312" w:eastAsia="仿宋_GB2312" w:cs="仿宋_GB2312"/>
          <w:kern w:val="2"/>
          <w:sz w:val="32"/>
          <w:szCs w:val="32"/>
          <w:lang w:val="en-US" w:eastAsia="zh-CN"/>
        </w:rPr>
        <w:t>车间电缆桥架内电气线路老化</w:t>
      </w:r>
      <w:r>
        <w:rPr>
          <w:rFonts w:hint="eastAsia" w:ascii="仿宋_GB2312" w:hAnsi="仿宋_GB2312" w:eastAsia="仿宋_GB2312" w:cs="仿宋_GB2312"/>
          <w:kern w:val="2"/>
          <w:sz w:val="32"/>
          <w:szCs w:val="32"/>
          <w:lang w:val="en-US" w:eastAsia="zh-CN"/>
        </w:rPr>
        <w:t>的事故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隐患</w:t>
      </w:r>
      <w:r>
        <w:rPr>
          <w:rFonts w:hint="eastAsia" w:ascii="仿宋_GB2312" w:hAnsi="仿宋_GB2312" w:eastAsia="仿宋_GB2312" w:cs="仿宋_GB2312"/>
          <w:color w:val="000000" w:themeColor="text1"/>
          <w:sz w:val="32"/>
          <w:szCs w:val="32"/>
          <w:lang w:eastAsia="zh-CN"/>
          <w14:textFill>
            <w14:solidFill>
              <w14:schemeClr w14:val="tx1"/>
            </w14:solidFill>
          </w14:textFill>
        </w:rPr>
        <w:t>；未按照工艺安全管理制度履行变更管理，在溶解工序中使用甲醇溶剂。违反《中华人民共和国安全生产法》第四十一条第二款</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10"/>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、《山东省安全生产条例》</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第三十条第一款第三项</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11"/>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之规定，对事故发生负有责任。</w:t>
      </w:r>
      <w:r>
        <w:rPr>
          <w:rFonts w:hint="eastAsia" w:ascii="仿宋_GB2312" w:hAnsi="仿宋_GB2312" w:eastAsia="仿宋_GB2312" w:cs="仿宋_GB2312"/>
          <w:color w:val="000000" w:themeColor="text1"/>
          <w:sz w:val="32"/>
          <w:szCs w:val="32"/>
          <w14:textFill>
            <w14:solidFill>
              <w14:schemeClr w14:val="tx1"/>
            </w14:solidFill>
          </w14:textFill>
        </w:rPr>
        <w:t>依据《</w:t>
      </w:r>
      <w:r>
        <w:rPr>
          <w:rFonts w:hint="eastAsia" w:ascii="仿宋_GB2312" w:hAnsi="仿宋_GB2312" w:eastAsia="仿宋_GB2312" w:cs="仿宋_GB2312"/>
          <w:color w:val="000000" w:themeColor="text1"/>
          <w:sz w:val="32"/>
          <w:szCs w:val="32"/>
          <w:lang w:eastAsia="zh-CN"/>
          <w14:textFill>
            <w14:solidFill>
              <w14:schemeClr w14:val="tx1"/>
            </w14:solidFill>
          </w14:textFill>
        </w:rPr>
        <w:t>中华人民共和国</w:t>
      </w:r>
      <w:r>
        <w:rPr>
          <w:rFonts w:hint="eastAsia" w:ascii="仿宋_GB2312" w:hAnsi="仿宋_GB2312" w:eastAsia="仿宋_GB2312" w:cs="仿宋_GB2312"/>
          <w:color w:val="000000" w:themeColor="text1"/>
          <w:sz w:val="32"/>
          <w:szCs w:val="32"/>
          <w14:textFill>
            <w14:solidFill>
              <w14:schemeClr w14:val="tx1"/>
            </w14:solidFill>
          </w14:textFill>
        </w:rPr>
        <w:t>安全生产法》第一百一十四条第一款第一项</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12"/>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、《生产安全事故罚款处罚规定</w:t>
      </w:r>
      <w:r>
        <w:rPr>
          <w:rFonts w:hint="eastAsia" w:ascii="仿宋_GB2312" w:hAnsi="仿宋_GB2312" w:eastAsia="仿宋_GB2312" w:cs="仿宋_GB2312"/>
          <w:color w:val="000000" w:themeColor="text1"/>
          <w:sz w:val="32"/>
          <w:szCs w:val="32"/>
          <w:lang w:val="zh-CN" w:eastAsia="zh-CN"/>
          <w14:textFill>
            <w14:solidFill>
              <w14:schemeClr w14:val="tx1"/>
            </w14:solidFill>
          </w14:textFill>
        </w:rPr>
        <w:t>》第十四条第一项</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footnoteReference w:id="13"/>
      </w:r>
      <w:r>
        <w:rPr>
          <w:rStyle w:val="20"/>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zh-CN" w:eastAsia="zh-CN"/>
          <w14:textFill>
            <w14:solidFill>
              <w14:schemeClr w14:val="tx1"/>
            </w14:solidFill>
          </w14:textFill>
        </w:rPr>
        <w:t>之</w:t>
      </w:r>
      <w:r>
        <w:rPr>
          <w:rFonts w:hint="eastAsia" w:ascii="仿宋_GB2312" w:hAnsi="仿宋_GB2312" w:eastAsia="仿宋_GB2312" w:cs="仿宋_GB2312"/>
          <w:color w:val="000000" w:themeColor="text1"/>
          <w:sz w:val="32"/>
          <w:szCs w:val="32"/>
          <w14:textFill>
            <w14:solidFill>
              <w14:schemeClr w14:val="tx1"/>
            </w14:solidFill>
          </w14:textFill>
        </w:rPr>
        <w:t>规定，建议由区应急管理局对其</w:t>
      </w:r>
      <w:r>
        <w:rPr>
          <w:rFonts w:hint="eastAsia" w:ascii="仿宋_GB2312" w:hAnsi="仿宋_GB2312" w:eastAsia="仿宋_GB2312" w:cs="仿宋_GB2312"/>
          <w:color w:val="000000" w:themeColor="text1"/>
          <w:sz w:val="32"/>
          <w:szCs w:val="32"/>
          <w:lang w:eastAsia="zh-CN"/>
          <w14:textFill>
            <w14:solidFill>
              <w14:schemeClr w14:val="tx1"/>
            </w14:solidFill>
          </w14:textFill>
        </w:rPr>
        <w:t>作出罚款</w:t>
      </w:r>
      <w:r>
        <w:rPr>
          <w:rFonts w:hint="eastAsia" w:ascii="仿宋_GB2312" w:hAnsi="仿宋_GB2312" w:eastAsia="仿宋_GB2312" w:cs="仿宋_GB2312"/>
          <w:color w:val="000000" w:themeColor="text1"/>
          <w:sz w:val="32"/>
          <w:szCs w:val="32"/>
          <w14:textFill>
            <w14:solidFill>
              <w14:schemeClr w14:val="tx1"/>
            </w14:solidFill>
          </w14:textFill>
        </w:rPr>
        <w:t>人民币</w:t>
      </w:r>
      <w:r>
        <w:rPr>
          <w:rFonts w:hint="eastAsia" w:ascii="仿宋_GB2312" w:hAnsi="仿宋_GB2312" w:eastAsia="仿宋_GB2312" w:cs="仿宋_GB2312"/>
          <w:color w:val="auto"/>
          <w:sz w:val="32"/>
          <w:szCs w:val="32"/>
          <w:lang w:eastAsia="zh-CN"/>
        </w:rPr>
        <w:t>肆拾</w:t>
      </w:r>
      <w:r>
        <w:rPr>
          <w:rFonts w:hint="eastAsia" w:ascii="仿宋_GB2312" w:hAnsi="仿宋_GB2312" w:eastAsia="仿宋_GB2312" w:cs="仿宋_GB2312"/>
          <w:color w:val="000000" w:themeColor="text1"/>
          <w:sz w:val="32"/>
          <w:szCs w:val="32"/>
          <w14:textFill>
            <w14:solidFill>
              <w14:schemeClr w14:val="tx1"/>
            </w14:solidFill>
          </w14:textFill>
        </w:rPr>
        <w:t>万元的行政处罚。</w:t>
      </w:r>
    </w:p>
    <w:p w14:paraId="12D6FEE8">
      <w:pPr>
        <w:pStyle w:val="3"/>
        <w:bidi w:val="0"/>
        <w:rPr>
          <w:lang w:eastAsia="zh-CN"/>
        </w:rPr>
      </w:pPr>
      <w:bookmarkStart w:id="42" w:name="_Toc20203"/>
      <w:r>
        <w:rPr>
          <w:rFonts w:hint="eastAsia"/>
          <w:lang w:eastAsia="zh-CN"/>
        </w:rPr>
        <w:t>（二）建议企业内部处理人员</w:t>
      </w:r>
      <w:bookmarkEnd w:id="42"/>
    </w:p>
    <w:p w14:paraId="57B50BFC">
      <w:pPr>
        <w:pStyle w:val="5"/>
        <w:keepNext w:val="0"/>
        <w:keepLines w:val="0"/>
        <w:pageBreakBefore w:val="0"/>
        <w:widowControl w:val="0"/>
        <w:kinsoku/>
        <w:wordWrap/>
        <w:overflowPunct/>
        <w:topLinePunct w:val="0"/>
        <w:autoSpaceDN/>
        <w:bidi w:val="0"/>
        <w:spacing w:line="560" w:lineRule="exact"/>
        <w:ind w:firstLine="640" w:firstLineChars="200"/>
        <w:jc w:val="both"/>
        <w:rPr>
          <w:rFonts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zh-CN" w:eastAsia="zh-CN"/>
        </w:rPr>
        <w:t>1.董</w:t>
      </w:r>
      <w:r>
        <w:rPr>
          <w:rFonts w:hint="eastAsia" w:ascii="仿宋_GB2312" w:hAnsi="仿宋_GB2312" w:eastAsia="仿宋_GB2312" w:cs="仿宋_GB2312"/>
          <w:color w:val="auto"/>
          <w:sz w:val="32"/>
          <w:szCs w:val="32"/>
          <w:highlight w:val="none"/>
          <w:lang w:val="en-US" w:eastAsia="zh-CN"/>
        </w:rPr>
        <w:t>某</w:t>
      </w:r>
      <w:r>
        <w:rPr>
          <w:rFonts w:hint="eastAsia" w:ascii="仿宋_GB2312" w:hAnsi="仿宋_GB2312" w:eastAsia="仿宋_GB2312" w:cs="仿宋_GB2312"/>
          <w:color w:val="auto"/>
          <w:sz w:val="32"/>
          <w:szCs w:val="32"/>
          <w:lang w:val="zh-CN" w:eastAsia="zh-CN"/>
        </w:rPr>
        <w:t>进，</w:t>
      </w:r>
      <w:r>
        <w:rPr>
          <w:rFonts w:hint="eastAsia" w:ascii="仿宋_GB2312" w:hAnsi="仿宋_GB2312" w:eastAsia="仿宋_GB2312" w:cs="仿宋_GB2312"/>
          <w:color w:val="auto"/>
          <w:sz w:val="32"/>
          <w:szCs w:val="32"/>
          <w:highlight w:val="none"/>
          <w:lang w:val="en-US" w:eastAsia="zh-CN"/>
        </w:rPr>
        <w:t>济南久安酯类化工有限公司安环经理</w:t>
      </w:r>
      <w:r>
        <w:rPr>
          <w:rFonts w:hint="eastAsia" w:ascii="仿宋_GB2312" w:hAnsi="仿宋_GB2312" w:eastAsia="仿宋_GB2312" w:cs="仿宋_GB2312"/>
          <w:color w:val="auto"/>
          <w:sz w:val="32"/>
          <w:szCs w:val="32"/>
          <w:lang w:val="zh-CN" w:eastAsia="zh-CN"/>
        </w:rPr>
        <w:t>，对车间安全管理不到位，对事故发生负有责任，建议</w:t>
      </w:r>
      <w:r>
        <w:rPr>
          <w:rFonts w:hint="eastAsia" w:ascii="仿宋_GB2312" w:hAnsi="仿宋_GB2312" w:eastAsia="仿宋_GB2312" w:cs="仿宋_GB2312"/>
          <w:color w:val="auto"/>
          <w:sz w:val="32"/>
          <w:szCs w:val="32"/>
          <w:highlight w:val="none"/>
          <w:lang w:val="en-US" w:eastAsia="zh-CN"/>
        </w:rPr>
        <w:t>济南久安酯类化工有限公司</w:t>
      </w:r>
      <w:r>
        <w:rPr>
          <w:rFonts w:hint="eastAsia" w:ascii="仿宋_GB2312" w:hAnsi="仿宋_GB2312" w:eastAsia="仿宋_GB2312" w:cs="仿宋_GB2312"/>
          <w:color w:val="000000" w:themeColor="text1"/>
          <w:sz w:val="32"/>
          <w:szCs w:val="32"/>
          <w:lang w:val="zh-CN" w:eastAsia="zh-CN"/>
          <w14:textFill>
            <w14:solidFill>
              <w14:schemeClr w14:val="tx1"/>
            </w14:solidFill>
          </w14:textFill>
        </w:rPr>
        <w:t>依据</w:t>
      </w:r>
      <w:r>
        <w:rPr>
          <w:rFonts w:hint="eastAsia" w:ascii="仿宋_GB2312" w:hAnsi="仿宋_GB2312" w:eastAsia="仿宋_GB2312" w:cs="仿宋_GB2312"/>
          <w:color w:val="auto"/>
          <w:sz w:val="32"/>
          <w:szCs w:val="32"/>
          <w:lang w:val="zh-CN" w:eastAsia="zh-CN"/>
        </w:rPr>
        <w:t>内部管理规定</w:t>
      </w:r>
      <w:r>
        <w:rPr>
          <w:rFonts w:hint="eastAsia" w:ascii="仿宋_GB2312" w:hAnsi="仿宋_GB2312" w:eastAsia="仿宋_GB2312" w:cs="仿宋_GB2312"/>
          <w:color w:val="auto"/>
          <w:sz w:val="32"/>
          <w:szCs w:val="32"/>
          <w:lang w:eastAsia="zh-CN"/>
        </w:rPr>
        <w:t>对其做出严肃处理，</w:t>
      </w:r>
      <w:r>
        <w:rPr>
          <w:rFonts w:hint="eastAsia" w:ascii="仿宋_GB2312" w:hAnsi="仿宋_GB2312" w:eastAsia="仿宋_GB2312" w:cs="仿宋_GB2312"/>
          <w:color w:val="auto"/>
          <w:sz w:val="32"/>
          <w:szCs w:val="32"/>
          <w:lang w:val="zh-CN" w:eastAsia="zh-CN"/>
        </w:rPr>
        <w:t>处理结果报区应急管理局。</w:t>
      </w:r>
    </w:p>
    <w:p w14:paraId="7F50BC76">
      <w:pPr>
        <w:pStyle w:val="5"/>
        <w:keepNext w:val="0"/>
        <w:keepLines w:val="0"/>
        <w:pageBreakBefore w:val="0"/>
        <w:widowControl w:val="0"/>
        <w:kinsoku/>
        <w:wordWrap/>
        <w:overflowPunct/>
        <w:topLinePunct w:val="0"/>
        <w:autoSpaceDN/>
        <w:bidi w:val="0"/>
        <w:spacing w:line="560" w:lineRule="exact"/>
        <w:ind w:firstLine="640" w:firstLineChars="200"/>
        <w:jc w:val="both"/>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auto"/>
          <w:sz w:val="32"/>
          <w:szCs w:val="32"/>
          <w:lang w:eastAsia="zh-CN"/>
        </w:rPr>
        <w:t>2.赵</w:t>
      </w:r>
      <w:r>
        <w:rPr>
          <w:rFonts w:hint="eastAsia" w:ascii="仿宋_GB2312" w:hAnsi="仿宋_GB2312" w:eastAsia="仿宋_GB2312" w:cs="仿宋_GB2312"/>
          <w:color w:val="auto"/>
          <w:sz w:val="32"/>
          <w:szCs w:val="32"/>
          <w:highlight w:val="none"/>
          <w:lang w:val="en-US" w:eastAsia="zh-CN"/>
        </w:rPr>
        <w:t>某</w:t>
      </w:r>
      <w:r>
        <w:rPr>
          <w:rFonts w:hint="eastAsia" w:ascii="仿宋_GB2312" w:hAnsi="仿宋_GB2312" w:eastAsia="仿宋_GB2312" w:cs="仿宋_GB2312"/>
          <w:color w:val="auto"/>
          <w:sz w:val="32"/>
          <w:szCs w:val="32"/>
          <w:lang w:eastAsia="zh-CN"/>
        </w:rPr>
        <w:t>章，</w:t>
      </w:r>
      <w:r>
        <w:rPr>
          <w:rFonts w:hint="eastAsia" w:ascii="仿宋_GB2312" w:hAnsi="仿宋_GB2312" w:eastAsia="仿宋_GB2312" w:cs="仿宋_GB2312"/>
          <w:color w:val="auto"/>
          <w:sz w:val="32"/>
          <w:szCs w:val="32"/>
          <w:highlight w:val="none"/>
          <w:lang w:val="en-US" w:eastAsia="zh-CN"/>
        </w:rPr>
        <w:t>济南久安酯类化工有限公司生产经理</w:t>
      </w:r>
      <w:r>
        <w:rPr>
          <w:rFonts w:hint="eastAsia" w:ascii="仿宋_GB2312" w:hAnsi="仿宋_GB2312" w:eastAsia="仿宋_GB2312" w:cs="仿宋_GB2312"/>
          <w:color w:val="000000" w:themeColor="text1"/>
          <w:sz w:val="32"/>
          <w:szCs w:val="32"/>
          <w:lang w:eastAsia="zh-CN"/>
          <w14:textFill>
            <w14:solidFill>
              <w14:schemeClr w14:val="tx1"/>
            </w14:solidFill>
          </w14:textFill>
        </w:rPr>
        <w:t>，对车间安全生产管理不到位，建议</w:t>
      </w:r>
      <w:r>
        <w:rPr>
          <w:rFonts w:hint="eastAsia" w:ascii="仿宋_GB2312" w:hAnsi="仿宋_GB2312" w:eastAsia="仿宋_GB2312" w:cs="仿宋_GB2312"/>
          <w:color w:val="auto"/>
          <w:sz w:val="32"/>
          <w:szCs w:val="32"/>
          <w:highlight w:val="none"/>
          <w:lang w:val="en-US" w:eastAsia="zh-CN"/>
        </w:rPr>
        <w:t>济南久安酯类化工有限公司</w:t>
      </w:r>
      <w:r>
        <w:rPr>
          <w:rFonts w:hint="eastAsia" w:ascii="仿宋_GB2312" w:hAnsi="仿宋_GB2312" w:eastAsia="仿宋_GB2312" w:cs="仿宋_GB2312"/>
          <w:color w:val="000000" w:themeColor="text1"/>
          <w:sz w:val="32"/>
          <w:szCs w:val="32"/>
          <w:lang w:eastAsia="zh-CN"/>
          <w14:textFill>
            <w14:solidFill>
              <w14:schemeClr w14:val="tx1"/>
            </w14:solidFill>
          </w14:textFill>
        </w:rPr>
        <w:t>依据内部管理规定对其做出严肃处理，处理结果报区应急管理局。</w:t>
      </w:r>
    </w:p>
    <w:p w14:paraId="78321F0D">
      <w:pPr>
        <w:pStyle w:val="5"/>
        <w:keepNext w:val="0"/>
        <w:keepLines w:val="0"/>
        <w:pageBreakBefore w:val="0"/>
        <w:widowControl w:val="0"/>
        <w:kinsoku/>
        <w:wordWrap/>
        <w:overflowPunct/>
        <w:topLinePunct w:val="0"/>
        <w:autoSpaceDN/>
        <w:bidi w:val="0"/>
        <w:spacing w:line="560" w:lineRule="exact"/>
        <w:ind w:firstLine="640" w:firstLineChars="200"/>
        <w:jc w:val="both"/>
        <w:rPr>
          <w:rFonts w:hint="eastAsia" w:ascii="Arial" w:hAnsi="Arial" w:eastAsia="楷体_GB2312" w:cs="Arial"/>
          <w:snapToGrid w:val="0"/>
          <w:color w:val="000000"/>
          <w:sz w:val="32"/>
          <w:szCs w:val="21"/>
          <w:lang w:val="en-US" w:eastAsia="zh-CN" w:bidi="ar-SA"/>
        </w:rPr>
      </w:pPr>
      <w:r>
        <w:rPr>
          <w:rFonts w:hint="default" w:ascii="Arial" w:hAnsi="Arial" w:eastAsia="楷体_GB2312" w:cs="Arial"/>
          <w:snapToGrid w:val="0"/>
          <w:color w:val="000000"/>
          <w:sz w:val="32"/>
          <w:szCs w:val="21"/>
          <w:lang w:val="en-US" w:eastAsia="zh-CN" w:bidi="ar-SA"/>
        </w:rPr>
        <w:t>（</w:t>
      </w:r>
      <w:r>
        <w:rPr>
          <w:rFonts w:hint="eastAsia" w:ascii="Arial" w:hAnsi="Arial" w:eastAsia="楷体_GB2312" w:cs="Arial"/>
          <w:snapToGrid w:val="0"/>
          <w:color w:val="000000"/>
          <w:sz w:val="32"/>
          <w:szCs w:val="21"/>
          <w:lang w:val="en-US" w:eastAsia="zh-CN" w:bidi="ar-SA"/>
        </w:rPr>
        <w:t>三</w:t>
      </w:r>
      <w:r>
        <w:rPr>
          <w:rFonts w:hint="default" w:ascii="Arial" w:hAnsi="Arial" w:eastAsia="楷体_GB2312" w:cs="Arial"/>
          <w:snapToGrid w:val="0"/>
          <w:color w:val="000000"/>
          <w:sz w:val="32"/>
          <w:szCs w:val="21"/>
          <w:lang w:val="en-US" w:eastAsia="zh-CN" w:bidi="ar-SA"/>
        </w:rPr>
        <w:t>）</w:t>
      </w:r>
      <w:r>
        <w:rPr>
          <w:rFonts w:hint="eastAsia" w:ascii="Arial" w:hAnsi="Arial" w:eastAsia="楷体_GB2312" w:cs="Arial"/>
          <w:snapToGrid w:val="0"/>
          <w:color w:val="000000"/>
          <w:sz w:val="32"/>
          <w:szCs w:val="21"/>
          <w:lang w:val="en-US" w:eastAsia="zh-CN" w:bidi="ar-SA"/>
        </w:rPr>
        <w:t>其他处理建议</w:t>
      </w:r>
    </w:p>
    <w:p w14:paraId="19BF3AB9">
      <w:pPr>
        <w:pStyle w:val="5"/>
        <w:keepNext w:val="0"/>
        <w:keepLines w:val="0"/>
        <w:pageBreakBefore w:val="0"/>
        <w:widowControl w:val="0"/>
        <w:kinsoku/>
        <w:wordWrap/>
        <w:overflowPunct/>
        <w:topLinePunct w:val="0"/>
        <w:autoSpaceDN/>
        <w:bidi w:val="0"/>
        <w:spacing w:line="560" w:lineRule="exact"/>
        <w:ind w:firstLine="640" w:firstLineChars="200"/>
        <w:jc w:val="both"/>
        <w:rPr>
          <w:rFonts w:hint="default" w:ascii="Arial" w:hAnsi="Arial" w:eastAsia="楷体_GB2312" w:cs="Arial"/>
          <w:snapToGrid w:val="0"/>
          <w:color w:val="000000"/>
          <w:sz w:val="32"/>
          <w:szCs w:val="21"/>
          <w:lang w:val="en-US" w:eastAsia="zh-CN" w:bidi="ar-SA"/>
        </w:rPr>
      </w:pPr>
      <w:r>
        <w:rPr>
          <w:rFonts w:hint="eastAsia" w:ascii="仿宋_GB2312" w:hAnsi="Times New Roman" w:eastAsia="仿宋_GB2312" w:cs="Times New Roman"/>
          <w:snapToGrid/>
          <w:color w:val="000000" w:themeColor="text1"/>
          <w:kern w:val="2"/>
          <w:sz w:val="32"/>
          <w:szCs w:val="24"/>
          <w:lang w:eastAsia="zh-CN"/>
          <w14:textFill>
            <w14:solidFill>
              <w14:schemeClr w14:val="tx1"/>
            </w14:solidFill>
          </w14:textFill>
        </w:rPr>
        <w:t>建议刁镇化工产业园管理办公室向明水经济技术开发区管理委员会做出深刻书面检查，同时抄报区安委会办公室。</w:t>
      </w:r>
    </w:p>
    <w:p w14:paraId="1F6A3248">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黑体" w:hAnsi="黑体" w:eastAsia="黑体" w:cs="黑体"/>
          <w:sz w:val="32"/>
          <w:szCs w:val="32"/>
        </w:rPr>
      </w:pPr>
      <w:bookmarkStart w:id="43" w:name="_Toc30925"/>
      <w:bookmarkStart w:id="44" w:name="_Toc1503438435"/>
      <w:r>
        <w:rPr>
          <w:rFonts w:hint="eastAsia" w:ascii="黑体" w:hAnsi="黑体" w:eastAsia="黑体" w:cs="黑体"/>
          <w:sz w:val="32"/>
          <w:szCs w:val="32"/>
          <w:lang w:eastAsia="zh-CN"/>
        </w:rPr>
        <w:t>五、</w:t>
      </w:r>
      <w:bookmarkEnd w:id="43"/>
      <w:bookmarkEnd w:id="44"/>
      <w:r>
        <w:rPr>
          <w:rFonts w:hint="eastAsia" w:ascii="黑体" w:hAnsi="黑体" w:eastAsia="黑体" w:cs="黑体"/>
          <w:sz w:val="32"/>
          <w:szCs w:val="32"/>
        </w:rPr>
        <w:t>事故防范和整改管理措施建议</w:t>
      </w:r>
    </w:p>
    <w:p w14:paraId="2D170366">
      <w:pPr>
        <w:pStyle w:val="5"/>
        <w:pageBreakBefore w:val="0"/>
        <w:widowControl w:val="0"/>
        <w:kinsoku/>
        <w:wordWrap/>
        <w:overflowPunct/>
        <w:topLinePunct w:val="0"/>
        <w:autoSpaceDN/>
        <w:bidi w:val="0"/>
        <w:adjustRightInd w:val="0"/>
        <w:snapToGrid w:val="0"/>
        <w:spacing w:line="540" w:lineRule="exact"/>
        <w:ind w:firstLine="640" w:firstLineChars="200"/>
        <w:jc w:val="both"/>
        <w:rPr>
          <w:rFonts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一</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auto"/>
          <w:sz w:val="32"/>
          <w:szCs w:val="32"/>
          <w:highlight w:val="none"/>
          <w:lang w:val="en-US" w:eastAsia="zh-CN"/>
        </w:rPr>
        <w:t>济南久安酯类化工有限公司</w:t>
      </w:r>
      <w:r>
        <w:rPr>
          <w:rFonts w:hint="eastAsia" w:ascii="仿宋_GB2312" w:hAnsi="仿宋_GB2312" w:eastAsia="仿宋_GB2312" w:cs="仿宋_GB2312"/>
          <w:color w:val="000000" w:themeColor="text1"/>
          <w:sz w:val="32"/>
          <w:szCs w:val="32"/>
          <w14:textFill>
            <w14:solidFill>
              <w14:schemeClr w14:val="tx1"/>
            </w14:solidFill>
          </w14:textFill>
        </w:rPr>
        <w:t>要严格落实安全生产主体责任，认真贯彻执行安全生产法律法规、标准规范</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安全管理</w:t>
      </w:r>
      <w:r>
        <w:rPr>
          <w:rFonts w:hint="eastAsia" w:ascii="仿宋_GB2312" w:hAnsi="仿宋_GB2312" w:eastAsia="仿宋_GB2312" w:cs="仿宋_GB2312"/>
          <w:color w:val="000000" w:themeColor="text1"/>
          <w:sz w:val="32"/>
          <w:szCs w:val="32"/>
          <w:lang w:eastAsia="zh-CN"/>
          <w14:textFill>
            <w14:solidFill>
              <w14:schemeClr w14:val="tx1"/>
            </w14:solidFill>
          </w14:textFill>
        </w:rPr>
        <w:t>规章</w:t>
      </w:r>
      <w:r>
        <w:rPr>
          <w:rFonts w:hint="eastAsia" w:ascii="仿宋_GB2312" w:hAnsi="仿宋_GB2312" w:eastAsia="仿宋_GB2312" w:cs="仿宋_GB2312"/>
          <w:color w:val="000000" w:themeColor="text1"/>
          <w:sz w:val="32"/>
          <w:szCs w:val="32"/>
          <w14:textFill>
            <w14:solidFill>
              <w14:schemeClr w14:val="tx1"/>
            </w14:solidFill>
          </w14:textFill>
        </w:rPr>
        <w:t>制度和操作规程</w:t>
      </w:r>
      <w:r>
        <w:rPr>
          <w:rFonts w:hint="eastAsia" w:ascii="仿宋_GB2312" w:hAnsi="仿宋_GB2312" w:eastAsia="仿宋_GB2312" w:cs="仿宋_GB2312"/>
          <w:color w:val="000000" w:themeColor="text1"/>
          <w:sz w:val="32"/>
          <w:szCs w:val="32"/>
          <w:lang w:eastAsia="zh-CN"/>
          <w14:textFill>
            <w14:solidFill>
              <w14:schemeClr w14:val="tx1"/>
            </w14:solidFill>
          </w14:textFill>
        </w:rPr>
        <w:t>；严格变更管理，对未进行风险评估的坚决不能进行变更，同时加强日常隐患排查治理的深度和专业度，重点排查桥架内的电气线路。</w:t>
      </w:r>
    </w:p>
    <w:p w14:paraId="4F61A95A">
      <w:pPr>
        <w:pStyle w:val="5"/>
        <w:pageBreakBefore w:val="0"/>
        <w:widowControl w:val="0"/>
        <w:kinsoku/>
        <w:wordWrap/>
        <w:overflowPunct/>
        <w:topLinePunct w:val="0"/>
        <w:autoSpaceDN/>
        <w:bidi w:val="0"/>
        <w:adjustRightInd w:val="0"/>
        <w:snapToGrid w:val="0"/>
        <w:spacing w:line="540" w:lineRule="exact"/>
        <w:ind w:firstLine="640" w:firstLineChars="200"/>
        <w:jc w:val="both"/>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（二）刁镇化工产业园管理办公室切实履行监管职责，</w:t>
      </w:r>
      <w:r>
        <w:rPr>
          <w:rFonts w:hint="eastAsia" w:ascii="仿宋_GB2312" w:hAnsi="仿宋_GB2312" w:eastAsia="仿宋_GB2312" w:cs="仿宋_GB2312"/>
          <w:color w:val="000000" w:themeColor="text1"/>
          <w:sz w:val="32"/>
          <w:szCs w:val="32"/>
          <w14:textFill>
            <w14:solidFill>
              <w14:schemeClr w14:val="tx1"/>
            </w14:solidFill>
          </w14:textFill>
        </w:rPr>
        <w:t>要加强日常安全生产巡查检查，将隐患排查治理工作做深做细，</w:t>
      </w:r>
      <w:r>
        <w:rPr>
          <w:rFonts w:hint="eastAsia" w:ascii="仿宋_GB2312" w:hAnsi="仿宋_GB2312" w:eastAsia="仿宋_GB2312" w:cs="仿宋_GB2312"/>
          <w:color w:val="000000" w:themeColor="text1"/>
          <w:sz w:val="32"/>
          <w:szCs w:val="32"/>
          <w:lang w:eastAsia="zh-CN"/>
          <w14:textFill>
            <w14:solidFill>
              <w14:schemeClr w14:val="tx1"/>
            </w14:solidFill>
          </w14:textFill>
        </w:rPr>
        <w:t>突出“三违”行为整治，督促各企业</w:t>
      </w:r>
      <w:r>
        <w:rPr>
          <w:rFonts w:hint="eastAsia" w:ascii="仿宋_GB2312" w:hAnsi="仿宋_GB2312" w:eastAsia="仿宋_GB2312" w:cs="仿宋_GB2312"/>
          <w:color w:val="000000" w:themeColor="text1"/>
          <w:sz w:val="32"/>
          <w:szCs w:val="32"/>
          <w14:textFill>
            <w14:solidFill>
              <w14:schemeClr w14:val="tx1"/>
            </w14:solidFill>
          </w14:textFill>
        </w:rPr>
        <w:t>严格落实安全生产主体责任</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53F4BDC1">
      <w:pPr>
        <w:pStyle w:val="5"/>
        <w:pageBreakBefore w:val="0"/>
        <w:widowControl w:val="0"/>
        <w:kinsoku/>
        <w:wordWrap/>
        <w:overflowPunct/>
        <w:topLinePunct w:val="0"/>
        <w:autoSpaceDN/>
        <w:bidi w:val="0"/>
        <w:adjustRightInd w:val="0"/>
        <w:snapToGrid w:val="0"/>
        <w:spacing w:line="540" w:lineRule="exact"/>
        <w:ind w:firstLine="640" w:firstLineChars="200"/>
        <w:jc w:val="both"/>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三）区应急管理局要吸取此次事故教训，细化安全监管措施，强化安全生产检查、打非治违力度，依法依规查处一般化工企业突出隐患问题，正确处理安全与发展的关系，督促企业提升本质安全管理水平，确保化工和危险化学品领域安全稳定。</w:t>
      </w:r>
    </w:p>
    <w:p w14:paraId="55348EB4">
      <w:pPr>
        <w:pStyle w:val="5"/>
        <w:pageBreakBefore w:val="0"/>
        <w:widowControl w:val="0"/>
        <w:kinsoku/>
        <w:wordWrap/>
        <w:overflowPunct/>
        <w:topLinePunct w:val="0"/>
        <w:autoSpaceDN/>
        <w:bidi w:val="0"/>
        <w:adjustRightInd w:val="0"/>
        <w:snapToGrid w:val="0"/>
        <w:spacing w:line="540" w:lineRule="exact"/>
        <w:ind w:firstLine="640" w:firstLineChars="200"/>
        <w:jc w:val="both"/>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（四</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各行业主管部门要</w:t>
      </w:r>
      <w:r>
        <w:rPr>
          <w:rFonts w:ascii="仿宋_GB2312" w:hAnsi="仿宋_GB2312" w:eastAsia="仿宋_GB2312" w:cs="仿宋_GB2312"/>
          <w:color w:val="000000" w:themeColor="text1"/>
          <w:sz w:val="32"/>
          <w:szCs w:val="32"/>
          <w14:textFill>
            <w14:solidFill>
              <w14:schemeClr w14:val="tx1"/>
            </w14:solidFill>
          </w14:textFill>
        </w:rPr>
        <w:t>按照</w:t>
      </w:r>
      <w:r>
        <w:rPr>
          <w:rFonts w:hint="eastAsia" w:ascii="仿宋_GB2312" w:hAnsi="仿宋_GB2312" w:eastAsia="仿宋_GB2312" w:cs="仿宋_GB2312"/>
          <w:color w:val="000000" w:themeColor="text1"/>
          <w:sz w:val="32"/>
          <w:szCs w:val="32"/>
          <w14:textFill>
            <w14:solidFill>
              <w14:schemeClr w14:val="tx1"/>
            </w14:solidFill>
          </w14:textFill>
        </w:rPr>
        <w:t>“三管三必须”要求，落</w:t>
      </w:r>
      <w:r>
        <w:rPr>
          <w:rFonts w:hint="eastAsia" w:ascii="仿宋_GB2312" w:hAnsi="仿宋_GB2312" w:eastAsia="仿宋_GB2312" w:cs="仿宋_GB2312"/>
          <w:color w:val="000000" w:themeColor="text1"/>
          <w:sz w:val="32"/>
          <w:szCs w:val="32"/>
          <w:lang w:eastAsia="zh-CN"/>
          <w14:textFill>
            <w14:solidFill>
              <w14:schemeClr w14:val="tx1"/>
            </w14:solidFill>
          </w14:textFill>
        </w:rPr>
        <w:t>实</w:t>
      </w:r>
      <w:r>
        <w:rPr>
          <w:rFonts w:hint="eastAsia" w:ascii="仿宋_GB2312" w:hAnsi="仿宋_GB2312" w:eastAsia="仿宋_GB2312" w:cs="仿宋_GB2312"/>
          <w:color w:val="000000" w:themeColor="text1"/>
          <w:sz w:val="32"/>
          <w:szCs w:val="32"/>
          <w14:textFill>
            <w14:solidFill>
              <w14:schemeClr w14:val="tx1"/>
            </w14:solidFill>
          </w14:textFill>
        </w:rPr>
        <w:t>安全监管责任，</w:t>
      </w:r>
      <w:r>
        <w:rPr>
          <w:rFonts w:ascii="仿宋_GB2312" w:hAnsi="仿宋_GB2312" w:eastAsia="仿宋_GB2312" w:cs="仿宋_GB2312"/>
          <w:color w:val="000000" w:themeColor="text1"/>
          <w:sz w:val="32"/>
          <w:szCs w:val="32"/>
          <w14:textFill>
            <w14:solidFill>
              <w14:schemeClr w14:val="tx1"/>
            </w14:solidFill>
          </w14:textFill>
        </w:rPr>
        <w:t>强化对</w:t>
      </w:r>
      <w:r>
        <w:rPr>
          <w:rFonts w:hint="eastAsia" w:ascii="仿宋_GB2312" w:hAnsi="仿宋_GB2312" w:eastAsia="仿宋_GB2312" w:cs="仿宋_GB2312"/>
          <w:color w:val="000000" w:themeColor="text1"/>
          <w:sz w:val="32"/>
          <w:szCs w:val="32"/>
          <w:lang w:eastAsia="zh-CN"/>
          <w14:textFill>
            <w14:solidFill>
              <w14:schemeClr w14:val="tx1"/>
            </w14:solidFill>
          </w14:textFill>
        </w:rPr>
        <w:t>监管单位现场的安全检查力度</w:t>
      </w:r>
      <w:r>
        <w:rPr>
          <w:rFonts w:ascii="仿宋_GB2312" w:hAnsi="仿宋_GB2312" w:eastAsia="仿宋_GB2312" w:cs="仿宋_GB2312"/>
          <w:color w:val="000000" w:themeColor="text1"/>
          <w:sz w:val="32"/>
          <w:szCs w:val="32"/>
          <w14:textFill>
            <w14:solidFill>
              <w14:schemeClr w14:val="tx1"/>
            </w14:solidFill>
          </w14:textFill>
        </w:rPr>
        <w:t>，及时发现并消除事故隐患、</w:t>
      </w:r>
      <w:r>
        <w:rPr>
          <w:rFonts w:hint="eastAsia" w:ascii="仿宋_GB2312" w:hAnsi="仿宋_GB2312" w:eastAsia="仿宋_GB2312" w:cs="仿宋_GB2312"/>
          <w:color w:val="000000" w:themeColor="text1"/>
          <w:sz w:val="32"/>
          <w:szCs w:val="32"/>
          <w:lang w:eastAsia="zh-CN"/>
          <w14:textFill>
            <w14:solidFill>
              <w14:schemeClr w14:val="tx1"/>
            </w14:solidFill>
          </w14:textFill>
        </w:rPr>
        <w:t>采取有效措施</w:t>
      </w:r>
      <w:r>
        <w:rPr>
          <w:rFonts w:ascii="仿宋_GB2312" w:hAnsi="仿宋_GB2312" w:eastAsia="仿宋_GB2312" w:cs="仿宋_GB2312"/>
          <w:color w:val="000000" w:themeColor="text1"/>
          <w:sz w:val="32"/>
          <w:szCs w:val="32"/>
          <w14:textFill>
            <w14:solidFill>
              <w14:schemeClr w14:val="tx1"/>
            </w14:solidFill>
          </w14:textFill>
        </w:rPr>
        <w:t>制止作业人员的违章作业行为</w:t>
      </w:r>
      <w:r>
        <w:rPr>
          <w:rFonts w:hint="eastAsia" w:ascii="仿宋_GB2312" w:hAnsi="仿宋_GB2312" w:eastAsia="仿宋_GB2312" w:cs="仿宋_GB2312"/>
          <w:color w:val="000000" w:themeColor="text1"/>
          <w:sz w:val="32"/>
          <w:szCs w:val="32"/>
          <w:lang w:eastAsia="zh-CN"/>
          <w14:textFill>
            <w14:solidFill>
              <w14:schemeClr w14:val="tx1"/>
            </w14:solidFill>
          </w14:textFill>
        </w:rPr>
        <w:t>，压实企业主体责任，</w:t>
      </w:r>
      <w:r>
        <w:rPr>
          <w:rFonts w:hint="eastAsia" w:ascii="仿宋_GB2312" w:hAnsi="仿宋_GB2312" w:eastAsia="仿宋_GB2312" w:cs="仿宋_GB2312"/>
          <w:color w:val="000000" w:themeColor="text1"/>
          <w:sz w:val="32"/>
          <w:szCs w:val="32"/>
          <w14:textFill>
            <w14:solidFill>
              <w14:schemeClr w14:val="tx1"/>
            </w14:solidFill>
          </w14:textFill>
        </w:rPr>
        <w:t>确保全区安全生产形势稳定。</w:t>
      </w:r>
    </w:p>
    <w:p w14:paraId="160A5A6E">
      <w:pPr>
        <w:pStyle w:val="5"/>
        <w:pageBreakBefore w:val="0"/>
        <w:widowControl w:val="0"/>
        <w:kinsoku/>
        <w:wordWrap/>
        <w:overflowPunct/>
        <w:topLinePunct w:val="0"/>
        <w:autoSpaceDN/>
        <w:bidi w:val="0"/>
        <w:adjustRightInd w:val="0"/>
        <w:snapToGrid w:val="0"/>
        <w:spacing w:line="540" w:lineRule="exact"/>
        <w:ind w:firstLine="640" w:firstLineChars="200"/>
        <w:jc w:val="both"/>
        <w:rPr>
          <w:rFonts w:hint="eastAsia" w:ascii="仿宋_GB2312" w:hAnsi="仿宋_GB2312" w:eastAsia="仿宋_GB2312" w:cs="仿宋_GB2312"/>
          <w:color w:val="000000" w:themeColor="text1"/>
          <w:sz w:val="32"/>
          <w:szCs w:val="32"/>
          <w14:textFill>
            <w14:solidFill>
              <w14:schemeClr w14:val="tx1"/>
            </w14:solidFill>
          </w14:textFill>
        </w:rPr>
      </w:pPr>
    </w:p>
    <w:p w14:paraId="650DF806">
      <w:pPr>
        <w:pStyle w:val="5"/>
        <w:pageBreakBefore w:val="0"/>
        <w:widowControl w:val="0"/>
        <w:kinsoku/>
        <w:wordWrap/>
        <w:overflowPunct/>
        <w:topLinePunct w:val="0"/>
        <w:autoSpaceDN/>
        <w:bidi w:val="0"/>
        <w:adjustRightInd w:val="0"/>
        <w:snapToGrid w:val="0"/>
        <w:spacing w:line="540" w:lineRule="exact"/>
        <w:ind w:firstLine="640" w:firstLineChars="200"/>
        <w:jc w:val="both"/>
        <w:rPr>
          <w:rFonts w:hint="eastAsia" w:ascii="仿宋_GB2312" w:hAnsi="仿宋_GB2312" w:eastAsia="仿宋_GB2312" w:cs="仿宋_GB2312"/>
          <w:color w:val="000000" w:themeColor="text1"/>
          <w:sz w:val="32"/>
          <w:szCs w:val="32"/>
          <w14:textFill>
            <w14:solidFill>
              <w14:schemeClr w14:val="tx1"/>
            </w14:solidFill>
          </w14:textFill>
        </w:rPr>
      </w:pPr>
    </w:p>
    <w:p w14:paraId="21FFD5DB">
      <w:pPr>
        <w:pStyle w:val="5"/>
        <w:pageBreakBefore w:val="0"/>
        <w:widowControl w:val="0"/>
        <w:kinsoku/>
        <w:wordWrap/>
        <w:overflowPunct/>
        <w:topLinePunct w:val="0"/>
        <w:autoSpaceDN/>
        <w:bidi w:val="0"/>
        <w:adjustRightInd w:val="0"/>
        <w:snapToGrid w:val="0"/>
        <w:spacing w:line="540" w:lineRule="exact"/>
        <w:ind w:firstLine="640" w:firstLineChars="200"/>
        <w:jc w:val="both"/>
        <w:rPr>
          <w:rFonts w:hint="eastAsia" w:ascii="仿宋_GB2312" w:hAnsi="仿宋_GB2312" w:eastAsia="仿宋_GB2312" w:cs="仿宋_GB2312"/>
          <w:color w:val="000000" w:themeColor="text1"/>
          <w:sz w:val="32"/>
          <w:szCs w:val="32"/>
          <w14:textFill>
            <w14:solidFill>
              <w14:schemeClr w14:val="tx1"/>
            </w14:solidFill>
          </w14:textFill>
        </w:rPr>
      </w:pPr>
    </w:p>
    <w:p w14:paraId="2D2A8FAB">
      <w:pPr>
        <w:keepNext w:val="0"/>
        <w:keepLines w:val="0"/>
        <w:pageBreakBefore w:val="0"/>
        <w:widowControl w:val="0"/>
        <w:kinsoku/>
        <w:wordWrap/>
        <w:overflowPunct/>
        <w:topLinePunct w:val="0"/>
        <w:autoSpaceDE/>
        <w:autoSpaceDN/>
        <w:bidi w:val="0"/>
        <w:spacing w:line="560" w:lineRule="exact"/>
        <w:ind w:left="3192" w:leftChars="1520" w:firstLine="320" w:firstLineChars="100"/>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章丘刁镇化工产业园济南久安酯类</w:t>
      </w:r>
    </w:p>
    <w:p w14:paraId="53D81AF1">
      <w:pPr>
        <w:keepNext w:val="0"/>
        <w:keepLines w:val="0"/>
        <w:pageBreakBefore w:val="0"/>
        <w:widowControl w:val="0"/>
        <w:kinsoku/>
        <w:wordWrap/>
        <w:overflowPunct/>
        <w:topLinePunct w:val="0"/>
        <w:autoSpaceDE/>
        <w:autoSpaceDN/>
        <w:bidi w:val="0"/>
        <w:spacing w:line="560" w:lineRule="exact"/>
        <w:ind w:left="3192" w:leftChars="1520" w:firstLine="320" w:firstLineChars="100"/>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化工</w:t>
      </w:r>
      <w:r>
        <w:rPr>
          <w:rFonts w:hint="eastAsia" w:ascii="仿宋_GB2312" w:hAnsi="仿宋_GB2312" w:eastAsia="仿宋_GB2312" w:cs="仿宋_GB2312"/>
          <w:sz w:val="32"/>
          <w:szCs w:val="32"/>
          <w:lang w:eastAsia="zh-CN"/>
        </w:rPr>
        <w:t>有限公司“4·12”一般火灾</w:t>
      </w:r>
    </w:p>
    <w:p w14:paraId="1F2730B1">
      <w:pPr>
        <w:keepNext w:val="0"/>
        <w:keepLines w:val="0"/>
        <w:pageBreakBefore w:val="0"/>
        <w:widowControl w:val="0"/>
        <w:kinsoku/>
        <w:wordWrap/>
        <w:overflowPunct/>
        <w:topLinePunct w:val="0"/>
        <w:autoSpaceDE/>
        <w:autoSpaceDN/>
        <w:bidi w:val="0"/>
        <w:spacing w:line="560" w:lineRule="exact"/>
        <w:ind w:left="3192" w:leftChars="1520" w:firstLine="320" w:firstLineChars="100"/>
        <w:jc w:val="center"/>
        <w:textAlignment w:val="auto"/>
        <w:rPr>
          <w:rFonts w:ascii="仿宋_GB2312" w:hAnsi="仿宋_GB2312" w:eastAsia="仿宋_GB2312" w:cs="仿宋_GB2312"/>
          <w:color w:val="auto"/>
          <w:sz w:val="32"/>
          <w:szCs w:val="32"/>
        </w:rPr>
      </w:pPr>
      <w:r>
        <w:rPr>
          <w:rFonts w:hint="eastAsia" w:ascii="仿宋_GB2312" w:hAnsi="仿宋_GB2312" w:eastAsia="仿宋_GB2312" w:cs="仿宋_GB2312"/>
          <w:sz w:val="32"/>
          <w:szCs w:val="32"/>
          <w:lang w:eastAsia="zh-CN"/>
        </w:rPr>
        <w:t>事故调查组</w:t>
      </w:r>
    </w:p>
    <w:p w14:paraId="20718C6C">
      <w:pPr>
        <w:keepNext w:val="0"/>
        <w:keepLines w:val="0"/>
        <w:pageBreakBefore w:val="0"/>
        <w:widowControl w:val="0"/>
        <w:kinsoku/>
        <w:wordWrap/>
        <w:overflowPunct/>
        <w:topLinePunct w:val="0"/>
        <w:autoSpaceDN/>
        <w:bidi w:val="0"/>
        <w:spacing w:before="120" w:after="120" w:afterLines="50" w:line="460" w:lineRule="exact"/>
        <w:ind w:right="1280" w:firstLine="4800" w:firstLineChars="1500"/>
        <w:jc w:val="both"/>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2026</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w:t>
      </w:r>
      <w:r>
        <w:rPr>
          <w:rFonts w:hint="eastAsia" w:ascii="仿宋_GB2312" w:hAnsi="仿宋_GB2312" w:eastAsia="仿宋_GB2312" w:cs="仿宋_GB2312"/>
          <w:color w:val="000000" w:themeColor="text1"/>
          <w:sz w:val="32"/>
          <w:szCs w:val="32"/>
          <w14:textFill>
            <w14:solidFill>
              <w14:schemeClr w14:val="tx1"/>
            </w14:solidFill>
          </w14:textFill>
        </w:rPr>
        <w:t>日</w:t>
      </w:r>
    </w:p>
    <w:p w14:paraId="43A77449">
      <w:pPr>
        <w:keepNext w:val="0"/>
        <w:keepLines w:val="0"/>
        <w:pageBreakBefore w:val="0"/>
        <w:widowControl w:val="0"/>
        <w:wordWrap/>
        <w:overflowPunct/>
        <w:topLinePunct w:val="0"/>
        <w:bidi w:val="0"/>
        <w:spacing w:line="580" w:lineRule="exact"/>
        <w:jc w:val="both"/>
        <w:outlineLvl w:val="0"/>
        <w:rPr>
          <w:rFonts w:hint="eastAsia" w:ascii="黑体" w:hAnsi="黑体" w:eastAsia="黑体" w:cs="仿宋_GB2312"/>
          <w:sz w:val="32"/>
          <w:szCs w:val="32"/>
        </w:rPr>
      </w:pPr>
      <w:bookmarkStart w:id="45" w:name="_Toc1514736577"/>
    </w:p>
    <w:p w14:paraId="4C011925">
      <w:pPr>
        <w:keepNext w:val="0"/>
        <w:keepLines w:val="0"/>
        <w:pageBreakBefore w:val="0"/>
        <w:widowControl w:val="0"/>
        <w:wordWrap/>
        <w:overflowPunct/>
        <w:topLinePunct w:val="0"/>
        <w:bidi w:val="0"/>
        <w:spacing w:line="580" w:lineRule="exact"/>
        <w:jc w:val="both"/>
        <w:outlineLvl w:val="0"/>
        <w:rPr>
          <w:rFonts w:hint="eastAsia" w:ascii="黑体" w:hAnsi="黑体" w:eastAsia="黑体" w:cs="仿宋_GB2312"/>
          <w:sz w:val="32"/>
          <w:szCs w:val="32"/>
        </w:rPr>
      </w:pPr>
    </w:p>
    <w:p w14:paraId="57E2271F">
      <w:pPr>
        <w:keepNext w:val="0"/>
        <w:keepLines w:val="0"/>
        <w:pageBreakBefore w:val="0"/>
        <w:widowControl w:val="0"/>
        <w:wordWrap/>
        <w:overflowPunct/>
        <w:topLinePunct w:val="0"/>
        <w:bidi w:val="0"/>
        <w:spacing w:line="580" w:lineRule="exact"/>
        <w:jc w:val="both"/>
        <w:outlineLvl w:val="0"/>
        <w:rPr>
          <w:rFonts w:hint="eastAsia" w:ascii="黑体" w:hAnsi="黑体" w:eastAsia="黑体" w:cs="仿宋_GB2312"/>
          <w:sz w:val="32"/>
          <w:szCs w:val="32"/>
        </w:rPr>
      </w:pPr>
      <w:bookmarkStart w:id="46" w:name="_GoBack"/>
      <w:bookmarkEnd w:id="46"/>
    </w:p>
    <w:p w14:paraId="6385E3DF">
      <w:pPr>
        <w:keepNext w:val="0"/>
        <w:keepLines w:val="0"/>
        <w:pageBreakBefore w:val="0"/>
        <w:widowControl w:val="0"/>
        <w:wordWrap/>
        <w:overflowPunct/>
        <w:topLinePunct w:val="0"/>
        <w:bidi w:val="0"/>
        <w:spacing w:line="580" w:lineRule="exact"/>
        <w:jc w:val="both"/>
        <w:outlineLvl w:val="0"/>
        <w:rPr>
          <w:rFonts w:hint="eastAsia" w:ascii="黑体" w:hAnsi="黑体" w:eastAsia="黑体" w:cs="仿宋_GB2312"/>
          <w:sz w:val="32"/>
          <w:szCs w:val="32"/>
        </w:rPr>
      </w:pPr>
    </w:p>
    <w:p w14:paraId="181632AB">
      <w:pPr>
        <w:keepNext w:val="0"/>
        <w:keepLines w:val="0"/>
        <w:pageBreakBefore w:val="0"/>
        <w:widowControl w:val="0"/>
        <w:wordWrap/>
        <w:overflowPunct/>
        <w:topLinePunct w:val="0"/>
        <w:bidi w:val="0"/>
        <w:spacing w:line="580" w:lineRule="exact"/>
        <w:jc w:val="both"/>
        <w:outlineLvl w:val="0"/>
        <w:rPr>
          <w:rFonts w:hint="eastAsia" w:ascii="黑体" w:hAnsi="黑体" w:eastAsia="黑体" w:cs="仿宋_GB2312"/>
          <w:sz w:val="32"/>
          <w:szCs w:val="32"/>
        </w:rPr>
      </w:pPr>
    </w:p>
    <w:p w14:paraId="51C92043">
      <w:pPr>
        <w:keepNext w:val="0"/>
        <w:keepLines w:val="0"/>
        <w:pageBreakBefore w:val="0"/>
        <w:widowControl w:val="0"/>
        <w:wordWrap/>
        <w:overflowPunct/>
        <w:topLinePunct w:val="0"/>
        <w:bidi w:val="0"/>
        <w:spacing w:line="580" w:lineRule="exact"/>
        <w:jc w:val="both"/>
        <w:outlineLvl w:val="0"/>
        <w:rPr>
          <w:rFonts w:hint="eastAsia" w:ascii="黑体" w:hAnsi="黑体" w:eastAsia="黑体" w:cs="仿宋_GB2312"/>
          <w:sz w:val="32"/>
          <w:szCs w:val="32"/>
        </w:rPr>
      </w:pPr>
    </w:p>
    <w:bookmarkEnd w:id="45"/>
    <w:p w14:paraId="34825CBE">
      <w:pPr>
        <w:keepNext w:val="0"/>
        <w:keepLines w:val="0"/>
        <w:pageBreakBefore w:val="0"/>
        <w:widowControl w:val="0"/>
        <w:wordWrap/>
        <w:overflowPunct/>
        <w:topLinePunct w:val="0"/>
        <w:bidi w:val="0"/>
        <w:spacing w:line="580" w:lineRule="exact"/>
        <w:jc w:val="both"/>
        <w:outlineLvl w:val="0"/>
        <w:rPr>
          <w:rFonts w:hint="eastAsia" w:ascii="黑体" w:hAnsi="黑体" w:eastAsia="黑体" w:cs="仿宋_GB2312"/>
          <w:sz w:val="32"/>
          <w:szCs w:val="32"/>
          <w:lang w:eastAsia="zh-CN"/>
        </w:rPr>
      </w:pPr>
    </w:p>
    <w:sectPr>
      <w:footerReference r:id="rId6" w:type="default"/>
      <w:pgSz w:w="11900" w:h="16840"/>
      <w:pgMar w:top="1984" w:right="1474" w:bottom="1985" w:left="1588" w:header="0" w:footer="1134" w:gutter="0"/>
      <w:pgNumType w:fmt="decimal"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文星标宋">
    <w:panose1 w:val="0201060900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8E93F">
    <w:pPr>
      <w:spacing w:line="14" w:lineRule="auto"/>
      <w:rPr>
        <w:sz w:val="2"/>
      </w:rPr>
    </w:pPr>
    <w:r>
      <w:rPr>
        <w:sz w:val="2"/>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E77729">
                          <w:pPr>
                            <w:pStyle w:val="8"/>
                            <w:rPr>
                              <w:rFonts w:ascii="宋体" w:hAnsi="宋体" w:eastAsia="宋体" w:cs="宋体"/>
                              <w:sz w:val="28"/>
                              <w:szCs w:val="28"/>
                              <w:lang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05E77729">
                    <w:pPr>
                      <w:pStyle w:val="8"/>
                      <w:rPr>
                        <w:rFonts w:ascii="宋体" w:hAnsi="宋体" w:eastAsia="宋体" w:cs="宋体"/>
                        <w:sz w:val="28"/>
                        <w:szCs w:val="28"/>
                        <w:lang w:eastAsia="zh-CN"/>
                      </w:rPr>
                    </w:pPr>
                  </w:p>
                </w:txbxContent>
              </v:textbox>
            </v:shape>
          </w:pict>
        </mc:Fallback>
      </mc:AlternateContent>
    </w:r>
    <w:r>
      <w:rPr>
        <w:rFonts w:hint="eastAsia" w:eastAsia="宋体"/>
        <w:sz w:val="2"/>
        <w:lang w:eastAsia="zh-CN"/>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05776">
    <w:pPr>
      <w:spacing w:line="14" w:lineRule="auto"/>
      <w:rPr>
        <w:sz w:val="2"/>
      </w:rPr>
    </w:pPr>
    <w:r>
      <w:rPr>
        <w:sz w:val="2"/>
        <w:lang w:eastAsia="zh-CN"/>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F3121E">
                          <w:pPr>
                            <w:pStyle w:val="8"/>
                            <w:rPr>
                              <w:rFonts w:ascii="宋体" w:hAnsi="宋体" w:eastAsia="宋体" w:cs="宋体"/>
                              <w:sz w:val="28"/>
                              <w:szCs w:val="28"/>
                              <w:lang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70F3121E">
                    <w:pPr>
                      <w:pStyle w:val="8"/>
                      <w:rPr>
                        <w:rFonts w:ascii="宋体" w:hAnsi="宋体" w:eastAsia="宋体" w:cs="宋体"/>
                        <w:sz w:val="28"/>
                        <w:szCs w:val="28"/>
                        <w:lang w:eastAsia="zh-CN"/>
                      </w:rPr>
                    </w:pPr>
                  </w:p>
                </w:txbxContent>
              </v:textbox>
            </v:shape>
          </w:pict>
        </mc:Fallback>
      </mc:AlternateContent>
    </w:r>
    <w:r>
      <w:rPr>
        <w:rFonts w:hint="eastAsia" w:eastAsia="宋体"/>
        <w:sz w:val="2"/>
        <w:lang w:eastAsia="zh-CN"/>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3881C">
    <w:pPr>
      <w:spacing w:line="14" w:lineRule="auto"/>
      <w:rPr>
        <w:sz w:val="2"/>
      </w:rPr>
    </w:pPr>
    <w:r>
      <w:rPr>
        <w:sz w:val="2"/>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0740A4">
                          <w:pPr>
                            <w:pStyle w:val="8"/>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A0740A4">
                    <w:pPr>
                      <w:pStyle w:val="8"/>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r>
      <w:rPr>
        <w:sz w:val="2"/>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D60584">
                          <w:pPr>
                            <w:pStyle w:val="8"/>
                            <w:rPr>
                              <w:rFonts w:ascii="宋体" w:hAnsi="宋体" w:eastAsia="宋体" w:cs="宋体"/>
                              <w:sz w:val="28"/>
                              <w:szCs w:val="28"/>
                              <w:lang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CD60584">
                    <w:pPr>
                      <w:pStyle w:val="8"/>
                      <w:rPr>
                        <w:rFonts w:ascii="宋体" w:hAnsi="宋体" w:eastAsia="宋体" w:cs="宋体"/>
                        <w:sz w:val="28"/>
                        <w:szCs w:val="28"/>
                        <w:lang w:eastAsia="zh-CN"/>
                      </w:rPr>
                    </w:pPr>
                  </w:p>
                </w:txbxContent>
              </v:textbox>
            </v:shape>
          </w:pict>
        </mc:Fallback>
      </mc:AlternateContent>
    </w:r>
    <w:r>
      <w:rPr>
        <w:rFonts w:hint="eastAsia" w:eastAsia="宋体"/>
        <w:sz w:val="2"/>
        <w:lang w:eastAsia="zh-CN"/>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8">
    <w:p>
      <w:r>
        <w:separator/>
      </w:r>
    </w:p>
  </w:footnote>
  <w:footnote w:type="continuationSeparator" w:id="29">
    <w:p>
      <w:r>
        <w:continuationSeparator/>
      </w:r>
    </w:p>
  </w:footnote>
  <w:footnote w:id="0">
    <w:p w14:paraId="7B0642BD">
      <w:pPr>
        <w:pStyle w:val="11"/>
        <w:snapToGrid w:val="0"/>
        <w:rPr>
          <w:rFonts w:hint="default" w:eastAsia="宋体" w:cs="Arial"/>
          <w:snapToGrid w:val="0"/>
          <w:color w:val="000000"/>
          <w:sz w:val="18"/>
          <w:szCs w:val="21"/>
          <w:lang w:val="en-US" w:eastAsia="zh-CN" w:bidi="ar-SA"/>
        </w:rPr>
      </w:pPr>
      <w:r>
        <w:rPr>
          <w:rStyle w:val="20"/>
        </w:rPr>
        <w:t>[</w:t>
      </w:r>
      <w:r>
        <w:rPr>
          <w:rStyle w:val="20"/>
        </w:rPr>
        <w:footnoteRef/>
      </w:r>
      <w:r>
        <w:rPr>
          <w:rStyle w:val="20"/>
        </w:rPr>
        <w:t>]</w:t>
      </w:r>
      <w:r>
        <w:t xml:space="preserve"> </w:t>
      </w:r>
      <w:r>
        <w:rPr>
          <w:rFonts w:hint="eastAsia" w:eastAsia="宋体"/>
          <w:lang w:eastAsia="zh-CN"/>
        </w:rPr>
        <w:t>济</w:t>
      </w:r>
      <w:r>
        <w:rPr>
          <w:rFonts w:hint="eastAsia" w:eastAsia="宋体" w:cs="Arial"/>
          <w:snapToGrid w:val="0"/>
          <w:color w:val="000000"/>
          <w:sz w:val="18"/>
          <w:szCs w:val="21"/>
          <w:lang w:val="en-US" w:eastAsia="zh-CN" w:bidi="ar-SA"/>
        </w:rPr>
        <w:t>南久安酯类化工有限公司2025年10月份安全现状评价报告第25页</w:t>
      </w:r>
    </w:p>
  </w:footnote>
  <w:footnote w:id="1">
    <w:p w14:paraId="4BBB50B0">
      <w:pPr>
        <w:pStyle w:val="11"/>
        <w:snapToGrid w:val="0"/>
        <w:rPr>
          <w:rFonts w:hint="default" w:ascii="Arial" w:hAnsi="Arial" w:eastAsia="宋体" w:cs="Arial"/>
          <w:snapToGrid w:val="0"/>
          <w:color w:val="000000"/>
          <w:sz w:val="18"/>
          <w:szCs w:val="21"/>
          <w:lang w:val="en-US" w:eastAsia="zh-CN" w:bidi="ar-SA"/>
        </w:rPr>
      </w:pPr>
      <w:r>
        <w:rPr>
          <w:rStyle w:val="20"/>
        </w:rPr>
        <w:t>[</w:t>
      </w:r>
      <w:r>
        <w:rPr>
          <w:rStyle w:val="20"/>
        </w:rPr>
        <w:footnoteRef/>
      </w:r>
      <w:r>
        <w:rPr>
          <w:rStyle w:val="20"/>
        </w:rPr>
        <w:t>]</w:t>
      </w:r>
      <w:r>
        <w:t xml:space="preserve"> </w:t>
      </w:r>
      <w:r>
        <w:rPr>
          <w:rFonts w:hint="default" w:ascii="Arial" w:hAnsi="Arial" w:eastAsia="宋体" w:cs="Arial"/>
          <w:snapToGrid w:val="0"/>
          <w:color w:val="000000"/>
          <w:sz w:val="18"/>
          <w:szCs w:val="21"/>
          <w:lang w:val="en-US" w:eastAsia="zh-CN" w:bidi="ar-SA"/>
        </w:rPr>
        <w:t>济南久安酯类化工有限公司</w:t>
      </w:r>
      <w:r>
        <w:rPr>
          <w:rFonts w:hint="eastAsia" w:ascii="Arial" w:hAnsi="Arial" w:eastAsia="宋体" w:cs="Arial"/>
          <w:snapToGrid w:val="0"/>
          <w:color w:val="000000"/>
          <w:sz w:val="18"/>
          <w:szCs w:val="21"/>
          <w:lang w:val="en-US" w:eastAsia="zh-CN" w:bidi="ar-SA"/>
        </w:rPr>
        <w:t>甜菜碱</w:t>
      </w:r>
      <w:r>
        <w:rPr>
          <w:rFonts w:hint="eastAsia" w:eastAsia="宋体" w:cs="Arial"/>
          <w:snapToGrid w:val="0"/>
          <w:color w:val="000000"/>
          <w:sz w:val="18"/>
          <w:szCs w:val="21"/>
          <w:lang w:val="en-US" w:eastAsia="zh-CN" w:bidi="ar-SA"/>
        </w:rPr>
        <w:t>、胆碱岗位安全生产操作规程第2.4.4条：将外购的甜菜碱粗品进入浓缩釜，加入一定比例纯化水。</w:t>
      </w:r>
    </w:p>
  </w:footnote>
  <w:footnote w:id="2">
    <w:p w14:paraId="63985D96">
      <w:pPr>
        <w:pStyle w:val="11"/>
        <w:snapToGrid w:val="0"/>
      </w:pPr>
      <w:r>
        <w:rPr>
          <w:rStyle w:val="20"/>
        </w:rPr>
        <w:t>[</w:t>
      </w:r>
      <w:r>
        <w:rPr>
          <w:rStyle w:val="20"/>
        </w:rPr>
        <w:footnoteRef/>
      </w:r>
      <w:r>
        <w:rPr>
          <w:rStyle w:val="20"/>
        </w:rPr>
        <w:t>]</w:t>
      </w:r>
      <w:r>
        <w:t xml:space="preserve"> </w:t>
      </w:r>
      <w:r>
        <w:rPr>
          <w:rFonts w:hint="default" w:ascii="Arial" w:hAnsi="Arial" w:eastAsia="宋体" w:cs="Arial"/>
          <w:snapToGrid w:val="0"/>
          <w:color w:val="000000"/>
          <w:sz w:val="18"/>
          <w:szCs w:val="21"/>
          <w:lang w:val="en-US" w:eastAsia="zh-CN" w:bidi="ar-SA"/>
        </w:rPr>
        <w:t>济南久安酯类化工有限公司</w:t>
      </w:r>
      <w:r>
        <w:rPr>
          <w:rFonts w:hint="eastAsia" w:eastAsia="宋体" w:cs="Arial"/>
          <w:snapToGrid w:val="0"/>
          <w:color w:val="000000"/>
          <w:sz w:val="18"/>
          <w:szCs w:val="21"/>
          <w:lang w:val="en-US" w:eastAsia="zh-CN" w:bidi="ar-SA"/>
        </w:rPr>
        <w:t>安全现状评价报告25页：3车间生产过程不涉及化学反应，仅为物理过程，三种产品的生产工艺基本相同，以定制的甜菜碱、甜菜碱盐酸盐、工业级尿素为原料，袋装固体原料经吊笼提升至二层平台，计量倒入溶解釜并加入一定比例纯水在溶解釜(R101A/R101B）进行加热溶解。</w:t>
      </w:r>
    </w:p>
  </w:footnote>
  <w:footnote w:id="3">
    <w:p w14:paraId="37349D22">
      <w:pPr>
        <w:pStyle w:val="11"/>
        <w:snapToGrid w:val="0"/>
        <w:rPr>
          <w:rFonts w:hint="default" w:eastAsia="宋体"/>
          <w:lang w:val="en-US" w:eastAsia="zh-CN"/>
        </w:rPr>
      </w:pPr>
      <w:r>
        <w:rPr>
          <w:rStyle w:val="20"/>
        </w:rPr>
        <w:t>[</w:t>
      </w:r>
      <w:r>
        <w:rPr>
          <w:rStyle w:val="20"/>
        </w:rPr>
        <w:footnoteRef/>
      </w:r>
      <w:r>
        <w:rPr>
          <w:rStyle w:val="20"/>
        </w:rPr>
        <w:t>]</w:t>
      </w:r>
      <w:r>
        <w:t xml:space="preserve"> </w:t>
      </w:r>
      <w:r>
        <w:rPr>
          <w:rFonts w:hint="default" w:ascii="Arial" w:hAnsi="Arial" w:eastAsia="宋体" w:cs="Arial"/>
          <w:snapToGrid w:val="0"/>
          <w:color w:val="000000"/>
          <w:sz w:val="18"/>
          <w:szCs w:val="21"/>
          <w:lang w:val="en-US" w:eastAsia="zh-CN" w:bidi="ar-SA"/>
        </w:rPr>
        <w:t>济南久安酯类化工有限公司</w:t>
      </w:r>
      <w:r>
        <w:rPr>
          <w:rFonts w:hint="eastAsia" w:eastAsia="宋体" w:cs="Arial"/>
          <w:snapToGrid w:val="0"/>
          <w:color w:val="000000"/>
          <w:sz w:val="18"/>
          <w:szCs w:val="21"/>
          <w:lang w:val="en-US" w:eastAsia="zh-CN" w:bidi="ar-SA"/>
        </w:rPr>
        <w:t>工艺安全管理制度第5.6条：所有可能影响工艺安全的变更，必须严格履行《变更管理制度》。</w:t>
      </w:r>
    </w:p>
  </w:footnote>
  <w:footnote w:id="4">
    <w:p w14:paraId="058EED98">
      <w:pPr>
        <w:pStyle w:val="11"/>
        <w:snapToGrid w:val="0"/>
      </w:pPr>
      <w:r>
        <w:rPr>
          <w:rStyle w:val="20"/>
        </w:rPr>
        <w:t>[</w:t>
      </w:r>
      <w:r>
        <w:rPr>
          <w:rStyle w:val="20"/>
        </w:rPr>
        <w:footnoteRef/>
      </w:r>
      <w:r>
        <w:rPr>
          <w:rStyle w:val="20"/>
        </w:rPr>
        <w:t>]</w:t>
      </w:r>
      <w:r>
        <w:t xml:space="preserve"> </w:t>
      </w:r>
      <w:r>
        <w:rPr>
          <w:rFonts w:hint="eastAsia" w:eastAsia="宋体"/>
          <w:lang w:eastAsia="zh-CN"/>
        </w:rPr>
        <w:t>《中华人民共和国安全生产法》第四十一条第二款：</w:t>
      </w:r>
      <w:r>
        <w:rPr>
          <w:rFonts w:hint="eastAsia" w:eastAsia="宋体"/>
          <w:sz w:val="18"/>
          <w:lang w:val="en-US" w:eastAsia="zh-CN"/>
        </w:rPr>
        <w:t>生产经营单位应当建立健全并落实生产安全事故隐患排查治理制度，采取技术、管理措施，及时发现并消除事故隐患。</w:t>
      </w:r>
    </w:p>
  </w:footnote>
  <w:footnote w:id="5">
    <w:p w14:paraId="2D1EB20E">
      <w:pPr>
        <w:pStyle w:val="11"/>
        <w:rPr>
          <w:rFonts w:eastAsia="宋体"/>
          <w:lang w:eastAsia="zh-CN"/>
        </w:rPr>
      </w:pPr>
      <w:r>
        <w:rPr>
          <w:rStyle w:val="20"/>
          <w:rFonts w:hint="eastAsia" w:ascii="Times New Roman" w:hAnsi="Times New Roman" w:eastAsia="宋体" w:cs="Times New Roman"/>
          <w:lang w:eastAsia="zh-CN"/>
        </w:rPr>
        <w:t>[</w:t>
      </w:r>
      <w:r>
        <w:rPr>
          <w:rStyle w:val="20"/>
          <w:rFonts w:hint="eastAsia" w:ascii="Times New Roman" w:hAnsi="Times New Roman" w:eastAsia="宋体" w:cs="Times New Roman"/>
          <w:lang w:eastAsia="zh-CN"/>
        </w:rPr>
        <w:footnoteRef/>
      </w:r>
      <w:r>
        <w:rPr>
          <w:rStyle w:val="20"/>
          <w:rFonts w:hint="eastAsia" w:ascii="Times New Roman" w:hAnsi="Times New Roman" w:eastAsia="宋体" w:cs="Times New Roman"/>
          <w:lang w:eastAsia="zh-CN"/>
        </w:rPr>
        <w:t>]</w:t>
      </w:r>
      <w:r>
        <w:rPr>
          <w:rFonts w:hint="eastAsia" w:eastAsia="宋体"/>
          <w:lang w:eastAsia="zh-CN"/>
        </w:rPr>
        <w:t>《中华人民共和国安全生产法》第二十一条：生产经营单位的主要负责人对本单位安全生产工作负有下列职责：（五）督促、检查本单位的安全生产工作，及时消除生产安全事故隐患。</w:t>
      </w:r>
    </w:p>
  </w:footnote>
  <w:footnote w:id="6">
    <w:p w14:paraId="644E19D0">
      <w:pPr>
        <w:pStyle w:val="11"/>
        <w:rPr>
          <w:rFonts w:eastAsia="宋体"/>
          <w:lang w:eastAsia="zh-CN"/>
        </w:rPr>
      </w:pPr>
      <w:r>
        <w:rPr>
          <w:rStyle w:val="20"/>
          <w:rFonts w:hint="eastAsia" w:ascii="Times New Roman" w:hAnsi="Times New Roman" w:eastAsia="宋体" w:cs="Times New Roman"/>
          <w:lang w:eastAsia="zh-CN"/>
        </w:rPr>
        <w:t>[</w:t>
      </w:r>
      <w:r>
        <w:rPr>
          <w:rStyle w:val="20"/>
          <w:rFonts w:hint="eastAsia" w:ascii="Times New Roman" w:hAnsi="Times New Roman" w:eastAsia="宋体" w:cs="Times New Roman"/>
          <w:lang w:eastAsia="zh-CN"/>
        </w:rPr>
        <w:footnoteRef/>
      </w:r>
      <w:r>
        <w:rPr>
          <w:rStyle w:val="20"/>
          <w:rFonts w:hint="eastAsia" w:ascii="Times New Roman" w:hAnsi="Times New Roman" w:eastAsia="宋体" w:cs="Times New Roman"/>
          <w:lang w:eastAsia="zh-CN"/>
        </w:rPr>
        <w:t>]</w:t>
      </w:r>
      <w:r>
        <w:rPr>
          <w:rFonts w:hint="eastAsia" w:eastAsia="宋体"/>
          <w:lang w:eastAsia="zh-CN"/>
        </w:rPr>
        <w:t>《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footnote>
  <w:footnote w:id="7">
    <w:p w14:paraId="24C2612C">
      <w:pPr>
        <w:pStyle w:val="11"/>
        <w:snapToGrid w:val="0"/>
        <w:rPr>
          <w:rFonts w:eastAsia="宋体"/>
          <w:lang w:eastAsia="zh-CN"/>
        </w:rPr>
      </w:pPr>
      <w:r>
        <w:rPr>
          <w:rStyle w:val="20"/>
          <w:rFonts w:hint="eastAsia" w:ascii="Times New Roman" w:hAnsi="Times New Roman" w:eastAsia="宋体" w:cs="Times New Roman"/>
          <w:lang w:eastAsia="zh-CN"/>
        </w:rPr>
        <w:t>[</w:t>
      </w:r>
      <w:r>
        <w:rPr>
          <w:rStyle w:val="20"/>
          <w:rFonts w:hint="eastAsia" w:ascii="Times New Roman" w:hAnsi="Times New Roman" w:eastAsia="宋体" w:cs="Times New Roman"/>
          <w:lang w:eastAsia="zh-CN"/>
        </w:rPr>
        <w:footnoteRef/>
      </w:r>
      <w:r>
        <w:rPr>
          <w:rStyle w:val="20"/>
          <w:rFonts w:hint="eastAsia" w:ascii="Times New Roman" w:hAnsi="Times New Roman" w:eastAsia="宋体" w:cs="Times New Roman"/>
          <w:lang w:eastAsia="zh-CN"/>
        </w:rPr>
        <w:t>]</w:t>
      </w:r>
      <w:r>
        <w:rPr>
          <w:rFonts w:hint="eastAsia" w:ascii="Arial" w:hAnsi="Arial" w:eastAsia="宋体" w:cs="Arial"/>
          <w:snapToGrid w:val="0"/>
          <w:color w:val="000000"/>
          <w:sz w:val="18"/>
          <w:szCs w:val="21"/>
          <w:lang w:val="en-US" w:eastAsia="zh-CN" w:bidi="ar-SA"/>
        </w:rPr>
        <w:t>《中华人民共和国安全生产法》第二十</w:t>
      </w:r>
      <w:r>
        <w:rPr>
          <w:rFonts w:hint="eastAsia" w:eastAsia="宋体" w:cs="Arial"/>
          <w:snapToGrid w:val="0"/>
          <w:color w:val="000000"/>
          <w:sz w:val="18"/>
          <w:szCs w:val="21"/>
          <w:lang w:val="en-US" w:eastAsia="zh-CN" w:bidi="ar-SA"/>
        </w:rPr>
        <w:t>五</w:t>
      </w:r>
      <w:r>
        <w:rPr>
          <w:rFonts w:hint="eastAsia" w:ascii="Arial" w:hAnsi="Arial" w:eastAsia="宋体" w:cs="Arial"/>
          <w:snapToGrid w:val="0"/>
          <w:color w:val="000000"/>
          <w:sz w:val="18"/>
          <w:szCs w:val="21"/>
          <w:lang w:val="en-US" w:eastAsia="zh-CN" w:bidi="ar-SA"/>
        </w:rPr>
        <w:t>条</w:t>
      </w:r>
      <w:r>
        <w:rPr>
          <w:rFonts w:hint="eastAsia" w:eastAsia="宋体" w:cs="Arial"/>
          <w:snapToGrid w:val="0"/>
          <w:color w:val="000000"/>
          <w:sz w:val="18"/>
          <w:szCs w:val="21"/>
          <w:lang w:val="en-US" w:eastAsia="zh-CN" w:bidi="ar-SA"/>
        </w:rPr>
        <w:t>：生产经营单位的安全生产管理机构以及安全生产管理人员履行下列职责：（五）检查本单位的安全生产状况，及时排查生产安全事故隐患，提出改进安全生产管理的建议。</w:t>
      </w:r>
    </w:p>
  </w:footnote>
  <w:footnote w:id="8">
    <w:p w14:paraId="3C17A169">
      <w:pPr>
        <w:pStyle w:val="11"/>
        <w:rPr>
          <w:rFonts w:eastAsia="宋体"/>
          <w:lang w:eastAsia="zh-CN"/>
        </w:rPr>
      </w:pPr>
      <w:r>
        <w:rPr>
          <w:rStyle w:val="20"/>
          <w:rFonts w:hint="eastAsia" w:ascii="Times New Roman" w:hAnsi="Times New Roman" w:eastAsia="宋体" w:cs="Times New Roman"/>
          <w:lang w:eastAsia="zh-CN"/>
        </w:rPr>
        <w:t>[</w:t>
      </w:r>
      <w:r>
        <w:rPr>
          <w:rStyle w:val="20"/>
          <w:rFonts w:hint="eastAsia" w:ascii="Times New Roman" w:hAnsi="Times New Roman" w:eastAsia="宋体" w:cs="Times New Roman"/>
          <w:lang w:eastAsia="zh-CN"/>
        </w:rPr>
        <w:footnoteRef/>
      </w:r>
      <w:r>
        <w:rPr>
          <w:rStyle w:val="20"/>
          <w:rFonts w:hint="eastAsia" w:ascii="Times New Roman" w:hAnsi="Times New Roman" w:eastAsia="宋体" w:cs="Times New Roman"/>
          <w:lang w:eastAsia="zh-CN"/>
        </w:rPr>
        <w:t>]</w:t>
      </w:r>
      <w:r>
        <w:rPr>
          <w:rFonts w:hint="eastAsia" w:eastAsia="宋体"/>
          <w:lang w:eastAsia="zh-CN"/>
        </w:rPr>
        <w:t>《中华人民共和国安全生产法》第九十六条：生产经营单位的其他负责人和安全生产管理人员未履行本法规定的安全生产管理职责的，导致发生生产安全事故的，暂停或者吊销其与安全生产有关的资格，并处上一年年收入百分之二十以上百分之五十以下的罚款；构成犯罪的，依照刑法有关规定追究刑事责任。</w:t>
      </w:r>
    </w:p>
  </w:footnote>
  <w:footnote w:id="9">
    <w:p w14:paraId="2F705866">
      <w:pPr>
        <w:pStyle w:val="11"/>
        <w:rPr>
          <w:rFonts w:eastAsia="宋体"/>
          <w:lang w:eastAsia="zh-CN"/>
        </w:rPr>
      </w:pPr>
      <w:r>
        <w:rPr>
          <w:rStyle w:val="20"/>
          <w:rFonts w:hint="eastAsia" w:ascii="Times New Roman" w:hAnsi="Times New Roman" w:eastAsia="宋体" w:cs="Times New Roman"/>
          <w:lang w:eastAsia="zh-CN"/>
        </w:rPr>
        <w:t>[</w:t>
      </w:r>
      <w:r>
        <w:rPr>
          <w:rStyle w:val="20"/>
          <w:rFonts w:hint="eastAsia" w:ascii="Times New Roman" w:hAnsi="Times New Roman" w:eastAsia="宋体" w:cs="Times New Roman"/>
          <w:lang w:eastAsia="zh-CN"/>
        </w:rPr>
        <w:footnoteRef/>
      </w:r>
      <w:r>
        <w:rPr>
          <w:rStyle w:val="20"/>
          <w:rFonts w:hint="eastAsia" w:ascii="Times New Roman" w:hAnsi="Times New Roman" w:eastAsia="宋体" w:cs="Times New Roman"/>
          <w:lang w:eastAsia="zh-CN"/>
        </w:rPr>
        <w:t>]</w:t>
      </w:r>
      <w:r>
        <w:rPr>
          <w:rFonts w:hint="eastAsia" w:eastAsia="宋体"/>
          <w:lang w:eastAsia="zh-CN"/>
        </w:rPr>
        <w:t>《生产安全事故罚款处罚规定》第二十条：事故发生单位其他负责人和安全生产管理人员未依法履行安全生产管理职责，导致事故发生的，依照下列规定处以罚款：</w:t>
      </w:r>
      <w:r>
        <w:rPr>
          <w:rFonts w:eastAsia="宋体"/>
          <w:lang w:eastAsia="zh-CN"/>
        </w:rPr>
        <w:t>（一）发生一般事故的，处上一年年收入20％至30%的罚款</w:t>
      </w:r>
      <w:r>
        <w:rPr>
          <w:rFonts w:hint="eastAsia" w:eastAsia="宋体"/>
          <w:lang w:eastAsia="zh-CN"/>
        </w:rPr>
        <w:t>。</w:t>
      </w:r>
    </w:p>
  </w:footnote>
  <w:footnote w:id="10">
    <w:p w14:paraId="3A717450">
      <w:pPr>
        <w:pStyle w:val="11"/>
        <w:rPr>
          <w:rFonts w:hint="eastAsia" w:eastAsia="宋体"/>
          <w:lang w:eastAsia="zh-CN"/>
        </w:rPr>
      </w:pPr>
      <w:r>
        <w:rPr>
          <w:rStyle w:val="20"/>
          <w:rFonts w:hint="eastAsia" w:ascii="Times New Roman" w:hAnsi="Times New Roman" w:eastAsia="宋体" w:cs="Times New Roman"/>
          <w:lang w:eastAsia="zh-CN"/>
        </w:rPr>
        <w:t>[</w:t>
      </w:r>
      <w:r>
        <w:rPr>
          <w:rStyle w:val="20"/>
          <w:rFonts w:hint="eastAsia" w:ascii="Times New Roman" w:hAnsi="Times New Roman" w:eastAsia="宋体" w:cs="Times New Roman"/>
          <w:lang w:eastAsia="zh-CN"/>
        </w:rPr>
        <w:footnoteRef/>
      </w:r>
      <w:r>
        <w:rPr>
          <w:rStyle w:val="20"/>
          <w:rFonts w:hint="eastAsia" w:ascii="Times New Roman" w:hAnsi="Times New Roman" w:eastAsia="宋体" w:cs="Times New Roman"/>
          <w:lang w:eastAsia="zh-CN"/>
        </w:rPr>
        <w:t>]</w:t>
      </w:r>
      <w:r>
        <w:rPr>
          <w:rFonts w:hint="eastAsia" w:eastAsia="宋体"/>
          <w:lang w:eastAsia="zh-CN"/>
        </w:rPr>
        <w:t>《中华人民共和国安全生产法》第四十一条第二款：生产经营单位应当建立健全并落实生产安全事故隐患排查治理制度，采取技术、管理措施，及时发现并消除事故隐患。</w:t>
      </w:r>
    </w:p>
  </w:footnote>
  <w:footnote w:id="11">
    <w:p w14:paraId="57EBCE18">
      <w:pPr>
        <w:pStyle w:val="11"/>
        <w:snapToGrid w:val="0"/>
      </w:pPr>
      <w:r>
        <w:rPr>
          <w:rStyle w:val="20"/>
        </w:rPr>
        <w:t>[</w:t>
      </w:r>
      <w:r>
        <w:rPr>
          <w:rStyle w:val="20"/>
        </w:rPr>
        <w:footnoteRef/>
      </w:r>
      <w:r>
        <w:rPr>
          <w:rStyle w:val="20"/>
        </w:rPr>
        <w:t>]</w:t>
      </w:r>
      <w:r>
        <w:t xml:space="preserve"> </w:t>
      </w:r>
      <w:r>
        <w:rPr>
          <w:rFonts w:hint="eastAsia" w:eastAsia="宋体"/>
          <w:lang w:eastAsia="zh-CN"/>
        </w:rPr>
        <w:t>《山东省安全生产条例》第三十条：</w:t>
      </w:r>
      <w:r>
        <w:rPr>
          <w:rFonts w:hint="eastAsia" w:eastAsia="宋体"/>
          <w:lang w:val="en-US" w:eastAsia="zh-CN"/>
        </w:rPr>
        <w:t>生产经营单位应当依法保障从业人员的生命安全，不得有下列行为（三）违反操作规程、生产工艺、技术标准或者安全管理规定组织作业。</w:t>
      </w:r>
    </w:p>
  </w:footnote>
  <w:footnote w:id="12">
    <w:p w14:paraId="5D55DAC0">
      <w:pPr>
        <w:pStyle w:val="11"/>
        <w:rPr>
          <w:rFonts w:hint="eastAsia" w:eastAsia="宋体"/>
          <w:lang w:eastAsia="zh-CN"/>
        </w:rPr>
      </w:pPr>
      <w:r>
        <w:rPr>
          <w:rStyle w:val="20"/>
          <w:rFonts w:hint="eastAsia" w:ascii="Times New Roman" w:hAnsi="Times New Roman" w:eastAsia="宋体" w:cs="Times New Roman"/>
          <w:lang w:eastAsia="zh-CN"/>
        </w:rPr>
        <w:t>[</w:t>
      </w:r>
      <w:r>
        <w:rPr>
          <w:rStyle w:val="20"/>
          <w:rFonts w:hint="eastAsia" w:ascii="Times New Roman" w:hAnsi="Times New Roman" w:eastAsia="宋体" w:cs="Times New Roman"/>
          <w:lang w:eastAsia="zh-CN"/>
        </w:rPr>
        <w:footnoteRef/>
      </w:r>
      <w:r>
        <w:rPr>
          <w:rStyle w:val="20"/>
          <w:rFonts w:hint="eastAsia" w:ascii="Times New Roman" w:hAnsi="Times New Roman" w:eastAsia="宋体" w:cs="Times New Roman"/>
          <w:lang w:eastAsia="zh-CN"/>
        </w:rPr>
        <w:t>]</w:t>
      </w:r>
      <w:r>
        <w:rPr>
          <w:rFonts w:hint="eastAsia" w:eastAsia="宋体"/>
          <w:lang w:eastAsia="zh-CN"/>
        </w:rPr>
        <w:t>《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footnote>
  <w:footnote w:id="13">
    <w:p w14:paraId="1DD0661A">
      <w:pPr>
        <w:pStyle w:val="11"/>
        <w:rPr>
          <w:rFonts w:hint="eastAsia" w:eastAsia="宋体"/>
          <w:lang w:eastAsia="zh-CN"/>
        </w:rPr>
      </w:pPr>
      <w:r>
        <w:rPr>
          <w:rStyle w:val="20"/>
          <w:rFonts w:hint="eastAsia" w:ascii="Times New Roman" w:hAnsi="Times New Roman" w:eastAsia="宋体" w:cs="Times New Roman"/>
          <w:lang w:eastAsia="zh-CN"/>
        </w:rPr>
        <w:t>[</w:t>
      </w:r>
      <w:r>
        <w:rPr>
          <w:rStyle w:val="20"/>
          <w:rFonts w:hint="eastAsia" w:ascii="Times New Roman" w:hAnsi="Times New Roman" w:eastAsia="宋体" w:cs="Times New Roman"/>
          <w:lang w:eastAsia="zh-CN"/>
        </w:rPr>
        <w:footnoteRef/>
      </w:r>
      <w:r>
        <w:rPr>
          <w:rStyle w:val="20"/>
          <w:rFonts w:hint="eastAsia" w:ascii="Times New Roman" w:hAnsi="Times New Roman" w:eastAsia="宋体" w:cs="Times New Roman"/>
          <w:lang w:eastAsia="zh-CN"/>
        </w:rPr>
        <w:t>]</w:t>
      </w:r>
      <w:r>
        <w:rPr>
          <w:rFonts w:hint="eastAsia" w:eastAsia="宋体"/>
          <w:lang w:eastAsia="zh-CN"/>
        </w:rPr>
        <w:t>《生产安全事故罚款处罚规定》第十四条第一项：事故发生单位对一般事故负有责任的，依照下列规定处以罚款：（一）</w:t>
      </w:r>
      <w:r>
        <w:rPr>
          <w:rFonts w:hint="eastAsia" w:eastAsia="宋体"/>
          <w:lang w:val="en-US" w:eastAsia="zh-CN"/>
        </w:rPr>
        <w:t>造成3人以下重伤，或者300万元以下直接经济损失的，处30万元以上50万元以下的罚款。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28"/>
    <w:footnote w:id="29"/>
  </w:footnotePr>
  <w:compat>
    <w:spaceForUL/>
    <w:ulTrailSpace/>
    <w:doNotExpandShiftReturn/>
    <w:doNotWrapTextWithPunct/>
    <w:doNotUseEastAsianBreakRules/>
    <w:useFELayout/>
    <w:doNotUseIndentAsNumberingTabStop/>
    <w:compatSetting w:name="compatibilityMode" w:uri="http://schemas.microsoft.com/office/word" w:val="14"/>
  </w:compat>
  <w:rsids>
    <w:rsidRoot w:val="00743D83"/>
    <w:rsid w:val="00001643"/>
    <w:rsid w:val="000036D0"/>
    <w:rsid w:val="000052AA"/>
    <w:rsid w:val="000127CA"/>
    <w:rsid w:val="0001404D"/>
    <w:rsid w:val="00015A0A"/>
    <w:rsid w:val="00017533"/>
    <w:rsid w:val="00017670"/>
    <w:rsid w:val="00022AA5"/>
    <w:rsid w:val="000239A6"/>
    <w:rsid w:val="000268DB"/>
    <w:rsid w:val="00026F64"/>
    <w:rsid w:val="00030212"/>
    <w:rsid w:val="000329C0"/>
    <w:rsid w:val="00034003"/>
    <w:rsid w:val="00044415"/>
    <w:rsid w:val="00045E59"/>
    <w:rsid w:val="000663EF"/>
    <w:rsid w:val="00073ADB"/>
    <w:rsid w:val="0007521E"/>
    <w:rsid w:val="00076A71"/>
    <w:rsid w:val="00076C44"/>
    <w:rsid w:val="00077987"/>
    <w:rsid w:val="000833D4"/>
    <w:rsid w:val="00090862"/>
    <w:rsid w:val="0009210F"/>
    <w:rsid w:val="00092328"/>
    <w:rsid w:val="00092D69"/>
    <w:rsid w:val="000931C6"/>
    <w:rsid w:val="00094B04"/>
    <w:rsid w:val="000957BA"/>
    <w:rsid w:val="000963BE"/>
    <w:rsid w:val="000972DA"/>
    <w:rsid w:val="000B1825"/>
    <w:rsid w:val="000B1D9E"/>
    <w:rsid w:val="000B57D0"/>
    <w:rsid w:val="000C4095"/>
    <w:rsid w:val="000C4698"/>
    <w:rsid w:val="000C7026"/>
    <w:rsid w:val="000D330E"/>
    <w:rsid w:val="000F4B72"/>
    <w:rsid w:val="0010032A"/>
    <w:rsid w:val="00103859"/>
    <w:rsid w:val="00104F00"/>
    <w:rsid w:val="00105EEC"/>
    <w:rsid w:val="001101D0"/>
    <w:rsid w:val="00110592"/>
    <w:rsid w:val="00114B87"/>
    <w:rsid w:val="00114D03"/>
    <w:rsid w:val="00124DDD"/>
    <w:rsid w:val="00126809"/>
    <w:rsid w:val="00126832"/>
    <w:rsid w:val="00130E35"/>
    <w:rsid w:val="00135617"/>
    <w:rsid w:val="001430F2"/>
    <w:rsid w:val="00143D8B"/>
    <w:rsid w:val="00143ECC"/>
    <w:rsid w:val="00144913"/>
    <w:rsid w:val="00144914"/>
    <w:rsid w:val="001459C1"/>
    <w:rsid w:val="00145DDB"/>
    <w:rsid w:val="00156B5E"/>
    <w:rsid w:val="00160CBF"/>
    <w:rsid w:val="00162C4C"/>
    <w:rsid w:val="00174587"/>
    <w:rsid w:val="00180633"/>
    <w:rsid w:val="0019091A"/>
    <w:rsid w:val="0019448A"/>
    <w:rsid w:val="001945B1"/>
    <w:rsid w:val="00197B5B"/>
    <w:rsid w:val="001A761D"/>
    <w:rsid w:val="001A7DD8"/>
    <w:rsid w:val="001B0D6F"/>
    <w:rsid w:val="001B3305"/>
    <w:rsid w:val="001B4BE3"/>
    <w:rsid w:val="001B7FB2"/>
    <w:rsid w:val="001C7A30"/>
    <w:rsid w:val="001D0E30"/>
    <w:rsid w:val="001D2675"/>
    <w:rsid w:val="001D47C9"/>
    <w:rsid w:val="001E635B"/>
    <w:rsid w:val="001F0428"/>
    <w:rsid w:val="001F1D2C"/>
    <w:rsid w:val="001F1F60"/>
    <w:rsid w:val="001F7BFD"/>
    <w:rsid w:val="00204208"/>
    <w:rsid w:val="0020604E"/>
    <w:rsid w:val="002066A9"/>
    <w:rsid w:val="002070DB"/>
    <w:rsid w:val="0021359C"/>
    <w:rsid w:val="00213CA3"/>
    <w:rsid w:val="0021669C"/>
    <w:rsid w:val="0021783C"/>
    <w:rsid w:val="002215BF"/>
    <w:rsid w:val="00222E9B"/>
    <w:rsid w:val="00222F0F"/>
    <w:rsid w:val="002265E2"/>
    <w:rsid w:val="00230CB2"/>
    <w:rsid w:val="002326E7"/>
    <w:rsid w:val="002358AE"/>
    <w:rsid w:val="00235FD7"/>
    <w:rsid w:val="002416DE"/>
    <w:rsid w:val="00255F19"/>
    <w:rsid w:val="00261C28"/>
    <w:rsid w:val="00265CC1"/>
    <w:rsid w:val="00267184"/>
    <w:rsid w:val="00267244"/>
    <w:rsid w:val="002700AA"/>
    <w:rsid w:val="002868DA"/>
    <w:rsid w:val="00287E5F"/>
    <w:rsid w:val="002947B4"/>
    <w:rsid w:val="00295E3C"/>
    <w:rsid w:val="00296A67"/>
    <w:rsid w:val="00297A12"/>
    <w:rsid w:val="002A6ECF"/>
    <w:rsid w:val="002B10BC"/>
    <w:rsid w:val="002B1BD9"/>
    <w:rsid w:val="002B7C1F"/>
    <w:rsid w:val="002C1538"/>
    <w:rsid w:val="002C51A9"/>
    <w:rsid w:val="002D0410"/>
    <w:rsid w:val="002D1703"/>
    <w:rsid w:val="002E3FC6"/>
    <w:rsid w:val="002E4D8D"/>
    <w:rsid w:val="002E75E3"/>
    <w:rsid w:val="002F0429"/>
    <w:rsid w:val="002F0D0D"/>
    <w:rsid w:val="00303D8C"/>
    <w:rsid w:val="00311214"/>
    <w:rsid w:val="00322EB9"/>
    <w:rsid w:val="00325877"/>
    <w:rsid w:val="00325FDF"/>
    <w:rsid w:val="00326582"/>
    <w:rsid w:val="00326A5B"/>
    <w:rsid w:val="00332D7F"/>
    <w:rsid w:val="0033450E"/>
    <w:rsid w:val="0034425F"/>
    <w:rsid w:val="00347B54"/>
    <w:rsid w:val="00347E9C"/>
    <w:rsid w:val="0035172B"/>
    <w:rsid w:val="00353CC9"/>
    <w:rsid w:val="00357807"/>
    <w:rsid w:val="003623A6"/>
    <w:rsid w:val="003665C0"/>
    <w:rsid w:val="00367A49"/>
    <w:rsid w:val="00383C47"/>
    <w:rsid w:val="00384058"/>
    <w:rsid w:val="00387CBE"/>
    <w:rsid w:val="003923F6"/>
    <w:rsid w:val="00392A16"/>
    <w:rsid w:val="003936B5"/>
    <w:rsid w:val="003A0ACD"/>
    <w:rsid w:val="003A5ECD"/>
    <w:rsid w:val="003B66EA"/>
    <w:rsid w:val="003C30D7"/>
    <w:rsid w:val="003C4771"/>
    <w:rsid w:val="003C50C1"/>
    <w:rsid w:val="003C67BB"/>
    <w:rsid w:val="003E2AE6"/>
    <w:rsid w:val="003E70F4"/>
    <w:rsid w:val="00407796"/>
    <w:rsid w:val="00420123"/>
    <w:rsid w:val="00420A70"/>
    <w:rsid w:val="00420D27"/>
    <w:rsid w:val="00421234"/>
    <w:rsid w:val="00422443"/>
    <w:rsid w:val="00423FA0"/>
    <w:rsid w:val="004256DD"/>
    <w:rsid w:val="00430181"/>
    <w:rsid w:val="00437AC0"/>
    <w:rsid w:val="00443FA1"/>
    <w:rsid w:val="0044689E"/>
    <w:rsid w:val="00450EAB"/>
    <w:rsid w:val="00455CB9"/>
    <w:rsid w:val="004633CF"/>
    <w:rsid w:val="00485441"/>
    <w:rsid w:val="00491729"/>
    <w:rsid w:val="00496840"/>
    <w:rsid w:val="00496E95"/>
    <w:rsid w:val="004A66D6"/>
    <w:rsid w:val="004A7A17"/>
    <w:rsid w:val="004B025E"/>
    <w:rsid w:val="004B507B"/>
    <w:rsid w:val="004B50CC"/>
    <w:rsid w:val="004C0110"/>
    <w:rsid w:val="004C41CC"/>
    <w:rsid w:val="004C5B4A"/>
    <w:rsid w:val="004C6BFD"/>
    <w:rsid w:val="004C72A7"/>
    <w:rsid w:val="004D33BD"/>
    <w:rsid w:val="004D3A78"/>
    <w:rsid w:val="004E20DA"/>
    <w:rsid w:val="004E3973"/>
    <w:rsid w:val="004F3C00"/>
    <w:rsid w:val="004F4C92"/>
    <w:rsid w:val="004F58F2"/>
    <w:rsid w:val="00500B32"/>
    <w:rsid w:val="005027A6"/>
    <w:rsid w:val="0051280D"/>
    <w:rsid w:val="00515D18"/>
    <w:rsid w:val="0051698A"/>
    <w:rsid w:val="005209D6"/>
    <w:rsid w:val="00521A24"/>
    <w:rsid w:val="00526CE8"/>
    <w:rsid w:val="00532A8E"/>
    <w:rsid w:val="00533209"/>
    <w:rsid w:val="0053632C"/>
    <w:rsid w:val="00540D75"/>
    <w:rsid w:val="00543581"/>
    <w:rsid w:val="00550036"/>
    <w:rsid w:val="00551E5B"/>
    <w:rsid w:val="00563710"/>
    <w:rsid w:val="0056505A"/>
    <w:rsid w:val="005658A0"/>
    <w:rsid w:val="0057181B"/>
    <w:rsid w:val="00575732"/>
    <w:rsid w:val="005777F4"/>
    <w:rsid w:val="005A407C"/>
    <w:rsid w:val="005A6F07"/>
    <w:rsid w:val="005B2F6B"/>
    <w:rsid w:val="005B73A4"/>
    <w:rsid w:val="005C2969"/>
    <w:rsid w:val="005C45B9"/>
    <w:rsid w:val="005C63D6"/>
    <w:rsid w:val="005D1079"/>
    <w:rsid w:val="005D5890"/>
    <w:rsid w:val="005D5F89"/>
    <w:rsid w:val="005E06C4"/>
    <w:rsid w:val="005E1973"/>
    <w:rsid w:val="005E23F9"/>
    <w:rsid w:val="005E738A"/>
    <w:rsid w:val="005E784D"/>
    <w:rsid w:val="005F4D1C"/>
    <w:rsid w:val="00603F7C"/>
    <w:rsid w:val="006049B3"/>
    <w:rsid w:val="006215FC"/>
    <w:rsid w:val="00621F35"/>
    <w:rsid w:val="00622A5C"/>
    <w:rsid w:val="0062393D"/>
    <w:rsid w:val="00624015"/>
    <w:rsid w:val="00624CB6"/>
    <w:rsid w:val="00625911"/>
    <w:rsid w:val="0062655E"/>
    <w:rsid w:val="0062790F"/>
    <w:rsid w:val="00631928"/>
    <w:rsid w:val="006330B8"/>
    <w:rsid w:val="00637A7F"/>
    <w:rsid w:val="00642444"/>
    <w:rsid w:val="006455EA"/>
    <w:rsid w:val="00645E2B"/>
    <w:rsid w:val="00647D46"/>
    <w:rsid w:val="006532D3"/>
    <w:rsid w:val="006551D5"/>
    <w:rsid w:val="00655971"/>
    <w:rsid w:val="00656FD1"/>
    <w:rsid w:val="00657773"/>
    <w:rsid w:val="006602D8"/>
    <w:rsid w:val="006604BC"/>
    <w:rsid w:val="00665681"/>
    <w:rsid w:val="00667636"/>
    <w:rsid w:val="006748C0"/>
    <w:rsid w:val="00675F3B"/>
    <w:rsid w:val="00681553"/>
    <w:rsid w:val="00681C42"/>
    <w:rsid w:val="006838A0"/>
    <w:rsid w:val="0068410B"/>
    <w:rsid w:val="00691993"/>
    <w:rsid w:val="006962AF"/>
    <w:rsid w:val="006A118B"/>
    <w:rsid w:val="006A2CC0"/>
    <w:rsid w:val="006A7D1F"/>
    <w:rsid w:val="006B6225"/>
    <w:rsid w:val="006C6005"/>
    <w:rsid w:val="006D11C9"/>
    <w:rsid w:val="006D1ED0"/>
    <w:rsid w:val="006D4302"/>
    <w:rsid w:val="006D52C2"/>
    <w:rsid w:val="006E5E4C"/>
    <w:rsid w:val="006E7BE4"/>
    <w:rsid w:val="006F1AB2"/>
    <w:rsid w:val="00700932"/>
    <w:rsid w:val="00706031"/>
    <w:rsid w:val="00710572"/>
    <w:rsid w:val="007208BE"/>
    <w:rsid w:val="00724356"/>
    <w:rsid w:val="007247C8"/>
    <w:rsid w:val="0073075B"/>
    <w:rsid w:val="00731A8B"/>
    <w:rsid w:val="00735307"/>
    <w:rsid w:val="007427F0"/>
    <w:rsid w:val="00742D50"/>
    <w:rsid w:val="00743D83"/>
    <w:rsid w:val="00745254"/>
    <w:rsid w:val="007505BA"/>
    <w:rsid w:val="00762278"/>
    <w:rsid w:val="007652E5"/>
    <w:rsid w:val="00775391"/>
    <w:rsid w:val="0077642F"/>
    <w:rsid w:val="00783979"/>
    <w:rsid w:val="00794D05"/>
    <w:rsid w:val="0079510D"/>
    <w:rsid w:val="00795E52"/>
    <w:rsid w:val="00797667"/>
    <w:rsid w:val="007A25AB"/>
    <w:rsid w:val="007A71BA"/>
    <w:rsid w:val="007A74FA"/>
    <w:rsid w:val="007A7FF3"/>
    <w:rsid w:val="007C0A96"/>
    <w:rsid w:val="007C26C5"/>
    <w:rsid w:val="007D1975"/>
    <w:rsid w:val="007D350E"/>
    <w:rsid w:val="007D37D2"/>
    <w:rsid w:val="007E2F35"/>
    <w:rsid w:val="007E7EAE"/>
    <w:rsid w:val="007F55AD"/>
    <w:rsid w:val="007F70DD"/>
    <w:rsid w:val="00800385"/>
    <w:rsid w:val="00801C57"/>
    <w:rsid w:val="008024AB"/>
    <w:rsid w:val="008041C3"/>
    <w:rsid w:val="008058D6"/>
    <w:rsid w:val="0080645C"/>
    <w:rsid w:val="00806FCE"/>
    <w:rsid w:val="00813957"/>
    <w:rsid w:val="0082609F"/>
    <w:rsid w:val="00826ACF"/>
    <w:rsid w:val="00830A9B"/>
    <w:rsid w:val="00834997"/>
    <w:rsid w:val="0083704B"/>
    <w:rsid w:val="0083788C"/>
    <w:rsid w:val="00840AA8"/>
    <w:rsid w:val="008456B2"/>
    <w:rsid w:val="00846436"/>
    <w:rsid w:val="008516E2"/>
    <w:rsid w:val="00851916"/>
    <w:rsid w:val="008526B1"/>
    <w:rsid w:val="00861E3C"/>
    <w:rsid w:val="00862448"/>
    <w:rsid w:val="008628AA"/>
    <w:rsid w:val="00865161"/>
    <w:rsid w:val="008658D8"/>
    <w:rsid w:val="00867304"/>
    <w:rsid w:val="0087226B"/>
    <w:rsid w:val="00884476"/>
    <w:rsid w:val="008862F8"/>
    <w:rsid w:val="0088714C"/>
    <w:rsid w:val="00890525"/>
    <w:rsid w:val="0089333D"/>
    <w:rsid w:val="00896D77"/>
    <w:rsid w:val="008A0D86"/>
    <w:rsid w:val="008A3CEA"/>
    <w:rsid w:val="008A6473"/>
    <w:rsid w:val="008C2F68"/>
    <w:rsid w:val="008C37EA"/>
    <w:rsid w:val="008C72AE"/>
    <w:rsid w:val="008D2A17"/>
    <w:rsid w:val="008F2893"/>
    <w:rsid w:val="008F418A"/>
    <w:rsid w:val="008F72AB"/>
    <w:rsid w:val="008F7B0F"/>
    <w:rsid w:val="00900938"/>
    <w:rsid w:val="009114B3"/>
    <w:rsid w:val="009119F9"/>
    <w:rsid w:val="00913776"/>
    <w:rsid w:val="0091765F"/>
    <w:rsid w:val="00923581"/>
    <w:rsid w:val="00930591"/>
    <w:rsid w:val="009309FC"/>
    <w:rsid w:val="00931A36"/>
    <w:rsid w:val="00934D2D"/>
    <w:rsid w:val="00941290"/>
    <w:rsid w:val="00950B60"/>
    <w:rsid w:val="0095335F"/>
    <w:rsid w:val="00954695"/>
    <w:rsid w:val="00961E92"/>
    <w:rsid w:val="00964603"/>
    <w:rsid w:val="00965715"/>
    <w:rsid w:val="00973579"/>
    <w:rsid w:val="00975242"/>
    <w:rsid w:val="00982294"/>
    <w:rsid w:val="009850EC"/>
    <w:rsid w:val="009855E0"/>
    <w:rsid w:val="009870AD"/>
    <w:rsid w:val="00995683"/>
    <w:rsid w:val="00996FEC"/>
    <w:rsid w:val="009A22AC"/>
    <w:rsid w:val="009A5920"/>
    <w:rsid w:val="009A6AB2"/>
    <w:rsid w:val="009B2622"/>
    <w:rsid w:val="009B7171"/>
    <w:rsid w:val="009C0978"/>
    <w:rsid w:val="009D0CFC"/>
    <w:rsid w:val="009D2B57"/>
    <w:rsid w:val="009D2F29"/>
    <w:rsid w:val="009D3E30"/>
    <w:rsid w:val="009D43CF"/>
    <w:rsid w:val="009D50C7"/>
    <w:rsid w:val="009E0EFC"/>
    <w:rsid w:val="009E22E6"/>
    <w:rsid w:val="009E29AA"/>
    <w:rsid w:val="009E47CC"/>
    <w:rsid w:val="009E5FB5"/>
    <w:rsid w:val="009F73CA"/>
    <w:rsid w:val="00A02F6F"/>
    <w:rsid w:val="00A037BB"/>
    <w:rsid w:val="00A10D20"/>
    <w:rsid w:val="00A12288"/>
    <w:rsid w:val="00A14B8B"/>
    <w:rsid w:val="00A14BB9"/>
    <w:rsid w:val="00A151D9"/>
    <w:rsid w:val="00A15577"/>
    <w:rsid w:val="00A15CB2"/>
    <w:rsid w:val="00A17912"/>
    <w:rsid w:val="00A20293"/>
    <w:rsid w:val="00A216BF"/>
    <w:rsid w:val="00A249FD"/>
    <w:rsid w:val="00A27CE4"/>
    <w:rsid w:val="00A32072"/>
    <w:rsid w:val="00A32F4C"/>
    <w:rsid w:val="00A40DAB"/>
    <w:rsid w:val="00A412AD"/>
    <w:rsid w:val="00A41833"/>
    <w:rsid w:val="00A41A2F"/>
    <w:rsid w:val="00A5643F"/>
    <w:rsid w:val="00A612E0"/>
    <w:rsid w:val="00A66612"/>
    <w:rsid w:val="00A67410"/>
    <w:rsid w:val="00A71C97"/>
    <w:rsid w:val="00A7222E"/>
    <w:rsid w:val="00A743F4"/>
    <w:rsid w:val="00A870E9"/>
    <w:rsid w:val="00A87F4F"/>
    <w:rsid w:val="00A96178"/>
    <w:rsid w:val="00A96E88"/>
    <w:rsid w:val="00AA0718"/>
    <w:rsid w:val="00AA2C44"/>
    <w:rsid w:val="00AA6341"/>
    <w:rsid w:val="00AA7CC3"/>
    <w:rsid w:val="00AB2B98"/>
    <w:rsid w:val="00AC1E47"/>
    <w:rsid w:val="00AC26D5"/>
    <w:rsid w:val="00AC3DE7"/>
    <w:rsid w:val="00AC722C"/>
    <w:rsid w:val="00AD28C0"/>
    <w:rsid w:val="00AD6C6E"/>
    <w:rsid w:val="00AD6F22"/>
    <w:rsid w:val="00AE0A7D"/>
    <w:rsid w:val="00AE4665"/>
    <w:rsid w:val="00AE47DE"/>
    <w:rsid w:val="00AE4F0E"/>
    <w:rsid w:val="00AE60E2"/>
    <w:rsid w:val="00AE64C9"/>
    <w:rsid w:val="00AE6B2E"/>
    <w:rsid w:val="00AF2587"/>
    <w:rsid w:val="00AF3E52"/>
    <w:rsid w:val="00AF6F22"/>
    <w:rsid w:val="00B00995"/>
    <w:rsid w:val="00B02F49"/>
    <w:rsid w:val="00B03A09"/>
    <w:rsid w:val="00B04FEC"/>
    <w:rsid w:val="00B05BB9"/>
    <w:rsid w:val="00B142C8"/>
    <w:rsid w:val="00B149BC"/>
    <w:rsid w:val="00B21804"/>
    <w:rsid w:val="00B22719"/>
    <w:rsid w:val="00B26DF0"/>
    <w:rsid w:val="00B313B4"/>
    <w:rsid w:val="00B3198C"/>
    <w:rsid w:val="00B349DC"/>
    <w:rsid w:val="00B34E6C"/>
    <w:rsid w:val="00B36190"/>
    <w:rsid w:val="00B45144"/>
    <w:rsid w:val="00B543AA"/>
    <w:rsid w:val="00B5681D"/>
    <w:rsid w:val="00B61A8D"/>
    <w:rsid w:val="00B631DD"/>
    <w:rsid w:val="00B66007"/>
    <w:rsid w:val="00B662FD"/>
    <w:rsid w:val="00B67B90"/>
    <w:rsid w:val="00B712A8"/>
    <w:rsid w:val="00B73C5D"/>
    <w:rsid w:val="00B75D1C"/>
    <w:rsid w:val="00B7671F"/>
    <w:rsid w:val="00B76C17"/>
    <w:rsid w:val="00B81A33"/>
    <w:rsid w:val="00B86C58"/>
    <w:rsid w:val="00B9309B"/>
    <w:rsid w:val="00B9397F"/>
    <w:rsid w:val="00BA10AB"/>
    <w:rsid w:val="00BB0F54"/>
    <w:rsid w:val="00BB221B"/>
    <w:rsid w:val="00BB2D63"/>
    <w:rsid w:val="00BB47E7"/>
    <w:rsid w:val="00BB5DC4"/>
    <w:rsid w:val="00BC2640"/>
    <w:rsid w:val="00BC4C44"/>
    <w:rsid w:val="00BD0AF4"/>
    <w:rsid w:val="00BE4B5D"/>
    <w:rsid w:val="00BF288F"/>
    <w:rsid w:val="00BF3CCA"/>
    <w:rsid w:val="00C07D05"/>
    <w:rsid w:val="00C10030"/>
    <w:rsid w:val="00C126F4"/>
    <w:rsid w:val="00C16B98"/>
    <w:rsid w:val="00C17388"/>
    <w:rsid w:val="00C210E6"/>
    <w:rsid w:val="00C2127A"/>
    <w:rsid w:val="00C214B7"/>
    <w:rsid w:val="00C27EE9"/>
    <w:rsid w:val="00C31B16"/>
    <w:rsid w:val="00C31EE5"/>
    <w:rsid w:val="00C425A7"/>
    <w:rsid w:val="00C448EA"/>
    <w:rsid w:val="00C4627A"/>
    <w:rsid w:val="00C46395"/>
    <w:rsid w:val="00C46878"/>
    <w:rsid w:val="00C47838"/>
    <w:rsid w:val="00C508AE"/>
    <w:rsid w:val="00C51927"/>
    <w:rsid w:val="00C543B0"/>
    <w:rsid w:val="00C6399F"/>
    <w:rsid w:val="00C7254F"/>
    <w:rsid w:val="00C7460E"/>
    <w:rsid w:val="00C759E5"/>
    <w:rsid w:val="00C801E1"/>
    <w:rsid w:val="00C802B7"/>
    <w:rsid w:val="00C80570"/>
    <w:rsid w:val="00C81E56"/>
    <w:rsid w:val="00C82923"/>
    <w:rsid w:val="00C83E8A"/>
    <w:rsid w:val="00C93626"/>
    <w:rsid w:val="00C93BDE"/>
    <w:rsid w:val="00C97B76"/>
    <w:rsid w:val="00CA0451"/>
    <w:rsid w:val="00CA3282"/>
    <w:rsid w:val="00CA48F9"/>
    <w:rsid w:val="00CA646C"/>
    <w:rsid w:val="00CB0DC7"/>
    <w:rsid w:val="00CB1690"/>
    <w:rsid w:val="00CB2D6B"/>
    <w:rsid w:val="00CC29B7"/>
    <w:rsid w:val="00CC6845"/>
    <w:rsid w:val="00CC6AB0"/>
    <w:rsid w:val="00CD085F"/>
    <w:rsid w:val="00CD458E"/>
    <w:rsid w:val="00CD7E9B"/>
    <w:rsid w:val="00CE3F4E"/>
    <w:rsid w:val="00CE6EE3"/>
    <w:rsid w:val="00CF7090"/>
    <w:rsid w:val="00D059B4"/>
    <w:rsid w:val="00D071E3"/>
    <w:rsid w:val="00D16642"/>
    <w:rsid w:val="00D1665A"/>
    <w:rsid w:val="00D17E11"/>
    <w:rsid w:val="00D208E8"/>
    <w:rsid w:val="00D264B1"/>
    <w:rsid w:val="00D34D0D"/>
    <w:rsid w:val="00D371FD"/>
    <w:rsid w:val="00D379D3"/>
    <w:rsid w:val="00D420B6"/>
    <w:rsid w:val="00D4241C"/>
    <w:rsid w:val="00D432A9"/>
    <w:rsid w:val="00D43735"/>
    <w:rsid w:val="00D51530"/>
    <w:rsid w:val="00D54D5C"/>
    <w:rsid w:val="00D57B41"/>
    <w:rsid w:val="00D57BBE"/>
    <w:rsid w:val="00D618A9"/>
    <w:rsid w:val="00D631E6"/>
    <w:rsid w:val="00D70082"/>
    <w:rsid w:val="00D70A93"/>
    <w:rsid w:val="00D71CD7"/>
    <w:rsid w:val="00D733AB"/>
    <w:rsid w:val="00D75EFD"/>
    <w:rsid w:val="00D8028F"/>
    <w:rsid w:val="00D90426"/>
    <w:rsid w:val="00DA0166"/>
    <w:rsid w:val="00DA4639"/>
    <w:rsid w:val="00DA49FD"/>
    <w:rsid w:val="00DA6195"/>
    <w:rsid w:val="00DB0496"/>
    <w:rsid w:val="00DB24F8"/>
    <w:rsid w:val="00DC7668"/>
    <w:rsid w:val="00DC7F0C"/>
    <w:rsid w:val="00DD4E9B"/>
    <w:rsid w:val="00DD5952"/>
    <w:rsid w:val="00DE0A2C"/>
    <w:rsid w:val="00DE0AD0"/>
    <w:rsid w:val="00DE5BB3"/>
    <w:rsid w:val="00DF31B9"/>
    <w:rsid w:val="00DF713B"/>
    <w:rsid w:val="00DF7B33"/>
    <w:rsid w:val="00E134BC"/>
    <w:rsid w:val="00E13BF0"/>
    <w:rsid w:val="00E17123"/>
    <w:rsid w:val="00E3179C"/>
    <w:rsid w:val="00E33C19"/>
    <w:rsid w:val="00E34954"/>
    <w:rsid w:val="00E377C9"/>
    <w:rsid w:val="00E43803"/>
    <w:rsid w:val="00E47222"/>
    <w:rsid w:val="00E47E55"/>
    <w:rsid w:val="00E543EF"/>
    <w:rsid w:val="00E55F2D"/>
    <w:rsid w:val="00E60E1D"/>
    <w:rsid w:val="00E61DF0"/>
    <w:rsid w:val="00E633E9"/>
    <w:rsid w:val="00E649EB"/>
    <w:rsid w:val="00E66749"/>
    <w:rsid w:val="00E75ABA"/>
    <w:rsid w:val="00E83A46"/>
    <w:rsid w:val="00E857E9"/>
    <w:rsid w:val="00E86444"/>
    <w:rsid w:val="00E905FF"/>
    <w:rsid w:val="00E90F4A"/>
    <w:rsid w:val="00E915B8"/>
    <w:rsid w:val="00E92790"/>
    <w:rsid w:val="00E92943"/>
    <w:rsid w:val="00E9664F"/>
    <w:rsid w:val="00E96A02"/>
    <w:rsid w:val="00EA09F2"/>
    <w:rsid w:val="00EA3448"/>
    <w:rsid w:val="00EA683E"/>
    <w:rsid w:val="00EA7AE8"/>
    <w:rsid w:val="00EB0E67"/>
    <w:rsid w:val="00EB64BC"/>
    <w:rsid w:val="00EC55C1"/>
    <w:rsid w:val="00EC58D7"/>
    <w:rsid w:val="00EC7000"/>
    <w:rsid w:val="00EC7F1D"/>
    <w:rsid w:val="00ED0C30"/>
    <w:rsid w:val="00ED35C3"/>
    <w:rsid w:val="00ED5E44"/>
    <w:rsid w:val="00ED7588"/>
    <w:rsid w:val="00ED7D21"/>
    <w:rsid w:val="00EE4046"/>
    <w:rsid w:val="00EE476A"/>
    <w:rsid w:val="00EE7AE6"/>
    <w:rsid w:val="00EF5892"/>
    <w:rsid w:val="00EF724C"/>
    <w:rsid w:val="00F10D81"/>
    <w:rsid w:val="00F10F78"/>
    <w:rsid w:val="00F11367"/>
    <w:rsid w:val="00F11847"/>
    <w:rsid w:val="00F172BB"/>
    <w:rsid w:val="00F2004F"/>
    <w:rsid w:val="00F31FCC"/>
    <w:rsid w:val="00F35E1A"/>
    <w:rsid w:val="00F36F68"/>
    <w:rsid w:val="00F37DA6"/>
    <w:rsid w:val="00F400E0"/>
    <w:rsid w:val="00F51F78"/>
    <w:rsid w:val="00F55054"/>
    <w:rsid w:val="00F6058F"/>
    <w:rsid w:val="00F7283C"/>
    <w:rsid w:val="00F765F5"/>
    <w:rsid w:val="00F76BB0"/>
    <w:rsid w:val="00F925F1"/>
    <w:rsid w:val="00F92780"/>
    <w:rsid w:val="00F96566"/>
    <w:rsid w:val="00F96BB8"/>
    <w:rsid w:val="00FA0FFC"/>
    <w:rsid w:val="00FC298C"/>
    <w:rsid w:val="00FC358C"/>
    <w:rsid w:val="00FC377C"/>
    <w:rsid w:val="00FC5DC9"/>
    <w:rsid w:val="00FD3E0A"/>
    <w:rsid w:val="00FE6475"/>
    <w:rsid w:val="00FF69E3"/>
    <w:rsid w:val="011D1FF4"/>
    <w:rsid w:val="01344155"/>
    <w:rsid w:val="013F674C"/>
    <w:rsid w:val="01D63415"/>
    <w:rsid w:val="02104F3A"/>
    <w:rsid w:val="024C67EF"/>
    <w:rsid w:val="02581AD5"/>
    <w:rsid w:val="02EB73E1"/>
    <w:rsid w:val="03174007"/>
    <w:rsid w:val="031B60F3"/>
    <w:rsid w:val="03276F2B"/>
    <w:rsid w:val="03775046"/>
    <w:rsid w:val="03A965F3"/>
    <w:rsid w:val="03C310EE"/>
    <w:rsid w:val="03ED7E81"/>
    <w:rsid w:val="0490144A"/>
    <w:rsid w:val="04BC08B4"/>
    <w:rsid w:val="04C03697"/>
    <w:rsid w:val="058A4415"/>
    <w:rsid w:val="060E1B99"/>
    <w:rsid w:val="0636392C"/>
    <w:rsid w:val="06625496"/>
    <w:rsid w:val="06EB6E0C"/>
    <w:rsid w:val="074526C1"/>
    <w:rsid w:val="074D5BAD"/>
    <w:rsid w:val="07762417"/>
    <w:rsid w:val="07C3F900"/>
    <w:rsid w:val="08471E20"/>
    <w:rsid w:val="084F1E4E"/>
    <w:rsid w:val="088A1DA4"/>
    <w:rsid w:val="098F4524"/>
    <w:rsid w:val="09A50904"/>
    <w:rsid w:val="09CB69C7"/>
    <w:rsid w:val="0A00497C"/>
    <w:rsid w:val="0A3665F0"/>
    <w:rsid w:val="0A453197"/>
    <w:rsid w:val="0AB13A9C"/>
    <w:rsid w:val="0ABA2A8C"/>
    <w:rsid w:val="0AF14803"/>
    <w:rsid w:val="0B561FD4"/>
    <w:rsid w:val="0BA82455"/>
    <w:rsid w:val="0C7358DA"/>
    <w:rsid w:val="0CB42CD5"/>
    <w:rsid w:val="0DBC53BA"/>
    <w:rsid w:val="0DEE4182"/>
    <w:rsid w:val="0E2E3EEC"/>
    <w:rsid w:val="0E4A09D7"/>
    <w:rsid w:val="0E5C239D"/>
    <w:rsid w:val="0E672794"/>
    <w:rsid w:val="0E8A6F0A"/>
    <w:rsid w:val="0EC31DC3"/>
    <w:rsid w:val="0EC8744E"/>
    <w:rsid w:val="0F0442C4"/>
    <w:rsid w:val="0F1138BB"/>
    <w:rsid w:val="0F2844BF"/>
    <w:rsid w:val="0F2E5D4C"/>
    <w:rsid w:val="0F5F2145"/>
    <w:rsid w:val="0F6A1754"/>
    <w:rsid w:val="0F9A317D"/>
    <w:rsid w:val="0FB94AA9"/>
    <w:rsid w:val="0FDD12BC"/>
    <w:rsid w:val="0FFBD6EE"/>
    <w:rsid w:val="10847446"/>
    <w:rsid w:val="10E76521"/>
    <w:rsid w:val="11056D1C"/>
    <w:rsid w:val="11222555"/>
    <w:rsid w:val="120B0362"/>
    <w:rsid w:val="122E0441"/>
    <w:rsid w:val="126E1DBF"/>
    <w:rsid w:val="127001C5"/>
    <w:rsid w:val="12844F0A"/>
    <w:rsid w:val="139A3FC4"/>
    <w:rsid w:val="13E50670"/>
    <w:rsid w:val="13E5315A"/>
    <w:rsid w:val="13FC4E78"/>
    <w:rsid w:val="14477452"/>
    <w:rsid w:val="146C0211"/>
    <w:rsid w:val="146E56A4"/>
    <w:rsid w:val="14706BA3"/>
    <w:rsid w:val="14720225"/>
    <w:rsid w:val="14E2694B"/>
    <w:rsid w:val="151E112D"/>
    <w:rsid w:val="152C2AC9"/>
    <w:rsid w:val="154222ED"/>
    <w:rsid w:val="161B3C74"/>
    <w:rsid w:val="162F4485"/>
    <w:rsid w:val="16855FCC"/>
    <w:rsid w:val="16C240F4"/>
    <w:rsid w:val="16F1793C"/>
    <w:rsid w:val="16FA5964"/>
    <w:rsid w:val="170625E8"/>
    <w:rsid w:val="170BBAB9"/>
    <w:rsid w:val="17170316"/>
    <w:rsid w:val="172B4755"/>
    <w:rsid w:val="17365E81"/>
    <w:rsid w:val="17DF3BEA"/>
    <w:rsid w:val="17DF9E7D"/>
    <w:rsid w:val="17E64B96"/>
    <w:rsid w:val="17FF4251"/>
    <w:rsid w:val="180C0990"/>
    <w:rsid w:val="18125DCB"/>
    <w:rsid w:val="18322D77"/>
    <w:rsid w:val="183F0D66"/>
    <w:rsid w:val="18D73246"/>
    <w:rsid w:val="19094ED0"/>
    <w:rsid w:val="191731D1"/>
    <w:rsid w:val="19193365"/>
    <w:rsid w:val="19C50978"/>
    <w:rsid w:val="19DE5F7A"/>
    <w:rsid w:val="19DF2211"/>
    <w:rsid w:val="1A1F209B"/>
    <w:rsid w:val="1A676352"/>
    <w:rsid w:val="1ABD41C4"/>
    <w:rsid w:val="1B2F70CC"/>
    <w:rsid w:val="1B60510F"/>
    <w:rsid w:val="1BD5797C"/>
    <w:rsid w:val="1C987B51"/>
    <w:rsid w:val="1CA436B3"/>
    <w:rsid w:val="1CD94D8F"/>
    <w:rsid w:val="1CFB3A88"/>
    <w:rsid w:val="1D403077"/>
    <w:rsid w:val="1D7EC6C4"/>
    <w:rsid w:val="1D8316F5"/>
    <w:rsid w:val="1DDB1D29"/>
    <w:rsid w:val="1DDB6E9D"/>
    <w:rsid w:val="1DE74BBC"/>
    <w:rsid w:val="1E022DAA"/>
    <w:rsid w:val="1E3F0CB3"/>
    <w:rsid w:val="1E934495"/>
    <w:rsid w:val="1E9E000F"/>
    <w:rsid w:val="1EFE6741"/>
    <w:rsid w:val="1EFFC842"/>
    <w:rsid w:val="1F072829"/>
    <w:rsid w:val="1F0857D3"/>
    <w:rsid w:val="1F424FB8"/>
    <w:rsid w:val="1F5F8AC8"/>
    <w:rsid w:val="1F9E402A"/>
    <w:rsid w:val="1FB318A1"/>
    <w:rsid w:val="1FB70B7E"/>
    <w:rsid w:val="1FB94F91"/>
    <w:rsid w:val="1FCF3A52"/>
    <w:rsid w:val="1FE7010A"/>
    <w:rsid w:val="1FF16DE9"/>
    <w:rsid w:val="1FFA0DD0"/>
    <w:rsid w:val="20216C22"/>
    <w:rsid w:val="202640E9"/>
    <w:rsid w:val="20B42CCA"/>
    <w:rsid w:val="20B81864"/>
    <w:rsid w:val="20DD75C0"/>
    <w:rsid w:val="20E75B0B"/>
    <w:rsid w:val="21027150"/>
    <w:rsid w:val="210A65D7"/>
    <w:rsid w:val="213D52BE"/>
    <w:rsid w:val="213D53EE"/>
    <w:rsid w:val="21835A00"/>
    <w:rsid w:val="21A016D4"/>
    <w:rsid w:val="21B76116"/>
    <w:rsid w:val="21E169EA"/>
    <w:rsid w:val="21E2626B"/>
    <w:rsid w:val="21E91230"/>
    <w:rsid w:val="2207408B"/>
    <w:rsid w:val="22252D7A"/>
    <w:rsid w:val="22810181"/>
    <w:rsid w:val="22D84291"/>
    <w:rsid w:val="22E104A7"/>
    <w:rsid w:val="231A6657"/>
    <w:rsid w:val="23222015"/>
    <w:rsid w:val="23711FEF"/>
    <w:rsid w:val="23DE2DD5"/>
    <w:rsid w:val="242341FB"/>
    <w:rsid w:val="245277EF"/>
    <w:rsid w:val="24E1217F"/>
    <w:rsid w:val="24F20F0E"/>
    <w:rsid w:val="25443D8C"/>
    <w:rsid w:val="257552AB"/>
    <w:rsid w:val="25AF003F"/>
    <w:rsid w:val="25E76599"/>
    <w:rsid w:val="26040EF9"/>
    <w:rsid w:val="267853BC"/>
    <w:rsid w:val="268E6C86"/>
    <w:rsid w:val="26A763A4"/>
    <w:rsid w:val="26FA228D"/>
    <w:rsid w:val="27637EA1"/>
    <w:rsid w:val="27822AAA"/>
    <w:rsid w:val="278FEA08"/>
    <w:rsid w:val="27A97396"/>
    <w:rsid w:val="27AE6167"/>
    <w:rsid w:val="27F73471"/>
    <w:rsid w:val="27FE6F32"/>
    <w:rsid w:val="283D7E81"/>
    <w:rsid w:val="284C1A90"/>
    <w:rsid w:val="291D0C4F"/>
    <w:rsid w:val="29224A61"/>
    <w:rsid w:val="29734F00"/>
    <w:rsid w:val="2976210D"/>
    <w:rsid w:val="29C72A75"/>
    <w:rsid w:val="29D72C7E"/>
    <w:rsid w:val="2AA414C5"/>
    <w:rsid w:val="2AC15E49"/>
    <w:rsid w:val="2ADF66F5"/>
    <w:rsid w:val="2B073182"/>
    <w:rsid w:val="2BA07640"/>
    <w:rsid w:val="2BE24F1F"/>
    <w:rsid w:val="2BEC4909"/>
    <w:rsid w:val="2BF57C61"/>
    <w:rsid w:val="2BFF4746"/>
    <w:rsid w:val="2C101CED"/>
    <w:rsid w:val="2C296575"/>
    <w:rsid w:val="2C4219EE"/>
    <w:rsid w:val="2C713B2E"/>
    <w:rsid w:val="2CCB451E"/>
    <w:rsid w:val="2CCE400E"/>
    <w:rsid w:val="2CD37A5C"/>
    <w:rsid w:val="2CE8006E"/>
    <w:rsid w:val="2D3639F2"/>
    <w:rsid w:val="2D37377B"/>
    <w:rsid w:val="2D906815"/>
    <w:rsid w:val="2D9E6926"/>
    <w:rsid w:val="2DB65336"/>
    <w:rsid w:val="2E106174"/>
    <w:rsid w:val="2E2B796A"/>
    <w:rsid w:val="2E450F90"/>
    <w:rsid w:val="2E7CA40B"/>
    <w:rsid w:val="2EDC7ABF"/>
    <w:rsid w:val="2EEED494"/>
    <w:rsid w:val="2EFF1C31"/>
    <w:rsid w:val="2F1E302B"/>
    <w:rsid w:val="2F212B1B"/>
    <w:rsid w:val="2F462582"/>
    <w:rsid w:val="2F55A13F"/>
    <w:rsid w:val="2F832174"/>
    <w:rsid w:val="2FB1400F"/>
    <w:rsid w:val="2FB60944"/>
    <w:rsid w:val="2FC04174"/>
    <w:rsid w:val="2FCB4E2F"/>
    <w:rsid w:val="2FD696CC"/>
    <w:rsid w:val="2FE53B49"/>
    <w:rsid w:val="2FEBFA09"/>
    <w:rsid w:val="302B3D82"/>
    <w:rsid w:val="30771007"/>
    <w:rsid w:val="309721F5"/>
    <w:rsid w:val="30E949CD"/>
    <w:rsid w:val="3133568A"/>
    <w:rsid w:val="31AB21B2"/>
    <w:rsid w:val="3248515A"/>
    <w:rsid w:val="32905A55"/>
    <w:rsid w:val="32952BD3"/>
    <w:rsid w:val="32C4038E"/>
    <w:rsid w:val="32DA2B31"/>
    <w:rsid w:val="32EE4D8B"/>
    <w:rsid w:val="33695F95"/>
    <w:rsid w:val="33C413A2"/>
    <w:rsid w:val="33EEB545"/>
    <w:rsid w:val="33F80ACA"/>
    <w:rsid w:val="33FBA405"/>
    <w:rsid w:val="33FDCD76"/>
    <w:rsid w:val="34284DEB"/>
    <w:rsid w:val="346C2A8B"/>
    <w:rsid w:val="34A4745F"/>
    <w:rsid w:val="34C60CFA"/>
    <w:rsid w:val="35076034"/>
    <w:rsid w:val="35705B17"/>
    <w:rsid w:val="35977693"/>
    <w:rsid w:val="35B429B8"/>
    <w:rsid w:val="35F989DE"/>
    <w:rsid w:val="35FEA8B9"/>
    <w:rsid w:val="364E048D"/>
    <w:rsid w:val="365944A3"/>
    <w:rsid w:val="366D1975"/>
    <w:rsid w:val="367F6A2B"/>
    <w:rsid w:val="36853990"/>
    <w:rsid w:val="36AFF5F4"/>
    <w:rsid w:val="36B14785"/>
    <w:rsid w:val="36B250C1"/>
    <w:rsid w:val="36D05553"/>
    <w:rsid w:val="37163E07"/>
    <w:rsid w:val="374F6A0A"/>
    <w:rsid w:val="377E2B92"/>
    <w:rsid w:val="37A198FF"/>
    <w:rsid w:val="37A91EAD"/>
    <w:rsid w:val="37B00EE0"/>
    <w:rsid w:val="37DD4A73"/>
    <w:rsid w:val="37F5902B"/>
    <w:rsid w:val="37F77CE7"/>
    <w:rsid w:val="37F78EFC"/>
    <w:rsid w:val="392857BA"/>
    <w:rsid w:val="39567866"/>
    <w:rsid w:val="396E4BAF"/>
    <w:rsid w:val="3986B6A0"/>
    <w:rsid w:val="39910DD9"/>
    <w:rsid w:val="39AB195F"/>
    <w:rsid w:val="39C42A21"/>
    <w:rsid w:val="39DA6461"/>
    <w:rsid w:val="39F71620"/>
    <w:rsid w:val="3A0F57EA"/>
    <w:rsid w:val="3A1C11F0"/>
    <w:rsid w:val="3A791B4D"/>
    <w:rsid w:val="3A9A4772"/>
    <w:rsid w:val="3AAF4265"/>
    <w:rsid w:val="3ABD2717"/>
    <w:rsid w:val="3ACFEB02"/>
    <w:rsid w:val="3AD86501"/>
    <w:rsid w:val="3AFD268F"/>
    <w:rsid w:val="3B733C23"/>
    <w:rsid w:val="3B7FBCD6"/>
    <w:rsid w:val="3BF7B419"/>
    <w:rsid w:val="3C5F2F54"/>
    <w:rsid w:val="3C610E04"/>
    <w:rsid w:val="3C761E95"/>
    <w:rsid w:val="3C81109D"/>
    <w:rsid w:val="3C8F7B8C"/>
    <w:rsid w:val="3CB3D158"/>
    <w:rsid w:val="3CBB0581"/>
    <w:rsid w:val="3D3D285B"/>
    <w:rsid w:val="3D3F7D47"/>
    <w:rsid w:val="3D4437C0"/>
    <w:rsid w:val="3D965D4D"/>
    <w:rsid w:val="3D9EB2C4"/>
    <w:rsid w:val="3DAE1A1E"/>
    <w:rsid w:val="3DBCE1A2"/>
    <w:rsid w:val="3DC73AA5"/>
    <w:rsid w:val="3DD35929"/>
    <w:rsid w:val="3DF19FB9"/>
    <w:rsid w:val="3DFBD034"/>
    <w:rsid w:val="3DFD967A"/>
    <w:rsid w:val="3E065BB2"/>
    <w:rsid w:val="3E1D2CF3"/>
    <w:rsid w:val="3E37A5F5"/>
    <w:rsid w:val="3E3E7246"/>
    <w:rsid w:val="3E88487C"/>
    <w:rsid w:val="3E9402FD"/>
    <w:rsid w:val="3EA0772C"/>
    <w:rsid w:val="3EDD6E27"/>
    <w:rsid w:val="3EE002FD"/>
    <w:rsid w:val="3EFDF507"/>
    <w:rsid w:val="3F4A1C1A"/>
    <w:rsid w:val="3F4E5DD4"/>
    <w:rsid w:val="3F5B1371"/>
    <w:rsid w:val="3F6FC0F5"/>
    <w:rsid w:val="3F7F6F7C"/>
    <w:rsid w:val="3F8D5455"/>
    <w:rsid w:val="3FB1E240"/>
    <w:rsid w:val="3FB96EFD"/>
    <w:rsid w:val="3FDB3FFB"/>
    <w:rsid w:val="3FDF4E32"/>
    <w:rsid w:val="3FEF1891"/>
    <w:rsid w:val="3FEF79CB"/>
    <w:rsid w:val="3FF48A1A"/>
    <w:rsid w:val="3FFAADB5"/>
    <w:rsid w:val="3FFF6036"/>
    <w:rsid w:val="3FFF70D7"/>
    <w:rsid w:val="402B0861"/>
    <w:rsid w:val="40DE48E6"/>
    <w:rsid w:val="41661ACA"/>
    <w:rsid w:val="416845DA"/>
    <w:rsid w:val="41A15696"/>
    <w:rsid w:val="41B233E6"/>
    <w:rsid w:val="41E97960"/>
    <w:rsid w:val="41F30347"/>
    <w:rsid w:val="42084862"/>
    <w:rsid w:val="42096053"/>
    <w:rsid w:val="42324F5C"/>
    <w:rsid w:val="426F252C"/>
    <w:rsid w:val="428D59B1"/>
    <w:rsid w:val="429E4757"/>
    <w:rsid w:val="42E60275"/>
    <w:rsid w:val="42FF2648"/>
    <w:rsid w:val="43086341"/>
    <w:rsid w:val="43543068"/>
    <w:rsid w:val="435D08D4"/>
    <w:rsid w:val="439B0C97"/>
    <w:rsid w:val="43F279B2"/>
    <w:rsid w:val="43FD48BE"/>
    <w:rsid w:val="442B3228"/>
    <w:rsid w:val="444B3964"/>
    <w:rsid w:val="44621C79"/>
    <w:rsid w:val="44836DDE"/>
    <w:rsid w:val="448E6105"/>
    <w:rsid w:val="456450B8"/>
    <w:rsid w:val="45961C46"/>
    <w:rsid w:val="45DF080C"/>
    <w:rsid w:val="462F5277"/>
    <w:rsid w:val="46584C1D"/>
    <w:rsid w:val="466E068E"/>
    <w:rsid w:val="47184E3A"/>
    <w:rsid w:val="484F25B3"/>
    <w:rsid w:val="489F1FC0"/>
    <w:rsid w:val="48D10CB7"/>
    <w:rsid w:val="491E5440"/>
    <w:rsid w:val="4939390D"/>
    <w:rsid w:val="496758EC"/>
    <w:rsid w:val="499E7A09"/>
    <w:rsid w:val="49DC2C65"/>
    <w:rsid w:val="49EC40BA"/>
    <w:rsid w:val="4A005379"/>
    <w:rsid w:val="4A01538E"/>
    <w:rsid w:val="4A206F5B"/>
    <w:rsid w:val="4A6D664D"/>
    <w:rsid w:val="4A7D4746"/>
    <w:rsid w:val="4AFFE9F5"/>
    <w:rsid w:val="4BA56959"/>
    <w:rsid w:val="4BB85A1C"/>
    <w:rsid w:val="4BD64A8C"/>
    <w:rsid w:val="4BFAB986"/>
    <w:rsid w:val="4C013661"/>
    <w:rsid w:val="4C0B5059"/>
    <w:rsid w:val="4C4831CF"/>
    <w:rsid w:val="4C793B3F"/>
    <w:rsid w:val="4CB3150D"/>
    <w:rsid w:val="4CC96874"/>
    <w:rsid w:val="4CE64B19"/>
    <w:rsid w:val="4CFAC79D"/>
    <w:rsid w:val="4CFE064F"/>
    <w:rsid w:val="4D2834AF"/>
    <w:rsid w:val="4D7526D1"/>
    <w:rsid w:val="4D7D39A8"/>
    <w:rsid w:val="4D7F5417"/>
    <w:rsid w:val="4D8B6D06"/>
    <w:rsid w:val="4D9E55DE"/>
    <w:rsid w:val="4DB33341"/>
    <w:rsid w:val="4EA36C51"/>
    <w:rsid w:val="4EE7471F"/>
    <w:rsid w:val="4F37D2BE"/>
    <w:rsid w:val="4F3EECE4"/>
    <w:rsid w:val="4F5641F3"/>
    <w:rsid w:val="4FBDAF6C"/>
    <w:rsid w:val="4FD46ECD"/>
    <w:rsid w:val="4FF00260"/>
    <w:rsid w:val="4FFF29D4"/>
    <w:rsid w:val="4FFF3DAF"/>
    <w:rsid w:val="502133E6"/>
    <w:rsid w:val="50256FBF"/>
    <w:rsid w:val="50716043"/>
    <w:rsid w:val="50AC1475"/>
    <w:rsid w:val="50BA7DB9"/>
    <w:rsid w:val="50D45A19"/>
    <w:rsid w:val="50E43632"/>
    <w:rsid w:val="50F14B6C"/>
    <w:rsid w:val="51010D79"/>
    <w:rsid w:val="51042CDB"/>
    <w:rsid w:val="51581F75"/>
    <w:rsid w:val="516052CE"/>
    <w:rsid w:val="518D1C42"/>
    <w:rsid w:val="51A059CA"/>
    <w:rsid w:val="51BF7ECE"/>
    <w:rsid w:val="51DD46BC"/>
    <w:rsid w:val="51FFF4C8"/>
    <w:rsid w:val="5253654D"/>
    <w:rsid w:val="527C7EE5"/>
    <w:rsid w:val="527E5A0B"/>
    <w:rsid w:val="52B97DEE"/>
    <w:rsid w:val="531613D5"/>
    <w:rsid w:val="532365B3"/>
    <w:rsid w:val="5369498A"/>
    <w:rsid w:val="5373F4E7"/>
    <w:rsid w:val="53822B1F"/>
    <w:rsid w:val="538F3E27"/>
    <w:rsid w:val="53AC334F"/>
    <w:rsid w:val="546038E7"/>
    <w:rsid w:val="54DD2B8A"/>
    <w:rsid w:val="54EE84D5"/>
    <w:rsid w:val="554004A2"/>
    <w:rsid w:val="55AE4859"/>
    <w:rsid w:val="55EC2D05"/>
    <w:rsid w:val="55F253AA"/>
    <w:rsid w:val="55F9F0F8"/>
    <w:rsid w:val="560636C5"/>
    <w:rsid w:val="561F4BB5"/>
    <w:rsid w:val="565E4CF6"/>
    <w:rsid w:val="566F4E48"/>
    <w:rsid w:val="56D57BC4"/>
    <w:rsid w:val="56E90F5B"/>
    <w:rsid w:val="57175940"/>
    <w:rsid w:val="573E3E22"/>
    <w:rsid w:val="577D10B0"/>
    <w:rsid w:val="577F614B"/>
    <w:rsid w:val="57B2E4DC"/>
    <w:rsid w:val="57BF3DB4"/>
    <w:rsid w:val="57E7AD81"/>
    <w:rsid w:val="57F48BE2"/>
    <w:rsid w:val="58355EB2"/>
    <w:rsid w:val="589B67A1"/>
    <w:rsid w:val="58A367BB"/>
    <w:rsid w:val="58B83229"/>
    <w:rsid w:val="598B6E77"/>
    <w:rsid w:val="59971F26"/>
    <w:rsid w:val="59DCBD2D"/>
    <w:rsid w:val="5A0133DC"/>
    <w:rsid w:val="5A856538"/>
    <w:rsid w:val="5A870124"/>
    <w:rsid w:val="5A9D28FB"/>
    <w:rsid w:val="5AF3A6BB"/>
    <w:rsid w:val="5AFCEC87"/>
    <w:rsid w:val="5BB51DF0"/>
    <w:rsid w:val="5BCF58F4"/>
    <w:rsid w:val="5BF07EDE"/>
    <w:rsid w:val="5BFC3BED"/>
    <w:rsid w:val="5BFF4654"/>
    <w:rsid w:val="5C0B2425"/>
    <w:rsid w:val="5C2A0910"/>
    <w:rsid w:val="5C30733F"/>
    <w:rsid w:val="5C466E0C"/>
    <w:rsid w:val="5C4714E9"/>
    <w:rsid w:val="5C675762"/>
    <w:rsid w:val="5C7A97A1"/>
    <w:rsid w:val="5CEFE126"/>
    <w:rsid w:val="5CF0BB74"/>
    <w:rsid w:val="5D7C14EB"/>
    <w:rsid w:val="5D7DB446"/>
    <w:rsid w:val="5D9A56BF"/>
    <w:rsid w:val="5DCC035A"/>
    <w:rsid w:val="5DDED778"/>
    <w:rsid w:val="5DE65143"/>
    <w:rsid w:val="5DFA283C"/>
    <w:rsid w:val="5DFEF3CA"/>
    <w:rsid w:val="5DFF2240"/>
    <w:rsid w:val="5E122B27"/>
    <w:rsid w:val="5E51F05B"/>
    <w:rsid w:val="5E58457C"/>
    <w:rsid w:val="5EEE216B"/>
    <w:rsid w:val="5EEF392C"/>
    <w:rsid w:val="5EFB70B1"/>
    <w:rsid w:val="5F597F1C"/>
    <w:rsid w:val="5F5FF529"/>
    <w:rsid w:val="5F6A078D"/>
    <w:rsid w:val="5F73D2EC"/>
    <w:rsid w:val="5F7772C1"/>
    <w:rsid w:val="5F7927C2"/>
    <w:rsid w:val="5FBF6A04"/>
    <w:rsid w:val="5FDF2BFB"/>
    <w:rsid w:val="5FED3FFA"/>
    <w:rsid w:val="5FEF7EAC"/>
    <w:rsid w:val="5FF755F3"/>
    <w:rsid w:val="5FF7D45C"/>
    <w:rsid w:val="5FFD112C"/>
    <w:rsid w:val="60230B1A"/>
    <w:rsid w:val="603F4AA9"/>
    <w:rsid w:val="607C43F7"/>
    <w:rsid w:val="607E1347"/>
    <w:rsid w:val="60DA0BF8"/>
    <w:rsid w:val="612C2AD6"/>
    <w:rsid w:val="61646714"/>
    <w:rsid w:val="61706E67"/>
    <w:rsid w:val="619E03D3"/>
    <w:rsid w:val="61C89AD5"/>
    <w:rsid w:val="61FD4DEB"/>
    <w:rsid w:val="62121B84"/>
    <w:rsid w:val="621243C2"/>
    <w:rsid w:val="6245075C"/>
    <w:rsid w:val="626B5506"/>
    <w:rsid w:val="62AE0A41"/>
    <w:rsid w:val="62D80B9A"/>
    <w:rsid w:val="62F64A26"/>
    <w:rsid w:val="63153C0A"/>
    <w:rsid w:val="632A2D4F"/>
    <w:rsid w:val="63355430"/>
    <w:rsid w:val="63590BA4"/>
    <w:rsid w:val="635B6A2C"/>
    <w:rsid w:val="63C33BC6"/>
    <w:rsid w:val="63D01E3F"/>
    <w:rsid w:val="63F14F8A"/>
    <w:rsid w:val="63FF77AB"/>
    <w:rsid w:val="642F4DB7"/>
    <w:rsid w:val="643F372B"/>
    <w:rsid w:val="64565EB5"/>
    <w:rsid w:val="6461518D"/>
    <w:rsid w:val="64A70DF2"/>
    <w:rsid w:val="64C51278"/>
    <w:rsid w:val="65335E7F"/>
    <w:rsid w:val="655F0698"/>
    <w:rsid w:val="657FFCB1"/>
    <w:rsid w:val="65BAA4EE"/>
    <w:rsid w:val="660E41BF"/>
    <w:rsid w:val="661E6346"/>
    <w:rsid w:val="662F188B"/>
    <w:rsid w:val="665B7DB5"/>
    <w:rsid w:val="66BB4A67"/>
    <w:rsid w:val="66CE0F9E"/>
    <w:rsid w:val="66FD8DEE"/>
    <w:rsid w:val="673E3563"/>
    <w:rsid w:val="674B4C21"/>
    <w:rsid w:val="676A4B31"/>
    <w:rsid w:val="67AAB5BB"/>
    <w:rsid w:val="67E41DBB"/>
    <w:rsid w:val="688B2460"/>
    <w:rsid w:val="68A35D74"/>
    <w:rsid w:val="68A43468"/>
    <w:rsid w:val="68B47F81"/>
    <w:rsid w:val="68ED3493"/>
    <w:rsid w:val="691727A3"/>
    <w:rsid w:val="69194288"/>
    <w:rsid w:val="69AB40F6"/>
    <w:rsid w:val="69D22FB6"/>
    <w:rsid w:val="69E22C11"/>
    <w:rsid w:val="69E5416A"/>
    <w:rsid w:val="6A5EE6A8"/>
    <w:rsid w:val="6A8D6CDC"/>
    <w:rsid w:val="6AC93DA9"/>
    <w:rsid w:val="6AD58A49"/>
    <w:rsid w:val="6AF82EED"/>
    <w:rsid w:val="6AFE54E3"/>
    <w:rsid w:val="6B102E58"/>
    <w:rsid w:val="6B154A35"/>
    <w:rsid w:val="6B6537B4"/>
    <w:rsid w:val="6B6670BE"/>
    <w:rsid w:val="6BBA6316"/>
    <w:rsid w:val="6BDE45BF"/>
    <w:rsid w:val="6BDF477B"/>
    <w:rsid w:val="6BE82C87"/>
    <w:rsid w:val="6BFB7C75"/>
    <w:rsid w:val="6BFE7808"/>
    <w:rsid w:val="6BFF0CA0"/>
    <w:rsid w:val="6BFFB8AE"/>
    <w:rsid w:val="6C001F23"/>
    <w:rsid w:val="6C134FBF"/>
    <w:rsid w:val="6C44161C"/>
    <w:rsid w:val="6C5FF594"/>
    <w:rsid w:val="6C9D0D2C"/>
    <w:rsid w:val="6CB1CA46"/>
    <w:rsid w:val="6CFF457A"/>
    <w:rsid w:val="6D8D0793"/>
    <w:rsid w:val="6D9C63BE"/>
    <w:rsid w:val="6DB79E4F"/>
    <w:rsid w:val="6DD538A4"/>
    <w:rsid w:val="6DEB542C"/>
    <w:rsid w:val="6DED1100"/>
    <w:rsid w:val="6DF7C209"/>
    <w:rsid w:val="6DFC3BBF"/>
    <w:rsid w:val="6E3D6323"/>
    <w:rsid w:val="6E62679B"/>
    <w:rsid w:val="6E7F6EDB"/>
    <w:rsid w:val="6EA22C01"/>
    <w:rsid w:val="6EBE0195"/>
    <w:rsid w:val="6EC80290"/>
    <w:rsid w:val="6EE13152"/>
    <w:rsid w:val="6EF51EFB"/>
    <w:rsid w:val="6F0D03EB"/>
    <w:rsid w:val="6F1322BE"/>
    <w:rsid w:val="6F2E255C"/>
    <w:rsid w:val="6F381700"/>
    <w:rsid w:val="6F3D2A82"/>
    <w:rsid w:val="6F565E30"/>
    <w:rsid w:val="6F5E815E"/>
    <w:rsid w:val="6F667AFB"/>
    <w:rsid w:val="6F6B5749"/>
    <w:rsid w:val="6F6F5836"/>
    <w:rsid w:val="6F7ADBDA"/>
    <w:rsid w:val="6FB652BF"/>
    <w:rsid w:val="6FBFD082"/>
    <w:rsid w:val="6FC772D4"/>
    <w:rsid w:val="6FD53DC1"/>
    <w:rsid w:val="6FD670D6"/>
    <w:rsid w:val="6FE9C2D4"/>
    <w:rsid w:val="6FEE6104"/>
    <w:rsid w:val="6FEF7769"/>
    <w:rsid w:val="6FEF790D"/>
    <w:rsid w:val="6FEFE7E6"/>
    <w:rsid w:val="6FFB8C41"/>
    <w:rsid w:val="6FFC4038"/>
    <w:rsid w:val="6FFE0455"/>
    <w:rsid w:val="700D682A"/>
    <w:rsid w:val="70512587"/>
    <w:rsid w:val="70EE3C7B"/>
    <w:rsid w:val="70F9386B"/>
    <w:rsid w:val="70FEB101"/>
    <w:rsid w:val="71FF2E2E"/>
    <w:rsid w:val="72021D5D"/>
    <w:rsid w:val="721C4713"/>
    <w:rsid w:val="7242215A"/>
    <w:rsid w:val="72502273"/>
    <w:rsid w:val="725D2577"/>
    <w:rsid w:val="72914E8F"/>
    <w:rsid w:val="72AB5F51"/>
    <w:rsid w:val="72DBA87B"/>
    <w:rsid w:val="72E025CA"/>
    <w:rsid w:val="72E6342D"/>
    <w:rsid w:val="72EC0317"/>
    <w:rsid w:val="72FF096B"/>
    <w:rsid w:val="730D6C0C"/>
    <w:rsid w:val="73207FDB"/>
    <w:rsid w:val="73456FD9"/>
    <w:rsid w:val="737FC3A5"/>
    <w:rsid w:val="738DB67F"/>
    <w:rsid w:val="739D2B08"/>
    <w:rsid w:val="73BA4DD1"/>
    <w:rsid w:val="73D4864C"/>
    <w:rsid w:val="73F7E047"/>
    <w:rsid w:val="73FE2F3E"/>
    <w:rsid w:val="74277859"/>
    <w:rsid w:val="7428537F"/>
    <w:rsid w:val="74393A30"/>
    <w:rsid w:val="744A1DC0"/>
    <w:rsid w:val="744F2E65"/>
    <w:rsid w:val="745A64AD"/>
    <w:rsid w:val="747B4785"/>
    <w:rsid w:val="74CC3179"/>
    <w:rsid w:val="74D472B5"/>
    <w:rsid w:val="74F002C9"/>
    <w:rsid w:val="757E1736"/>
    <w:rsid w:val="759E1430"/>
    <w:rsid w:val="75A6725E"/>
    <w:rsid w:val="75AD0BD6"/>
    <w:rsid w:val="75B94E29"/>
    <w:rsid w:val="75F0011F"/>
    <w:rsid w:val="75FA4D4E"/>
    <w:rsid w:val="75FEFA3A"/>
    <w:rsid w:val="760A11E0"/>
    <w:rsid w:val="763969FD"/>
    <w:rsid w:val="763B3A90"/>
    <w:rsid w:val="76BD26F7"/>
    <w:rsid w:val="76BF646F"/>
    <w:rsid w:val="76D80E6D"/>
    <w:rsid w:val="76D91E5C"/>
    <w:rsid w:val="76DBCC65"/>
    <w:rsid w:val="76F55C40"/>
    <w:rsid w:val="7775FE2C"/>
    <w:rsid w:val="77811976"/>
    <w:rsid w:val="779A5EB2"/>
    <w:rsid w:val="779F2956"/>
    <w:rsid w:val="77ADCF14"/>
    <w:rsid w:val="77BD2282"/>
    <w:rsid w:val="77BD8045"/>
    <w:rsid w:val="77E33300"/>
    <w:rsid w:val="77E742B7"/>
    <w:rsid w:val="77E7A65C"/>
    <w:rsid w:val="77EA9C90"/>
    <w:rsid w:val="77F7213B"/>
    <w:rsid w:val="77FE5311"/>
    <w:rsid w:val="77FF16A0"/>
    <w:rsid w:val="77FF59C6"/>
    <w:rsid w:val="77FFA7D2"/>
    <w:rsid w:val="77FFC515"/>
    <w:rsid w:val="78084B46"/>
    <w:rsid w:val="7896198A"/>
    <w:rsid w:val="78A4536A"/>
    <w:rsid w:val="78E03673"/>
    <w:rsid w:val="792DE04E"/>
    <w:rsid w:val="79425135"/>
    <w:rsid w:val="794444E0"/>
    <w:rsid w:val="794F11B4"/>
    <w:rsid w:val="7959ED31"/>
    <w:rsid w:val="796230E1"/>
    <w:rsid w:val="797E5777"/>
    <w:rsid w:val="79B909CE"/>
    <w:rsid w:val="79C5057E"/>
    <w:rsid w:val="79D20267"/>
    <w:rsid w:val="79D72DB5"/>
    <w:rsid w:val="79DE58EB"/>
    <w:rsid w:val="79DFE36C"/>
    <w:rsid w:val="79F6B85D"/>
    <w:rsid w:val="79FE72AE"/>
    <w:rsid w:val="79FF03E7"/>
    <w:rsid w:val="7A005BB1"/>
    <w:rsid w:val="7A17211E"/>
    <w:rsid w:val="7A2F3B60"/>
    <w:rsid w:val="7A4719CF"/>
    <w:rsid w:val="7A5125CD"/>
    <w:rsid w:val="7A6B10FF"/>
    <w:rsid w:val="7A7237F8"/>
    <w:rsid w:val="7A79040F"/>
    <w:rsid w:val="7AA45FB6"/>
    <w:rsid w:val="7ADDE4AC"/>
    <w:rsid w:val="7AF728B3"/>
    <w:rsid w:val="7AFF27DE"/>
    <w:rsid w:val="7B1B584F"/>
    <w:rsid w:val="7B3E1E37"/>
    <w:rsid w:val="7B5F8EC7"/>
    <w:rsid w:val="7B7FF10A"/>
    <w:rsid w:val="7B8BF0AA"/>
    <w:rsid w:val="7B901DF2"/>
    <w:rsid w:val="7B9658EF"/>
    <w:rsid w:val="7BB32DB4"/>
    <w:rsid w:val="7BBF7C66"/>
    <w:rsid w:val="7BC72FB0"/>
    <w:rsid w:val="7BD7025D"/>
    <w:rsid w:val="7BDF79FA"/>
    <w:rsid w:val="7BE6DFBD"/>
    <w:rsid w:val="7BEF0863"/>
    <w:rsid w:val="7BF78DEE"/>
    <w:rsid w:val="7BF81E9D"/>
    <w:rsid w:val="7BFECC55"/>
    <w:rsid w:val="7BFF17C6"/>
    <w:rsid w:val="7BFF7F44"/>
    <w:rsid w:val="7C2F20C8"/>
    <w:rsid w:val="7C63789C"/>
    <w:rsid w:val="7CBF8C83"/>
    <w:rsid w:val="7CEF1ED0"/>
    <w:rsid w:val="7CF7A562"/>
    <w:rsid w:val="7D2F777E"/>
    <w:rsid w:val="7D371D57"/>
    <w:rsid w:val="7D381048"/>
    <w:rsid w:val="7D5FF3DD"/>
    <w:rsid w:val="7D6EEA02"/>
    <w:rsid w:val="7D7AEED2"/>
    <w:rsid w:val="7D957F29"/>
    <w:rsid w:val="7DA72642"/>
    <w:rsid w:val="7DB58089"/>
    <w:rsid w:val="7DB6274F"/>
    <w:rsid w:val="7DDB6D0F"/>
    <w:rsid w:val="7DDD9660"/>
    <w:rsid w:val="7DEBC19C"/>
    <w:rsid w:val="7DED73DF"/>
    <w:rsid w:val="7DEF33A9"/>
    <w:rsid w:val="7DEF585A"/>
    <w:rsid w:val="7DFD181F"/>
    <w:rsid w:val="7E2BD1F1"/>
    <w:rsid w:val="7E5020A2"/>
    <w:rsid w:val="7E7E5C3D"/>
    <w:rsid w:val="7E7EB236"/>
    <w:rsid w:val="7E7FEE81"/>
    <w:rsid w:val="7E9AC6A9"/>
    <w:rsid w:val="7EA7451C"/>
    <w:rsid w:val="7EBED333"/>
    <w:rsid w:val="7ECF1219"/>
    <w:rsid w:val="7ED30E3D"/>
    <w:rsid w:val="7ED60129"/>
    <w:rsid w:val="7ED6E16D"/>
    <w:rsid w:val="7EDB2E4E"/>
    <w:rsid w:val="7EDC15A5"/>
    <w:rsid w:val="7EDD7B6B"/>
    <w:rsid w:val="7EE37E7E"/>
    <w:rsid w:val="7EE3A173"/>
    <w:rsid w:val="7EF7B5D4"/>
    <w:rsid w:val="7EFBD953"/>
    <w:rsid w:val="7EFEA243"/>
    <w:rsid w:val="7F3900B0"/>
    <w:rsid w:val="7F3FE883"/>
    <w:rsid w:val="7F406C1A"/>
    <w:rsid w:val="7F5687CF"/>
    <w:rsid w:val="7F58B6D8"/>
    <w:rsid w:val="7F58FDA7"/>
    <w:rsid w:val="7F5DA3CF"/>
    <w:rsid w:val="7F5F29B4"/>
    <w:rsid w:val="7F675D26"/>
    <w:rsid w:val="7F6B6E2A"/>
    <w:rsid w:val="7F774A09"/>
    <w:rsid w:val="7F77CD09"/>
    <w:rsid w:val="7F7E32D9"/>
    <w:rsid w:val="7F7E8E45"/>
    <w:rsid w:val="7F7F0A99"/>
    <w:rsid w:val="7F9D4032"/>
    <w:rsid w:val="7FAEDC43"/>
    <w:rsid w:val="7FB2E16E"/>
    <w:rsid w:val="7FBA7CAC"/>
    <w:rsid w:val="7FBDC9E3"/>
    <w:rsid w:val="7FBEE8A3"/>
    <w:rsid w:val="7FBFDF6D"/>
    <w:rsid w:val="7FBFF45F"/>
    <w:rsid w:val="7FC27B37"/>
    <w:rsid w:val="7FC2EDCD"/>
    <w:rsid w:val="7FCADF3A"/>
    <w:rsid w:val="7FCB115F"/>
    <w:rsid w:val="7FD7CEDA"/>
    <w:rsid w:val="7FD7DC8D"/>
    <w:rsid w:val="7FDA1B67"/>
    <w:rsid w:val="7FDD0C34"/>
    <w:rsid w:val="7FDF09A5"/>
    <w:rsid w:val="7FDF26B1"/>
    <w:rsid w:val="7FDF7481"/>
    <w:rsid w:val="7FDF7AD9"/>
    <w:rsid w:val="7FDFD2AD"/>
    <w:rsid w:val="7FE02FB2"/>
    <w:rsid w:val="7FE34BEA"/>
    <w:rsid w:val="7FE5464A"/>
    <w:rsid w:val="7FE58DE8"/>
    <w:rsid w:val="7FE635FF"/>
    <w:rsid w:val="7FE875B6"/>
    <w:rsid w:val="7FEC0887"/>
    <w:rsid w:val="7FED08F4"/>
    <w:rsid w:val="7FF3DE04"/>
    <w:rsid w:val="7FFB1853"/>
    <w:rsid w:val="7FFB3ABE"/>
    <w:rsid w:val="7FFB4D71"/>
    <w:rsid w:val="7FFCE3D2"/>
    <w:rsid w:val="7FFD082B"/>
    <w:rsid w:val="7FFF022C"/>
    <w:rsid w:val="7FFF0EFB"/>
    <w:rsid w:val="7FFF205B"/>
    <w:rsid w:val="7FFF3A7E"/>
    <w:rsid w:val="7FFF6F72"/>
    <w:rsid w:val="7FFF8F57"/>
    <w:rsid w:val="7FFFB9C8"/>
    <w:rsid w:val="7FFFD209"/>
    <w:rsid w:val="83EF950B"/>
    <w:rsid w:val="8BEF31C0"/>
    <w:rsid w:val="8BFFA5D5"/>
    <w:rsid w:val="8D5DF9D2"/>
    <w:rsid w:val="8E7EE397"/>
    <w:rsid w:val="8ED7994A"/>
    <w:rsid w:val="977FE7F5"/>
    <w:rsid w:val="97BDE192"/>
    <w:rsid w:val="97E76AB7"/>
    <w:rsid w:val="98B756B4"/>
    <w:rsid w:val="99DE6BF2"/>
    <w:rsid w:val="9ADF2018"/>
    <w:rsid w:val="9BDD85D0"/>
    <w:rsid w:val="9C9BBC15"/>
    <w:rsid w:val="9DF71FE0"/>
    <w:rsid w:val="9EC77DC1"/>
    <w:rsid w:val="9FA785CC"/>
    <w:rsid w:val="9FBE4AD8"/>
    <w:rsid w:val="9FEC8F3E"/>
    <w:rsid w:val="9FFD8B9D"/>
    <w:rsid w:val="A5F69817"/>
    <w:rsid w:val="A6788924"/>
    <w:rsid w:val="A7AD12FB"/>
    <w:rsid w:val="A97E1573"/>
    <w:rsid w:val="ABBC69C6"/>
    <w:rsid w:val="AD7E0B63"/>
    <w:rsid w:val="ADFBB8D7"/>
    <w:rsid w:val="ADFE35A0"/>
    <w:rsid w:val="ADFEF576"/>
    <w:rsid w:val="ADFFA584"/>
    <w:rsid w:val="AEBB92FE"/>
    <w:rsid w:val="AEDA61FA"/>
    <w:rsid w:val="AFCF57CD"/>
    <w:rsid w:val="AFDD1D63"/>
    <w:rsid w:val="AFE87902"/>
    <w:rsid w:val="AFE9A0FA"/>
    <w:rsid w:val="AFEDF9EF"/>
    <w:rsid w:val="AFEE7E02"/>
    <w:rsid w:val="AFEE96F3"/>
    <w:rsid w:val="AFF46993"/>
    <w:rsid w:val="AFFD7DAF"/>
    <w:rsid w:val="AFFEBF0B"/>
    <w:rsid w:val="AFFF354C"/>
    <w:rsid w:val="AFFF680D"/>
    <w:rsid w:val="B3AF38A8"/>
    <w:rsid w:val="B3EF6CF4"/>
    <w:rsid w:val="B5B7EBCF"/>
    <w:rsid w:val="B5FEAA83"/>
    <w:rsid w:val="B76FD06F"/>
    <w:rsid w:val="B77F5F53"/>
    <w:rsid w:val="B77FBBCC"/>
    <w:rsid w:val="B785342D"/>
    <w:rsid w:val="B7ECD45F"/>
    <w:rsid w:val="BAAFC0F4"/>
    <w:rsid w:val="BB7F7B7B"/>
    <w:rsid w:val="BBF90858"/>
    <w:rsid w:val="BBFCADD4"/>
    <w:rsid w:val="BBFF0C91"/>
    <w:rsid w:val="BBFFE0C2"/>
    <w:rsid w:val="BD4F1E28"/>
    <w:rsid w:val="BD7D1AA1"/>
    <w:rsid w:val="BDF63013"/>
    <w:rsid w:val="BE87D41E"/>
    <w:rsid w:val="BE9D1695"/>
    <w:rsid w:val="BEB4A267"/>
    <w:rsid w:val="BECB8979"/>
    <w:rsid w:val="BEE38FF0"/>
    <w:rsid w:val="BEF921D9"/>
    <w:rsid w:val="BEFFFC85"/>
    <w:rsid w:val="BF352354"/>
    <w:rsid w:val="BF494522"/>
    <w:rsid w:val="BFB7CBDF"/>
    <w:rsid w:val="BFC5C9EF"/>
    <w:rsid w:val="BFDEBC5B"/>
    <w:rsid w:val="BFE7B556"/>
    <w:rsid w:val="BFFE89BD"/>
    <w:rsid w:val="BFFF3BFD"/>
    <w:rsid w:val="BFFF866A"/>
    <w:rsid w:val="BFFFFFF5"/>
    <w:rsid w:val="C2BF2B0C"/>
    <w:rsid w:val="C73F4FFE"/>
    <w:rsid w:val="C77F81EE"/>
    <w:rsid w:val="CD6F8A9C"/>
    <w:rsid w:val="CDE317B2"/>
    <w:rsid w:val="CDFAB2DE"/>
    <w:rsid w:val="CDFC0148"/>
    <w:rsid w:val="CDFC5553"/>
    <w:rsid w:val="CDFEEBD5"/>
    <w:rsid w:val="CF7B9405"/>
    <w:rsid w:val="CFDED47E"/>
    <w:rsid w:val="CFDF1284"/>
    <w:rsid w:val="CFFF8FB0"/>
    <w:rsid w:val="CFFFAED4"/>
    <w:rsid w:val="D0B7088F"/>
    <w:rsid w:val="D5DF64EA"/>
    <w:rsid w:val="D6FF0AC4"/>
    <w:rsid w:val="D7E7D186"/>
    <w:rsid w:val="D9F4DD30"/>
    <w:rsid w:val="D9FB3294"/>
    <w:rsid w:val="DAFACA5F"/>
    <w:rsid w:val="DB3235EA"/>
    <w:rsid w:val="DB3B704D"/>
    <w:rsid w:val="DB6F92A1"/>
    <w:rsid w:val="DB7CAF95"/>
    <w:rsid w:val="DB7DE14C"/>
    <w:rsid w:val="DB7FD96B"/>
    <w:rsid w:val="DBBD6E5D"/>
    <w:rsid w:val="DBBDD932"/>
    <w:rsid w:val="DBFFCA4F"/>
    <w:rsid w:val="DC7C748D"/>
    <w:rsid w:val="DCFFC32F"/>
    <w:rsid w:val="DD73711B"/>
    <w:rsid w:val="DDFF4355"/>
    <w:rsid w:val="DEBE971A"/>
    <w:rsid w:val="DEDF409F"/>
    <w:rsid w:val="DEE42AEB"/>
    <w:rsid w:val="DEFF8045"/>
    <w:rsid w:val="DF3F081C"/>
    <w:rsid w:val="DF6FDEDC"/>
    <w:rsid w:val="DF7731FC"/>
    <w:rsid w:val="DF77CEEC"/>
    <w:rsid w:val="DF7A2B8E"/>
    <w:rsid w:val="DFAF88C9"/>
    <w:rsid w:val="DFCBF9CB"/>
    <w:rsid w:val="DFCD740D"/>
    <w:rsid w:val="DFDFB548"/>
    <w:rsid w:val="DFEA1320"/>
    <w:rsid w:val="DFEFCC1E"/>
    <w:rsid w:val="DFFBB77C"/>
    <w:rsid w:val="DFFE8D35"/>
    <w:rsid w:val="DFFF811A"/>
    <w:rsid w:val="E1639614"/>
    <w:rsid w:val="E2FFDBDD"/>
    <w:rsid w:val="E73F8747"/>
    <w:rsid w:val="E7AE23A0"/>
    <w:rsid w:val="E7D7111F"/>
    <w:rsid w:val="E7EBD9D1"/>
    <w:rsid w:val="E8FF86CF"/>
    <w:rsid w:val="E9A657AC"/>
    <w:rsid w:val="E9F38CE9"/>
    <w:rsid w:val="EB7611DC"/>
    <w:rsid w:val="EB9743D4"/>
    <w:rsid w:val="EBDBF867"/>
    <w:rsid w:val="EBFF6A33"/>
    <w:rsid w:val="ECAE62AA"/>
    <w:rsid w:val="ECBEAFDA"/>
    <w:rsid w:val="ECF741B2"/>
    <w:rsid w:val="ECFF9D81"/>
    <w:rsid w:val="EDB58EA6"/>
    <w:rsid w:val="EEFDCFC4"/>
    <w:rsid w:val="EF171518"/>
    <w:rsid w:val="EF3EA039"/>
    <w:rsid w:val="EF6F3DA0"/>
    <w:rsid w:val="EF7F0EAA"/>
    <w:rsid w:val="EF7F56A0"/>
    <w:rsid w:val="EF7F5FC9"/>
    <w:rsid w:val="EF7F8238"/>
    <w:rsid w:val="EFB522C0"/>
    <w:rsid w:val="EFDAAC39"/>
    <w:rsid w:val="EFDFE311"/>
    <w:rsid w:val="EFEFE297"/>
    <w:rsid w:val="EFF4B371"/>
    <w:rsid w:val="EFFDA8EF"/>
    <w:rsid w:val="F19A881C"/>
    <w:rsid w:val="F1EAD46C"/>
    <w:rsid w:val="F1FBA0F6"/>
    <w:rsid w:val="F29BD50B"/>
    <w:rsid w:val="F2FE5C59"/>
    <w:rsid w:val="F3069F12"/>
    <w:rsid w:val="F3E7885B"/>
    <w:rsid w:val="F3F329CB"/>
    <w:rsid w:val="F3FE4CD1"/>
    <w:rsid w:val="F57E843B"/>
    <w:rsid w:val="F5BBBF51"/>
    <w:rsid w:val="F5BD29FE"/>
    <w:rsid w:val="F6E5E902"/>
    <w:rsid w:val="F72742B4"/>
    <w:rsid w:val="F72D1B11"/>
    <w:rsid w:val="F75EB009"/>
    <w:rsid w:val="F76F5713"/>
    <w:rsid w:val="F76FC868"/>
    <w:rsid w:val="F7A387D4"/>
    <w:rsid w:val="F7D831C7"/>
    <w:rsid w:val="F7DB4169"/>
    <w:rsid w:val="F7DBA4AB"/>
    <w:rsid w:val="F7DF8CEC"/>
    <w:rsid w:val="F7E92C7D"/>
    <w:rsid w:val="F7EFF531"/>
    <w:rsid w:val="F7F84ACC"/>
    <w:rsid w:val="F7FA045D"/>
    <w:rsid w:val="F7FA61C2"/>
    <w:rsid w:val="F7FEE22B"/>
    <w:rsid w:val="F7FFFEC9"/>
    <w:rsid w:val="F8F60D01"/>
    <w:rsid w:val="F9653A71"/>
    <w:rsid w:val="F97D90DD"/>
    <w:rsid w:val="F98943BC"/>
    <w:rsid w:val="F9AF70AF"/>
    <w:rsid w:val="F9BB95BD"/>
    <w:rsid w:val="F9FFA777"/>
    <w:rsid w:val="FA3E80B3"/>
    <w:rsid w:val="FA6F8EC7"/>
    <w:rsid w:val="FA7B598E"/>
    <w:rsid w:val="FA9BE4A7"/>
    <w:rsid w:val="FABD71C2"/>
    <w:rsid w:val="FABF480E"/>
    <w:rsid w:val="FADECC18"/>
    <w:rsid w:val="FADFB55C"/>
    <w:rsid w:val="FAFE6779"/>
    <w:rsid w:val="FAFFCCBB"/>
    <w:rsid w:val="FB1D226C"/>
    <w:rsid w:val="FB1E2EB8"/>
    <w:rsid w:val="FB719EB7"/>
    <w:rsid w:val="FB7D3803"/>
    <w:rsid w:val="FB7EC247"/>
    <w:rsid w:val="FB7F7288"/>
    <w:rsid w:val="FB977D33"/>
    <w:rsid w:val="FBE6658F"/>
    <w:rsid w:val="FBEE2170"/>
    <w:rsid w:val="FBEF36AB"/>
    <w:rsid w:val="FBEF761B"/>
    <w:rsid w:val="FBF25040"/>
    <w:rsid w:val="FBF747A3"/>
    <w:rsid w:val="FCAEA2E1"/>
    <w:rsid w:val="FCCD692F"/>
    <w:rsid w:val="FCFDC007"/>
    <w:rsid w:val="FD755DE6"/>
    <w:rsid w:val="FD7E2398"/>
    <w:rsid w:val="FDCEE858"/>
    <w:rsid w:val="FDCF8622"/>
    <w:rsid w:val="FDD15A3A"/>
    <w:rsid w:val="FDDB02BF"/>
    <w:rsid w:val="FDE4A148"/>
    <w:rsid w:val="FDFD212C"/>
    <w:rsid w:val="FDFF7C8C"/>
    <w:rsid w:val="FE77E546"/>
    <w:rsid w:val="FE7EC5D9"/>
    <w:rsid w:val="FE973CA9"/>
    <w:rsid w:val="FEBB304B"/>
    <w:rsid w:val="FEC6EE32"/>
    <w:rsid w:val="FECFDF53"/>
    <w:rsid w:val="FEDF3B45"/>
    <w:rsid w:val="FEE7585A"/>
    <w:rsid w:val="FEEA0B79"/>
    <w:rsid w:val="FEF25180"/>
    <w:rsid w:val="FEF7127F"/>
    <w:rsid w:val="FEF7B16F"/>
    <w:rsid w:val="FEFF5FF0"/>
    <w:rsid w:val="FEFF9DEA"/>
    <w:rsid w:val="FF0764F6"/>
    <w:rsid w:val="FF3D361F"/>
    <w:rsid w:val="FF3F7CCA"/>
    <w:rsid w:val="FF3FC11F"/>
    <w:rsid w:val="FF474635"/>
    <w:rsid w:val="FF5EC4BD"/>
    <w:rsid w:val="FF670EC9"/>
    <w:rsid w:val="FF67B67E"/>
    <w:rsid w:val="FF68938D"/>
    <w:rsid w:val="FF6CD1F7"/>
    <w:rsid w:val="FF71CB0A"/>
    <w:rsid w:val="FF76E9A9"/>
    <w:rsid w:val="FF7D0F95"/>
    <w:rsid w:val="FF7ED1E7"/>
    <w:rsid w:val="FF7F526D"/>
    <w:rsid w:val="FF7F569A"/>
    <w:rsid w:val="FF8B7FBD"/>
    <w:rsid w:val="FF8FC475"/>
    <w:rsid w:val="FF9A1074"/>
    <w:rsid w:val="FF9AF748"/>
    <w:rsid w:val="FF9ECFA1"/>
    <w:rsid w:val="FFA79BC1"/>
    <w:rsid w:val="FFA86733"/>
    <w:rsid w:val="FFB5C5D0"/>
    <w:rsid w:val="FFBB1588"/>
    <w:rsid w:val="FFBE2622"/>
    <w:rsid w:val="FFBF7852"/>
    <w:rsid w:val="FFD74A4F"/>
    <w:rsid w:val="FFDEE323"/>
    <w:rsid w:val="FFDFD0BF"/>
    <w:rsid w:val="FFDFDE46"/>
    <w:rsid w:val="FFE779E4"/>
    <w:rsid w:val="FFE7EF4E"/>
    <w:rsid w:val="FFE908EA"/>
    <w:rsid w:val="FFEDBCB5"/>
    <w:rsid w:val="FFEEC69B"/>
    <w:rsid w:val="FFEF3DA3"/>
    <w:rsid w:val="FFEF6389"/>
    <w:rsid w:val="FFEFD156"/>
    <w:rsid w:val="FFEFFA08"/>
    <w:rsid w:val="FFF52C9A"/>
    <w:rsid w:val="FFF79BE6"/>
    <w:rsid w:val="FFF93109"/>
    <w:rsid w:val="FFF99B46"/>
    <w:rsid w:val="FFFB4EB5"/>
    <w:rsid w:val="FFFB5EA2"/>
    <w:rsid w:val="FFFD79E8"/>
    <w:rsid w:val="FFFE2F1F"/>
    <w:rsid w:val="FFFF544B"/>
    <w:rsid w:val="FFFF7FF1"/>
    <w:rsid w:val="FFFFBC5E"/>
    <w:rsid w:val="FFFFC75A"/>
    <w:rsid w:val="FFFFCE1C"/>
    <w:rsid w:val="FFFFFE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qFormat/>
    <w:uiPriority w:val="0"/>
    <w:pPr>
      <w:keepNext/>
      <w:keepLines/>
      <w:spacing w:line="560" w:lineRule="exact"/>
      <w:ind w:firstLine="420" w:firstLineChars="200"/>
      <w:outlineLvl w:val="0"/>
    </w:pPr>
    <w:rPr>
      <w:rFonts w:eastAsia="黑体"/>
      <w:kern w:val="44"/>
      <w:sz w:val="32"/>
    </w:rPr>
  </w:style>
  <w:style w:type="paragraph" w:styleId="3">
    <w:name w:val="heading 2"/>
    <w:basedOn w:val="1"/>
    <w:next w:val="1"/>
    <w:link w:val="25"/>
    <w:unhideWhenUsed/>
    <w:qFormat/>
    <w:uiPriority w:val="0"/>
    <w:pPr>
      <w:keepNext/>
      <w:keepLines/>
      <w:spacing w:line="560" w:lineRule="exact"/>
      <w:ind w:firstLine="420" w:firstLineChars="200"/>
      <w:outlineLvl w:val="1"/>
    </w:pPr>
    <w:rPr>
      <w:rFonts w:eastAsia="楷体_GB2312"/>
      <w:sz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ind w:firstLine="420" w:firstLineChars="200"/>
    </w:pPr>
  </w:style>
  <w:style w:type="paragraph" w:styleId="5">
    <w:name w:val="Body Text"/>
    <w:basedOn w:val="1"/>
    <w:link w:val="28"/>
    <w:semiHidden/>
    <w:qFormat/>
    <w:uiPriority w:val="0"/>
    <w:rPr>
      <w:rFonts w:ascii="仿宋" w:hAnsi="仿宋" w:eastAsia="仿宋" w:cs="仿宋"/>
      <w:sz w:val="29"/>
      <w:szCs w:val="29"/>
    </w:rPr>
  </w:style>
  <w:style w:type="paragraph" w:styleId="6">
    <w:name w:val="Body Text Indent"/>
    <w:basedOn w:val="1"/>
    <w:next w:val="4"/>
    <w:unhideWhenUsed/>
    <w:qFormat/>
    <w:uiPriority w:val="99"/>
    <w:pPr>
      <w:spacing w:after="120"/>
      <w:ind w:left="420" w:leftChars="200"/>
    </w:pPr>
    <w:rPr>
      <w:sz w:val="20"/>
    </w:rPr>
  </w:style>
  <w:style w:type="paragraph" w:styleId="7">
    <w:name w:val="Balloon Text"/>
    <w:basedOn w:val="1"/>
    <w:link w:val="23"/>
    <w:qFormat/>
    <w:uiPriority w:val="0"/>
    <w:rPr>
      <w:sz w:val="18"/>
      <w:szCs w:val="18"/>
    </w:rPr>
  </w:style>
  <w:style w:type="paragraph" w:styleId="8">
    <w:name w:val="footer"/>
    <w:basedOn w:val="1"/>
    <w:qFormat/>
    <w:uiPriority w:val="0"/>
    <w:pPr>
      <w:tabs>
        <w:tab w:val="center" w:pos="4153"/>
        <w:tab w:val="right" w:pos="8306"/>
      </w:tabs>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0">
    <w:name w:val="toc 1"/>
    <w:basedOn w:val="1"/>
    <w:next w:val="1"/>
    <w:qFormat/>
    <w:uiPriority w:val="39"/>
  </w:style>
  <w:style w:type="paragraph" w:styleId="11">
    <w:name w:val="footnote text"/>
    <w:basedOn w:val="1"/>
    <w:qFormat/>
    <w:uiPriority w:val="0"/>
    <w:rPr>
      <w:sz w:val="18"/>
    </w:rPr>
  </w:style>
  <w:style w:type="paragraph" w:styleId="12">
    <w:name w:val="toc 2"/>
    <w:basedOn w:val="1"/>
    <w:next w:val="1"/>
    <w:qFormat/>
    <w:uiPriority w:val="39"/>
    <w:pPr>
      <w:ind w:left="420" w:leftChars="200"/>
    </w:pPr>
  </w:style>
  <w:style w:type="paragraph" w:styleId="13">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paragraph" w:styleId="14">
    <w:name w:val="Body Text First Indent 2"/>
    <w:basedOn w:val="6"/>
    <w:next w:val="15"/>
    <w:unhideWhenUsed/>
    <w:qFormat/>
    <w:uiPriority w:val="99"/>
    <w:pPr>
      <w:ind w:firstLine="420" w:firstLineChars="200"/>
    </w:pPr>
  </w:style>
  <w:style w:type="paragraph" w:customStyle="1" w:styleId="15">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styleId="18">
    <w:name w:val="Strong"/>
    <w:basedOn w:val="17"/>
    <w:qFormat/>
    <w:uiPriority w:val="0"/>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styleId="20">
    <w:name w:val="footnote reference"/>
    <w:basedOn w:val="17"/>
    <w:qFormat/>
    <w:uiPriority w:val="0"/>
    <w:rPr>
      <w:vertAlign w:val="superscript"/>
    </w:rPr>
  </w:style>
  <w:style w:type="paragraph" w:customStyle="1" w:styleId="21">
    <w:name w:val="正文-公1"/>
    <w:next w:val="1"/>
    <w:qFormat/>
    <w:uiPriority w:val="0"/>
    <w:pPr>
      <w:widowControl w:val="0"/>
      <w:ind w:firstLine="200" w:firstLineChars="200"/>
    </w:pPr>
    <w:rPr>
      <w:rFonts w:ascii="Times New Roman" w:hAnsi="Times New Roman" w:eastAsia="仿宋_GB2312" w:cs="Times New Roman"/>
      <w:kern w:val="2"/>
      <w:sz w:val="21"/>
      <w:szCs w:val="22"/>
      <w:lang w:val="en-US" w:eastAsia="zh-CN" w:bidi="ar-SA"/>
    </w:rPr>
  </w:style>
  <w:style w:type="table" w:customStyle="1" w:styleId="22">
    <w:name w:val="Table Normal"/>
    <w:semiHidden/>
    <w:unhideWhenUsed/>
    <w:qFormat/>
    <w:uiPriority w:val="0"/>
    <w:tblPr>
      <w:tblCellMar>
        <w:top w:w="0" w:type="dxa"/>
        <w:left w:w="0" w:type="dxa"/>
        <w:bottom w:w="0" w:type="dxa"/>
        <w:right w:w="0" w:type="dxa"/>
      </w:tblCellMar>
    </w:tblPr>
  </w:style>
  <w:style w:type="character" w:customStyle="1" w:styleId="23">
    <w:name w:val="批注框文本 Char"/>
    <w:basedOn w:val="17"/>
    <w:link w:val="7"/>
    <w:qFormat/>
    <w:uiPriority w:val="0"/>
    <w:rPr>
      <w:rFonts w:eastAsia="Arial"/>
      <w:snapToGrid w:val="0"/>
      <w:color w:val="000000"/>
      <w:sz w:val="18"/>
      <w:szCs w:val="18"/>
      <w:lang w:eastAsia="en-US"/>
    </w:rPr>
  </w:style>
  <w:style w:type="paragraph" w:styleId="24">
    <w:name w:val="List Paragraph"/>
    <w:basedOn w:val="1"/>
    <w:unhideWhenUsed/>
    <w:qFormat/>
    <w:uiPriority w:val="99"/>
    <w:pPr>
      <w:ind w:firstLine="420" w:firstLineChars="200"/>
    </w:pPr>
  </w:style>
  <w:style w:type="character" w:customStyle="1" w:styleId="25">
    <w:name w:val="标题 2 Char"/>
    <w:link w:val="3"/>
    <w:qFormat/>
    <w:uiPriority w:val="0"/>
    <w:rPr>
      <w:rFonts w:ascii="Arial" w:hAnsi="Arial" w:eastAsia="楷体_GB2312"/>
      <w:sz w:val="32"/>
    </w:rPr>
  </w:style>
  <w:style w:type="paragraph" w:customStyle="1" w:styleId="26">
    <w:name w:val="WPSOffice手动目录 1"/>
    <w:qFormat/>
    <w:uiPriority w:val="0"/>
    <w:rPr>
      <w:rFonts w:ascii="Times New Roman" w:hAnsi="Times New Roman" w:eastAsia="宋体" w:cs="Times New Roman"/>
      <w:lang w:val="en-US" w:eastAsia="zh-CN" w:bidi="ar-SA"/>
    </w:rPr>
  </w:style>
  <w:style w:type="paragraph" w:customStyle="1" w:styleId="27">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28">
    <w:name w:val="正文文本 Char"/>
    <w:basedOn w:val="17"/>
    <w:link w:val="5"/>
    <w:semiHidden/>
    <w:qFormat/>
    <w:uiPriority w:val="0"/>
    <w:rPr>
      <w:rFonts w:ascii="仿宋" w:hAnsi="仿宋" w:eastAsia="仿宋" w:cs="仿宋"/>
      <w:snapToGrid w:val="0"/>
      <w:color w:val="000000"/>
      <w:sz w:val="29"/>
      <w:szCs w:val="29"/>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04A73D-0516-4573-875F-CB58EBDDE164}">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4939</Words>
  <Characters>5158</Characters>
  <Lines>60</Lines>
  <Paragraphs>16</Paragraphs>
  <TotalTime>9</TotalTime>
  <ScaleCrop>false</ScaleCrop>
  <LinksUpToDate>false</LinksUpToDate>
  <CharactersWithSpaces>5220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2026-03-14T10:58:00Z</dcterms:created>
  <dc:creator>Administrator</dc:creator>
  <cp:lastModifiedBy>李明明</cp:lastModifiedBy>
  <cp:lastPrinted>2026-05-21T06:51:00Z</cp:lastPrinted>
  <dcterms:modified xsi:type="dcterms:W3CDTF">2026-07-12T07:14:11Z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2025-05-21T11:06:58Z</vt:filetime>
  </property>
  <property fmtid="{D5CDD505-2E9C-101B-9397-08002B2CF9AE}" pid="4" name="UsrData">
    <vt:lpwstr>682d434c043b47001face47ewl</vt:lpwstr>
  </property>
  <property fmtid="{D5CDD505-2E9C-101B-9397-08002B2CF9AE}" pid="5" name="KSOTemplateDocerSaveRecord">
    <vt:lpwstr>eyJoZGlkIjoiZWY0OWU5NzRjZTczYTc0YTFkZDU5M2U1YzI1YjJhZDIiLCJ1c2VySWQiOiIxNzIwNDYwOTA0In0=</vt:lpwstr>
  </property>
  <property fmtid="{D5CDD505-2E9C-101B-9397-08002B2CF9AE}" pid="6" name="KSOProductBuildVer">
    <vt:lpwstr>2052-12.1.0.26895</vt:lpwstr>
  </property>
  <property fmtid="{D5CDD505-2E9C-101B-9397-08002B2CF9AE}" pid="7" name="ICV">
    <vt:lpwstr>51AB3D0DE7FC23ACC0B0B769A7A3DBFC_43</vt:lpwstr>
  </property>
</Properties>
</file>