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BED09">
      <w:pPr>
        <w:spacing w:line="560" w:lineRule="exact"/>
        <w:jc w:val="center"/>
        <w:rPr>
          <w:rFonts w:ascii="方正小标宋_GBK" w:eastAsia="方正小标宋_GBK"/>
          <w:color w:val="000000" w:themeColor="text1"/>
          <w:sz w:val="44"/>
          <w:szCs w:val="44"/>
          <w14:textFill>
            <w14:solidFill>
              <w14:schemeClr w14:val="tx1"/>
            </w14:solidFill>
          </w14:textFill>
        </w:rPr>
      </w:pPr>
    </w:p>
    <w:p w14:paraId="4FBBC086">
      <w:pPr>
        <w:spacing w:line="560" w:lineRule="exact"/>
        <w:jc w:val="center"/>
        <w:rPr>
          <w:rFonts w:ascii="方正小标宋_GBK" w:eastAsia="方正小标宋_GBK"/>
          <w:color w:val="000000" w:themeColor="text1"/>
          <w:sz w:val="44"/>
          <w:szCs w:val="44"/>
          <w14:textFill>
            <w14:solidFill>
              <w14:schemeClr w14:val="tx1"/>
            </w14:solidFill>
          </w14:textFill>
        </w:rPr>
      </w:pPr>
    </w:p>
    <w:p w14:paraId="2273E99B">
      <w:pPr>
        <w:spacing w:line="56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天桥济南牧玺电子科技有限公司“2·27”一般起重伤害事故调查报告</w:t>
      </w:r>
    </w:p>
    <w:p w14:paraId="4D57CD3A">
      <w:pPr>
        <w:autoSpaceDE w:val="0"/>
        <w:autoSpaceDN w:val="0"/>
        <w:adjustRightInd w:val="0"/>
        <w:jc w:val="center"/>
        <w:rPr>
          <w:rFonts w:hint="eastAsia" w:ascii="楷体_GB2312" w:hAnsi="楷体_GB2312" w:eastAsia="楷体_GB2312" w:cs="楷体_GB2312"/>
          <w:color w:val="000000" w:themeColor="text1"/>
          <w:sz w:val="30"/>
          <w:szCs w:val="30"/>
          <w:lang w:val="en-US" w:eastAsia="zh-CN" w:bidi="ar-SA"/>
          <w14:textFill>
            <w14:solidFill>
              <w14:schemeClr w14:val="tx1"/>
            </w14:solidFill>
          </w14:textFill>
        </w:rPr>
      </w:pPr>
    </w:p>
    <w:p w14:paraId="2E7B9AD0">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71C839EF">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10EB6E49">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0A4D693C">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1683E96B">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4E838580">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65A130B4">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1C99BDED">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3B5C8072">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4D5BB659">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7C936909">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56C6009F">
      <w:pPr>
        <w:autoSpaceDE w:val="0"/>
        <w:autoSpaceDN w:val="0"/>
        <w:adjustRightInd w:val="0"/>
        <w:rPr>
          <w:rFonts w:ascii="楷体_GB2312" w:hAnsi="Times New Roman" w:eastAsia="楷体_GB2312" w:cs="楷体_GB2312"/>
          <w:color w:val="000000" w:themeColor="text1"/>
          <w:sz w:val="32"/>
          <w:szCs w:val="32"/>
          <w:lang w:val="en-US" w:bidi="ar-SA"/>
          <w14:textFill>
            <w14:solidFill>
              <w14:schemeClr w14:val="tx1"/>
            </w14:solidFill>
          </w14:textFill>
        </w:rPr>
      </w:pPr>
    </w:p>
    <w:p w14:paraId="64B5880D">
      <w:pPr>
        <w:autoSpaceDE w:val="0"/>
        <w:autoSpaceDN w:val="0"/>
        <w:adjustRightInd w:val="0"/>
        <w:jc w:val="center"/>
        <w:rPr>
          <w:rFonts w:ascii="楷体_GB2312" w:hAnsi="Times New Roman" w:eastAsia="楷体_GB2312" w:cs="楷体_GB2312"/>
          <w:color w:val="000000" w:themeColor="text1"/>
          <w:sz w:val="32"/>
          <w:szCs w:val="32"/>
          <w:lang w:val="en-US" w:bidi="ar-SA"/>
          <w14:textFill>
            <w14:solidFill>
              <w14:schemeClr w14:val="tx1"/>
            </w14:solidFill>
          </w14:textFill>
        </w:rPr>
      </w:pPr>
      <w:r>
        <w:rPr>
          <w:rFonts w:hint="eastAsia" w:ascii="楷体_GB2312" w:hAnsi="Times New Roman" w:eastAsia="楷体_GB2312" w:cs="楷体_GB2312"/>
          <w:color w:val="000000" w:themeColor="text1"/>
          <w:sz w:val="32"/>
          <w:szCs w:val="32"/>
          <w:lang w:val="en-US" w:bidi="ar-SA"/>
          <w14:textFill>
            <w14:solidFill>
              <w14:schemeClr w14:val="tx1"/>
            </w14:solidFill>
          </w14:textFill>
        </w:rPr>
        <w:t>天桥区人民政府事故调查组</w:t>
      </w:r>
    </w:p>
    <w:p w14:paraId="78FAC08E">
      <w:pPr>
        <w:widowControl/>
        <w:jc w:val="center"/>
        <w:rPr>
          <w:rFonts w:ascii="方正小标宋_GBK" w:eastAsia="方正小标宋_GBK"/>
          <w:color w:val="000000" w:themeColor="text1"/>
          <w:sz w:val="44"/>
          <w:szCs w:val="44"/>
          <w14:textFill>
            <w14:solidFill>
              <w14:schemeClr w14:val="tx1"/>
            </w14:solidFill>
          </w14:textFill>
        </w:rPr>
      </w:pPr>
      <w:r>
        <w:rPr>
          <w:rFonts w:ascii="楷体_GB2312" w:hAnsi="Times New Roman" w:eastAsia="楷体_GB2312" w:cs="楷体_GB2312"/>
          <w:color w:val="000000" w:themeColor="text1"/>
          <w:sz w:val="32"/>
          <w:szCs w:val="32"/>
          <w:lang w:val="en-US" w:bidi="ar-SA"/>
          <w14:textFill>
            <w14:solidFill>
              <w14:schemeClr w14:val="tx1"/>
            </w14:solidFill>
          </w14:textFill>
        </w:rPr>
        <w:t>20</w:t>
      </w:r>
      <w:r>
        <w:rPr>
          <w:rFonts w:hint="eastAsia" w:ascii="楷体_GB2312" w:hAnsi="Times New Roman" w:eastAsia="楷体_GB2312" w:cs="楷体_GB2312"/>
          <w:color w:val="000000" w:themeColor="text1"/>
          <w:sz w:val="32"/>
          <w:szCs w:val="32"/>
          <w:lang w:val="en-US" w:bidi="ar-SA"/>
          <w14:textFill>
            <w14:solidFill>
              <w14:schemeClr w14:val="tx1"/>
            </w14:solidFill>
          </w14:textFill>
        </w:rPr>
        <w:t>2</w:t>
      </w:r>
      <w:r>
        <w:rPr>
          <w:rFonts w:hint="eastAsia" w:ascii="楷体_GB2312" w:hAnsi="Times New Roman" w:eastAsia="楷体_GB2312" w:cs="楷体_GB2312"/>
          <w:color w:val="000000" w:themeColor="text1"/>
          <w:sz w:val="32"/>
          <w:szCs w:val="32"/>
          <w:lang w:val="en-US" w:eastAsia="zh-CN" w:bidi="ar-SA"/>
          <w14:textFill>
            <w14:solidFill>
              <w14:schemeClr w14:val="tx1"/>
            </w14:solidFill>
          </w14:textFill>
        </w:rPr>
        <w:t>6</w:t>
      </w:r>
      <w:r>
        <w:rPr>
          <w:rFonts w:hint="eastAsia" w:ascii="楷体_GB2312" w:hAnsi="Times New Roman" w:eastAsia="楷体_GB2312" w:cs="楷体_GB2312"/>
          <w:color w:val="000000" w:themeColor="text1"/>
          <w:sz w:val="32"/>
          <w:szCs w:val="32"/>
          <w:lang w:val="en-US" w:bidi="ar-SA"/>
          <w14:textFill>
            <w14:solidFill>
              <w14:schemeClr w14:val="tx1"/>
            </w14:solidFill>
          </w14:textFill>
        </w:rPr>
        <w:t>年</w:t>
      </w:r>
      <w:r>
        <w:rPr>
          <w:rFonts w:hint="eastAsia" w:ascii="楷体_GB2312" w:hAnsi="Times New Roman" w:eastAsia="楷体_GB2312" w:cs="楷体_GB2312"/>
          <w:color w:val="000000" w:themeColor="text1"/>
          <w:sz w:val="32"/>
          <w:szCs w:val="32"/>
          <w:lang w:val="en-US" w:eastAsia="zh-CN" w:bidi="ar-SA"/>
          <w14:textFill>
            <w14:solidFill>
              <w14:schemeClr w14:val="tx1"/>
            </w14:solidFill>
          </w14:textFill>
        </w:rPr>
        <w:t>5</w:t>
      </w:r>
      <w:r>
        <w:rPr>
          <w:rFonts w:hint="eastAsia" w:ascii="楷体_GB2312" w:hAnsi="Times New Roman" w:eastAsia="楷体_GB2312" w:cs="楷体_GB2312"/>
          <w:color w:val="000000" w:themeColor="text1"/>
          <w:sz w:val="32"/>
          <w:szCs w:val="32"/>
          <w:lang w:val="en-US" w:bidi="ar-SA"/>
          <w14:textFill>
            <w14:solidFill>
              <w14:schemeClr w14:val="tx1"/>
            </w14:solidFill>
          </w14:textFill>
        </w:rPr>
        <w:t>月</w:t>
      </w:r>
      <w:r>
        <w:rPr>
          <w:rFonts w:ascii="方正小标宋_GBK" w:eastAsia="方正小标宋_GBK"/>
          <w:color w:val="000000" w:themeColor="text1"/>
          <w:sz w:val="44"/>
          <w:szCs w:val="44"/>
          <w14:textFill>
            <w14:solidFill>
              <w14:schemeClr w14:val="tx1"/>
            </w14:solidFill>
          </w14:textFill>
        </w:rPr>
        <w:br w:type="page"/>
      </w:r>
    </w:p>
    <w:p w14:paraId="22FAD28A">
      <w:pPr>
        <w:widowControl/>
        <w:jc w:val="center"/>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目录</w:t>
      </w:r>
    </w:p>
    <w:p w14:paraId="7BEE77E1">
      <w:pPr>
        <w:pStyle w:val="8"/>
        <w:tabs>
          <w:tab w:val="right" w:leader="dot" w:pos="8844"/>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TOC \o "1-3" \h \z \u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_Toc637885083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一、事故基本情况</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fldChar w:fldCharType="end"/>
      </w:r>
    </w:p>
    <w:p w14:paraId="02E0A70A">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_Toc1767938415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14:textFill>
            <w14:solidFill>
              <w14:schemeClr w14:val="tx1"/>
            </w14:solidFill>
          </w14:textFill>
        </w:rPr>
        <w:t>（一）事故发生单位基本情况</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2</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3E2A8081">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_Toc1981011649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（二）涉事设备情况</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2</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06F71CA4">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_Toc117703685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（三）设备属性认定</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3</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17EC668C">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_Toc2101223179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lang w:val="en-US" w:eastAsia="en-US"/>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四</w:t>
      </w:r>
      <w:r>
        <w:rPr>
          <w:rFonts w:hint="eastAsia" w:ascii="楷体_GB2312" w:hAnsi="楷体_GB2312" w:eastAsia="楷体_GB2312" w:cs="楷体_GB2312"/>
          <w:color w:val="000000" w:themeColor="text1"/>
          <w:sz w:val="32"/>
          <w:szCs w:val="32"/>
          <w:lang w:val="en-US" w:eastAsia="en-US"/>
          <w14:textFill>
            <w14:solidFill>
              <w14:schemeClr w14:val="tx1"/>
            </w14:solidFill>
          </w14:textFill>
        </w:rPr>
        <w:t>）事故发生经过</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4</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39B4F405">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_Toc413306571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（五）相关部门监督管理情况</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4</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13FF4D98">
      <w:pPr>
        <w:pStyle w:val="8"/>
        <w:tabs>
          <w:tab w:val="right" w:leader="dot" w:pos="8844"/>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_Toc713654853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二、事故应急处置及评估情况</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5</w:t>
      </w:r>
      <w:r>
        <w:rPr>
          <w:rFonts w:hint="eastAsia" w:ascii="黑体" w:hAnsi="黑体" w:eastAsia="黑体" w:cs="黑体"/>
          <w:color w:val="000000" w:themeColor="text1"/>
          <w:sz w:val="32"/>
          <w:szCs w:val="32"/>
          <w14:textFill>
            <w14:solidFill>
              <w14:schemeClr w14:val="tx1"/>
            </w14:solidFill>
          </w14:textFill>
        </w:rPr>
        <w:fldChar w:fldCharType="end"/>
      </w:r>
    </w:p>
    <w:p w14:paraId="5CA476BF">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_Toc1344116382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14:textFill>
            <w14:solidFill>
              <w14:schemeClr w14:val="tx1"/>
            </w14:solidFill>
          </w14:textFill>
        </w:rPr>
        <w:t>（一）事故信息报告及应急处置情况</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5</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000A68E2">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_Toc248250834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14:textFill>
            <w14:solidFill>
              <w14:schemeClr w14:val="tx1"/>
            </w14:solidFill>
          </w14:textFill>
        </w:rPr>
        <w:t>（二）医疗救治及善后情况</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5</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7E5A481D">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_Toc997257491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14:textFill>
            <w14:solidFill>
              <w14:schemeClr w14:val="tx1"/>
            </w14:solidFill>
          </w14:textFill>
        </w:rPr>
        <w:t>（三）事故应急处置评估</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5</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212EB266">
      <w:pPr>
        <w:pStyle w:val="8"/>
        <w:tabs>
          <w:tab w:val="right" w:leader="dot" w:pos="8844"/>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_Toc2115902761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eastAsia="zh-CN"/>
          <w14:textFill>
            <w14:solidFill>
              <w14:schemeClr w14:val="tx1"/>
            </w14:solidFill>
          </w14:textFill>
        </w:rPr>
        <w:t>三、事故原因分析</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6</w:t>
      </w:r>
      <w:r>
        <w:rPr>
          <w:rFonts w:hint="eastAsia" w:ascii="黑体" w:hAnsi="黑体" w:eastAsia="黑体" w:cs="黑体"/>
          <w:color w:val="000000" w:themeColor="text1"/>
          <w:sz w:val="32"/>
          <w:szCs w:val="32"/>
          <w14:textFill>
            <w14:solidFill>
              <w14:schemeClr w14:val="tx1"/>
            </w14:solidFill>
          </w14:textFill>
        </w:rPr>
        <w:fldChar w:fldCharType="end"/>
      </w:r>
    </w:p>
    <w:p w14:paraId="5095597D">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_Toc1950261900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（一）事故直接原因</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6</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4E76A55D">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_Toc1778536892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（二）事故间接原因</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6</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5090F3EC">
      <w:pPr>
        <w:pStyle w:val="8"/>
        <w:tabs>
          <w:tab w:val="right" w:leader="dot" w:pos="8844"/>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_Toc1051854358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、对有关责任人员和责任单位的处理建议</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6</w:t>
      </w:r>
      <w:r>
        <w:rPr>
          <w:rFonts w:hint="eastAsia" w:ascii="黑体" w:hAnsi="黑体" w:eastAsia="黑体" w:cs="黑体"/>
          <w:color w:val="000000" w:themeColor="text1"/>
          <w:sz w:val="32"/>
          <w:szCs w:val="32"/>
          <w14:textFill>
            <w14:solidFill>
              <w14:schemeClr w14:val="tx1"/>
            </w14:solidFill>
          </w14:textFill>
        </w:rPr>
        <w:fldChar w:fldCharType="end"/>
      </w:r>
    </w:p>
    <w:p w14:paraId="114A3702">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_Toc537951618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14:textFill>
            <w14:solidFill>
              <w14:schemeClr w14:val="tx1"/>
            </w14:solidFill>
          </w14:textFill>
        </w:rPr>
        <w:t>（一）在事故中死亡不予追究责任人员</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6</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21729CF8">
      <w:pPr>
        <w:pStyle w:val="10"/>
        <w:tabs>
          <w:tab w:val="right" w:leader="dot" w:pos="8844"/>
        </w:tabs>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fldChar w:fldCharType="begin"/>
      </w:r>
      <w:r>
        <w:rPr>
          <w:rFonts w:hint="eastAsia" w:ascii="楷体_GB2312" w:hAnsi="楷体_GB2312" w:eastAsia="楷体_GB2312" w:cs="楷体_GB2312"/>
          <w:color w:val="000000" w:themeColor="text1"/>
          <w:sz w:val="32"/>
          <w:szCs w:val="32"/>
          <w14:textFill>
            <w14:solidFill>
              <w14:schemeClr w14:val="tx1"/>
            </w14:solidFill>
          </w14:textFill>
        </w:rPr>
        <w:instrText xml:space="preserve"> HYPERLINK \l _Toc2010836166 </w:instrText>
      </w:r>
      <w:r>
        <w:rPr>
          <w:rFonts w:hint="eastAsia" w:ascii="楷体_GB2312" w:hAnsi="楷体_GB2312" w:eastAsia="楷体_GB2312" w:cs="楷体_GB2312"/>
          <w:color w:val="000000" w:themeColor="text1"/>
          <w:sz w:val="32"/>
          <w:szCs w:val="32"/>
          <w14:textFill>
            <w14:solidFill>
              <w14:schemeClr w14:val="tx1"/>
            </w14:solidFill>
          </w14:textFill>
        </w:rPr>
        <w:fldChar w:fldCharType="separate"/>
      </w:r>
      <w:r>
        <w:rPr>
          <w:rFonts w:hint="eastAsia" w:ascii="楷体_GB2312" w:hAnsi="楷体_GB2312" w:eastAsia="楷体_GB2312" w:cs="楷体_GB2312"/>
          <w:color w:val="000000" w:themeColor="text1"/>
          <w:sz w:val="32"/>
          <w:szCs w:val="32"/>
          <w14:textFill>
            <w14:solidFill>
              <w14:schemeClr w14:val="tx1"/>
            </w14:solidFill>
          </w14:textFill>
        </w:rPr>
        <w:t>（二）对事故有关责任人员和责任单位的处理建议</w:t>
      </w:r>
      <w:r>
        <w:rPr>
          <w:rFonts w:hint="eastAsia" w:ascii="楷体_GB2312" w:hAnsi="楷体_GB2312" w:eastAsia="楷体_GB2312" w:cs="楷体_GB2312"/>
          <w:color w:val="000000" w:themeColor="text1"/>
          <w:sz w:val="32"/>
          <w:szCs w:val="32"/>
          <w14:textFill>
            <w14:solidFill>
              <w14:schemeClr w14:val="tx1"/>
            </w14:solidFill>
          </w14:textFill>
        </w:rPr>
        <w:tab/>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6</w:t>
      </w:r>
      <w:r>
        <w:rPr>
          <w:rFonts w:hint="eastAsia" w:ascii="楷体_GB2312" w:hAnsi="楷体_GB2312" w:eastAsia="楷体_GB2312" w:cs="楷体_GB2312"/>
          <w:color w:val="000000" w:themeColor="text1"/>
          <w:sz w:val="32"/>
          <w:szCs w:val="32"/>
          <w14:textFill>
            <w14:solidFill>
              <w14:schemeClr w14:val="tx1"/>
            </w14:solidFill>
          </w14:textFill>
        </w:rPr>
        <w:fldChar w:fldCharType="end"/>
      </w:r>
    </w:p>
    <w:p w14:paraId="4A22AB61">
      <w:pPr>
        <w:pStyle w:val="8"/>
        <w:tabs>
          <w:tab w:val="right" w:leader="dot" w:pos="8844"/>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_Toc69742751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eastAsia="zh-CN"/>
          <w14:textFill>
            <w14:solidFill>
              <w14:schemeClr w14:val="tx1"/>
            </w14:solidFill>
          </w14:textFill>
        </w:rPr>
        <w:t>五、事故主要教训</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7</w:t>
      </w:r>
      <w:r>
        <w:rPr>
          <w:rFonts w:hint="eastAsia" w:ascii="黑体" w:hAnsi="黑体" w:eastAsia="黑体" w:cs="黑体"/>
          <w:color w:val="000000" w:themeColor="text1"/>
          <w:sz w:val="32"/>
          <w:szCs w:val="32"/>
          <w14:textFill>
            <w14:solidFill>
              <w14:schemeClr w14:val="tx1"/>
            </w14:solidFill>
          </w14:textFill>
        </w:rPr>
        <w:fldChar w:fldCharType="end"/>
      </w:r>
    </w:p>
    <w:p w14:paraId="0B60F7DD">
      <w:pPr>
        <w:pStyle w:val="8"/>
        <w:tabs>
          <w:tab w:val="right" w:leader="dot" w:pos="8844"/>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HYPERLINK \l _Toc1172858524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lang w:eastAsia="zh-CN"/>
          <w14:textFill>
            <w14:solidFill>
              <w14:schemeClr w14:val="tx1"/>
            </w14:solidFill>
          </w14:textFill>
        </w:rPr>
        <w:t>六、事故整改和防范措施</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8</w:t>
      </w:r>
      <w:r>
        <w:rPr>
          <w:rFonts w:hint="eastAsia" w:ascii="黑体" w:hAnsi="黑体" w:eastAsia="黑体" w:cs="黑体"/>
          <w:color w:val="000000" w:themeColor="text1"/>
          <w:sz w:val="32"/>
          <w:szCs w:val="32"/>
          <w14:textFill>
            <w14:solidFill>
              <w14:schemeClr w14:val="tx1"/>
            </w14:solidFill>
          </w14:textFill>
        </w:rPr>
        <w:fldChar w:fldCharType="end"/>
      </w:r>
    </w:p>
    <w:p w14:paraId="0409D170">
      <w:pPr>
        <w:pStyle w:val="8"/>
        <w:tabs>
          <w:tab w:val="right" w:leader="dot" w:pos="8834"/>
        </w:tabs>
        <w:rPr>
          <w:rFonts w:ascii="方正小标宋_GBK" w:eastAsia="方正小标宋_GBK"/>
          <w:color w:val="000000" w:themeColor="text1"/>
          <w:sz w:val="44"/>
          <w:szCs w:val="44"/>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fldChar w:fldCharType="end"/>
      </w:r>
      <w:r>
        <w:rPr>
          <w:rFonts w:ascii="方正小标宋_GBK" w:eastAsia="方正小标宋_GBK"/>
          <w:color w:val="000000" w:themeColor="text1"/>
          <w:sz w:val="44"/>
          <w:szCs w:val="44"/>
          <w14:textFill>
            <w14:solidFill>
              <w14:schemeClr w14:val="tx1"/>
            </w14:solidFill>
          </w14:textFill>
        </w:rPr>
        <w:br w:type="page"/>
      </w:r>
    </w:p>
    <w:p w14:paraId="6252870C">
      <w:pPr>
        <w:spacing w:line="560" w:lineRule="exact"/>
        <w:jc w:val="center"/>
        <w:rPr>
          <w:rFonts w:ascii="方正小标宋_GBK" w:eastAsia="方正小标宋_GBK"/>
          <w:color w:val="000000" w:themeColor="text1"/>
          <w:sz w:val="44"/>
          <w:szCs w:val="44"/>
          <w14:textFill>
            <w14:solidFill>
              <w14:schemeClr w14:val="tx1"/>
            </w14:solidFill>
          </w14:textFill>
        </w:rPr>
        <w:sectPr>
          <w:pgSz w:w="11906" w:h="16838"/>
          <w:pgMar w:top="2098" w:right="1474" w:bottom="1985" w:left="1588" w:header="851" w:footer="992" w:gutter="0"/>
          <w:pgNumType w:start="1" w:chapStyle="1"/>
          <w:cols w:space="425" w:num="1"/>
          <w:docGrid w:type="lines" w:linePitch="312" w:charSpace="0"/>
        </w:sectPr>
      </w:pPr>
    </w:p>
    <w:p w14:paraId="59F0E369">
      <w:pPr>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天桥济南牧玺电子科技有限公司“2·27”一般起重伤害事故调查报告</w:t>
      </w:r>
    </w:p>
    <w:p w14:paraId="628FD652">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p>
    <w:p w14:paraId="1DAE57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2026年2月27日9时左右，</w:t>
      </w:r>
      <w:r>
        <w:rPr>
          <w:rFonts w:hint="eastAsia" w:ascii="仿宋_GB2312" w:hAnsi="仿宋" w:eastAsia="仿宋_GB2312" w:cs="Times New Roman"/>
          <w:color w:val="000000" w:themeColor="text1"/>
          <w:sz w:val="32"/>
          <w:szCs w:val="32"/>
          <w:lang w:eastAsia="zh-CN"/>
          <w14:textFill>
            <w14:solidFill>
              <w14:schemeClr w14:val="tx1"/>
            </w14:solidFill>
          </w14:textFill>
        </w:rPr>
        <w:t>济南新材料产业园区管委会管辖区域内的</w:t>
      </w:r>
      <w:r>
        <w:rPr>
          <w:rFonts w:hint="eastAsia" w:ascii="仿宋_GB2312" w:hAnsi="仿宋" w:eastAsia="仿宋_GB2312"/>
          <w:color w:val="000000" w:themeColor="text1"/>
          <w:sz w:val="32"/>
          <w:szCs w:val="32"/>
          <w14:textFill>
            <w14:solidFill>
              <w14:schemeClr w14:val="tx1"/>
            </w14:solidFill>
          </w14:textFill>
        </w:rPr>
        <w:t>济南牧玺电子科技有限公司发生一起</w:t>
      </w:r>
      <w:r>
        <w:rPr>
          <w:rFonts w:hint="eastAsia" w:ascii="仿宋_GB2312" w:hAnsi="仿宋" w:eastAsia="仿宋_GB2312"/>
          <w:color w:val="000000" w:themeColor="text1"/>
          <w:sz w:val="32"/>
          <w:szCs w:val="32"/>
          <w:lang w:eastAsia="zh-CN"/>
          <w14:textFill>
            <w14:solidFill>
              <w14:schemeClr w14:val="tx1"/>
            </w14:solidFill>
          </w14:textFill>
        </w:rPr>
        <w:t>起重伤害</w:t>
      </w:r>
      <w:r>
        <w:rPr>
          <w:rFonts w:hint="eastAsia" w:ascii="仿宋_GB2312" w:hAnsi="仿宋" w:eastAsia="仿宋_GB2312"/>
          <w:color w:val="000000" w:themeColor="text1"/>
          <w:sz w:val="32"/>
          <w:szCs w:val="32"/>
          <w14:textFill>
            <w14:solidFill>
              <w14:schemeClr w14:val="tx1"/>
            </w14:solidFill>
          </w14:textFill>
        </w:rPr>
        <w:t>事故，造成1人死亡</w:t>
      </w:r>
      <w:r>
        <w:rPr>
          <w:rFonts w:hint="eastAsia" w:ascii="仿宋_GB2312" w:eastAsia="仿宋_GB2312"/>
          <w:color w:val="000000" w:themeColor="text1"/>
          <w:sz w:val="32"/>
          <w:szCs w:val="32"/>
          <w14:textFill>
            <w14:solidFill>
              <w14:schemeClr w14:val="tx1"/>
            </w14:solidFill>
          </w14:textFill>
        </w:rPr>
        <w:t>，直接经济损失</w:t>
      </w:r>
      <w:r>
        <w:rPr>
          <w:rFonts w:hint="eastAsia" w:ascii="仿宋_GB2312" w:eastAsia="仿宋_GB2312"/>
          <w:color w:val="000000" w:themeColor="text1"/>
          <w:sz w:val="32"/>
          <w:szCs w:val="32"/>
          <w:lang w:val="en-US" w:eastAsia="zh-CN"/>
          <w14:textFill>
            <w14:solidFill>
              <w14:schemeClr w14:val="tx1"/>
            </w14:solidFill>
          </w14:textFill>
        </w:rPr>
        <w:t>170</w:t>
      </w:r>
      <w:r>
        <w:rPr>
          <w:rFonts w:hint="eastAsia" w:ascii="仿宋_GB2312" w:eastAsia="仿宋_GB2312"/>
          <w:color w:val="000000" w:themeColor="text1"/>
          <w:sz w:val="32"/>
          <w:szCs w:val="32"/>
          <w14:textFill>
            <w14:solidFill>
              <w14:schemeClr w14:val="tx1"/>
            </w14:solidFill>
          </w14:textFill>
        </w:rPr>
        <w:t>余万元。</w:t>
      </w:r>
    </w:p>
    <w:p w14:paraId="2B277612">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依据《中华人民共和国安全生产法》《生产安全事故报告和调查处理条例》(国务院令第493号)等法律法规，经天桥区人民政府批准，</w:t>
      </w:r>
      <w:r>
        <w:rPr>
          <w:rFonts w:hint="eastAsia" w:ascii="仿宋_GB2312" w:hAnsi="仿宋" w:eastAsia="仿宋_GB2312"/>
          <w:color w:val="000000" w:themeColor="text1"/>
          <w:sz w:val="32"/>
          <w:szCs w:val="32"/>
          <w14:textFill>
            <w14:solidFill>
              <w14:schemeClr w14:val="tx1"/>
            </w14:solidFill>
          </w14:textFill>
        </w:rPr>
        <w:t>202</w:t>
      </w:r>
      <w:r>
        <w:rPr>
          <w:rFonts w:hint="default" w:ascii="仿宋_GB2312" w:hAnsi="仿宋" w:eastAsia="仿宋_GB2312"/>
          <w:color w:val="000000" w:themeColor="text1"/>
          <w:sz w:val="32"/>
          <w:szCs w:val="32"/>
          <w:lang w:val="en-US"/>
          <w14:textFill>
            <w14:solidFill>
              <w14:schemeClr w14:val="tx1"/>
            </w14:solidFill>
          </w14:textFill>
        </w:rPr>
        <w:t>6</w:t>
      </w:r>
      <w:r>
        <w:rPr>
          <w:rFonts w:hint="eastAsia" w:ascii="仿宋_GB2312" w:hAnsi="仿宋" w:eastAsia="仿宋_GB2312"/>
          <w:color w:val="000000" w:themeColor="text1"/>
          <w:sz w:val="32"/>
          <w:szCs w:val="32"/>
          <w14:textFill>
            <w14:solidFill>
              <w14:schemeClr w14:val="tx1"/>
            </w14:solidFill>
          </w14:textFill>
        </w:rPr>
        <w:t>年</w:t>
      </w:r>
      <w:r>
        <w:rPr>
          <w:rFonts w:hint="default" w:ascii="仿宋_GB2312" w:hAnsi="仿宋" w:eastAsia="仿宋_GB2312"/>
          <w:color w:val="000000" w:themeColor="text1"/>
          <w:sz w:val="32"/>
          <w:szCs w:val="32"/>
          <w:lang w:val="en-US"/>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月</w:t>
      </w:r>
      <w:r>
        <w:rPr>
          <w:rFonts w:hint="default" w:ascii="仿宋_GB2312" w:hAnsi="仿宋" w:eastAsia="仿宋_GB2312"/>
          <w:color w:val="000000" w:themeColor="text1"/>
          <w:sz w:val="32"/>
          <w:szCs w:val="32"/>
          <w:lang w:val="en-US" w:eastAsia="zh-CN"/>
          <w14:textFill>
            <w14:solidFill>
              <w14:schemeClr w14:val="tx1"/>
            </w14:solidFill>
          </w14:textFill>
        </w:rPr>
        <w:t>28</w:t>
      </w:r>
      <w:r>
        <w:rPr>
          <w:rFonts w:hint="eastAsia" w:ascii="仿宋_GB2312" w:hAnsi="仿宋" w:eastAsia="仿宋_GB2312"/>
          <w:color w:val="000000" w:themeColor="text1"/>
          <w:sz w:val="32"/>
          <w:szCs w:val="32"/>
          <w14:textFill>
            <w14:solidFill>
              <w14:schemeClr w14:val="tx1"/>
            </w14:solidFill>
          </w14:textFill>
        </w:rPr>
        <w:t>日</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lang w:val="en-US" w:eastAsia="zh-CN"/>
          <w14:textFill>
            <w14:solidFill>
              <w14:schemeClr w14:val="tx1"/>
            </w14:solidFill>
          </w14:textFill>
        </w:rPr>
        <w:t>成立了</w:t>
      </w:r>
      <w:r>
        <w:rPr>
          <w:rFonts w:hint="eastAsia" w:ascii="仿宋_GB2312" w:hAnsi="仿宋" w:eastAsia="仿宋_GB2312"/>
          <w:color w:val="000000" w:themeColor="text1"/>
          <w:sz w:val="32"/>
          <w:szCs w:val="32"/>
          <w14:textFill>
            <w14:solidFill>
              <w14:schemeClr w14:val="tx1"/>
            </w14:solidFill>
          </w14:textFill>
        </w:rPr>
        <w:t>由</w:t>
      </w:r>
      <w:r>
        <w:rPr>
          <w:rFonts w:hint="eastAsia" w:ascii="仿宋_GB2312" w:hAnsi="仿宋" w:eastAsia="仿宋_GB2312" w:cs="仿宋"/>
          <w:color w:val="000000" w:themeColor="text1"/>
          <w:sz w:val="32"/>
          <w:szCs w:val="32"/>
          <w14:textFill>
            <w14:solidFill>
              <w14:schemeClr w14:val="tx1"/>
            </w14:solidFill>
          </w14:textFill>
        </w:rPr>
        <w:t>区委常委、副区长卫军同志担任</w:t>
      </w:r>
      <w:r>
        <w:rPr>
          <w:rFonts w:hint="eastAsia" w:ascii="仿宋_GB2312" w:hAnsi="仿宋" w:eastAsia="仿宋_GB2312"/>
          <w:color w:val="000000" w:themeColor="text1"/>
          <w:sz w:val="32"/>
          <w:szCs w:val="32"/>
          <w14:textFill>
            <w14:solidFill>
              <w14:schemeClr w14:val="tx1"/>
            </w14:solidFill>
          </w14:textFill>
        </w:rPr>
        <w:t>事故调查组组长</w:t>
      </w:r>
      <w:r>
        <w:rPr>
          <w:rFonts w:hint="eastAsia" w:ascii="仿宋_GB2312" w:hAnsi="仿宋" w:eastAsia="仿宋_GB2312" w:cs="仿宋"/>
          <w:color w:val="000000" w:themeColor="text1"/>
          <w:sz w:val="32"/>
          <w:szCs w:val="32"/>
          <w14:textFill>
            <w14:solidFill>
              <w14:schemeClr w14:val="tx1"/>
            </w14:solidFill>
          </w14:textFill>
        </w:rPr>
        <w:t>，区应急管理局、区公安分局、区总工会、区人社局、区</w:t>
      </w:r>
      <w:r>
        <w:rPr>
          <w:rFonts w:hint="eastAsia" w:ascii="仿宋_GB2312" w:hAnsi="仿宋" w:eastAsia="仿宋_GB2312" w:cs="仿宋"/>
          <w:color w:val="000000" w:themeColor="text1"/>
          <w:sz w:val="32"/>
          <w:szCs w:val="32"/>
          <w:lang w:eastAsia="zh-CN"/>
          <w14:textFill>
            <w14:solidFill>
              <w14:schemeClr w14:val="tx1"/>
            </w14:solidFill>
          </w14:textFill>
        </w:rPr>
        <w:t>工信局、区市</w:t>
      </w:r>
      <w:r>
        <w:rPr>
          <w:rFonts w:hint="eastAsia" w:ascii="仿宋_GB2312" w:hAnsi="仿宋" w:eastAsia="仿宋_GB2312" w:cs="Times New Roman"/>
          <w:color w:val="000000" w:themeColor="text1"/>
          <w:sz w:val="32"/>
          <w:szCs w:val="32"/>
          <w:lang w:eastAsia="zh-CN"/>
          <w14:textFill>
            <w14:solidFill>
              <w14:schemeClr w14:val="tx1"/>
            </w14:solidFill>
          </w14:textFill>
        </w:rPr>
        <w:t>场监管局</w:t>
      </w:r>
      <w:r>
        <w:rPr>
          <w:rFonts w:hint="eastAsia" w:ascii="仿宋_GB2312" w:hAnsi="仿宋" w:eastAsia="仿宋_GB2312" w:cs="Times New Roman"/>
          <w:color w:val="000000" w:themeColor="text1"/>
          <w:sz w:val="32"/>
          <w:szCs w:val="32"/>
          <w14:textFill>
            <w14:solidFill>
              <w14:schemeClr w14:val="tx1"/>
            </w14:solidFill>
          </w14:textFill>
        </w:rPr>
        <w:t>、</w:t>
      </w:r>
      <w:r>
        <w:rPr>
          <w:rFonts w:hint="eastAsia" w:ascii="仿宋_GB2312" w:hAnsi="仿宋" w:eastAsia="仿宋_GB2312" w:cs="Times New Roman"/>
          <w:color w:val="000000" w:themeColor="text1"/>
          <w:sz w:val="32"/>
          <w:szCs w:val="32"/>
          <w:lang w:eastAsia="zh-CN"/>
          <w14:textFill>
            <w14:solidFill>
              <w14:schemeClr w14:val="tx1"/>
            </w14:solidFill>
          </w14:textFill>
        </w:rPr>
        <w:t>济南新材料产业园区管委会应急保障局等</w:t>
      </w:r>
      <w:r>
        <w:rPr>
          <w:rFonts w:hint="eastAsia" w:ascii="仿宋_GB2312" w:hAnsi="仿宋" w:eastAsia="仿宋_GB2312" w:cs="Times New Roman"/>
          <w:color w:val="000000" w:themeColor="text1"/>
          <w:sz w:val="32"/>
          <w:szCs w:val="32"/>
          <w14:textFill>
            <w14:solidFill>
              <w14:schemeClr w14:val="tx1"/>
            </w14:solidFill>
          </w14:textFill>
        </w:rPr>
        <w:t>单位组成</w:t>
      </w:r>
      <w:r>
        <w:rPr>
          <w:rFonts w:hint="eastAsia" w:ascii="仿宋_GB2312" w:hAnsi="仿宋" w:eastAsia="仿宋_GB2312" w:cs="Times New Roman"/>
          <w:color w:val="000000" w:themeColor="text1"/>
          <w:sz w:val="32"/>
          <w:szCs w:val="32"/>
          <w:lang w:eastAsia="zh-CN"/>
          <w14:textFill>
            <w14:solidFill>
              <w14:schemeClr w14:val="tx1"/>
            </w14:solidFill>
          </w14:textFill>
        </w:rPr>
        <w:t>的</w:t>
      </w:r>
      <w:r>
        <w:rPr>
          <w:rFonts w:hint="eastAsia" w:ascii="仿宋_GB2312" w:hAnsi="仿宋" w:eastAsia="仿宋_GB2312"/>
          <w:color w:val="000000" w:themeColor="text1"/>
          <w:sz w:val="32"/>
          <w:szCs w:val="32"/>
          <w14:textFill>
            <w14:solidFill>
              <w14:schemeClr w14:val="tx1"/>
            </w14:solidFill>
          </w14:textFill>
        </w:rPr>
        <w:t>天桥济南牧玺电子科技有限公司“2·27”一般起重伤害事故调查组</w:t>
      </w:r>
      <w:r>
        <w:rPr>
          <w:rFonts w:hint="eastAsia" w:ascii="仿宋_GB2312" w:hAnsi="仿宋" w:eastAsia="仿宋_GB2312"/>
          <w:color w:val="000000" w:themeColor="text1"/>
          <w:sz w:val="32"/>
          <w:szCs w:val="32"/>
          <w:lang w:eastAsia="zh-CN"/>
          <w14:textFill>
            <w14:solidFill>
              <w14:schemeClr w14:val="tx1"/>
            </w14:solidFill>
          </w14:textFill>
        </w:rPr>
        <w:t>（以下简称“事故调查组”）。</w:t>
      </w:r>
      <w:r>
        <w:rPr>
          <w:rFonts w:hint="eastAsia" w:ascii="仿宋_GB2312" w:eastAsia="仿宋_GB2312"/>
          <w:color w:val="000000" w:themeColor="text1"/>
          <w:sz w:val="32"/>
          <w:szCs w:val="32"/>
          <w14:textFill>
            <w14:solidFill>
              <w14:schemeClr w14:val="tx1"/>
            </w14:solidFill>
          </w14:textFill>
        </w:rPr>
        <w:t>事故调查组</w:t>
      </w:r>
      <w:r>
        <w:rPr>
          <w:rFonts w:hint="eastAsia" w:ascii="仿宋_GB2312" w:hAnsi="仿宋" w:eastAsia="仿宋_GB2312" w:cs="Times New Roman"/>
          <w:color w:val="000000" w:themeColor="text1"/>
          <w:sz w:val="32"/>
          <w:szCs w:val="32"/>
          <w14:textFill>
            <w14:solidFill>
              <w14:schemeClr w14:val="tx1"/>
            </w14:solidFill>
          </w14:textFill>
        </w:rPr>
        <w:t>邀请区</w:t>
      </w:r>
      <w:r>
        <w:rPr>
          <w:rFonts w:hint="eastAsia" w:ascii="仿宋_GB2312" w:hAnsi="仿宋" w:eastAsia="仿宋_GB2312" w:cs="仿宋"/>
          <w:color w:val="000000" w:themeColor="text1"/>
          <w:sz w:val="32"/>
          <w:szCs w:val="32"/>
          <w14:textFill>
            <w14:solidFill>
              <w14:schemeClr w14:val="tx1"/>
            </w14:solidFill>
          </w14:textFill>
        </w:rPr>
        <w:t>纪委监委、区检察院及有关专家参与事故调查工作。</w:t>
      </w:r>
    </w:p>
    <w:p w14:paraId="6292F3B8">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事故调查组坚持“科学严谨、依法依规、实事求是、注重实效”和“四不放过”的原则，通过现场勘验、调查取证、人员询问等方式，查明了事故经过、人员伤亡和直接经济损失</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14:textFill>
            <w14:solidFill>
              <w14:schemeClr w14:val="tx1"/>
            </w14:solidFill>
          </w14:textFill>
        </w:rPr>
        <w:t>情况，查清了事故原因，认定了事故性质、事故单位和相关人员责任，并针对事故原因及暴露的突出问题，</w:t>
      </w:r>
      <w:r>
        <w:rPr>
          <w:rFonts w:hint="eastAsia" w:ascii="仿宋_GB2312" w:eastAsia="仿宋_GB2312"/>
          <w:color w:val="000000" w:themeColor="text1"/>
          <w:sz w:val="32"/>
          <w:szCs w:val="32"/>
          <w:lang w:eastAsia="zh-CN"/>
          <w14:textFill>
            <w14:solidFill>
              <w14:schemeClr w14:val="tx1"/>
            </w14:solidFill>
          </w14:textFill>
        </w:rPr>
        <w:t>总结了事故教训，</w:t>
      </w:r>
      <w:r>
        <w:rPr>
          <w:rFonts w:hint="eastAsia" w:ascii="仿宋_GB2312" w:eastAsia="仿宋_GB2312"/>
          <w:color w:val="000000" w:themeColor="text1"/>
          <w:sz w:val="32"/>
          <w:szCs w:val="32"/>
          <w14:textFill>
            <w14:solidFill>
              <w14:schemeClr w14:val="tx1"/>
            </w14:solidFill>
          </w14:textFill>
        </w:rPr>
        <w:t>提出了事故整改和防范措施建议。</w:t>
      </w:r>
    </w:p>
    <w:p w14:paraId="1106F3F3">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经调查认定，天桥济南牧玺电子科技有限公司“2·27”一般起重伤害事故是一起</w:t>
      </w:r>
      <w:r>
        <w:rPr>
          <w:rFonts w:hint="eastAsia" w:ascii="仿宋_GB2312" w:eastAsia="仿宋_GB2312"/>
          <w:color w:val="000000" w:themeColor="text1"/>
          <w:sz w:val="32"/>
          <w:szCs w:val="32"/>
          <w:lang w:eastAsia="zh-CN"/>
          <w14:textFill>
            <w14:solidFill>
              <w14:schemeClr w14:val="tx1"/>
            </w14:solidFill>
          </w14:textFill>
        </w:rPr>
        <w:t>因员工违规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进入严禁载人的货用导轨升降机开展载货作业发生的</w:t>
      </w:r>
      <w:r>
        <w:rPr>
          <w:rFonts w:hint="eastAsia" w:ascii="仿宋_GB2312" w:eastAsia="仿宋_GB2312"/>
          <w:color w:val="000000" w:themeColor="text1"/>
          <w:sz w:val="32"/>
          <w:szCs w:val="32"/>
          <w:lang w:eastAsia="zh-CN"/>
          <w14:textFill>
            <w14:solidFill>
              <w14:schemeClr w14:val="tx1"/>
            </w14:solidFill>
          </w14:textFill>
        </w:rPr>
        <w:t>生产安全责任</w:t>
      </w:r>
      <w:r>
        <w:rPr>
          <w:rFonts w:hint="eastAsia" w:ascii="仿宋_GB2312" w:eastAsia="仿宋_GB2312"/>
          <w:color w:val="000000" w:themeColor="text1"/>
          <w:sz w:val="32"/>
          <w:szCs w:val="32"/>
          <w14:textFill>
            <w14:solidFill>
              <w14:schemeClr w14:val="tx1"/>
            </w14:solidFill>
          </w14:textFill>
        </w:rPr>
        <w:t>事故。</w:t>
      </w:r>
    </w:p>
    <w:p w14:paraId="14A885D6">
      <w:pPr>
        <w:pStyle w:val="2"/>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color w:val="000000" w:themeColor="text1"/>
          <w14:textFill>
            <w14:solidFill>
              <w14:schemeClr w14:val="tx1"/>
            </w14:solidFill>
          </w14:textFill>
        </w:rPr>
      </w:pPr>
      <w:bookmarkStart w:id="0" w:name="_Toc637885083"/>
      <w:r>
        <w:rPr>
          <w:rFonts w:hint="eastAsia" w:ascii="黑体" w:hAnsi="黑体"/>
          <w:color w:val="000000" w:themeColor="text1"/>
          <w14:textFill>
            <w14:solidFill>
              <w14:schemeClr w14:val="tx1"/>
            </w14:solidFill>
          </w14:textFill>
        </w:rPr>
        <w:t>一、事故基本情况</w:t>
      </w:r>
      <w:bookmarkEnd w:id="0"/>
    </w:p>
    <w:p w14:paraId="1EF4C0C3">
      <w:pPr>
        <w:pStyle w:val="3"/>
        <w:pageBreakBefore w:val="0"/>
        <w:widowControl w:val="0"/>
        <w:kinsoku/>
        <w:wordWrap/>
        <w:overflowPunct/>
        <w:topLinePunct w:val="0"/>
        <w:autoSpaceDE/>
        <w:autoSpaceDN/>
        <w:bidi w:val="0"/>
        <w:adjustRightInd/>
        <w:snapToGrid/>
        <w:spacing w:line="560" w:lineRule="exact"/>
        <w:ind w:firstLine="640"/>
        <w:textAlignment w:val="auto"/>
        <w:rPr>
          <w:color w:val="000000" w:themeColor="text1"/>
          <w14:textFill>
            <w14:solidFill>
              <w14:schemeClr w14:val="tx1"/>
            </w14:solidFill>
          </w14:textFill>
        </w:rPr>
      </w:pPr>
      <w:bookmarkStart w:id="1" w:name="_Toc1767938415"/>
      <w:r>
        <w:rPr>
          <w:rFonts w:hint="eastAsia"/>
          <w:color w:val="000000" w:themeColor="text1"/>
          <w14:textFill>
            <w14:solidFill>
              <w14:schemeClr w14:val="tx1"/>
            </w14:solidFill>
          </w14:textFill>
        </w:rPr>
        <w:t>（一）事故发生单位基本情况</w:t>
      </w:r>
      <w:bookmarkEnd w:id="1"/>
    </w:p>
    <w:p w14:paraId="1073C02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济南牧玺电子科技有限公司（以下简称“牧玺电子”）位于济南市天桥区桑梓店街道办事处时代天工一期A7楼，统一社会信用代码91370105MA3URQUP3N，法定代表人郭**，实际负责人王*，成立于2021年1月6日，注册资金100万元，主要经营范围：电子元器件与机电组件设备制造；新能源汽车电附件销售；新能源汽车换电设施销售等。企业生产工艺：裁线、压端子、插头注塑、胶套穿线、芯片焊接、注塑包胶芯片。</w:t>
      </w:r>
      <w:r>
        <w:rPr>
          <w:rFonts w:hint="eastAsia" w:ascii="仿宋_GB2312" w:hAnsi="仿宋" w:eastAsia="仿宋_GB2312" w:cs="Times New Roman"/>
          <w:color w:val="000000" w:themeColor="text1"/>
          <w:sz w:val="32"/>
          <w:szCs w:val="32"/>
          <w:lang w:val="en-US" w:eastAsia="zh-CN"/>
          <w14:textFill>
            <w14:solidFill>
              <w14:schemeClr w14:val="tx1"/>
            </w14:solidFill>
          </w14:textFill>
        </w:rPr>
        <w:t>该公司现有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正式员工18人，</w:t>
      </w:r>
      <w:r>
        <w:rPr>
          <w:rFonts w:hint="eastAsia" w:ascii="仿宋_GB2312" w:hAnsi="仿宋" w:eastAsia="仿宋_GB2312" w:cs="Times New Roman"/>
          <w:color w:val="000000" w:themeColor="text1"/>
          <w:sz w:val="32"/>
          <w:szCs w:val="32"/>
          <w:lang w:val="en-US" w:eastAsia="zh-CN"/>
          <w14:textFill>
            <w14:solidFill>
              <w14:schemeClr w14:val="tx1"/>
            </w14:solidFill>
          </w14:textFill>
        </w:rPr>
        <w:t>建立了安全生产责任清单及安全教育培训档案，先后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制定了</w:t>
      </w:r>
      <w:r>
        <w:rPr>
          <w:rFonts w:hint="eastAsia" w:ascii="仿宋_GB2312" w:hAnsi="仿宋" w:eastAsia="仿宋_GB2312" w:cs="Times New Roman"/>
          <w:color w:val="000000" w:themeColor="text1"/>
          <w:sz w:val="32"/>
          <w:szCs w:val="32"/>
          <w:lang w:val="en-US" w:eastAsia="zh-CN"/>
          <w14:textFill>
            <w14:solidFill>
              <w14:schemeClr w14:val="tx1"/>
            </w14:solidFill>
          </w14:textFill>
        </w:rPr>
        <w:t>《货梯升降机操作规程》《安全生产管理制度》《生产安全事故风险评估报告》《生产安全事故应急预案》等。</w:t>
      </w:r>
    </w:p>
    <w:p w14:paraId="65A9FE75">
      <w:pPr>
        <w:pStyle w:val="3"/>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themeColor="text1"/>
          <w:lang w:val="en-US" w:eastAsia="zh-CN"/>
          <w14:textFill>
            <w14:solidFill>
              <w14:schemeClr w14:val="tx1"/>
            </w14:solidFill>
          </w14:textFill>
        </w:rPr>
      </w:pPr>
      <w:bookmarkStart w:id="2" w:name="_Toc1981011649"/>
      <w:r>
        <w:rPr>
          <w:rFonts w:hint="eastAsia"/>
          <w:color w:val="000000" w:themeColor="text1"/>
          <w:lang w:val="en-US" w:eastAsia="zh-CN"/>
          <w14:textFill>
            <w14:solidFill>
              <w14:schemeClr w14:val="tx1"/>
            </w14:solidFill>
          </w14:textFill>
        </w:rPr>
        <w:t>（二）涉事设备情况</w:t>
      </w:r>
      <w:bookmarkEnd w:id="2"/>
    </w:p>
    <w:p w14:paraId="5E03CB01">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涉事设备由济南春启升降机械有限公司生产，产品合格证注明产品名称为“导轨升降机”，型号SJD2-14，设备动力380V/7.5kW，台面尺寸2.7m×2.7m。</w:t>
      </w:r>
    </w:p>
    <w:p w14:paraId="4FB9D24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现场勘查，该设备位于厂房北面中间位置，共5层，提升高度约18米；配有液压泵站作为驱动装置；封闭金属货厢，实测尺寸为高2.79m、宽3.01m、长2.52m；货厢由液压杆+链条带动，在固定井道内沿垂直刚性导轨运行；仅用于运载货物，起重重量3吨；每层设有防护卷帘门，楼层按键设置于防护卷帘门外。</w:t>
      </w:r>
    </w:p>
    <w:p w14:paraId="0A62CE5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经调查，涉事导轨升降机系由济南凯世达进出口有限公司负责人</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于2021年委托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济南春启升降机械有限公司生产、</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安装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牧玺电子于2023年3月1日与济南凯世达进出口有限公司签订房屋租赁合同，并签订了安全生产管理协议，明确牧玺电子对租赁区域内安全生产、消防、人员、设备安全负全面主体责任。牧玺电子承租后，委托济南春启升降机械有限公司</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导轨</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升降机进行了改造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将原7层结构改为5层，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并在各楼层停靠位置加装防护</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卷帘门。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设备</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原始资料仅有产品合格证及注意事项。</w:t>
      </w:r>
    </w:p>
    <w:p w14:paraId="7323F3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drawing>
          <wp:inline distT="0" distB="0" distL="114300" distR="114300">
            <wp:extent cx="3067050" cy="3629660"/>
            <wp:effectExtent l="0" t="0" r="0" b="8890"/>
            <wp:docPr id="1" name="图片 1" descr="267687cce488337f73046b9930b77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67687cce488337f73046b9930b77403"/>
                    <pic:cNvPicPr>
                      <a:picLocks noChangeAspect="1"/>
                    </pic:cNvPicPr>
                  </pic:nvPicPr>
                  <pic:blipFill>
                    <a:blip r:embed="rId6"/>
                    <a:stretch>
                      <a:fillRect/>
                    </a:stretch>
                  </pic:blipFill>
                  <pic:spPr>
                    <a:xfrm>
                      <a:off x="0" y="0"/>
                      <a:ext cx="3067050" cy="3629660"/>
                    </a:xfrm>
                    <a:prstGeom prst="rect">
                      <a:avLst/>
                    </a:prstGeom>
                    <a:noFill/>
                    <a:ln>
                      <a:noFill/>
                    </a:ln>
                  </pic:spPr>
                </pic:pic>
              </a:graphicData>
            </a:graphic>
          </wp:inline>
        </w:drawing>
      </w:r>
    </w:p>
    <w:p w14:paraId="7F357C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图1 事故现场</w:t>
      </w:r>
    </w:p>
    <w:p w14:paraId="25615E29">
      <w:pPr>
        <w:pStyle w:val="3"/>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themeColor="text1"/>
          <w:lang w:val="en-US" w:eastAsia="zh-CN"/>
          <w14:textFill>
            <w14:solidFill>
              <w14:schemeClr w14:val="tx1"/>
            </w14:solidFill>
          </w14:textFill>
        </w:rPr>
      </w:pPr>
      <w:bookmarkStart w:id="3" w:name="_Toc117703685"/>
      <w:r>
        <w:rPr>
          <w:rFonts w:hint="eastAsia"/>
          <w:color w:val="000000" w:themeColor="text1"/>
          <w:lang w:val="en-US" w:eastAsia="zh-CN"/>
          <w14:textFill>
            <w14:solidFill>
              <w14:schemeClr w14:val="tx1"/>
            </w14:solidFill>
          </w14:textFill>
        </w:rPr>
        <w:t>（三）设备属性认定</w:t>
      </w:r>
      <w:bookmarkEnd w:id="3"/>
    </w:p>
    <w:p w14:paraId="00C2FE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因事故调查组对涉事设备性质认定存在争议，且对区市场监管局相关答复意见持有异议。为依法依规推进事故调查工作，2026年3月25日，天桥区安全生产委员会办公室向济南市安全生产委员会办公室请示，请求帮助协调市市场监管局对该设备性质进行认定，以明确事故调查主体。2026年3月30日，济南市安全生产委员会办公室向济南市市场监督管理局下发《对关于协助天桥区明确事故相关设备性质的通知》，协助天桥区政府事故调查组对涉事设备是否属于特种设备进行判定。2026年4</w:t>
      </w:r>
      <w:r>
        <w:rPr>
          <w:rFonts w:hint="eastAsia" w:ascii="仿宋_GB2312" w:eastAsia="仿宋_GB2312"/>
          <w:color w:val="000000" w:themeColor="text1"/>
          <w:sz w:val="32"/>
          <w:szCs w:val="32"/>
          <w:lang w:eastAsia="zh-CN"/>
          <w14:textFill>
            <w14:solidFill>
              <w14:schemeClr w14:val="tx1"/>
            </w14:solidFill>
          </w14:textFill>
        </w:rPr>
        <w:t>月</w:t>
      </w:r>
      <w:r>
        <w:rPr>
          <w:rFonts w:hint="eastAsia" w:ascii="仿宋_GB2312" w:eastAsia="仿宋_GB2312"/>
          <w:color w:val="000000" w:themeColor="text1"/>
          <w:sz w:val="32"/>
          <w:szCs w:val="32"/>
          <w:lang w:val="en-US" w:eastAsia="zh-CN"/>
          <w14:textFill>
            <w14:solidFill>
              <w14:schemeClr w14:val="tx1"/>
            </w14:solidFill>
          </w14:textFill>
        </w:rPr>
        <w:t>7</w:t>
      </w:r>
      <w:r>
        <w:rPr>
          <w:rFonts w:hint="eastAsia" w:ascii="仿宋_GB2312" w:eastAsia="仿宋_GB2312"/>
          <w:color w:val="000000" w:themeColor="text1"/>
          <w:sz w:val="32"/>
          <w:szCs w:val="32"/>
          <w:lang w:eastAsia="zh-CN"/>
          <w14:textFill>
            <w14:solidFill>
              <w14:schemeClr w14:val="tx1"/>
            </w14:solidFill>
          </w14:textFill>
        </w:rPr>
        <w:t>日，济南市市场监管局函复</w:t>
      </w:r>
      <w:r>
        <w:rPr>
          <w:rFonts w:hint="eastAsia" w:ascii="仿宋_GB2312" w:eastAsia="仿宋_GB2312"/>
          <w:color w:val="000000" w:themeColor="text1"/>
          <w:sz w:val="32"/>
          <w:szCs w:val="32"/>
          <w:lang w:val="en-US" w:eastAsia="zh-CN"/>
          <w14:textFill>
            <w14:solidFill>
              <w14:schemeClr w14:val="tx1"/>
            </w14:solidFill>
          </w14:textFill>
        </w:rPr>
        <w:t>济南市安全生产委员会办公室</w:t>
      </w:r>
      <w:r>
        <w:rPr>
          <w:rFonts w:hint="eastAsia" w:ascii="仿宋_GB2312" w:eastAsia="仿宋_GB2312"/>
          <w:color w:val="000000" w:themeColor="text1"/>
          <w:sz w:val="32"/>
          <w:szCs w:val="32"/>
          <w:lang w:eastAsia="zh-CN"/>
          <w14:textFill>
            <w14:solidFill>
              <w14:schemeClr w14:val="tx1"/>
            </w14:solidFill>
          </w14:textFill>
        </w:rPr>
        <w:t>，判定该设备不是特种设备。</w:t>
      </w:r>
    </w:p>
    <w:p w14:paraId="29037046">
      <w:pPr>
        <w:pStyle w:val="3"/>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themeColor="text1"/>
          <w:lang w:val="en-US" w:eastAsia="en-US"/>
          <w14:textFill>
            <w14:solidFill>
              <w14:schemeClr w14:val="tx1"/>
            </w14:solidFill>
          </w14:textFill>
        </w:rPr>
      </w:pPr>
      <w:bookmarkStart w:id="4" w:name="_Toc2101223179"/>
      <w:r>
        <w:rPr>
          <w:rFonts w:hint="eastAsia"/>
          <w:color w:val="000000" w:themeColor="text1"/>
          <w:lang w:val="en-US" w:eastAsia="en-US"/>
          <w14:textFill>
            <w14:solidFill>
              <w14:schemeClr w14:val="tx1"/>
            </w14:solidFill>
          </w14:textFill>
        </w:rPr>
        <w:t>（</w:t>
      </w:r>
      <w:r>
        <w:rPr>
          <w:rFonts w:hint="eastAsia"/>
          <w:color w:val="000000" w:themeColor="text1"/>
          <w:lang w:val="en-US" w:eastAsia="zh-CN"/>
          <w14:textFill>
            <w14:solidFill>
              <w14:schemeClr w14:val="tx1"/>
            </w14:solidFill>
          </w14:textFill>
        </w:rPr>
        <w:t>四</w:t>
      </w:r>
      <w:r>
        <w:rPr>
          <w:rFonts w:hint="eastAsia"/>
          <w:color w:val="000000" w:themeColor="text1"/>
          <w:lang w:val="en-US" w:eastAsia="en-US"/>
          <w14:textFill>
            <w14:solidFill>
              <w14:schemeClr w14:val="tx1"/>
            </w14:solidFill>
          </w14:textFill>
        </w:rPr>
        <w:t>）事故发生经过</w:t>
      </w:r>
      <w:bookmarkEnd w:id="4"/>
    </w:p>
    <w:p w14:paraId="6E4EC2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2月27日，牧玺电子的员工马**拟将部分货物通过导轨升降机从二楼运输至四楼。8时50分许，马**将待运输的货物放置到停靠在二楼的导轨升降机货厢内，随后本人违规进入货厢，冒险将身体探出卷帘门伸手按关门按键，在防护卷帘门下行过程中，又按下4层按键启动导轨升降机。在此过程中，防护卷帘门持续下行，货厢上行，马**探出的身体被卷帘门压住无法脱身，随后马**头面部与二层卷帘门框发生碰撞，发出叫喊声后，货厢继续上行，在附近的王**跑过来按下了导轨升降机急停键，</w:t>
      </w:r>
      <w:r>
        <w:rPr>
          <w:rFonts w:hint="default" w:ascii="仿宋_GB2312" w:hAnsi="仿宋_GB2312" w:eastAsia="仿宋_GB2312" w:cs="仿宋_GB2312"/>
          <w:color w:val="000000" w:themeColor="text1"/>
          <w:sz w:val="32"/>
          <w:szCs w:val="32"/>
          <w:lang w:eastAsia="zh-CN"/>
          <w14:textFill>
            <w14:solidFill>
              <w14:schemeClr w14:val="tx1"/>
            </w14:solidFill>
          </w14:textFill>
        </w:rPr>
        <w:t>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厢停在三楼楼板下方位置。马**颈部、胸部受到挤压。</w:t>
      </w:r>
    </w:p>
    <w:p w14:paraId="19F3F923">
      <w:pPr>
        <w:pStyle w:val="3"/>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themeColor="text1"/>
          <w:lang w:val="en-US" w:eastAsia="zh-CN"/>
          <w14:textFill>
            <w14:solidFill>
              <w14:schemeClr w14:val="tx1"/>
            </w14:solidFill>
          </w14:textFill>
        </w:rPr>
      </w:pPr>
      <w:bookmarkStart w:id="5" w:name="_Toc413306571"/>
      <w:r>
        <w:rPr>
          <w:rFonts w:hint="eastAsia"/>
          <w:color w:val="000000" w:themeColor="text1"/>
          <w:lang w:val="en-US" w:eastAsia="zh-CN"/>
          <w14:textFill>
            <w14:solidFill>
              <w14:schemeClr w14:val="tx1"/>
            </w14:solidFill>
          </w14:textFill>
        </w:rPr>
        <w:t>（五）相关部门监督管理情况</w:t>
      </w:r>
      <w:bookmarkEnd w:id="5"/>
    </w:p>
    <w:p w14:paraId="4CB44D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bookmarkStart w:id="6" w:name="_Toc207353889"/>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2021年6月25日，牧玺电子被纳入“泉城安全”综合监管平台，行业监管部门和行业主管部门均为济南新材料产业园区管委会应急保障局。2023年3月28日、2023年5月4日、2023年11月1日、2023年12月12日，通过泉城安全APP对牧玺电子进行数次安全检查。2025年9月组织开展机械行业“解剖式”现场检查并组织反馈培训会。2026年1月5日，参与天桥区安全生产委员会办公室组织开展的天桥区风险隐患排查整治工作，通过联合检查，共发现牧玺电子存在安全隐患12条，济南新材料产业园区应急保障局监督牧玺电子于2026年2月2日按要求整改完毕。济南新材料产业园区管委会应急保障局基本履行了安全监管职责，未发现存在失职渎职行为。</w:t>
      </w:r>
    </w:p>
    <w:p w14:paraId="1EE1EA12">
      <w:pPr>
        <w:pStyle w:val="2"/>
        <w:pageBreakBefore w:val="0"/>
        <w:kinsoku/>
        <w:wordWrap/>
        <w:overflowPunct/>
        <w:topLinePunct w:val="0"/>
        <w:autoSpaceDE/>
        <w:autoSpaceDN/>
        <w:bidi w:val="0"/>
        <w:adjustRightInd/>
        <w:snapToGrid/>
        <w:spacing w:line="560" w:lineRule="exact"/>
        <w:ind w:firstLine="640"/>
        <w:textAlignment w:val="auto"/>
        <w:rPr>
          <w:rFonts w:ascii="黑体" w:hAnsi="黑体"/>
          <w:color w:val="000000" w:themeColor="text1"/>
          <w14:textFill>
            <w14:solidFill>
              <w14:schemeClr w14:val="tx1"/>
            </w14:solidFill>
          </w14:textFill>
        </w:rPr>
      </w:pPr>
      <w:bookmarkStart w:id="7" w:name="_Toc713654853"/>
      <w:r>
        <w:rPr>
          <w:rFonts w:hint="eastAsia" w:ascii="黑体" w:hAnsi="黑体"/>
          <w:color w:val="000000" w:themeColor="text1"/>
          <w14:textFill>
            <w14:solidFill>
              <w14:schemeClr w14:val="tx1"/>
            </w14:solidFill>
          </w14:textFill>
        </w:rPr>
        <w:t>二、事故应急处置及评估情况</w:t>
      </w:r>
      <w:bookmarkEnd w:id="6"/>
      <w:bookmarkEnd w:id="7"/>
    </w:p>
    <w:p w14:paraId="2B343E42">
      <w:pPr>
        <w:pStyle w:val="3"/>
        <w:pageBreakBefore w:val="0"/>
        <w:kinsoku/>
        <w:wordWrap/>
        <w:overflowPunct/>
        <w:topLinePunct w:val="0"/>
        <w:autoSpaceDE/>
        <w:autoSpaceDN/>
        <w:bidi w:val="0"/>
        <w:adjustRightInd/>
        <w:snapToGrid/>
        <w:spacing w:line="560" w:lineRule="exact"/>
        <w:ind w:firstLine="640"/>
        <w:textAlignment w:val="auto"/>
        <w:rPr>
          <w:rFonts w:hint="eastAsia"/>
          <w:color w:val="000000" w:themeColor="text1"/>
          <w14:textFill>
            <w14:solidFill>
              <w14:schemeClr w14:val="tx1"/>
            </w14:solidFill>
          </w14:textFill>
        </w:rPr>
      </w:pPr>
      <w:bookmarkStart w:id="8" w:name="_Toc1344116382"/>
      <w:bookmarkStart w:id="9" w:name="_Toc207353890"/>
      <w:r>
        <w:rPr>
          <w:rFonts w:hint="eastAsia"/>
          <w:color w:val="000000" w:themeColor="text1"/>
          <w14:textFill>
            <w14:solidFill>
              <w14:schemeClr w14:val="tx1"/>
            </w14:solidFill>
          </w14:textFill>
        </w:rPr>
        <w:t>（一）事故信息报告及应急处置情况</w:t>
      </w:r>
      <w:bookmarkEnd w:id="8"/>
      <w:bookmarkEnd w:id="9"/>
    </w:p>
    <w:p w14:paraId="2C362FCE">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2026年2月27日9时52分，济南新材料产业园区管委会应急保障局接桑梓店派出所事故联动信息，立即开展情况核实。核查期间，牧玺电子客观如实说明了事故发生经过及有关情况。10时30分，该单位将事故情况报天桥区应急局值班室。</w:t>
      </w:r>
      <w:r>
        <w:rPr>
          <w:rFonts w:hint="eastAsia" w:ascii="仿宋_GB2312" w:eastAsia="仿宋_GB2312"/>
          <w:color w:val="000000" w:themeColor="text1"/>
          <w:sz w:val="32"/>
          <w:szCs w:val="32"/>
          <w:rtl w:val="0"/>
          <w:lang w:eastAsia="zh-CN"/>
          <w14:textFill>
            <w14:solidFill>
              <w14:schemeClr w14:val="tx1"/>
            </w14:solidFill>
          </w14:textFill>
        </w:rPr>
        <w:t>天桥区应急局接报后，第一时间</w:t>
      </w:r>
      <w:r>
        <w:rPr>
          <w:rFonts w:hint="eastAsia" w:ascii="仿宋_GB2312" w:eastAsia="仿宋_GB2312"/>
          <w:color w:val="000000" w:themeColor="text1"/>
          <w:sz w:val="32"/>
          <w:szCs w:val="32"/>
          <w:lang w:val="en-US" w:eastAsia="zh-CN"/>
          <w14:textFill>
            <w14:solidFill>
              <w14:schemeClr w14:val="tx1"/>
            </w14:solidFill>
          </w14:textFill>
        </w:rPr>
        <w:t>向区委办公室、区政府办公室报告事故信息；10时59分，分别向市应急局、省应急厅书面报送事故情况。</w:t>
      </w:r>
      <w:bookmarkStart w:id="10" w:name="_Toc207353891"/>
    </w:p>
    <w:p w14:paraId="5E12FD15">
      <w:pPr>
        <w:pStyle w:val="3"/>
        <w:pageBreakBefore w:val="0"/>
        <w:kinsoku/>
        <w:wordWrap/>
        <w:overflowPunct/>
        <w:topLinePunct w:val="0"/>
        <w:autoSpaceDE/>
        <w:autoSpaceDN/>
        <w:bidi w:val="0"/>
        <w:adjustRightInd/>
        <w:snapToGrid/>
        <w:spacing w:line="560" w:lineRule="exact"/>
        <w:ind w:firstLine="640"/>
        <w:textAlignment w:val="auto"/>
        <w:rPr>
          <w:color w:val="000000" w:themeColor="text1"/>
          <w14:textFill>
            <w14:solidFill>
              <w14:schemeClr w14:val="tx1"/>
            </w14:solidFill>
          </w14:textFill>
        </w:rPr>
      </w:pPr>
      <w:bookmarkStart w:id="11" w:name="_Toc248250834"/>
      <w:r>
        <w:rPr>
          <w:rFonts w:hint="eastAsia"/>
          <w:color w:val="000000" w:themeColor="text1"/>
          <w14:textFill>
            <w14:solidFill>
              <w14:schemeClr w14:val="tx1"/>
            </w14:solidFill>
          </w14:textFill>
        </w:rPr>
        <w:t>（二）医疗救治及善后情况</w:t>
      </w:r>
      <w:bookmarkEnd w:id="10"/>
      <w:bookmarkEnd w:id="11"/>
    </w:p>
    <w:p w14:paraId="12063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bookmarkStart w:id="12" w:name="_Toc207353892"/>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听到马**呼喊后，王*立即按下导轨升降机的急停按键并组织人员开展施救，现场人员立即拨打120，施救过程中拨打119。9时20分，120到达现场，随后，马**被送至解放军联勤保障部队第960医院进行救治，12时许，马**因救治无效死亡。死亡原因是呼吸心跳骤停，多处损伤。</w:t>
      </w:r>
    </w:p>
    <w:p w14:paraId="230B86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2月28日，双方签订赔偿协议，善后工作结束。</w:t>
      </w:r>
    </w:p>
    <w:p w14:paraId="4E74448B">
      <w:pPr>
        <w:pStyle w:val="3"/>
        <w:bidi w:val="0"/>
        <w:rPr>
          <w:color w:val="000000" w:themeColor="text1"/>
          <w14:textFill>
            <w14:solidFill>
              <w14:schemeClr w14:val="tx1"/>
            </w14:solidFill>
          </w14:textFill>
        </w:rPr>
      </w:pPr>
      <w:bookmarkStart w:id="13" w:name="_Toc997257491"/>
      <w:r>
        <w:rPr>
          <w:rFonts w:hint="eastAsia"/>
          <w:color w:val="000000" w:themeColor="text1"/>
          <w14:textFill>
            <w14:solidFill>
              <w14:schemeClr w14:val="tx1"/>
            </w14:solidFill>
          </w14:textFill>
        </w:rPr>
        <w:t>（三）事故应急处置评估</w:t>
      </w:r>
      <w:bookmarkEnd w:id="12"/>
      <w:bookmarkEnd w:id="13"/>
    </w:p>
    <w:p w14:paraId="370F68DD">
      <w:pPr>
        <w:pageBreakBefore w:val="0"/>
        <w:kinsoku/>
        <w:wordWrap/>
        <w:overflowPunct/>
        <w:topLinePunct w:val="0"/>
        <w:autoSpaceDE/>
        <w:autoSpaceDN/>
        <w:bidi w:val="0"/>
        <w:adjustRightInd/>
        <w:snapToGrid/>
        <w:spacing w:line="560" w:lineRule="exact"/>
        <w:ind w:firstLine="640" w:firstLineChars="200"/>
        <w:textAlignment w:val="auto"/>
        <w:rPr>
          <w:rFonts w:hint="eastAsia"/>
          <w:color w:val="000000" w:themeColor="text1"/>
          <w:lang w:val="en-US" w:eastAsia="en-US"/>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事故发生后，天桥区政府应急响应有效，信息报送及时准确，现场处置</w:t>
      </w:r>
      <w:r>
        <w:rPr>
          <w:rFonts w:hint="eastAsia" w:ascii="仿宋_GB2312" w:eastAsia="仿宋_GB2312"/>
          <w:color w:val="000000" w:themeColor="text1"/>
          <w:sz w:val="32"/>
          <w:szCs w:val="32"/>
          <w:lang w:val="en-US"/>
          <w14:textFill>
            <w14:solidFill>
              <w14:schemeClr w14:val="tx1"/>
            </w14:solidFill>
          </w14:textFill>
        </w:rPr>
        <w:t>措施得当</w:t>
      </w:r>
      <w:r>
        <w:rPr>
          <w:rFonts w:hint="eastAsia" w:ascii="仿宋_GB2312" w:eastAsia="仿宋_GB2312"/>
          <w:color w:val="000000" w:themeColor="text1"/>
          <w:sz w:val="32"/>
          <w:szCs w:val="32"/>
          <w14:textFill>
            <w14:solidFill>
              <w14:schemeClr w14:val="tx1"/>
            </w14:solidFill>
          </w14:textFill>
        </w:rPr>
        <w:t>。</w:t>
      </w:r>
    </w:p>
    <w:p w14:paraId="6CBF250F">
      <w:pPr>
        <w:pStyle w:val="2"/>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color w:val="000000" w:themeColor="text1"/>
          <w:lang w:eastAsia="zh-CN"/>
          <w14:textFill>
            <w14:solidFill>
              <w14:schemeClr w14:val="tx1"/>
            </w14:solidFill>
          </w14:textFill>
        </w:rPr>
      </w:pPr>
      <w:bookmarkStart w:id="14" w:name="_Toc2115902761"/>
      <w:r>
        <w:rPr>
          <w:rFonts w:hint="eastAsia" w:ascii="黑体" w:hAnsi="黑体"/>
          <w:color w:val="000000" w:themeColor="text1"/>
          <w:lang w:eastAsia="zh-CN"/>
          <w14:textFill>
            <w14:solidFill>
              <w14:schemeClr w14:val="tx1"/>
            </w14:solidFill>
          </w14:textFill>
        </w:rPr>
        <w:t>三、事故原因分析</w:t>
      </w:r>
      <w:bookmarkEnd w:id="14"/>
    </w:p>
    <w:p w14:paraId="1CAA9D21">
      <w:pPr>
        <w:pStyle w:val="3"/>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themeColor="text1"/>
          <w:lang w:val="en-US" w:eastAsia="zh-CN"/>
          <w14:textFill>
            <w14:solidFill>
              <w14:schemeClr w14:val="tx1"/>
            </w14:solidFill>
          </w14:textFill>
        </w:rPr>
      </w:pPr>
      <w:bookmarkStart w:id="15" w:name="_Toc1950261900"/>
      <w:r>
        <w:rPr>
          <w:rFonts w:hint="eastAsia"/>
          <w:color w:val="000000" w:themeColor="text1"/>
          <w:lang w:val="en-US" w:eastAsia="zh-CN"/>
          <w14:textFill>
            <w14:solidFill>
              <w14:schemeClr w14:val="tx1"/>
            </w14:solidFill>
          </w14:textFill>
        </w:rPr>
        <w:t>（一）事故直接原因</w:t>
      </w:r>
      <w:bookmarkEnd w:id="15"/>
    </w:p>
    <w:p w14:paraId="45920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作业人员</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安全意识淡薄，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违规</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进入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严禁载人</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0"/>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的货用导轨升降机进行载货作业</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探出的身体与设备内部结构发生挤压导致死亡</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，是事故发生的直接原因。</w:t>
      </w:r>
    </w:p>
    <w:p w14:paraId="6AB55AF5">
      <w:pPr>
        <w:pStyle w:val="3"/>
        <w:pageBreakBefore w:val="0"/>
        <w:widowControl w:val="0"/>
        <w:kinsoku/>
        <w:wordWrap/>
        <w:overflowPunct/>
        <w:topLinePunct w:val="0"/>
        <w:autoSpaceDE/>
        <w:autoSpaceDN/>
        <w:bidi w:val="0"/>
        <w:adjustRightInd/>
        <w:snapToGrid/>
        <w:spacing w:line="560" w:lineRule="exact"/>
        <w:ind w:firstLine="640"/>
        <w:textAlignment w:val="auto"/>
        <w:rPr>
          <w:rFonts w:hint="eastAsia"/>
          <w:color w:val="000000" w:themeColor="text1"/>
          <w:lang w:val="en-US" w:eastAsia="zh-CN"/>
          <w14:textFill>
            <w14:solidFill>
              <w14:schemeClr w14:val="tx1"/>
            </w14:solidFill>
          </w14:textFill>
        </w:rPr>
      </w:pPr>
      <w:bookmarkStart w:id="16" w:name="_Toc1778536892"/>
      <w:r>
        <w:rPr>
          <w:rFonts w:hint="eastAsia"/>
          <w:color w:val="000000" w:themeColor="text1"/>
          <w:lang w:val="en-US" w:eastAsia="zh-CN"/>
          <w14:textFill>
            <w14:solidFill>
              <w14:schemeClr w14:val="tx1"/>
            </w14:solidFill>
          </w14:textFill>
        </w:rPr>
        <w:t>（二）事故间接原因</w:t>
      </w:r>
      <w:bookmarkEnd w:id="16"/>
    </w:p>
    <w:p w14:paraId="62C9C5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企业未严格落实安全生产主体责任，</w:t>
      </w:r>
      <w:r>
        <w:rPr>
          <w:rFonts w:hint="eastAsia" w:ascii="仿宋_GB2312" w:eastAsia="仿宋_GB2312"/>
          <w:color w:val="000000" w:themeColor="text1"/>
          <w:sz w:val="32"/>
          <w:szCs w:val="32"/>
          <w:lang w:eastAsia="zh-CN"/>
          <w14:textFill>
            <w14:solidFill>
              <w14:schemeClr w14:val="tx1"/>
            </w14:solidFill>
          </w14:textFill>
        </w:rPr>
        <w:t>未在导轨升降机内外设置明显的安全警示标志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；未对从业人员进行有效的安全教育培训，安全教育培训停留在口头；未教育和督促从业人员严格执行安全生产规章制度和安全操作规程。</w:t>
      </w:r>
    </w:p>
    <w:p w14:paraId="4FC0EF13">
      <w:pPr>
        <w:pStyle w:val="2"/>
        <w:pageBreakBefore w:val="0"/>
        <w:widowControl w:val="0"/>
        <w:kinsoku/>
        <w:wordWrap/>
        <w:overflowPunct/>
        <w:topLinePunct w:val="0"/>
        <w:autoSpaceDE/>
        <w:autoSpaceDN/>
        <w:bidi w:val="0"/>
        <w:adjustRightInd/>
        <w:snapToGrid/>
        <w:spacing w:line="560" w:lineRule="exact"/>
        <w:textAlignment w:val="auto"/>
        <w:rPr>
          <w:color w:val="000000" w:themeColor="text1"/>
          <w14:textFill>
            <w14:solidFill>
              <w14:schemeClr w14:val="tx1"/>
            </w14:solidFill>
          </w14:textFill>
        </w:rPr>
      </w:pPr>
      <w:bookmarkStart w:id="17" w:name="_Toc1051854358"/>
      <w:r>
        <w:rPr>
          <w:rFonts w:hint="eastAsia"/>
          <w:color w:val="000000" w:themeColor="text1"/>
          <w:lang w:eastAsia="zh-CN"/>
          <w14:textFill>
            <w14:solidFill>
              <w14:schemeClr w14:val="tx1"/>
            </w14:solidFill>
          </w14:textFill>
        </w:rPr>
        <w:t>四</w:t>
      </w:r>
      <w:r>
        <w:rPr>
          <w:rFonts w:hint="eastAsia"/>
          <w:color w:val="000000" w:themeColor="text1"/>
          <w14:textFill>
            <w14:solidFill>
              <w14:schemeClr w14:val="tx1"/>
            </w14:solidFill>
          </w14:textFill>
        </w:rPr>
        <w:t>、对有关责任人员和责任单位的处理建议</w:t>
      </w:r>
      <w:bookmarkEnd w:id="17"/>
    </w:p>
    <w:p w14:paraId="1C55B736">
      <w:pPr>
        <w:pStyle w:val="3"/>
        <w:pageBreakBefore w:val="0"/>
        <w:widowControl w:val="0"/>
        <w:kinsoku/>
        <w:wordWrap/>
        <w:overflowPunct/>
        <w:topLinePunct w:val="0"/>
        <w:autoSpaceDE/>
        <w:autoSpaceDN/>
        <w:bidi w:val="0"/>
        <w:adjustRightInd/>
        <w:snapToGrid/>
        <w:spacing w:line="560" w:lineRule="exact"/>
        <w:ind w:firstLine="640"/>
        <w:textAlignment w:val="auto"/>
        <w:rPr>
          <w:color w:val="000000" w:themeColor="text1"/>
          <w14:textFill>
            <w14:solidFill>
              <w14:schemeClr w14:val="tx1"/>
            </w14:solidFill>
          </w14:textFill>
        </w:rPr>
      </w:pPr>
      <w:bookmarkStart w:id="18" w:name="_Toc537951618"/>
      <w:r>
        <w:rPr>
          <w:rFonts w:hint="eastAsia"/>
          <w:color w:val="000000" w:themeColor="text1"/>
          <w14:textFill>
            <w14:solidFill>
              <w14:schemeClr w14:val="tx1"/>
            </w14:solidFill>
          </w14:textFill>
        </w:rPr>
        <w:t>（一）在事故中死亡不予追究责任人员</w:t>
      </w:r>
      <w:bookmarkEnd w:id="18"/>
    </w:p>
    <w:p w14:paraId="71857A22">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马**，男，21岁，山东济宁兖州人，牧玺电子正式员工，</w:t>
      </w:r>
      <w:r>
        <w:rPr>
          <w:rFonts w:hint="eastAsia" w:ascii="仿宋_GB2312" w:eastAsia="仿宋_GB2312"/>
          <w:color w:val="000000" w:themeColor="text1"/>
          <w:sz w:val="32"/>
          <w:szCs w:val="32"/>
          <w14:textFill>
            <w14:solidFill>
              <w14:schemeClr w14:val="tx1"/>
            </w14:solidFill>
          </w14:textFill>
        </w:rPr>
        <w:t>安全意识淡薄，</w:t>
      </w:r>
      <w:r>
        <w:rPr>
          <w:rFonts w:hint="eastAsia" w:ascii="仿宋_GB2312" w:eastAsia="仿宋_GB2312"/>
          <w:color w:val="000000" w:themeColor="text1"/>
          <w:sz w:val="32"/>
          <w:szCs w:val="32"/>
          <w:lang w:eastAsia="zh-CN"/>
          <w14:textFill>
            <w14:solidFill>
              <w14:schemeClr w14:val="tx1"/>
            </w14:solidFill>
          </w14:textFill>
        </w:rPr>
        <w:t>违规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进入严禁载人的货用导轨升降机开展载货作业</w:t>
      </w:r>
      <w:r>
        <w:rPr>
          <w:rFonts w:hint="eastAsia" w:ascii="仿宋_GB2312" w:eastAsia="仿宋_GB2312"/>
          <w:color w:val="000000" w:themeColor="text1"/>
          <w:sz w:val="32"/>
          <w:szCs w:val="32"/>
          <w14:textFill>
            <w14:solidFill>
              <w14:schemeClr w14:val="tx1"/>
            </w14:solidFill>
          </w14:textFill>
        </w:rPr>
        <w:t>，对事故发生负有责任，鉴于其在事故中死亡，不予追究责任。</w:t>
      </w:r>
    </w:p>
    <w:p w14:paraId="0BE73CCE">
      <w:pPr>
        <w:pStyle w:val="3"/>
        <w:pageBreakBefore w:val="0"/>
        <w:widowControl w:val="0"/>
        <w:kinsoku/>
        <w:wordWrap/>
        <w:overflowPunct/>
        <w:topLinePunct w:val="0"/>
        <w:autoSpaceDE/>
        <w:autoSpaceDN/>
        <w:bidi w:val="0"/>
        <w:adjustRightInd/>
        <w:snapToGrid/>
        <w:spacing w:line="560" w:lineRule="exact"/>
        <w:ind w:firstLine="640"/>
        <w:textAlignment w:val="auto"/>
        <w:rPr>
          <w:color w:val="000000" w:themeColor="text1"/>
          <w14:textFill>
            <w14:solidFill>
              <w14:schemeClr w14:val="tx1"/>
            </w14:solidFill>
          </w14:textFill>
        </w:rPr>
      </w:pPr>
      <w:bookmarkStart w:id="19" w:name="_Toc2010836166"/>
      <w:r>
        <w:rPr>
          <w:rFonts w:hint="eastAsia"/>
          <w:color w:val="000000" w:themeColor="text1"/>
          <w14:textFill>
            <w14:solidFill>
              <w14:schemeClr w14:val="tx1"/>
            </w14:solidFill>
          </w14:textFill>
        </w:rPr>
        <w:t>（二）对事故有关责任人员和责任单位的处理建议</w:t>
      </w:r>
      <w:bookmarkEnd w:id="19"/>
    </w:p>
    <w:p w14:paraId="5B2AC323">
      <w:pPr>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b/>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1.对有关责任人员的处理建议</w:t>
      </w:r>
    </w:p>
    <w:p w14:paraId="758C856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王*，</w:t>
      </w:r>
      <w:r>
        <w:rPr>
          <w:rFonts w:hint="eastAsia" w:ascii="仿宋_GB2312" w:eastAsia="仿宋_GB2312"/>
          <w:color w:val="000000" w:themeColor="text1"/>
          <w:sz w:val="32"/>
          <w:szCs w:val="32"/>
          <w14:textFill>
            <w14:solidFill>
              <w14:schemeClr w14:val="tx1"/>
            </w14:solidFill>
          </w14:textFill>
        </w:rPr>
        <w:t>男，</w:t>
      </w:r>
      <w:r>
        <w:rPr>
          <w:rFonts w:hint="eastAsia" w:ascii="仿宋_GB2312" w:eastAsia="仿宋_GB2312"/>
          <w:color w:val="000000" w:themeColor="text1"/>
          <w:sz w:val="32"/>
          <w:szCs w:val="32"/>
          <w:lang w:eastAsia="zh-CN"/>
          <w14:textFill>
            <w14:solidFill>
              <w14:schemeClr w14:val="tx1"/>
            </w14:solidFill>
          </w14:textFill>
        </w:rPr>
        <w:t>群众</w:t>
      </w:r>
      <w:r>
        <w:rPr>
          <w:rFonts w:hint="eastAsia" w:ascii="仿宋_GB2312" w:eastAsia="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牧玺电子</w:t>
      </w:r>
      <w:r>
        <w:rPr>
          <w:rFonts w:hint="eastAsia" w:ascii="仿宋_GB2312" w:eastAsia="仿宋_GB2312"/>
          <w:color w:val="000000" w:themeColor="text1"/>
          <w:sz w:val="32"/>
          <w:szCs w:val="32"/>
          <w:lang w:val="en-US" w:eastAsia="zh-CN"/>
          <w14:textFill>
            <w14:solidFill>
              <w14:schemeClr w14:val="tx1"/>
            </w14:solidFill>
          </w14:textFill>
        </w:rPr>
        <w:t>实际负责人</w:t>
      </w:r>
      <w:r>
        <w:rPr>
          <w:rFonts w:hint="eastAsia" w:ascii="仿宋_GB2312" w:eastAsia="仿宋_GB2312"/>
          <w:color w:val="000000" w:themeColor="text1"/>
          <w:sz w:val="32"/>
          <w:szCs w:val="32"/>
          <w14:textFill>
            <w14:solidFill>
              <w14:schemeClr w14:val="tx1"/>
            </w14:solidFill>
          </w14:textFill>
        </w:rPr>
        <w:t>，主持公司全面工作，</w:t>
      </w:r>
      <w:r>
        <w:rPr>
          <w:rFonts w:hint="eastAsia" w:ascii="仿宋_GB2312" w:eastAsia="仿宋_GB2312"/>
          <w:color w:val="000000" w:themeColor="text1"/>
          <w:sz w:val="32"/>
          <w:szCs w:val="32"/>
          <w:lang w:eastAsia="zh-CN"/>
          <w14:textFill>
            <w14:solidFill>
              <w14:schemeClr w14:val="tx1"/>
            </w14:solidFill>
          </w14:textFill>
        </w:rPr>
        <w:t>实施本单位安全生产规章制度和操作规程不到位</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实施本单位安全生产教育和培训计划不到位，</w:t>
      </w:r>
      <w:r>
        <w:rPr>
          <w:rFonts w:hint="eastAsia" w:ascii="仿宋_GB2312" w:eastAsia="仿宋_GB2312"/>
          <w:color w:val="000000" w:themeColor="text1"/>
          <w:sz w:val="32"/>
          <w:szCs w:val="32"/>
          <w14:textFill>
            <w14:solidFill>
              <w14:schemeClr w14:val="tx1"/>
            </w14:solidFill>
          </w14:textFill>
        </w:rPr>
        <w:t>对事故发生负有领导责任，违反了《中华人民共和国安全生产法》第二十一条第</w:t>
      </w:r>
      <w:r>
        <w:rPr>
          <w:rFonts w:hint="eastAsia" w:ascii="仿宋_GB2312" w:eastAsia="仿宋_GB2312"/>
          <w:color w:val="000000" w:themeColor="text1"/>
          <w:sz w:val="32"/>
          <w:szCs w:val="32"/>
          <w:lang w:eastAsia="zh-CN"/>
          <w14:textFill>
            <w14:solidFill>
              <w14:schemeClr w14:val="tx1"/>
            </w14:solidFill>
          </w14:textFill>
        </w:rPr>
        <w:t>（二）、</w:t>
      </w:r>
      <w:r>
        <w:rPr>
          <w:rFonts w:hint="eastAsia" w:ascii="仿宋_GB2312" w:eastAsia="仿宋_GB2312"/>
          <w:color w:val="000000" w:themeColor="text1"/>
          <w:sz w:val="32"/>
          <w:szCs w:val="32"/>
          <w14:textFill>
            <w14:solidFill>
              <w14:schemeClr w14:val="tx1"/>
            </w14:solidFill>
          </w14:textFill>
        </w:rPr>
        <w:t>（三）项</w:t>
      </w:r>
      <w:r>
        <w:rPr>
          <w:rStyle w:val="18"/>
          <w:rFonts w:hint="eastAsia" w:ascii="仿宋_GB2312" w:eastAsia="仿宋_GB2312"/>
          <w:color w:val="000000" w:themeColor="text1"/>
          <w:sz w:val="32"/>
          <w:szCs w:val="32"/>
          <w14:textFill>
            <w14:solidFill>
              <w14:schemeClr w14:val="tx1"/>
            </w14:solidFill>
          </w14:textFill>
        </w:rPr>
        <w:t>[</w:t>
      </w:r>
      <w:r>
        <w:rPr>
          <w:rStyle w:val="18"/>
          <w:rFonts w:hint="eastAsia" w:ascii="仿宋_GB2312" w:eastAsia="仿宋_GB2312"/>
          <w:color w:val="000000" w:themeColor="text1"/>
          <w:sz w:val="32"/>
          <w:szCs w:val="32"/>
          <w14:textFill>
            <w14:solidFill>
              <w14:schemeClr w14:val="tx1"/>
            </w14:solidFill>
          </w14:textFill>
        </w:rPr>
        <w:footnoteReference w:id="1"/>
      </w:r>
      <w:r>
        <w:rPr>
          <w:rStyle w:val="18"/>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之</w:t>
      </w:r>
      <w:r>
        <w:rPr>
          <w:rFonts w:hint="eastAsia" w:ascii="仿宋_GB2312" w:eastAsia="仿宋_GB2312"/>
          <w:color w:val="000000" w:themeColor="text1"/>
          <w:sz w:val="32"/>
          <w:szCs w:val="32"/>
          <w14:textFill>
            <w14:solidFill>
              <w14:schemeClr w14:val="tx1"/>
            </w14:solidFill>
          </w14:textFill>
        </w:rPr>
        <w:t>规定。依据《中华人民共和国安全生产法》第九十五条第（一）项</w:t>
      </w:r>
      <w:r>
        <w:rPr>
          <w:rStyle w:val="18"/>
          <w:rFonts w:hint="eastAsia" w:ascii="仿宋_GB2312" w:eastAsia="仿宋_GB2312"/>
          <w:color w:val="000000" w:themeColor="text1"/>
          <w:sz w:val="32"/>
          <w:szCs w:val="32"/>
          <w14:textFill>
            <w14:solidFill>
              <w14:schemeClr w14:val="tx1"/>
            </w14:solidFill>
          </w14:textFill>
        </w:rPr>
        <w:t>[</w:t>
      </w:r>
      <w:r>
        <w:rPr>
          <w:rStyle w:val="18"/>
          <w:rFonts w:hint="eastAsia" w:ascii="仿宋_GB2312" w:eastAsia="仿宋_GB2312"/>
          <w:color w:val="000000" w:themeColor="text1"/>
          <w:sz w:val="32"/>
          <w:szCs w:val="32"/>
          <w14:textFill>
            <w14:solidFill>
              <w14:schemeClr w14:val="tx1"/>
            </w14:solidFill>
          </w14:textFill>
        </w:rPr>
        <w:footnoteReference w:id="2"/>
      </w:r>
      <w:r>
        <w:rPr>
          <w:rStyle w:val="18"/>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之</w:t>
      </w:r>
      <w:r>
        <w:rPr>
          <w:rFonts w:hint="eastAsia" w:ascii="仿宋_GB2312" w:eastAsia="仿宋_GB2312"/>
          <w:color w:val="000000" w:themeColor="text1"/>
          <w:sz w:val="32"/>
          <w:szCs w:val="32"/>
          <w14:textFill>
            <w14:solidFill>
              <w14:schemeClr w14:val="tx1"/>
            </w14:solidFill>
          </w14:textFill>
        </w:rPr>
        <w:t>规定，建议由</w:t>
      </w:r>
      <w:r>
        <w:rPr>
          <w:rFonts w:hint="eastAsia" w:ascii="仿宋_GB2312" w:eastAsia="仿宋_GB2312"/>
          <w:color w:val="000000" w:themeColor="text1"/>
          <w:sz w:val="32"/>
          <w:szCs w:val="32"/>
          <w:lang w:eastAsia="zh-CN"/>
          <w14:textFill>
            <w14:solidFill>
              <w14:schemeClr w14:val="tx1"/>
            </w14:solidFill>
          </w14:textFill>
        </w:rPr>
        <w:t>天桥</w:t>
      </w:r>
      <w:r>
        <w:rPr>
          <w:rFonts w:hint="eastAsia" w:ascii="仿宋_GB2312" w:eastAsia="仿宋_GB2312"/>
          <w:color w:val="000000" w:themeColor="text1"/>
          <w:sz w:val="32"/>
          <w:szCs w:val="32"/>
          <w14:textFill>
            <w14:solidFill>
              <w14:schemeClr w14:val="tx1"/>
            </w14:solidFill>
          </w14:textFill>
        </w:rPr>
        <w:t>区应急管理局对其处以上一年年收入百分之四十罚款的行政处罚。</w:t>
      </w:r>
    </w:p>
    <w:p w14:paraId="12E9BD24">
      <w:pPr>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b/>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2.对有关责任单位的处理建议</w:t>
      </w:r>
    </w:p>
    <w:p w14:paraId="6A168D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牧玺电子</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安全生产主体责任落实不到位，</w:t>
      </w:r>
      <w:r>
        <w:rPr>
          <w:rFonts w:hint="eastAsia" w:ascii="仿宋_GB2312" w:eastAsia="仿宋_GB2312"/>
          <w:color w:val="000000" w:themeColor="text1"/>
          <w:sz w:val="32"/>
          <w:szCs w:val="32"/>
          <w:lang w:eastAsia="zh-CN"/>
          <w14:textFill>
            <w14:solidFill>
              <w14:schemeClr w14:val="tx1"/>
            </w14:solidFill>
          </w14:textFill>
        </w:rPr>
        <w:t>未在导轨升降机设置明显的安全警示标志</w:t>
      </w:r>
      <w:r>
        <w:rPr>
          <w:rFonts w:hint="default" w:ascii="仿宋_GB2312" w:eastAsia="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未教育和督促从业人员严格执行本单位的安全生产规章制度和安全操作规程，</w:t>
      </w:r>
      <w:r>
        <w:rPr>
          <w:rFonts w:hint="eastAsia" w:ascii="仿宋_GB2312" w:eastAsia="仿宋_GB2312"/>
          <w:color w:val="000000" w:themeColor="text1"/>
          <w:sz w:val="32"/>
          <w:szCs w:val="32"/>
          <w14:textFill>
            <w14:solidFill>
              <w14:schemeClr w14:val="tx1"/>
            </w14:solidFill>
          </w14:textFill>
        </w:rPr>
        <w:t>对事故发生负有责任</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违反</w:t>
      </w:r>
      <w:r>
        <w:rPr>
          <w:rFonts w:hint="eastAsia" w:ascii="仿宋_GB2312" w:eastAsia="仿宋_GB2312"/>
          <w:color w:val="000000" w:themeColor="text1"/>
          <w:sz w:val="32"/>
          <w:szCs w:val="32"/>
          <w:lang w:eastAsia="zh-CN"/>
          <w14:textFill>
            <w14:solidFill>
              <w14:schemeClr w14:val="tx1"/>
            </w14:solidFill>
          </w14:textFill>
        </w:rPr>
        <w:t>了</w:t>
      </w:r>
      <w:r>
        <w:rPr>
          <w:rFonts w:hint="eastAsia" w:ascii="仿宋_GB2312" w:eastAsia="仿宋_GB2312"/>
          <w:color w:val="000000" w:themeColor="text1"/>
          <w:sz w:val="32"/>
          <w:szCs w:val="32"/>
          <w14:textFill>
            <w14:solidFill>
              <w14:schemeClr w14:val="tx1"/>
            </w14:solidFill>
          </w14:textFill>
        </w:rPr>
        <w:t>《中华人民共和国安全生产法》</w:t>
      </w:r>
      <w:r>
        <w:rPr>
          <w:rFonts w:hint="eastAsia" w:ascii="仿宋_GB2312" w:eastAsia="仿宋_GB2312"/>
          <w:color w:val="000000" w:themeColor="text1"/>
          <w:sz w:val="32"/>
          <w:szCs w:val="32"/>
          <w:lang w:eastAsia="zh-CN"/>
          <w14:textFill>
            <w14:solidFill>
              <w14:schemeClr w14:val="tx1"/>
            </w14:solidFill>
          </w14:textFill>
        </w:rPr>
        <w:t>第三十五条</w:t>
      </w:r>
      <w:r>
        <w:rPr>
          <w:rStyle w:val="18"/>
          <w:rFonts w:hint="eastAsia" w:ascii="仿宋_GB2312" w:eastAsia="仿宋_GB2312"/>
          <w:color w:val="000000" w:themeColor="text1"/>
          <w:sz w:val="32"/>
          <w:szCs w:val="32"/>
          <w:lang w:eastAsia="zh-CN"/>
          <w14:textFill>
            <w14:solidFill>
              <w14:schemeClr w14:val="tx1"/>
            </w14:solidFill>
          </w14:textFill>
        </w:rPr>
        <w:t>[</w:t>
      </w:r>
      <w:r>
        <w:rPr>
          <w:rStyle w:val="18"/>
          <w:rFonts w:hint="eastAsia" w:ascii="仿宋_GB2312" w:eastAsia="仿宋_GB2312"/>
          <w:color w:val="000000" w:themeColor="text1"/>
          <w:sz w:val="32"/>
          <w:szCs w:val="32"/>
          <w:lang w:eastAsia="zh-CN"/>
          <w14:textFill>
            <w14:solidFill>
              <w14:schemeClr w14:val="tx1"/>
            </w14:solidFill>
          </w14:textFill>
        </w:rPr>
        <w:footnoteReference w:id="3"/>
      </w:r>
      <w:r>
        <w:rPr>
          <w:rStyle w:val="18"/>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第四十四条第一款</w:t>
      </w:r>
      <w:r>
        <w:rPr>
          <w:rStyle w:val="18"/>
          <w:rFonts w:hint="eastAsia" w:ascii="仿宋_GB2312" w:eastAsia="仿宋_GB2312"/>
          <w:color w:val="000000" w:themeColor="text1"/>
          <w:sz w:val="32"/>
          <w:szCs w:val="32"/>
          <w14:textFill>
            <w14:solidFill>
              <w14:schemeClr w14:val="tx1"/>
            </w14:solidFill>
          </w14:textFill>
        </w:rPr>
        <w:t>[</w:t>
      </w:r>
      <w:r>
        <w:rPr>
          <w:rStyle w:val="18"/>
          <w:rFonts w:hint="eastAsia" w:ascii="仿宋_GB2312" w:eastAsia="仿宋_GB2312"/>
          <w:color w:val="000000" w:themeColor="text1"/>
          <w:sz w:val="32"/>
          <w:szCs w:val="32"/>
          <w14:textFill>
            <w14:solidFill>
              <w14:schemeClr w14:val="tx1"/>
            </w14:solidFill>
          </w14:textFill>
        </w:rPr>
        <w:footnoteReference w:id="4"/>
      </w:r>
      <w:r>
        <w:rPr>
          <w:rStyle w:val="18"/>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之</w:t>
      </w:r>
      <w:r>
        <w:rPr>
          <w:rFonts w:hint="eastAsia" w:ascii="仿宋_GB2312" w:eastAsia="仿宋_GB2312"/>
          <w:color w:val="000000" w:themeColor="text1"/>
          <w:sz w:val="32"/>
          <w:szCs w:val="32"/>
          <w14:textFill>
            <w14:solidFill>
              <w14:schemeClr w14:val="tx1"/>
            </w14:solidFill>
          </w14:textFill>
        </w:rPr>
        <w:t>规定。依据《中华人民共和国安全生产法》第一百一十四条第一款第（一）项</w:t>
      </w:r>
      <w:r>
        <w:rPr>
          <w:rStyle w:val="18"/>
          <w:rFonts w:hint="eastAsia" w:ascii="仿宋_GB2312" w:eastAsia="仿宋_GB2312"/>
          <w:color w:val="000000" w:themeColor="text1"/>
          <w:sz w:val="32"/>
          <w:szCs w:val="32"/>
          <w14:textFill>
            <w14:solidFill>
              <w14:schemeClr w14:val="tx1"/>
            </w14:solidFill>
          </w14:textFill>
        </w:rPr>
        <w:t>[</w:t>
      </w:r>
      <w:r>
        <w:rPr>
          <w:rStyle w:val="18"/>
          <w:rFonts w:hint="eastAsia" w:ascii="仿宋_GB2312" w:eastAsia="仿宋_GB2312"/>
          <w:color w:val="000000" w:themeColor="text1"/>
          <w:sz w:val="32"/>
          <w:szCs w:val="32"/>
          <w14:textFill>
            <w14:solidFill>
              <w14:schemeClr w14:val="tx1"/>
            </w14:solidFill>
          </w14:textFill>
        </w:rPr>
        <w:footnoteReference w:id="5"/>
      </w:r>
      <w:r>
        <w:rPr>
          <w:rStyle w:val="18"/>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、《生产安全事故罚款处罚规定》第十四条第（二）项</w:t>
      </w:r>
      <w:r>
        <w:rPr>
          <w:rStyle w:val="18"/>
          <w:rFonts w:hint="eastAsia" w:ascii="仿宋_GB2312" w:eastAsia="仿宋_GB2312"/>
          <w:color w:val="000000" w:themeColor="text1"/>
          <w:sz w:val="32"/>
          <w:szCs w:val="32"/>
          <w:lang w:eastAsia="zh-CN"/>
          <w14:textFill>
            <w14:solidFill>
              <w14:schemeClr w14:val="tx1"/>
            </w14:solidFill>
          </w14:textFill>
        </w:rPr>
        <w:t>[</w:t>
      </w:r>
      <w:r>
        <w:rPr>
          <w:rStyle w:val="18"/>
          <w:rFonts w:hint="eastAsia" w:ascii="仿宋_GB2312" w:eastAsia="仿宋_GB2312"/>
          <w:color w:val="000000" w:themeColor="text1"/>
          <w:sz w:val="32"/>
          <w:szCs w:val="32"/>
          <w:lang w:eastAsia="zh-CN"/>
          <w14:textFill>
            <w14:solidFill>
              <w14:schemeClr w14:val="tx1"/>
            </w14:solidFill>
          </w14:textFill>
        </w:rPr>
        <w:footnoteReference w:id="6"/>
      </w:r>
      <w:r>
        <w:rPr>
          <w:rStyle w:val="18"/>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之规定，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建议由天</w:t>
      </w:r>
      <w:r>
        <w:rPr>
          <w:rFonts w:hint="eastAsia" w:ascii="仿宋_GB2312" w:eastAsia="仿宋_GB2312"/>
          <w:color w:val="000000" w:themeColor="text1"/>
          <w:sz w:val="32"/>
          <w:szCs w:val="32"/>
          <w14:textFill>
            <w14:solidFill>
              <w14:schemeClr w14:val="tx1"/>
            </w14:solidFill>
          </w14:textFill>
        </w:rPr>
        <w:t>桥区应急局对其处</w:t>
      </w:r>
      <w:r>
        <w:rPr>
          <w:rFonts w:hint="eastAsia" w:ascii="仿宋_GB2312" w:eastAsia="仿宋_GB2312"/>
          <w:color w:val="000000" w:themeColor="text1"/>
          <w:sz w:val="32"/>
          <w:szCs w:val="32"/>
          <w:lang w:val="en-US" w:eastAsia="zh-CN"/>
          <w14:textFill>
            <w14:solidFill>
              <w14:schemeClr w14:val="tx1"/>
            </w14:solidFill>
          </w14:textFill>
        </w:rPr>
        <w:t>50</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70</w:t>
      </w:r>
      <w:r>
        <w:rPr>
          <w:rFonts w:hint="eastAsia" w:ascii="仿宋_GB2312" w:hAnsi="仿宋_GB2312" w:eastAsia="仿宋_GB2312" w:cs="仿宋_GB2312"/>
          <w:color w:val="000000" w:themeColor="text1"/>
          <w:sz w:val="32"/>
          <w:szCs w:val="32"/>
          <w:lang w:val="en-US"/>
          <w14:textFill>
            <w14:solidFill>
              <w14:schemeClr w14:val="tx1"/>
            </w14:solidFill>
          </w14:textFill>
        </w:rPr>
        <w:t>万元</w:t>
      </w:r>
      <w:r>
        <w:rPr>
          <w:rFonts w:hint="eastAsia" w:ascii="仿宋_GB2312" w:eastAsia="仿宋_GB2312"/>
          <w:color w:val="000000" w:themeColor="text1"/>
          <w:sz w:val="32"/>
          <w:szCs w:val="32"/>
          <w14:textFill>
            <w14:solidFill>
              <w14:schemeClr w14:val="tx1"/>
            </w14:solidFill>
          </w14:textFill>
        </w:rPr>
        <w:t>罚款的行政处罚。</w:t>
      </w:r>
      <w:bookmarkStart w:id="20" w:name="_Toc69742751"/>
    </w:p>
    <w:p w14:paraId="4EF51C24">
      <w:pPr>
        <w:pStyle w:val="2"/>
        <w:bidi w:val="0"/>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五、事故主要教训</w:t>
      </w:r>
      <w:bookmarkEnd w:id="20"/>
      <w:bookmarkStart w:id="21" w:name="_Toc1172858524"/>
    </w:p>
    <w:p w14:paraId="4CA21AE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Times New Roman"/>
          <w:color w:val="000000" w:themeColor="text1"/>
          <w:sz w:val="32"/>
          <w:szCs w:val="32"/>
          <w:lang w:val="en-US" w:eastAsia="zh-CN"/>
          <w14:textFill>
            <w14:solidFill>
              <w14:schemeClr w14:val="tx1"/>
            </w14:solidFill>
          </w14:textFill>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该起事故充分暴露出牧玺电子日常安全管理存在明显漏洞。针对货梯机械伤害类固有风险隐患，未在安全管理体系内体现，安全教育培训工作脱离实际。企业虽已编制《货梯升降机操作规程》，但仅依靠微信群简单告知“人不要上电梯”等碎片化提示替代正规安全教育及现场监管，未能督促作业人员严格落实安全操作规范，安全教育培训实效性不足。非标升降设备安全系数低、运行容错率小，必须严格杜绝违规载人、超载作业等违法行为。企业应深刻吸取本次事故惨痛教训，举一反三开展全域安全隐患排查治理，压实安全主体责任，严防同类生产安全事故重复发生。</w:t>
      </w:r>
    </w:p>
    <w:p w14:paraId="199E56DA">
      <w:pPr>
        <w:pStyle w:val="2"/>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color w:val="000000" w:themeColor="text1"/>
          <w:lang w:eastAsia="zh-CN"/>
          <w14:textFill>
            <w14:solidFill>
              <w14:schemeClr w14:val="tx1"/>
            </w14:solidFill>
          </w14:textFill>
        </w:rPr>
      </w:pPr>
      <w:r>
        <w:rPr>
          <w:rFonts w:hint="eastAsia" w:ascii="黑体" w:hAnsi="黑体"/>
          <w:color w:val="000000" w:themeColor="text1"/>
          <w:lang w:eastAsia="zh-CN"/>
          <w14:textFill>
            <w14:solidFill>
              <w14:schemeClr w14:val="tx1"/>
            </w14:solidFill>
          </w14:textFill>
        </w:rPr>
        <w:t>六、事故整改和防范措施</w:t>
      </w:r>
      <w:bookmarkEnd w:id="21"/>
    </w:p>
    <w:p w14:paraId="01334FE9">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eastAsia="楷体_GB2312"/>
          <w:color w:val="000000" w:themeColor="text1"/>
          <w:sz w:val="32"/>
          <w:szCs w:val="32"/>
          <w14:textFill>
            <w14:solidFill>
              <w14:schemeClr w14:val="tx1"/>
            </w14:solidFill>
          </w14:textFill>
        </w:rPr>
        <w:t>（一）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牧玺电子</w:t>
      </w:r>
      <w:r>
        <w:rPr>
          <w:rFonts w:hint="eastAsia" w:ascii="仿宋_GB2312" w:eastAsia="仿宋_GB2312"/>
          <w:color w:val="000000" w:themeColor="text1"/>
          <w:sz w:val="32"/>
          <w:szCs w:val="32"/>
          <w14:textFill>
            <w14:solidFill>
              <w14:schemeClr w14:val="tx1"/>
            </w14:solidFill>
          </w14:textFill>
        </w:rPr>
        <w:t>要严格落实</w:t>
      </w:r>
      <w:r>
        <w:rPr>
          <w:rFonts w:hint="eastAsia" w:ascii="仿宋_GB2312" w:eastAsia="仿宋_GB2312"/>
          <w:color w:val="000000" w:themeColor="text1"/>
          <w:sz w:val="32"/>
          <w:szCs w:val="32"/>
          <w:lang w:eastAsia="zh-CN"/>
          <w14:textFill>
            <w14:solidFill>
              <w14:schemeClr w14:val="tx1"/>
            </w14:solidFill>
          </w14:textFill>
        </w:rPr>
        <w:t>安全生产</w:t>
      </w:r>
      <w:r>
        <w:rPr>
          <w:rFonts w:hint="eastAsia" w:ascii="仿宋_GB2312" w:eastAsia="仿宋_GB2312"/>
          <w:color w:val="000000" w:themeColor="text1"/>
          <w:sz w:val="32"/>
          <w:szCs w:val="32"/>
          <w14:textFill>
            <w14:solidFill>
              <w14:schemeClr w14:val="tx1"/>
            </w14:solidFill>
          </w14:textFill>
        </w:rPr>
        <w:t>主体责任，一是</w:t>
      </w:r>
      <w:r>
        <w:rPr>
          <w:rFonts w:hint="eastAsia" w:ascii="仿宋_GB2312" w:eastAsia="仿宋_GB2312"/>
          <w:color w:val="000000" w:themeColor="text1"/>
          <w:sz w:val="32"/>
          <w:szCs w:val="32"/>
          <w:lang w:eastAsia="zh-CN"/>
          <w14:textFill>
            <w14:solidFill>
              <w14:schemeClr w14:val="tx1"/>
            </w14:solidFill>
          </w14:textFill>
        </w:rPr>
        <w:t>健全完善</w:t>
      </w:r>
      <w:r>
        <w:rPr>
          <w:rFonts w:hint="eastAsia" w:ascii="仿宋_GB2312" w:eastAsia="仿宋_GB2312"/>
          <w:color w:val="000000" w:themeColor="text1"/>
          <w:sz w:val="32"/>
          <w:szCs w:val="32"/>
          <w14:textFill>
            <w14:solidFill>
              <w14:schemeClr w14:val="tx1"/>
            </w14:solidFill>
          </w14:textFill>
        </w:rPr>
        <w:t>企业安全生产责任体系，</w:t>
      </w:r>
      <w:r>
        <w:rPr>
          <w:rFonts w:hint="eastAsia" w:ascii="仿宋_GB2312" w:eastAsia="仿宋_GB2312"/>
          <w:color w:val="000000" w:themeColor="text1"/>
          <w:sz w:val="32"/>
          <w:szCs w:val="32"/>
          <w:lang w:eastAsia="zh-CN"/>
          <w14:textFill>
            <w14:solidFill>
              <w14:schemeClr w14:val="tx1"/>
            </w14:solidFill>
          </w14:textFill>
        </w:rPr>
        <w:t>严格落实全员安全</w:t>
      </w:r>
      <w:r>
        <w:rPr>
          <w:rFonts w:hint="eastAsia" w:ascii="仿宋_GB2312" w:eastAsia="仿宋_GB2312"/>
          <w:color w:val="000000" w:themeColor="text1"/>
          <w:sz w:val="32"/>
          <w:szCs w:val="32"/>
          <w14:textFill>
            <w14:solidFill>
              <w14:schemeClr w14:val="tx1"/>
            </w14:solidFill>
          </w14:textFill>
        </w:rPr>
        <w:t>生产岗位责任制，</w:t>
      </w:r>
      <w:r>
        <w:rPr>
          <w:rFonts w:hint="eastAsia" w:ascii="仿宋_GB2312" w:eastAsia="仿宋_GB2312"/>
          <w:color w:val="000000" w:themeColor="text1"/>
          <w:sz w:val="32"/>
          <w:szCs w:val="32"/>
          <w:lang w:eastAsia="zh-CN"/>
          <w14:textFill>
            <w14:solidFill>
              <w14:schemeClr w14:val="tx1"/>
            </w14:solidFill>
          </w14:textFill>
        </w:rPr>
        <w:t>压实</w:t>
      </w:r>
      <w:r>
        <w:rPr>
          <w:rFonts w:hint="eastAsia" w:ascii="仿宋_GB2312" w:eastAsia="仿宋_GB2312"/>
          <w:color w:val="000000" w:themeColor="text1"/>
          <w:sz w:val="32"/>
          <w:szCs w:val="32"/>
          <w14:textFill>
            <w14:solidFill>
              <w14:schemeClr w14:val="tx1"/>
            </w14:solidFill>
          </w14:textFill>
        </w:rPr>
        <w:t>企业主要负责人</w:t>
      </w:r>
      <w:r>
        <w:rPr>
          <w:rFonts w:hint="eastAsia" w:ascii="仿宋_GB2312" w:eastAsia="仿宋_GB2312"/>
          <w:color w:val="000000" w:themeColor="text1"/>
          <w:sz w:val="32"/>
          <w:szCs w:val="32"/>
          <w:lang w:eastAsia="zh-CN"/>
          <w14:textFill>
            <w14:solidFill>
              <w14:schemeClr w14:val="tx1"/>
            </w14:solidFill>
          </w14:textFill>
        </w:rPr>
        <w:t>安全生产</w:t>
      </w:r>
      <w:r>
        <w:rPr>
          <w:rFonts w:hint="eastAsia" w:ascii="仿宋_GB2312" w:eastAsia="仿宋_GB2312"/>
          <w:color w:val="000000" w:themeColor="text1"/>
          <w:sz w:val="32"/>
          <w:szCs w:val="32"/>
          <w14:textFill>
            <w14:solidFill>
              <w14:schemeClr w14:val="tx1"/>
            </w14:solidFill>
          </w14:textFill>
        </w:rPr>
        <w:t>第一负责人</w:t>
      </w:r>
      <w:r>
        <w:rPr>
          <w:rFonts w:hint="eastAsia" w:ascii="仿宋_GB2312" w:eastAsia="仿宋_GB2312"/>
          <w:color w:val="000000" w:themeColor="text1"/>
          <w:sz w:val="32"/>
          <w:szCs w:val="32"/>
          <w:lang w:eastAsia="zh-CN"/>
          <w14:textFill>
            <w14:solidFill>
              <w14:schemeClr w14:val="tx1"/>
            </w14:solidFill>
          </w14:textFill>
        </w:rPr>
        <w:t>职责</w:t>
      </w:r>
      <w:r>
        <w:rPr>
          <w:rFonts w:hint="eastAsia" w:ascii="仿宋_GB2312" w:eastAsia="仿宋_GB2312"/>
          <w:color w:val="000000" w:themeColor="text1"/>
          <w:sz w:val="32"/>
          <w:szCs w:val="32"/>
          <w14:textFill>
            <w14:solidFill>
              <w14:schemeClr w14:val="tx1"/>
            </w14:solidFill>
          </w14:textFill>
        </w:rPr>
        <w:t>；二是严格按照《生产经营单位安全培训规定》要求，强化从业人员安全生产教育培训，严格落实从业人员岗前三级安全教育培训，切实提升从业人员安全意识与安全操作技能；三是督促作业人员严格执行本单位安全生产规章制度及安全操作规程，如实告知作业岗位存在的危险因素、安全防范措施及事故应急处置措施。</w:t>
      </w:r>
    </w:p>
    <w:p w14:paraId="665AB822">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Arial Unicode MS"/>
          <w:color w:val="000000" w:themeColor="text1"/>
          <w:sz w:val="32"/>
          <w:szCs w:val="32"/>
          <w:lang w:val="en-US" w:eastAsia="zh-CN" w:bidi="zh-CN"/>
          <w14:textFill>
            <w14:solidFill>
              <w14:schemeClr w14:val="tx1"/>
            </w14:solidFill>
          </w14:textFill>
        </w:rPr>
      </w:pPr>
      <w:r>
        <w:rPr>
          <w:rFonts w:hint="eastAsia" w:ascii="楷体_GB2312" w:eastAsia="楷体_GB2312"/>
          <w:color w:val="000000" w:themeColor="text1"/>
          <w:sz w:val="32"/>
          <w:szCs w:val="32"/>
          <w14:textFill>
            <w14:solidFill>
              <w14:schemeClr w14:val="tx1"/>
            </w14:solidFill>
          </w14:textFill>
        </w:rPr>
        <w:t>（二）</w:t>
      </w:r>
      <w:r>
        <w:rPr>
          <w:rFonts w:hint="eastAsia" w:ascii="仿宋_GB2312" w:hAnsi="仿宋" w:eastAsia="仿宋_GB2312" w:cs="Arial Unicode MS"/>
          <w:color w:val="000000" w:themeColor="text1"/>
          <w:sz w:val="32"/>
          <w:szCs w:val="32"/>
          <w:lang w:val="en-US" w:eastAsia="zh-CN" w:bidi="zh-CN"/>
          <w14:textFill>
            <w14:solidFill>
              <w14:schemeClr w14:val="tx1"/>
            </w14:solidFill>
          </w14:textFill>
        </w:rPr>
        <w:t>各行业主管部门要深刻吸取本次非标升降设备事故教训，严格落实行业安全生产监管责任，严格遵循“管行业必须管安全、管业务必须管安全、管生产经营必须管安全”原则，强化对监管领域生产经营单位非标升降设备安装、使用环节的安全监管，全面排查整治设备无正规资质、未依法检验检测、缺失安全保护装置、违规改造使用等突出安全隐患。健全常态化监管执法机制，督促生产经营单位严格落实安全生产主体责任，引导企业采购、安装、使用符合规范的正规特种设备；对已投入使用的非标升降设备，严禁违规载人、超额定载荷作业。强化安全宣传教育与从业人员安全培训，全面提升企业安全管理水平与作业人员安全防范能力，从严从实补齐安全监管短板，坚决防范遏制同类起重伤害事故重复发生。</w:t>
      </w:r>
    </w:p>
    <w:p w14:paraId="7EEEE833">
      <w:pPr>
        <w:pageBreakBefore w:val="0"/>
        <w:kinsoku/>
        <w:wordWrap/>
        <w:overflowPunct/>
        <w:topLinePunct w:val="0"/>
        <w:autoSpaceDE/>
        <w:autoSpaceDN/>
        <w:bidi w:val="0"/>
        <w:adjustRightInd/>
        <w:snapToGrid/>
        <w:spacing w:line="560" w:lineRule="exact"/>
        <w:ind w:left="2081" w:leftChars="267" w:hanging="1440" w:hangingChars="450"/>
        <w:textAlignment w:val="auto"/>
        <w:rPr>
          <w:rFonts w:hint="eastAsia" w:ascii="仿宋_GB2312" w:eastAsia="仿宋_GB2312"/>
          <w:color w:val="000000" w:themeColor="text1"/>
          <w:sz w:val="32"/>
          <w:szCs w:val="32"/>
          <w14:textFill>
            <w14:solidFill>
              <w14:schemeClr w14:val="tx1"/>
            </w14:solidFill>
          </w14:textFill>
        </w:rPr>
      </w:pPr>
    </w:p>
    <w:p w14:paraId="029F678A">
      <w:pPr>
        <w:pageBreakBefore w:val="0"/>
        <w:kinsoku/>
        <w:wordWrap/>
        <w:overflowPunct/>
        <w:topLinePunct w:val="0"/>
        <w:autoSpaceDE/>
        <w:autoSpaceDN/>
        <w:bidi w:val="0"/>
        <w:adjustRightInd/>
        <w:snapToGrid/>
        <w:spacing w:line="560" w:lineRule="exact"/>
        <w:ind w:left="2081" w:leftChars="267" w:hanging="1440" w:hangingChars="45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附件：1、天桥济南牧玺电子科技有限公司“2·27”一般起重伤害事故伤亡人员名单</w:t>
      </w:r>
    </w:p>
    <w:p w14:paraId="1633634D">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themeColor="text1"/>
          <w:sz w:val="32"/>
          <w:szCs w:val="32"/>
          <w:lang w:eastAsia="zh-CN"/>
          <w14:textFill>
            <w14:solidFill>
              <w14:schemeClr w14:val="tx1"/>
            </w14:solidFill>
          </w14:textFill>
        </w:rPr>
      </w:pPr>
    </w:p>
    <w:p w14:paraId="402C7442">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themeColor="text1"/>
          <w:sz w:val="32"/>
          <w:szCs w:val="32"/>
          <w:lang w:eastAsia="zh-CN"/>
          <w14:textFill>
            <w14:solidFill>
              <w14:schemeClr w14:val="tx1"/>
            </w14:solidFill>
          </w14:textFill>
        </w:rPr>
      </w:pPr>
    </w:p>
    <w:p w14:paraId="1A888399">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themeColor="text1"/>
          <w:sz w:val="32"/>
          <w:szCs w:val="32"/>
          <w:lang w:eastAsia="zh-CN"/>
          <w14:textFill>
            <w14:solidFill>
              <w14:schemeClr w14:val="tx1"/>
            </w14:solidFill>
          </w14:textFill>
        </w:rPr>
      </w:pPr>
      <w:bookmarkStart w:id="22" w:name="_GoBack"/>
      <w:bookmarkEnd w:id="22"/>
    </w:p>
    <w:p w14:paraId="5B26111A">
      <w:pPr>
        <w:pageBreakBefore w:val="0"/>
        <w:kinsoku/>
        <w:wordWrap/>
        <w:overflowPunct/>
        <w:topLinePunct w:val="0"/>
        <w:autoSpaceDE/>
        <w:autoSpaceDN/>
        <w:bidi w:val="0"/>
        <w:adjustRightInd/>
        <w:snapToGrid/>
        <w:spacing w:line="560" w:lineRule="exact"/>
        <w:jc w:val="right"/>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天桥济南牧玺电子科技有限公司</w:t>
      </w:r>
    </w:p>
    <w:p w14:paraId="0D74B526">
      <w:pPr>
        <w:pageBreakBefore w:val="0"/>
        <w:kinsoku/>
        <w:wordWrap/>
        <w:overflowPunct/>
        <w:topLinePunct w:val="0"/>
        <w:autoSpaceDE/>
        <w:autoSpaceDN/>
        <w:bidi w:val="0"/>
        <w:adjustRightInd/>
        <w:snapToGrid/>
        <w:spacing w:line="560" w:lineRule="exact"/>
        <w:jc w:val="right"/>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“2·27”一般起重伤害事故调查组</w:t>
      </w:r>
    </w:p>
    <w:p w14:paraId="239DD733">
      <w:pPr>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 xml:space="preserve">     </w:t>
      </w:r>
      <w:r>
        <w:rPr>
          <w:rFonts w:hint="eastAsia" w:ascii="仿宋_GB2312" w:eastAsia="仿宋_GB2312"/>
          <w:color w:val="000000" w:themeColor="text1"/>
          <w:sz w:val="32"/>
          <w:szCs w:val="32"/>
          <w:lang w:val="en-US" w:eastAsia="zh-CN"/>
          <w14:textFill>
            <w14:solidFill>
              <w14:schemeClr w14:val="tx1"/>
            </w14:solidFill>
          </w14:textFill>
        </w:rPr>
        <w:t xml:space="preserve">     </w:t>
      </w:r>
      <w:r>
        <w:rPr>
          <w:rFonts w:hint="eastAsia" w:ascii="仿宋_GB2312" w:eastAsia="仿宋_GB2312"/>
          <w:color w:val="000000" w:themeColor="text1"/>
          <w:sz w:val="32"/>
          <w:szCs w:val="32"/>
          <w14:textFill>
            <w14:solidFill>
              <w14:schemeClr w14:val="tx1"/>
            </w14:solidFill>
          </w14:textFill>
        </w:rPr>
        <w:t xml:space="preserve">     202</w:t>
      </w:r>
      <w:r>
        <w:rPr>
          <w:rFonts w:hint="eastAsia" w:ascii="仿宋_GB2312" w:eastAsia="仿宋_GB2312"/>
          <w:color w:val="000000" w:themeColor="text1"/>
          <w:sz w:val="32"/>
          <w:szCs w:val="32"/>
          <w:lang w:val="en-US" w:eastAsia="zh-CN"/>
          <w14:textFill>
            <w14:solidFill>
              <w14:schemeClr w14:val="tx1"/>
            </w14:solidFill>
          </w14:textFill>
        </w:rPr>
        <w:t>6</w:t>
      </w:r>
      <w:r>
        <w:rPr>
          <w:rFonts w:hint="eastAsia" w:ascii="仿宋_GB2312" w:eastAsia="仿宋_GB2312"/>
          <w:color w:val="000000" w:themeColor="text1"/>
          <w:sz w:val="32"/>
          <w:szCs w:val="32"/>
          <w14:textFill>
            <w14:solidFill>
              <w14:schemeClr w14:val="tx1"/>
            </w14:solidFill>
          </w14:textFill>
        </w:rPr>
        <w:t>年</w:t>
      </w:r>
      <w:r>
        <w:rPr>
          <w:rFonts w:hint="eastAsia" w:ascii="仿宋_GB2312" w:eastAsia="仿宋_GB2312"/>
          <w:color w:val="000000" w:themeColor="text1"/>
          <w:sz w:val="32"/>
          <w:szCs w:val="32"/>
          <w:lang w:val="en-US" w:eastAsia="zh-CN"/>
          <w14:textFill>
            <w14:solidFill>
              <w14:schemeClr w14:val="tx1"/>
            </w14:solidFill>
          </w14:textFill>
        </w:rPr>
        <w:t>5</w:t>
      </w:r>
      <w:r>
        <w:rPr>
          <w:rFonts w:hint="eastAsia" w:ascii="仿宋_GB2312" w:eastAsia="仿宋_GB2312"/>
          <w:color w:val="000000" w:themeColor="text1"/>
          <w:sz w:val="32"/>
          <w:szCs w:val="32"/>
          <w14:textFill>
            <w14:solidFill>
              <w14:schemeClr w14:val="tx1"/>
            </w14:solidFill>
          </w14:textFill>
        </w:rPr>
        <w:t>月</w:t>
      </w:r>
      <w:r>
        <w:rPr>
          <w:rFonts w:hint="eastAsia" w:ascii="仿宋_GB2312" w:eastAsia="仿宋_GB2312"/>
          <w:color w:val="000000" w:themeColor="text1"/>
          <w:sz w:val="32"/>
          <w:szCs w:val="32"/>
          <w:lang w:val="en-US" w:eastAsia="zh-CN"/>
          <w14:textFill>
            <w14:solidFill>
              <w14:schemeClr w14:val="tx1"/>
            </w14:solidFill>
          </w14:textFill>
        </w:rPr>
        <w:t>25</w:t>
      </w:r>
      <w:r>
        <w:rPr>
          <w:rFonts w:hint="eastAsia" w:ascii="仿宋_GB2312" w:eastAsia="仿宋_GB2312"/>
          <w:color w:val="000000" w:themeColor="text1"/>
          <w:sz w:val="32"/>
          <w:szCs w:val="32"/>
          <w14:textFill>
            <w14:solidFill>
              <w14:schemeClr w14:val="tx1"/>
            </w14:solidFill>
          </w14:textFill>
        </w:rPr>
        <w:t>日</w:t>
      </w:r>
    </w:p>
    <w:p w14:paraId="76CF9ADA">
      <w:pPr>
        <w:widowControl/>
        <w:rPr>
          <w:rFonts w:ascii="黑体" w:hAnsi="黑体" w:eastAsia="黑体" w:cs="仿宋_GB2312"/>
          <w:color w:val="000000" w:themeColor="text1"/>
          <w:sz w:val="32"/>
          <w:szCs w:val="32"/>
          <w:lang w:val="en-US" w:bidi="ar-SA"/>
          <w14:textFill>
            <w14:solidFill>
              <w14:schemeClr w14:val="tx1"/>
            </w14:solidFill>
          </w14:textFill>
        </w:rPr>
      </w:pPr>
      <w:r>
        <w:rPr>
          <w:rFonts w:ascii="黑体" w:hAnsi="黑体" w:eastAsia="黑体" w:cs="仿宋_GB2312"/>
          <w:color w:val="000000" w:themeColor="text1"/>
          <w:sz w:val="32"/>
          <w:szCs w:val="32"/>
          <w14:textFill>
            <w14:solidFill>
              <w14:schemeClr w14:val="tx1"/>
            </w14:solidFill>
          </w14:textFill>
        </w:rPr>
        <w:br w:type="page"/>
      </w:r>
    </w:p>
    <w:p w14:paraId="3B200D44">
      <w:pPr>
        <w:pStyle w:val="11"/>
        <w:spacing w:beforeAutospacing="0" w:afterAutospacing="0" w:line="555" w:lineRule="atLeast"/>
        <w:jc w:val="both"/>
        <w:rPr>
          <w:rFonts w:ascii="黑体" w:hAnsi="黑体" w:eastAsia="黑体" w:cs="方正小标宋_GBK"/>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附件1</w:t>
      </w:r>
    </w:p>
    <w:p w14:paraId="7720A330">
      <w:pPr>
        <w:pStyle w:val="11"/>
        <w:spacing w:before="0" w:beforeAutospacing="0" w:after="0" w:afterAutospacing="0" w:line="56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天桥济南牧玺电子科技有限公司“2·27”一般起重伤害事故伤亡人员名单</w:t>
      </w:r>
    </w:p>
    <w:p w14:paraId="424CA91F">
      <w:pPr>
        <w:pStyle w:val="11"/>
        <w:spacing w:before="0" w:beforeAutospacing="0" w:after="0" w:afterAutospacing="0" w:line="56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tbl>
      <w:tblPr>
        <w:tblStyle w:val="12"/>
        <w:tblpPr w:leftFromText="180" w:rightFromText="180" w:vertAnchor="text" w:horzAnchor="page" w:tblpX="1453" w:tblpY="395"/>
        <w:tblOverlap w:val="never"/>
        <w:tblW w:w="952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81"/>
        <w:gridCol w:w="1217"/>
        <w:gridCol w:w="892"/>
        <w:gridCol w:w="1597"/>
        <w:gridCol w:w="1701"/>
        <w:gridCol w:w="2737"/>
      </w:tblGrid>
      <w:tr w14:paraId="4D122F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381" w:type="dxa"/>
            <w:tcBorders>
              <w:top w:val="single" w:color="auto" w:sz="6" w:space="0"/>
              <w:left w:val="single" w:color="auto" w:sz="6" w:space="0"/>
              <w:bottom w:val="single" w:color="auto" w:sz="4" w:space="0"/>
              <w:right w:val="single" w:color="auto" w:sz="6" w:space="0"/>
            </w:tcBorders>
            <w:shd w:val="clear" w:color="auto" w:fill="auto"/>
            <w:tcMar>
              <w:left w:w="105" w:type="dxa"/>
              <w:right w:w="105" w:type="dxa"/>
            </w:tcMar>
          </w:tcPr>
          <w:p w14:paraId="3F456C8B">
            <w:pPr>
              <w:pStyle w:val="11"/>
              <w:spacing w:beforeAutospacing="0" w:afterAutospacing="0" w:line="555" w:lineRule="atLeas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姓名</w:t>
            </w:r>
          </w:p>
        </w:tc>
        <w:tc>
          <w:tcPr>
            <w:tcW w:w="1217" w:type="dxa"/>
            <w:tcBorders>
              <w:top w:val="single" w:color="auto" w:sz="6" w:space="0"/>
              <w:left w:val="nil"/>
              <w:bottom w:val="single" w:color="auto" w:sz="4" w:space="0"/>
              <w:right w:val="single" w:color="auto" w:sz="6" w:space="0"/>
            </w:tcBorders>
            <w:shd w:val="clear" w:color="auto" w:fill="auto"/>
            <w:tcMar>
              <w:left w:w="105" w:type="dxa"/>
              <w:right w:w="105" w:type="dxa"/>
            </w:tcMar>
          </w:tcPr>
          <w:p w14:paraId="02EEC23E">
            <w:pPr>
              <w:pStyle w:val="11"/>
              <w:spacing w:beforeAutospacing="0" w:afterAutospacing="0" w:line="555" w:lineRule="atLeas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性别</w:t>
            </w:r>
          </w:p>
        </w:tc>
        <w:tc>
          <w:tcPr>
            <w:tcW w:w="892" w:type="dxa"/>
            <w:tcBorders>
              <w:top w:val="single" w:color="auto" w:sz="6" w:space="0"/>
              <w:left w:val="nil"/>
              <w:bottom w:val="single" w:color="auto" w:sz="4" w:space="0"/>
              <w:right w:val="single" w:color="auto" w:sz="6" w:space="0"/>
            </w:tcBorders>
            <w:shd w:val="clear" w:color="auto" w:fill="auto"/>
            <w:tcMar>
              <w:left w:w="105" w:type="dxa"/>
              <w:right w:w="105" w:type="dxa"/>
            </w:tcMar>
          </w:tcPr>
          <w:p w14:paraId="16D5B5C2">
            <w:pPr>
              <w:pStyle w:val="11"/>
              <w:spacing w:beforeAutospacing="0" w:afterAutospacing="0" w:line="555" w:lineRule="atLeas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年龄</w:t>
            </w:r>
          </w:p>
        </w:tc>
        <w:tc>
          <w:tcPr>
            <w:tcW w:w="1597" w:type="dxa"/>
            <w:tcBorders>
              <w:top w:val="single" w:color="auto" w:sz="6" w:space="0"/>
              <w:left w:val="nil"/>
              <w:bottom w:val="single" w:color="auto" w:sz="4" w:space="0"/>
              <w:right w:val="single" w:color="auto" w:sz="6" w:space="0"/>
            </w:tcBorders>
            <w:shd w:val="clear" w:color="auto" w:fill="auto"/>
            <w:tcMar>
              <w:left w:w="105" w:type="dxa"/>
              <w:right w:w="105" w:type="dxa"/>
            </w:tcMar>
          </w:tcPr>
          <w:p w14:paraId="75783B91">
            <w:pPr>
              <w:pStyle w:val="11"/>
              <w:spacing w:beforeAutospacing="0" w:afterAutospacing="0" w:line="555" w:lineRule="atLeas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职务</w:t>
            </w:r>
          </w:p>
        </w:tc>
        <w:tc>
          <w:tcPr>
            <w:tcW w:w="1701" w:type="dxa"/>
            <w:tcBorders>
              <w:top w:val="single" w:color="auto" w:sz="6" w:space="0"/>
              <w:left w:val="nil"/>
              <w:bottom w:val="single" w:color="auto" w:sz="4" w:space="0"/>
              <w:right w:val="single" w:color="auto" w:sz="6" w:space="0"/>
            </w:tcBorders>
            <w:shd w:val="clear" w:color="auto" w:fill="auto"/>
            <w:tcMar>
              <w:left w:w="105" w:type="dxa"/>
              <w:right w:w="105" w:type="dxa"/>
            </w:tcMar>
          </w:tcPr>
          <w:p w14:paraId="20A00CFF">
            <w:pPr>
              <w:pStyle w:val="11"/>
              <w:spacing w:beforeAutospacing="0" w:afterAutospacing="0" w:line="555" w:lineRule="atLeas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伤害程度</w:t>
            </w:r>
          </w:p>
        </w:tc>
        <w:tc>
          <w:tcPr>
            <w:tcW w:w="2737" w:type="dxa"/>
            <w:tcBorders>
              <w:top w:val="single" w:color="auto" w:sz="6" w:space="0"/>
              <w:left w:val="nil"/>
              <w:bottom w:val="single" w:color="auto" w:sz="4" w:space="0"/>
              <w:right w:val="single" w:color="auto" w:sz="6" w:space="0"/>
            </w:tcBorders>
            <w:shd w:val="clear" w:color="auto" w:fill="auto"/>
            <w:tcMar>
              <w:left w:w="105" w:type="dxa"/>
              <w:right w:w="105" w:type="dxa"/>
            </w:tcMar>
          </w:tcPr>
          <w:p w14:paraId="2897524E">
            <w:pPr>
              <w:pStyle w:val="11"/>
              <w:spacing w:beforeAutospacing="0" w:afterAutospacing="0" w:line="555" w:lineRule="atLeast"/>
              <w:jc w:val="cente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籍贯</w:t>
            </w:r>
          </w:p>
        </w:tc>
      </w:tr>
      <w:tr w14:paraId="3923B3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3" w:hRule="atLeast"/>
        </w:trPr>
        <w:tc>
          <w:tcPr>
            <w:tcW w:w="1381"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14:paraId="46D37D8B">
            <w:pPr>
              <w:pStyle w:val="11"/>
              <w:spacing w:before="0" w:beforeAutospacing="0" w:after="0" w:afterAutospacing="0" w:line="500" w:lineRule="exact"/>
              <w:jc w:val="center"/>
              <w:rPr>
                <w:rFonts w:ascii="仿宋_GB2312" w:hAnsi="微软雅黑" w:eastAsia="仿宋_GB2312" w:cs="仿宋_GB2312"/>
                <w:color w:val="000000" w:themeColor="text1"/>
                <w:sz w:val="31"/>
                <w:szCs w:val="31"/>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马**</w:t>
            </w:r>
          </w:p>
        </w:tc>
        <w:tc>
          <w:tcPr>
            <w:tcW w:w="1217"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14:paraId="14E8D31C">
            <w:pPr>
              <w:pStyle w:val="11"/>
              <w:spacing w:before="0" w:beforeAutospacing="0" w:after="0" w:afterAutospacing="0" w:line="500" w:lineRule="exact"/>
              <w:jc w:val="center"/>
              <w:rPr>
                <w:rFonts w:ascii="仿宋_GB2312" w:hAnsi="微软雅黑" w:eastAsia="仿宋_GB2312" w:cs="仿宋_GB2312"/>
                <w:color w:val="000000" w:themeColor="text1"/>
                <w:sz w:val="31"/>
                <w:szCs w:val="31"/>
                <w14:textFill>
                  <w14:solidFill>
                    <w14:schemeClr w14:val="tx1"/>
                  </w14:solidFill>
                </w14:textFill>
              </w:rPr>
            </w:pPr>
            <w:r>
              <w:rPr>
                <w:rFonts w:hint="eastAsia" w:ascii="仿宋_GB2312" w:hAnsi="微软雅黑" w:eastAsia="仿宋_GB2312" w:cs="仿宋_GB2312"/>
                <w:color w:val="000000" w:themeColor="text1"/>
                <w:sz w:val="31"/>
                <w:szCs w:val="31"/>
                <w14:textFill>
                  <w14:solidFill>
                    <w14:schemeClr w14:val="tx1"/>
                  </w14:solidFill>
                </w14:textFill>
              </w:rPr>
              <w:t>男</w:t>
            </w:r>
          </w:p>
        </w:tc>
        <w:tc>
          <w:tcPr>
            <w:tcW w:w="892"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14:paraId="4E9F9435">
            <w:pPr>
              <w:pStyle w:val="11"/>
              <w:spacing w:before="0" w:beforeAutospacing="0" w:after="0" w:afterAutospacing="0" w:line="500" w:lineRule="exact"/>
              <w:jc w:val="center"/>
              <w:rPr>
                <w:rFonts w:ascii="仿宋_GB2312" w:hAnsi="微软雅黑" w:eastAsia="仿宋_GB2312" w:cs="仿宋_GB2312"/>
                <w:color w:val="000000" w:themeColor="text1"/>
                <w:sz w:val="31"/>
                <w:szCs w:val="31"/>
                <w14:textFill>
                  <w14:solidFill>
                    <w14:schemeClr w14:val="tx1"/>
                  </w14:solidFill>
                </w14:textFill>
              </w:rPr>
            </w:pPr>
            <w:r>
              <w:rPr>
                <w:rFonts w:hint="eastAsia" w:ascii="仿宋_GB2312" w:hAnsi="微软雅黑" w:eastAsia="仿宋_GB2312" w:cs="仿宋_GB2312"/>
                <w:color w:val="000000" w:themeColor="text1"/>
                <w:sz w:val="31"/>
                <w:szCs w:val="31"/>
                <w:lang w:val="en-US" w:eastAsia="zh-CN"/>
                <w14:textFill>
                  <w14:solidFill>
                    <w14:schemeClr w14:val="tx1"/>
                  </w14:solidFill>
                </w14:textFill>
              </w:rPr>
              <w:t>2</w:t>
            </w:r>
            <w:r>
              <w:rPr>
                <w:rFonts w:hint="eastAsia" w:ascii="仿宋_GB2312" w:hAnsi="微软雅黑" w:eastAsia="仿宋_GB2312" w:cs="仿宋_GB2312"/>
                <w:color w:val="000000" w:themeColor="text1"/>
                <w:sz w:val="31"/>
                <w:szCs w:val="31"/>
                <w14:textFill>
                  <w14:solidFill>
                    <w14:schemeClr w14:val="tx1"/>
                  </w14:solidFill>
                </w14:textFill>
              </w:rPr>
              <w:t>1岁</w:t>
            </w:r>
          </w:p>
        </w:tc>
        <w:tc>
          <w:tcPr>
            <w:tcW w:w="1597"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14:paraId="5EE49350">
            <w:pPr>
              <w:pStyle w:val="11"/>
              <w:spacing w:before="0" w:beforeAutospacing="0" w:after="0" w:afterAutospacing="0" w:line="500" w:lineRule="exact"/>
              <w:jc w:val="center"/>
              <w:rPr>
                <w:rFonts w:hint="eastAsia" w:ascii="仿宋_GB2312" w:hAnsi="微软雅黑" w:eastAsia="仿宋_GB2312" w:cs="仿宋_GB2312"/>
                <w:color w:val="000000" w:themeColor="text1"/>
                <w:sz w:val="31"/>
                <w:szCs w:val="31"/>
                <w:lang w:eastAsia="zh-CN"/>
                <w14:textFill>
                  <w14:solidFill>
                    <w14:schemeClr w14:val="tx1"/>
                  </w14:solidFill>
                </w14:textFill>
              </w:rPr>
            </w:pPr>
            <w:r>
              <w:rPr>
                <w:rFonts w:hint="eastAsia" w:ascii="仿宋_GB2312" w:hAnsi="微软雅黑" w:eastAsia="仿宋_GB2312" w:cs="仿宋_GB2312"/>
                <w:color w:val="000000" w:themeColor="text1"/>
                <w:sz w:val="31"/>
                <w:szCs w:val="31"/>
                <w:lang w:eastAsia="zh-CN"/>
                <w14:textFill>
                  <w14:solidFill>
                    <w14:schemeClr w14:val="tx1"/>
                  </w14:solidFill>
                </w14:textFill>
              </w:rPr>
              <w:t>员工</w:t>
            </w:r>
          </w:p>
        </w:tc>
        <w:tc>
          <w:tcPr>
            <w:tcW w:w="1701"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14:paraId="6BBC1490">
            <w:pPr>
              <w:pStyle w:val="11"/>
              <w:spacing w:before="0" w:beforeAutospacing="0" w:after="0" w:afterAutospacing="0" w:line="500" w:lineRule="exact"/>
              <w:jc w:val="center"/>
              <w:rPr>
                <w:rFonts w:ascii="仿宋_GB2312" w:hAnsi="微软雅黑" w:eastAsia="仿宋_GB2312" w:cs="仿宋_GB2312"/>
                <w:color w:val="000000" w:themeColor="text1"/>
                <w:sz w:val="31"/>
                <w:szCs w:val="31"/>
                <w14:textFill>
                  <w14:solidFill>
                    <w14:schemeClr w14:val="tx1"/>
                  </w14:solidFill>
                </w14:textFill>
              </w:rPr>
            </w:pPr>
            <w:r>
              <w:rPr>
                <w:rFonts w:hint="eastAsia" w:ascii="仿宋_GB2312" w:hAnsi="微软雅黑" w:eastAsia="仿宋_GB2312" w:cs="仿宋_GB2312"/>
                <w:color w:val="000000" w:themeColor="text1"/>
                <w:sz w:val="31"/>
                <w:szCs w:val="31"/>
                <w14:textFill>
                  <w14:solidFill>
                    <w14:schemeClr w14:val="tx1"/>
                  </w14:solidFill>
                </w14:textFill>
              </w:rPr>
              <w:t>死亡</w:t>
            </w:r>
          </w:p>
        </w:tc>
        <w:tc>
          <w:tcPr>
            <w:tcW w:w="2737" w:type="dxa"/>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14:paraId="4E97086D">
            <w:pPr>
              <w:pStyle w:val="11"/>
              <w:spacing w:before="0" w:beforeAutospacing="0" w:after="0" w:afterAutospacing="0" w:line="500" w:lineRule="exact"/>
              <w:jc w:val="center"/>
              <w:rPr>
                <w:rFonts w:ascii="仿宋_GB2312" w:hAnsi="微软雅黑" w:eastAsia="仿宋_GB2312" w:cs="仿宋_GB2312"/>
                <w:color w:val="000000" w:themeColor="text1"/>
                <w:sz w:val="31"/>
                <w:szCs w:val="31"/>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山东济宁兖州</w:t>
            </w:r>
          </w:p>
        </w:tc>
      </w:tr>
    </w:tbl>
    <w:p w14:paraId="204B4A7E">
      <w:pPr>
        <w:pStyle w:val="11"/>
        <w:spacing w:before="0" w:beforeAutospacing="0" w:after="0" w:afterAutospacing="0" w:line="500" w:lineRule="exact"/>
        <w:jc w:val="center"/>
        <w:rPr>
          <w:rFonts w:ascii="仿宋_GB2312" w:hAnsi="微软雅黑" w:eastAsia="仿宋_GB2312" w:cs="仿宋_GB2312"/>
          <w:color w:val="000000" w:themeColor="text1"/>
          <w:sz w:val="31"/>
          <w:szCs w:val="31"/>
          <w:lang w:val="en-US"/>
          <w14:textFill>
            <w14:solidFill>
              <w14:schemeClr w14:val="tx1"/>
            </w14:solidFill>
          </w14:textFill>
        </w:rPr>
      </w:pPr>
    </w:p>
    <w:sectPr>
      <w:footerReference r:id="rId4" w:type="default"/>
      <w:footnotePr>
        <w:numFmt w:val="decimal"/>
      </w:footnotePr>
      <w:pgSz w:w="11906" w:h="16838"/>
      <w:pgMar w:top="1429" w:right="1800" w:bottom="1429"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334732"/>
    </w:sdtPr>
    <w:sdtContent>
      <w:p w14:paraId="197B794D">
        <w:pPr>
          <w:pStyle w:val="6"/>
          <w:jc w:val="center"/>
        </w:pPr>
        <w:r>
          <w:rPr>
            <w:rFonts w:hint="eastAsia"/>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rPr>
          <w:t>- 13 -</w:t>
        </w:r>
        <w:r>
          <w:rPr>
            <w:rFonts w:ascii="宋体" w:hAnsi="宋体" w:eastAsia="宋体"/>
            <w:sz w:val="28"/>
            <w:szCs w:val="28"/>
          </w:rPr>
          <w:fldChar w:fldCharType="end"/>
        </w:r>
        <w:r>
          <w:rPr>
            <w:rFonts w:hint="eastAsia"/>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18BBEF90">
      <w:pPr>
        <w:pStyle w:val="9"/>
        <w:snapToGrid w:val="0"/>
        <w:rPr>
          <w:rFonts w:hint="default" w:ascii="仿宋_GB2312" w:eastAsia="仿宋_GB2312"/>
          <w:lang w:val="en-US"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济南牧玺电子科技有限公司《货梯升降机操作规程》规定：1、升降机严禁超载及载人使用。《升降作业平台安全操作须知》：3、升降作业平台仅限货物运输，严禁载人、严禁货物超出平台运行!操作运行前确保平台上无人，货物没有超出平台，安全围栏及层门务必关闭锁死后再运行作业。</w:t>
      </w:r>
    </w:p>
  </w:footnote>
  <w:footnote w:id="1">
    <w:p w14:paraId="621C4025">
      <w:pPr>
        <w:pStyle w:val="9"/>
        <w:snapToGrid w:val="0"/>
        <w:rPr>
          <w:rFonts w:hint="eastAsia" w:ascii="仿宋_GB2312" w:eastAsia="仿宋_GB2312"/>
          <w:lang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中华人民共和国安全生产法》第二十一条第（二）、（三）项：生产经营单位的主要负责人对本单位安全生产工作负有下列职责:（二）组织制定并实施本单位安全生产规章制度和操作规程；（三）组织制定并实施本单位安全生产教育和培训计划；</w:t>
      </w:r>
    </w:p>
  </w:footnote>
  <w:footnote w:id="2">
    <w:p w14:paraId="49FC5BDE">
      <w:pPr>
        <w:pStyle w:val="9"/>
        <w:snapToGrid w:val="0"/>
        <w:rPr>
          <w:rFonts w:hint="eastAsia" w:ascii="仿宋_GB2312" w:eastAsia="仿宋_GB2312"/>
          <w:lang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3">
    <w:p w14:paraId="035B938E">
      <w:pPr>
        <w:pStyle w:val="9"/>
        <w:snapToGrid w:val="0"/>
        <w:rPr>
          <w:rFonts w:hint="eastAsia" w:ascii="仿宋_GB2312" w:eastAsia="仿宋_GB2312"/>
          <w:lang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第三十五条：生产经营单位应当在有较大危险因素的生产经营场所和有关设施、设备上，设置明显的安全警示标志。</w:t>
      </w:r>
    </w:p>
  </w:footnote>
  <w:footnote w:id="4">
    <w:p w14:paraId="12E01A84">
      <w:pPr>
        <w:pStyle w:val="9"/>
        <w:snapToGrid w:val="0"/>
        <w:rPr>
          <w:rFonts w:hint="eastAsia" w:ascii="仿宋_GB2312" w:eastAsia="仿宋_GB2312"/>
          <w:lang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5">
    <w:p w14:paraId="6E8C2FA2">
      <w:pPr>
        <w:pStyle w:val="9"/>
        <w:snapToGrid w:val="0"/>
        <w:rPr>
          <w:rFonts w:hint="eastAsia" w:ascii="仿宋_GB2312" w:eastAsia="仿宋_GB2312"/>
          <w:lang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6">
    <w:p w14:paraId="03AC066C">
      <w:pPr>
        <w:pStyle w:val="9"/>
        <w:snapToGrid w:val="0"/>
        <w:rPr>
          <w:rFonts w:hint="eastAsia" w:ascii="仿宋_GB2312" w:eastAsia="仿宋_GB2312"/>
          <w:lang w:eastAsia="zh-CN"/>
        </w:rPr>
      </w:pPr>
      <w:r>
        <w:rPr>
          <w:rFonts w:hint="eastAsia" w:ascii="仿宋_GB2312" w:eastAsia="仿宋_GB2312"/>
          <w:lang w:eastAsia="zh-CN"/>
        </w:rPr>
        <w:t>[</w:t>
      </w:r>
      <w:r>
        <w:rPr>
          <w:rFonts w:hint="eastAsia" w:ascii="仿宋_GB2312" w:eastAsia="仿宋_GB2312"/>
          <w:lang w:eastAsia="zh-CN"/>
        </w:rPr>
        <w:footnoteRef/>
      </w:r>
      <w:r>
        <w:rPr>
          <w:rFonts w:hint="eastAsia" w:ascii="仿宋_GB2312" w:eastAsia="仿宋_GB2312"/>
          <w:lang w:eastAsia="zh-CN"/>
        </w:rPr>
        <w:t>] 《生产安全事故罚款处罚规定》第十四条第（二）项：事故发生单位对一般事故负有责任的，依照下列规定处以罚款：（二）造成1人死亡，或者3人以上6人以下重伤，或者300万元以上500万元以下直接经济损失的，处50万元以上70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4"/>
    <w:footnote w:id="1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840997"/>
    <w:rsid w:val="00010860"/>
    <w:rsid w:val="00016E8C"/>
    <w:rsid w:val="00020B03"/>
    <w:rsid w:val="0002267C"/>
    <w:rsid w:val="000347F5"/>
    <w:rsid w:val="00036529"/>
    <w:rsid w:val="00047DD8"/>
    <w:rsid w:val="00055299"/>
    <w:rsid w:val="00080F71"/>
    <w:rsid w:val="000A7456"/>
    <w:rsid w:val="000B7C61"/>
    <w:rsid w:val="000C11E9"/>
    <w:rsid w:val="000C3144"/>
    <w:rsid w:val="000F4DDB"/>
    <w:rsid w:val="001110AB"/>
    <w:rsid w:val="00122FBB"/>
    <w:rsid w:val="001264DB"/>
    <w:rsid w:val="0015342A"/>
    <w:rsid w:val="0016198E"/>
    <w:rsid w:val="00194A34"/>
    <w:rsid w:val="001A68CB"/>
    <w:rsid w:val="001C69B4"/>
    <w:rsid w:val="001E347E"/>
    <w:rsid w:val="00214DE2"/>
    <w:rsid w:val="00223A80"/>
    <w:rsid w:val="00276C57"/>
    <w:rsid w:val="00287FF4"/>
    <w:rsid w:val="0029403C"/>
    <w:rsid w:val="002A08EA"/>
    <w:rsid w:val="002A29DB"/>
    <w:rsid w:val="002A4DBA"/>
    <w:rsid w:val="002A6539"/>
    <w:rsid w:val="002F7382"/>
    <w:rsid w:val="0035386F"/>
    <w:rsid w:val="00365F76"/>
    <w:rsid w:val="00367B30"/>
    <w:rsid w:val="00367F92"/>
    <w:rsid w:val="00371395"/>
    <w:rsid w:val="00386DB3"/>
    <w:rsid w:val="003B4F41"/>
    <w:rsid w:val="003C7028"/>
    <w:rsid w:val="003E68E1"/>
    <w:rsid w:val="003F283B"/>
    <w:rsid w:val="0041176E"/>
    <w:rsid w:val="00413DEB"/>
    <w:rsid w:val="0042741C"/>
    <w:rsid w:val="00431B49"/>
    <w:rsid w:val="004428A0"/>
    <w:rsid w:val="004547D3"/>
    <w:rsid w:val="00464E6A"/>
    <w:rsid w:val="004C0763"/>
    <w:rsid w:val="004D63CE"/>
    <w:rsid w:val="004D6DC0"/>
    <w:rsid w:val="004F0B8C"/>
    <w:rsid w:val="005014F7"/>
    <w:rsid w:val="00536EEF"/>
    <w:rsid w:val="00547D34"/>
    <w:rsid w:val="005565CA"/>
    <w:rsid w:val="0056481A"/>
    <w:rsid w:val="0056582C"/>
    <w:rsid w:val="0056684C"/>
    <w:rsid w:val="005856D9"/>
    <w:rsid w:val="005C23CA"/>
    <w:rsid w:val="005D0F20"/>
    <w:rsid w:val="005E0746"/>
    <w:rsid w:val="005F6EBA"/>
    <w:rsid w:val="00606670"/>
    <w:rsid w:val="0061208A"/>
    <w:rsid w:val="00614E64"/>
    <w:rsid w:val="00614F09"/>
    <w:rsid w:val="006152C6"/>
    <w:rsid w:val="00644331"/>
    <w:rsid w:val="0069315F"/>
    <w:rsid w:val="006A655B"/>
    <w:rsid w:val="006B6600"/>
    <w:rsid w:val="006C2F64"/>
    <w:rsid w:val="006C771A"/>
    <w:rsid w:val="006E5367"/>
    <w:rsid w:val="00700045"/>
    <w:rsid w:val="00703A6B"/>
    <w:rsid w:val="00731F15"/>
    <w:rsid w:val="00746533"/>
    <w:rsid w:val="00755F74"/>
    <w:rsid w:val="00756485"/>
    <w:rsid w:val="007704CB"/>
    <w:rsid w:val="007E3248"/>
    <w:rsid w:val="00800FA7"/>
    <w:rsid w:val="00811A00"/>
    <w:rsid w:val="008130BC"/>
    <w:rsid w:val="00815270"/>
    <w:rsid w:val="00822E03"/>
    <w:rsid w:val="00824FA7"/>
    <w:rsid w:val="00831379"/>
    <w:rsid w:val="008341C5"/>
    <w:rsid w:val="00841B85"/>
    <w:rsid w:val="008464FE"/>
    <w:rsid w:val="008506C9"/>
    <w:rsid w:val="00853B2B"/>
    <w:rsid w:val="008546FE"/>
    <w:rsid w:val="008743B8"/>
    <w:rsid w:val="008936FD"/>
    <w:rsid w:val="008A0E48"/>
    <w:rsid w:val="008A31F1"/>
    <w:rsid w:val="008A3951"/>
    <w:rsid w:val="008A3AA5"/>
    <w:rsid w:val="008C2BB1"/>
    <w:rsid w:val="008C478F"/>
    <w:rsid w:val="008F56CA"/>
    <w:rsid w:val="008F7F8B"/>
    <w:rsid w:val="0090773D"/>
    <w:rsid w:val="00912F61"/>
    <w:rsid w:val="009219E4"/>
    <w:rsid w:val="00950F05"/>
    <w:rsid w:val="00965E29"/>
    <w:rsid w:val="00974E25"/>
    <w:rsid w:val="009828BF"/>
    <w:rsid w:val="009D3187"/>
    <w:rsid w:val="009D7EED"/>
    <w:rsid w:val="009E43E8"/>
    <w:rsid w:val="009F3C29"/>
    <w:rsid w:val="00A06BEC"/>
    <w:rsid w:val="00A265FC"/>
    <w:rsid w:val="00A42D8B"/>
    <w:rsid w:val="00A80A79"/>
    <w:rsid w:val="00AB1887"/>
    <w:rsid w:val="00AC155E"/>
    <w:rsid w:val="00AC4D40"/>
    <w:rsid w:val="00AC5A9F"/>
    <w:rsid w:val="00AE4841"/>
    <w:rsid w:val="00B21869"/>
    <w:rsid w:val="00B404B1"/>
    <w:rsid w:val="00B46499"/>
    <w:rsid w:val="00B664D3"/>
    <w:rsid w:val="00BA28E9"/>
    <w:rsid w:val="00BA2D85"/>
    <w:rsid w:val="00BA4D06"/>
    <w:rsid w:val="00BC0E09"/>
    <w:rsid w:val="00BE5791"/>
    <w:rsid w:val="00C071E2"/>
    <w:rsid w:val="00C07CEA"/>
    <w:rsid w:val="00C261C0"/>
    <w:rsid w:val="00C3068F"/>
    <w:rsid w:val="00C44C43"/>
    <w:rsid w:val="00C5268D"/>
    <w:rsid w:val="00C5396A"/>
    <w:rsid w:val="00C74747"/>
    <w:rsid w:val="00C8218C"/>
    <w:rsid w:val="00C83248"/>
    <w:rsid w:val="00CB4EF1"/>
    <w:rsid w:val="00CB584D"/>
    <w:rsid w:val="00CC4483"/>
    <w:rsid w:val="00CD4A9D"/>
    <w:rsid w:val="00CD50F6"/>
    <w:rsid w:val="00CD5534"/>
    <w:rsid w:val="00CE09C5"/>
    <w:rsid w:val="00CE31D7"/>
    <w:rsid w:val="00CF6F82"/>
    <w:rsid w:val="00D017A9"/>
    <w:rsid w:val="00D15622"/>
    <w:rsid w:val="00D306E3"/>
    <w:rsid w:val="00D424AD"/>
    <w:rsid w:val="00D43454"/>
    <w:rsid w:val="00D45582"/>
    <w:rsid w:val="00D62ADF"/>
    <w:rsid w:val="00D87E73"/>
    <w:rsid w:val="00DA686A"/>
    <w:rsid w:val="00DD11E1"/>
    <w:rsid w:val="00DD74D2"/>
    <w:rsid w:val="00DE5787"/>
    <w:rsid w:val="00DF420A"/>
    <w:rsid w:val="00E01FB6"/>
    <w:rsid w:val="00E124D3"/>
    <w:rsid w:val="00E13D88"/>
    <w:rsid w:val="00E13E8F"/>
    <w:rsid w:val="00E401A4"/>
    <w:rsid w:val="00E45DC7"/>
    <w:rsid w:val="00E67005"/>
    <w:rsid w:val="00E85A93"/>
    <w:rsid w:val="00E90FA4"/>
    <w:rsid w:val="00EA5043"/>
    <w:rsid w:val="00EA6B47"/>
    <w:rsid w:val="00EC278F"/>
    <w:rsid w:val="00EE6EB7"/>
    <w:rsid w:val="00F01059"/>
    <w:rsid w:val="00F069FB"/>
    <w:rsid w:val="00F271D8"/>
    <w:rsid w:val="00F27334"/>
    <w:rsid w:val="00F372A9"/>
    <w:rsid w:val="00F44F3D"/>
    <w:rsid w:val="00F604E9"/>
    <w:rsid w:val="00F65789"/>
    <w:rsid w:val="00FA6FFB"/>
    <w:rsid w:val="00FB7E21"/>
    <w:rsid w:val="00FC4194"/>
    <w:rsid w:val="00FC7232"/>
    <w:rsid w:val="00FD2ABA"/>
    <w:rsid w:val="08B31C1F"/>
    <w:rsid w:val="0EFFB407"/>
    <w:rsid w:val="1596FCFE"/>
    <w:rsid w:val="15BE1C82"/>
    <w:rsid w:val="16840997"/>
    <w:rsid w:val="19610F31"/>
    <w:rsid w:val="197DC688"/>
    <w:rsid w:val="1AFF865A"/>
    <w:rsid w:val="1E7B5E18"/>
    <w:rsid w:val="1F5F2309"/>
    <w:rsid w:val="1FB78307"/>
    <w:rsid w:val="1FFFE5FC"/>
    <w:rsid w:val="28DE78BB"/>
    <w:rsid w:val="2B971D76"/>
    <w:rsid w:val="2BFF6D48"/>
    <w:rsid w:val="2D7E05B2"/>
    <w:rsid w:val="2D8D2302"/>
    <w:rsid w:val="2DE9354E"/>
    <w:rsid w:val="2FFAD1AE"/>
    <w:rsid w:val="343C1D21"/>
    <w:rsid w:val="36FEBE33"/>
    <w:rsid w:val="37E30E4F"/>
    <w:rsid w:val="38FF2D4D"/>
    <w:rsid w:val="3A9921A1"/>
    <w:rsid w:val="3B7F3D75"/>
    <w:rsid w:val="3BB5EA78"/>
    <w:rsid w:val="3BFD36A3"/>
    <w:rsid w:val="3CFF9762"/>
    <w:rsid w:val="3DBF2C52"/>
    <w:rsid w:val="3DDB10DD"/>
    <w:rsid w:val="3E7724B5"/>
    <w:rsid w:val="3EF70491"/>
    <w:rsid w:val="3EFF1D7C"/>
    <w:rsid w:val="3FBDFA59"/>
    <w:rsid w:val="3FFCC3E5"/>
    <w:rsid w:val="3FFDD600"/>
    <w:rsid w:val="45DBAF65"/>
    <w:rsid w:val="472F56DA"/>
    <w:rsid w:val="4BF37559"/>
    <w:rsid w:val="4CAFDB19"/>
    <w:rsid w:val="4FDBD9EE"/>
    <w:rsid w:val="51A26DB5"/>
    <w:rsid w:val="53E333BB"/>
    <w:rsid w:val="57DB6BF6"/>
    <w:rsid w:val="5A3DE2DB"/>
    <w:rsid w:val="5A7B8E1D"/>
    <w:rsid w:val="5BB244B9"/>
    <w:rsid w:val="5BEB73B3"/>
    <w:rsid w:val="5CEA9065"/>
    <w:rsid w:val="5DAEBCBA"/>
    <w:rsid w:val="5EDBB262"/>
    <w:rsid w:val="5F7F8EE9"/>
    <w:rsid w:val="5FEF43F2"/>
    <w:rsid w:val="5FF42145"/>
    <w:rsid w:val="5FFA8E0D"/>
    <w:rsid w:val="629B11E4"/>
    <w:rsid w:val="63F6A939"/>
    <w:rsid w:val="65E55CDA"/>
    <w:rsid w:val="6B679F1C"/>
    <w:rsid w:val="6CEF8183"/>
    <w:rsid w:val="6DF7AA44"/>
    <w:rsid w:val="6F5CD04F"/>
    <w:rsid w:val="6F6BC4FC"/>
    <w:rsid w:val="6F8F6A1C"/>
    <w:rsid w:val="6FB7F005"/>
    <w:rsid w:val="6FD92258"/>
    <w:rsid w:val="6FDBAF21"/>
    <w:rsid w:val="6FDE888C"/>
    <w:rsid w:val="6FEBCF31"/>
    <w:rsid w:val="6FFF6A3A"/>
    <w:rsid w:val="71995B94"/>
    <w:rsid w:val="71FD3216"/>
    <w:rsid w:val="73AD4B85"/>
    <w:rsid w:val="73FCB66E"/>
    <w:rsid w:val="743B3662"/>
    <w:rsid w:val="7557C174"/>
    <w:rsid w:val="763B17FC"/>
    <w:rsid w:val="763F4438"/>
    <w:rsid w:val="77977E40"/>
    <w:rsid w:val="77AB0A80"/>
    <w:rsid w:val="77B7A711"/>
    <w:rsid w:val="77D2836B"/>
    <w:rsid w:val="77DF1BF1"/>
    <w:rsid w:val="77EBE7D4"/>
    <w:rsid w:val="77FF345A"/>
    <w:rsid w:val="78FC660A"/>
    <w:rsid w:val="799BFB39"/>
    <w:rsid w:val="79DF307B"/>
    <w:rsid w:val="7AE7C556"/>
    <w:rsid w:val="7B0B5C5C"/>
    <w:rsid w:val="7B6B75EE"/>
    <w:rsid w:val="7B7F62EF"/>
    <w:rsid w:val="7BCCC0EE"/>
    <w:rsid w:val="7BF3DD2C"/>
    <w:rsid w:val="7BF7D51B"/>
    <w:rsid w:val="7BFF7E4D"/>
    <w:rsid w:val="7C7AFCBB"/>
    <w:rsid w:val="7CBF85FD"/>
    <w:rsid w:val="7DF57BDE"/>
    <w:rsid w:val="7DFDFE8E"/>
    <w:rsid w:val="7E6E131D"/>
    <w:rsid w:val="7E7E2900"/>
    <w:rsid w:val="7E7E4CFA"/>
    <w:rsid w:val="7EEF7306"/>
    <w:rsid w:val="7EF2FC50"/>
    <w:rsid w:val="7EFF4AFB"/>
    <w:rsid w:val="7EFFBC5A"/>
    <w:rsid w:val="7F6A7081"/>
    <w:rsid w:val="7F7D0980"/>
    <w:rsid w:val="7F7F3CE4"/>
    <w:rsid w:val="7F7F9BF2"/>
    <w:rsid w:val="7F9D2387"/>
    <w:rsid w:val="7FBB7F3F"/>
    <w:rsid w:val="7FBFA08F"/>
    <w:rsid w:val="7FDBAD1E"/>
    <w:rsid w:val="7FDCC811"/>
    <w:rsid w:val="7FDFAB06"/>
    <w:rsid w:val="7FE7403C"/>
    <w:rsid w:val="7FEF41C7"/>
    <w:rsid w:val="7FF35F74"/>
    <w:rsid w:val="7FFD5A24"/>
    <w:rsid w:val="7FFE0A4C"/>
    <w:rsid w:val="85FF6302"/>
    <w:rsid w:val="95DF87D7"/>
    <w:rsid w:val="9F5FA87B"/>
    <w:rsid w:val="9FDF8814"/>
    <w:rsid w:val="AD2D7318"/>
    <w:rsid w:val="AD5388B6"/>
    <w:rsid w:val="ADE79AD5"/>
    <w:rsid w:val="AEBA868B"/>
    <w:rsid w:val="AFFE7E5B"/>
    <w:rsid w:val="B3BF6A44"/>
    <w:rsid w:val="B76F9015"/>
    <w:rsid w:val="B7771CA1"/>
    <w:rsid w:val="B7DDA805"/>
    <w:rsid w:val="BAB3AFBB"/>
    <w:rsid w:val="BAE20D4C"/>
    <w:rsid w:val="BAFB0804"/>
    <w:rsid w:val="BB5BAD46"/>
    <w:rsid w:val="BBDBDAF6"/>
    <w:rsid w:val="BBDF859C"/>
    <w:rsid w:val="BBFF546C"/>
    <w:rsid w:val="BCEF7839"/>
    <w:rsid w:val="BFAFB53B"/>
    <w:rsid w:val="BFFBAE7C"/>
    <w:rsid w:val="BFFED45A"/>
    <w:rsid w:val="C76E6CB2"/>
    <w:rsid w:val="CB67278B"/>
    <w:rsid w:val="CBFF1EF3"/>
    <w:rsid w:val="CE558F7C"/>
    <w:rsid w:val="CECCB180"/>
    <w:rsid w:val="CFF7179A"/>
    <w:rsid w:val="CFFFBB59"/>
    <w:rsid w:val="D31E5431"/>
    <w:rsid w:val="D3DBD169"/>
    <w:rsid w:val="D5EB95F9"/>
    <w:rsid w:val="D67B79B4"/>
    <w:rsid w:val="DA7DC202"/>
    <w:rsid w:val="DABFBE68"/>
    <w:rsid w:val="DB5F8924"/>
    <w:rsid w:val="DB6C4A11"/>
    <w:rsid w:val="DB7FE203"/>
    <w:rsid w:val="DCCFCB6D"/>
    <w:rsid w:val="DCFDA60B"/>
    <w:rsid w:val="DDFA8C59"/>
    <w:rsid w:val="DEFB498C"/>
    <w:rsid w:val="DF1C0E2E"/>
    <w:rsid w:val="DF56E4EF"/>
    <w:rsid w:val="DF5FF524"/>
    <w:rsid w:val="DF6FD51B"/>
    <w:rsid w:val="DF7C1408"/>
    <w:rsid w:val="DFBB6609"/>
    <w:rsid w:val="DFDF9EF5"/>
    <w:rsid w:val="DFF7D88F"/>
    <w:rsid w:val="E6D64C8F"/>
    <w:rsid w:val="E7EF2439"/>
    <w:rsid w:val="EBFC3C1A"/>
    <w:rsid w:val="ECFF1C6A"/>
    <w:rsid w:val="EDFF5556"/>
    <w:rsid w:val="EF3CF1B0"/>
    <w:rsid w:val="EFB7CE72"/>
    <w:rsid w:val="EFBB869A"/>
    <w:rsid w:val="EFDCFEAD"/>
    <w:rsid w:val="EFFBD77D"/>
    <w:rsid w:val="EFFE9B71"/>
    <w:rsid w:val="EFFF19E4"/>
    <w:rsid w:val="F1DF8399"/>
    <w:rsid w:val="F3FDC020"/>
    <w:rsid w:val="F5D4F0B6"/>
    <w:rsid w:val="F776546B"/>
    <w:rsid w:val="F7DCE664"/>
    <w:rsid w:val="F7DD5EC1"/>
    <w:rsid w:val="F7FFA274"/>
    <w:rsid w:val="F87EF883"/>
    <w:rsid w:val="FA27B2D7"/>
    <w:rsid w:val="FA37EC61"/>
    <w:rsid w:val="FB6D5917"/>
    <w:rsid w:val="FBFABD22"/>
    <w:rsid w:val="FBFF8C3F"/>
    <w:rsid w:val="FCBF3EB3"/>
    <w:rsid w:val="FD462AE5"/>
    <w:rsid w:val="FDB3BE24"/>
    <w:rsid w:val="FDDE879B"/>
    <w:rsid w:val="FDFD1418"/>
    <w:rsid w:val="FEF7551F"/>
    <w:rsid w:val="FEFBD68A"/>
    <w:rsid w:val="FEFFF5D0"/>
    <w:rsid w:val="FF3F8A27"/>
    <w:rsid w:val="FF6F049C"/>
    <w:rsid w:val="FF7F1D01"/>
    <w:rsid w:val="FF7F84F4"/>
    <w:rsid w:val="FFA1CFCF"/>
    <w:rsid w:val="FFCFED34"/>
    <w:rsid w:val="FFDF0B9C"/>
    <w:rsid w:val="FFEDFEF0"/>
    <w:rsid w:val="FFFF18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Arial Unicode MS" w:hAnsi="Arial Unicode MS" w:eastAsia="Arial Unicode MS" w:cs="Arial Unicode MS"/>
      <w:color w:val="000000"/>
      <w:sz w:val="24"/>
      <w:szCs w:val="24"/>
      <w:lang w:val="zh-CN" w:eastAsia="zh-CN" w:bidi="zh-CN"/>
    </w:rPr>
  </w:style>
  <w:style w:type="paragraph" w:styleId="2">
    <w:name w:val="heading 1"/>
    <w:basedOn w:val="1"/>
    <w:next w:val="1"/>
    <w:link w:val="25"/>
    <w:qFormat/>
    <w:uiPriority w:val="0"/>
    <w:pPr>
      <w:keepNext/>
      <w:keepLines/>
      <w:spacing w:line="560" w:lineRule="exact"/>
      <w:ind w:firstLine="200" w:firstLineChars="200"/>
      <w:outlineLvl w:val="0"/>
    </w:pPr>
    <w:rPr>
      <w:rFonts w:eastAsia="黑体"/>
      <w:bCs/>
      <w:kern w:val="44"/>
      <w:sz w:val="32"/>
      <w:szCs w:val="44"/>
    </w:rPr>
  </w:style>
  <w:style w:type="paragraph" w:styleId="3">
    <w:name w:val="heading 2"/>
    <w:basedOn w:val="1"/>
    <w:next w:val="1"/>
    <w:link w:val="26"/>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102"/>
    </w:pPr>
    <w:rPr>
      <w:rFonts w:ascii="仿宋" w:hAnsi="仿宋" w:eastAsia="仿宋"/>
      <w:sz w:val="32"/>
      <w:szCs w:val="32"/>
    </w:rPr>
  </w:style>
  <w:style w:type="paragraph" w:styleId="5">
    <w:name w:val="Date"/>
    <w:basedOn w:val="1"/>
    <w:next w:val="1"/>
    <w:link w:val="24"/>
    <w:qFormat/>
    <w:uiPriority w:val="0"/>
    <w:pPr>
      <w:ind w:left="100" w:leftChars="2500"/>
    </w:pPr>
  </w:style>
  <w:style w:type="paragraph" w:styleId="6">
    <w:name w:val="footer"/>
    <w:basedOn w:val="1"/>
    <w:link w:val="20"/>
    <w:qFormat/>
    <w:uiPriority w:val="99"/>
    <w:pPr>
      <w:tabs>
        <w:tab w:val="center" w:pos="4153"/>
        <w:tab w:val="right" w:pos="8306"/>
      </w:tabs>
      <w:snapToGrid w:val="0"/>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footnote text"/>
    <w:basedOn w:val="1"/>
    <w:link w:val="23"/>
    <w:qFormat/>
    <w:uiPriority w:val="0"/>
    <w:pPr>
      <w:snapToGrid w:val="0"/>
    </w:pPr>
    <w:rPr>
      <w:sz w:val="18"/>
      <w:szCs w:val="18"/>
    </w:rPr>
  </w:style>
  <w:style w:type="paragraph" w:styleId="10">
    <w:name w:val="toc 2"/>
    <w:basedOn w:val="1"/>
    <w:next w:val="1"/>
    <w:autoRedefine/>
    <w:qFormat/>
    <w:uiPriority w:val="39"/>
    <w:pPr>
      <w:ind w:left="420" w:leftChars="200"/>
    </w:pPr>
  </w:style>
  <w:style w:type="paragraph" w:styleId="11">
    <w:name w:val="Normal (Web)"/>
    <w:basedOn w:val="1"/>
    <w:unhideWhenUsed/>
    <w:qFormat/>
    <w:uiPriority w:val="99"/>
    <w:pPr>
      <w:widowControl/>
      <w:spacing w:before="100" w:beforeAutospacing="1" w:after="100" w:afterAutospacing="1"/>
    </w:pPr>
    <w:rPr>
      <w:rFonts w:ascii="宋体" w:hAnsi="宋体" w:eastAsia="宋体" w:cs="宋体"/>
      <w:color w:val="auto"/>
      <w:lang w:val="en-US" w:bidi="ar-SA"/>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styleId="16">
    <w:name w:val="Emphasis"/>
    <w:basedOn w:val="14"/>
    <w:qFormat/>
    <w:uiPriority w:val="0"/>
    <w:rPr>
      <w:i/>
    </w:rPr>
  </w:style>
  <w:style w:type="character" w:styleId="17">
    <w:name w:val="Hyperlink"/>
    <w:basedOn w:val="14"/>
    <w:unhideWhenUsed/>
    <w:qFormat/>
    <w:uiPriority w:val="99"/>
    <w:rPr>
      <w:color w:val="0026E5" w:themeColor="hyperlink"/>
      <w:u w:val="single"/>
      <w14:textFill>
        <w14:solidFill>
          <w14:schemeClr w14:val="hlink"/>
        </w14:solidFill>
      </w14:textFill>
    </w:rPr>
  </w:style>
  <w:style w:type="character" w:styleId="18">
    <w:name w:val="footnote reference"/>
    <w:basedOn w:val="14"/>
    <w:qFormat/>
    <w:uiPriority w:val="0"/>
    <w:rPr>
      <w:vertAlign w:val="superscript"/>
    </w:rPr>
  </w:style>
  <w:style w:type="character" w:customStyle="1" w:styleId="19">
    <w:name w:val="页眉 Char"/>
    <w:basedOn w:val="14"/>
    <w:link w:val="7"/>
    <w:qFormat/>
    <w:uiPriority w:val="99"/>
    <w:rPr>
      <w:rFonts w:ascii="Arial Unicode MS" w:hAnsi="Arial Unicode MS" w:eastAsia="Arial Unicode MS" w:cs="Arial Unicode MS"/>
      <w:color w:val="000000"/>
      <w:sz w:val="18"/>
      <w:szCs w:val="18"/>
      <w:lang w:val="zh-CN" w:bidi="zh-CN"/>
    </w:rPr>
  </w:style>
  <w:style w:type="character" w:customStyle="1" w:styleId="20">
    <w:name w:val="页脚 Char"/>
    <w:basedOn w:val="14"/>
    <w:link w:val="6"/>
    <w:qFormat/>
    <w:uiPriority w:val="99"/>
    <w:rPr>
      <w:rFonts w:ascii="Arial Unicode MS" w:hAnsi="Arial Unicode MS" w:eastAsia="Arial Unicode MS" w:cs="Arial Unicode MS"/>
      <w:color w:val="000000"/>
      <w:sz w:val="18"/>
      <w:szCs w:val="18"/>
      <w:lang w:val="zh-CN" w:bidi="zh-CN"/>
    </w:rPr>
  </w:style>
  <w:style w:type="paragraph" w:styleId="21">
    <w:name w:val="No Spacing"/>
    <w:link w:val="22"/>
    <w:qFormat/>
    <w:uiPriority w:val="1"/>
    <w:rPr>
      <w:rFonts w:asciiTheme="minorHAnsi" w:hAnsiTheme="minorHAnsi" w:eastAsiaTheme="minorEastAsia" w:cstheme="minorBidi"/>
      <w:sz w:val="22"/>
      <w:szCs w:val="22"/>
      <w:lang w:val="en-US" w:eastAsia="zh-CN" w:bidi="ar-SA"/>
    </w:rPr>
  </w:style>
  <w:style w:type="character" w:customStyle="1" w:styleId="22">
    <w:name w:val="无间隔 Char"/>
    <w:basedOn w:val="14"/>
    <w:link w:val="21"/>
    <w:qFormat/>
    <w:uiPriority w:val="1"/>
    <w:rPr>
      <w:rFonts w:asciiTheme="minorHAnsi" w:hAnsiTheme="minorHAnsi" w:eastAsiaTheme="minorEastAsia" w:cstheme="minorBidi"/>
      <w:sz w:val="22"/>
      <w:szCs w:val="22"/>
    </w:rPr>
  </w:style>
  <w:style w:type="character" w:customStyle="1" w:styleId="23">
    <w:name w:val="脚注文本 Char"/>
    <w:basedOn w:val="14"/>
    <w:link w:val="9"/>
    <w:qFormat/>
    <w:uiPriority w:val="0"/>
    <w:rPr>
      <w:rFonts w:ascii="Arial Unicode MS" w:hAnsi="Arial Unicode MS" w:eastAsia="Arial Unicode MS" w:cs="Arial Unicode MS"/>
      <w:color w:val="000000"/>
      <w:sz w:val="18"/>
      <w:szCs w:val="18"/>
      <w:lang w:val="zh-CN" w:bidi="zh-CN"/>
    </w:rPr>
  </w:style>
  <w:style w:type="character" w:customStyle="1" w:styleId="24">
    <w:name w:val="日期 Char"/>
    <w:basedOn w:val="14"/>
    <w:link w:val="5"/>
    <w:qFormat/>
    <w:uiPriority w:val="0"/>
    <w:rPr>
      <w:rFonts w:ascii="Arial Unicode MS" w:hAnsi="Arial Unicode MS" w:eastAsia="Arial Unicode MS" w:cs="Arial Unicode MS"/>
      <w:color w:val="000000"/>
      <w:sz w:val="24"/>
      <w:szCs w:val="24"/>
      <w:lang w:val="zh-CN" w:bidi="zh-CN"/>
    </w:rPr>
  </w:style>
  <w:style w:type="character" w:customStyle="1" w:styleId="25">
    <w:name w:val="标题 1 Char"/>
    <w:basedOn w:val="14"/>
    <w:link w:val="2"/>
    <w:qFormat/>
    <w:uiPriority w:val="0"/>
    <w:rPr>
      <w:rFonts w:ascii="Arial Unicode MS" w:hAnsi="Arial Unicode MS" w:eastAsia="黑体" w:cs="Arial Unicode MS"/>
      <w:bCs/>
      <w:color w:val="000000"/>
      <w:kern w:val="44"/>
      <w:sz w:val="32"/>
      <w:szCs w:val="44"/>
      <w:lang w:val="zh-CN" w:bidi="zh-CN"/>
    </w:rPr>
  </w:style>
  <w:style w:type="character" w:customStyle="1" w:styleId="26">
    <w:name w:val="标题 2 Char"/>
    <w:basedOn w:val="14"/>
    <w:link w:val="3"/>
    <w:qFormat/>
    <w:uiPriority w:val="0"/>
    <w:rPr>
      <w:rFonts w:eastAsia="楷体_GB2312" w:asciiTheme="majorHAnsi" w:hAnsiTheme="majorHAnsi" w:cstheme="majorBidi"/>
      <w:bCs/>
      <w:color w:val="000000"/>
      <w:sz w:val="32"/>
      <w:szCs w:val="3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5FD37CEA-E37F-453A-87AD-78A41D1CE41D}">
  <ds:schemaRefs/>
</ds:datastoreItem>
</file>

<file path=docProps/app.xml><?xml version="1.0" encoding="utf-8"?>
<Properties xmlns="http://schemas.openxmlformats.org/officeDocument/2006/extended-properties" xmlns:vt="http://schemas.openxmlformats.org/officeDocument/2006/docPropsVTypes">
  <Template>Normal</Template>
  <Company>http://sdwm.org</Company>
  <Pages>12</Pages>
  <Words>4840</Words>
  <Characters>5008</Characters>
  <Lines>40</Lines>
  <Paragraphs>11</Paragraphs>
  <TotalTime>46</TotalTime>
  <ScaleCrop>false</ScaleCrop>
  <LinksUpToDate>false</LinksUpToDate>
  <CharactersWithSpaces>5110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2025-07-26T02:15:00Z</dcterms:created>
  <dc:creator>乐虫</dc:creator>
  <cp:lastModifiedBy>Administrator</cp:lastModifiedBy>
  <cp:lastPrinted>2026-05-29T16:30:00Z</cp:lastPrinted>
  <dcterms:modified xsi:type="dcterms:W3CDTF">2026-07-06T01:33:42Z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29AF99E648934FDEB25C988E054054EA_13</vt:lpwstr>
  </property>
  <property fmtid="{D5CDD505-2E9C-101B-9397-08002B2CF9AE}" pid="4" name="KSOTemplateDocerSaveRecord">
    <vt:lpwstr>eyJoZGlkIjoiNWNhMWYyMzE3ZThiOWM0ODVjYzc4MmU3MGUwYjhlNmUiLCJ1c2VySWQiOiI2OTY3MTA5MzEifQ==</vt:lpwstr>
  </property>
</Properties>
</file>