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658B1">
      <w:pPr>
        <w:pStyle w:val="5"/>
        <w:rPr>
          <w:rFonts w:hint="eastAsia"/>
          <w:lang w:val="en-US" w:eastAsia="zh-CN"/>
        </w:rPr>
      </w:pPr>
    </w:p>
    <w:p w14:paraId="65E4D42E">
      <w:pPr>
        <w:pStyle w:val="15"/>
        <w:keepNext w:val="0"/>
        <w:keepLines w:val="0"/>
        <w:pageBreakBefore w:val="0"/>
        <w:kinsoku/>
        <w:overflowPunct w:val="0"/>
        <w:topLinePunct w:val="0"/>
        <w:autoSpaceDE/>
        <w:autoSpaceDN/>
        <w:bidi w:val="0"/>
        <w:adjustRightInd/>
        <w:snapToGrid/>
        <w:spacing w:beforeAutospacing="0" w:afterAutospacing="0" w:line="560" w:lineRule="exact"/>
        <w:jc w:val="center"/>
        <w:outlineLvl w:val="0"/>
        <w:rPr>
          <w:rFonts w:hint="eastAsia" w:ascii="方正小标宋简体" w:hAnsi="方正小标宋简体" w:eastAsia="方正小标宋简体" w:cs="方正小标宋简体"/>
          <w:bCs/>
          <w:color w:val="auto"/>
          <w:w w:val="98"/>
          <w:sz w:val="44"/>
          <w:szCs w:val="44"/>
          <w:highlight w:val="none"/>
          <w:lang w:val="en-US" w:eastAsia="zh-CN"/>
        </w:rPr>
      </w:pPr>
      <w:bookmarkStart w:id="0" w:name="_Toc26706"/>
      <w:bookmarkStart w:id="1" w:name="_Toc8786"/>
      <w:r>
        <w:rPr>
          <w:rFonts w:hint="eastAsia" w:ascii="方正小标宋简体" w:hAnsi="方正小标宋简体" w:eastAsia="方正小标宋简体" w:cs="方正小标宋简体"/>
          <w:bCs/>
          <w:color w:val="auto"/>
          <w:w w:val="98"/>
          <w:sz w:val="44"/>
          <w:szCs w:val="44"/>
          <w:highlight w:val="none"/>
          <w:lang w:val="en-US" w:eastAsia="zh-CN"/>
        </w:rPr>
        <w:t>江西双程医疗健康有限公司汽车坡道</w:t>
      </w:r>
      <w:bookmarkEnd w:id="0"/>
      <w:bookmarkEnd w:id="1"/>
    </w:p>
    <w:p w14:paraId="0BF73CA4">
      <w:pPr>
        <w:pStyle w:val="15"/>
        <w:keepNext w:val="0"/>
        <w:keepLines w:val="0"/>
        <w:pageBreakBefore w:val="0"/>
        <w:kinsoku/>
        <w:overflowPunct w:val="0"/>
        <w:topLinePunct w:val="0"/>
        <w:autoSpaceDE/>
        <w:autoSpaceDN/>
        <w:bidi w:val="0"/>
        <w:adjustRightInd/>
        <w:snapToGrid/>
        <w:spacing w:beforeAutospacing="0" w:afterAutospacing="0" w:line="560" w:lineRule="exact"/>
        <w:jc w:val="center"/>
        <w:outlineLvl w:val="0"/>
        <w:rPr>
          <w:rFonts w:hint="eastAsia" w:ascii="方正小标宋简体" w:hAnsi="方正小标宋简体" w:eastAsia="方正小标宋简体" w:cs="方正小标宋简体"/>
          <w:bCs/>
          <w:color w:val="auto"/>
          <w:w w:val="98"/>
          <w:sz w:val="44"/>
          <w:szCs w:val="44"/>
          <w:highlight w:val="none"/>
          <w:lang w:val="en-US" w:eastAsia="zh-CN"/>
        </w:rPr>
      </w:pPr>
      <w:bookmarkStart w:id="2" w:name="_Toc27796"/>
      <w:bookmarkStart w:id="3" w:name="_Toc11118"/>
      <w:r>
        <w:rPr>
          <w:rFonts w:hint="eastAsia" w:ascii="方正小标宋简体" w:hAnsi="方正小标宋简体" w:eastAsia="方正小标宋简体" w:cs="方正小标宋简体"/>
          <w:bCs/>
          <w:color w:val="auto"/>
          <w:w w:val="98"/>
          <w:sz w:val="44"/>
          <w:szCs w:val="44"/>
          <w:highlight w:val="none"/>
          <w:lang w:val="en-US" w:eastAsia="zh-CN"/>
        </w:rPr>
        <w:t>车棚工程“6·14”一般高处坠落</w:t>
      </w:r>
      <w:bookmarkEnd w:id="2"/>
      <w:bookmarkEnd w:id="3"/>
    </w:p>
    <w:p w14:paraId="01EAD24E">
      <w:pPr>
        <w:pStyle w:val="15"/>
        <w:keepNext w:val="0"/>
        <w:keepLines w:val="0"/>
        <w:pageBreakBefore w:val="0"/>
        <w:kinsoku/>
        <w:overflowPunct w:val="0"/>
        <w:topLinePunct w:val="0"/>
        <w:autoSpaceDE/>
        <w:autoSpaceDN/>
        <w:bidi w:val="0"/>
        <w:adjustRightInd/>
        <w:snapToGrid/>
        <w:spacing w:beforeAutospacing="0" w:afterAutospacing="0" w:line="560" w:lineRule="exact"/>
        <w:jc w:val="center"/>
        <w:outlineLvl w:val="0"/>
        <w:rPr>
          <w:rFonts w:hint="eastAsia" w:ascii="方正小标宋简体" w:hAnsi="方正小标宋简体" w:eastAsia="方正小标宋简体" w:cs="方正小标宋简体"/>
          <w:color w:val="auto"/>
          <w:sz w:val="44"/>
          <w:szCs w:val="44"/>
          <w:highlight w:val="none"/>
          <w:lang w:val="en-US" w:eastAsia="zh-CN"/>
        </w:rPr>
      </w:pPr>
      <w:bookmarkStart w:id="4" w:name="_Toc13813"/>
      <w:bookmarkStart w:id="5" w:name="_Toc22363"/>
      <w:r>
        <w:rPr>
          <w:rFonts w:hint="eastAsia" w:ascii="方正小标宋简体" w:hAnsi="方正小标宋简体" w:eastAsia="方正小标宋简体" w:cs="方正小标宋简体"/>
          <w:bCs/>
          <w:color w:val="auto"/>
          <w:w w:val="98"/>
          <w:sz w:val="44"/>
          <w:szCs w:val="44"/>
          <w:highlight w:val="none"/>
          <w:lang w:val="en-US" w:eastAsia="zh-CN"/>
        </w:rPr>
        <w:t>事故</w:t>
      </w:r>
      <w:r>
        <w:rPr>
          <w:rFonts w:ascii="方正小标宋简体" w:hAnsi="方正小标宋简体" w:eastAsia="方正小标宋简体" w:cs="方正小标宋简体"/>
          <w:color w:val="auto"/>
          <w:sz w:val="44"/>
          <w:szCs w:val="44"/>
          <w:highlight w:val="none"/>
        </w:rPr>
        <w:t>调查报告</w:t>
      </w:r>
      <w:bookmarkEnd w:id="4"/>
      <w:bookmarkEnd w:id="5"/>
    </w:p>
    <w:p w14:paraId="4406E26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36A45A4A">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552" w:firstLineChars="200"/>
        <w:jc w:val="both"/>
        <w:textAlignment w:val="auto"/>
        <w:rPr>
          <w:color w:val="auto"/>
          <w:highlight w:val="none"/>
        </w:rPr>
      </w:pPr>
    </w:p>
    <w:p w14:paraId="68F33DF1">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0C371838">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6770879A">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35871845">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5F5E2751">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0E54ACB2">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7B0842FF">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rPr>
          <w:rFonts w:ascii="方正小标宋简体" w:hAnsi="方正小标宋简体" w:eastAsia="方正小标宋简体" w:cs="方正小标宋简体"/>
          <w:color w:val="auto"/>
          <w:sz w:val="44"/>
          <w:szCs w:val="44"/>
          <w:highlight w:val="none"/>
        </w:rPr>
      </w:pPr>
    </w:p>
    <w:p w14:paraId="0C32D679">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rPr>
          <w:rFonts w:ascii="方正小标宋简体" w:hAnsi="方正小标宋简体" w:eastAsia="方正小标宋简体" w:cs="方正小标宋简体"/>
          <w:color w:val="auto"/>
          <w:sz w:val="44"/>
          <w:szCs w:val="44"/>
          <w:highlight w:val="none"/>
        </w:rPr>
      </w:pPr>
    </w:p>
    <w:p w14:paraId="183627E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3FC88B9B">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hint="eastAsia" w:ascii="方正小标宋简体" w:hAnsi="方正小标宋简体" w:eastAsia="方正小标宋简体" w:cs="方正小标宋简体"/>
          <w:color w:val="auto"/>
          <w:sz w:val="44"/>
          <w:szCs w:val="44"/>
          <w:highlight w:val="none"/>
          <w:lang w:val="en-US" w:eastAsia="zh-CN"/>
        </w:rPr>
      </w:pPr>
    </w:p>
    <w:p w14:paraId="37ED4458">
      <w:pPr>
        <w:pStyle w:val="7"/>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val="en-US" w:eastAsia="zh-CN"/>
        </w:rPr>
        <w:t>吉州</w:t>
      </w:r>
      <w:r>
        <w:rPr>
          <w:rFonts w:hint="eastAsia" w:ascii="楷体_GB2312" w:hAnsi="楷体_GB2312" w:eastAsia="楷体_GB2312" w:cs="楷体_GB2312"/>
          <w:b/>
          <w:bCs/>
          <w:color w:val="auto"/>
          <w:sz w:val="32"/>
          <w:szCs w:val="32"/>
          <w:highlight w:val="none"/>
        </w:rPr>
        <w:t>区政府</w:t>
      </w:r>
      <w:r>
        <w:rPr>
          <w:rFonts w:hint="eastAsia" w:ascii="楷体_GB2312" w:hAnsi="楷体_GB2312" w:eastAsia="楷体_GB2312" w:cs="楷体_GB2312"/>
          <w:b/>
          <w:bCs/>
          <w:color w:val="auto"/>
          <w:sz w:val="32"/>
          <w:szCs w:val="32"/>
          <w:highlight w:val="none"/>
          <w:lang w:val="en-US" w:eastAsia="zh-CN"/>
        </w:rPr>
        <w:t>事故</w:t>
      </w:r>
      <w:r>
        <w:rPr>
          <w:rFonts w:hint="eastAsia" w:ascii="楷体_GB2312" w:hAnsi="楷体_GB2312" w:eastAsia="楷体_GB2312" w:cs="楷体_GB2312"/>
          <w:b/>
          <w:bCs/>
          <w:color w:val="auto"/>
          <w:sz w:val="32"/>
          <w:szCs w:val="32"/>
          <w:highlight w:val="none"/>
        </w:rPr>
        <w:t>调查组</w:t>
      </w:r>
    </w:p>
    <w:p w14:paraId="73166281">
      <w:pPr>
        <w:pStyle w:val="7"/>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方正楷体_GB2312" w:hAnsi="方正楷体_GB2312" w:eastAsia="方正楷体_GB2312" w:cs="方正楷体_GB2312"/>
          <w:b/>
          <w:bCs/>
          <w:color w:val="auto"/>
          <w:sz w:val="32"/>
          <w:szCs w:val="32"/>
          <w:highlight w:val="none"/>
        </w:rPr>
      </w:pPr>
      <w:r>
        <w:rPr>
          <w:rFonts w:hint="eastAsia" w:ascii="楷体_GB2312" w:hAnsi="楷体_GB2312" w:eastAsia="楷体_GB2312" w:cs="楷体_GB2312"/>
          <w:b/>
          <w:bCs/>
          <w:color w:val="auto"/>
          <w:sz w:val="32"/>
          <w:szCs w:val="32"/>
          <w:highlight w:val="none"/>
        </w:rPr>
        <w:t>202</w:t>
      </w:r>
      <w:r>
        <w:rPr>
          <w:rFonts w:hint="eastAsia" w:ascii="楷体_GB2312" w:hAnsi="楷体_GB2312" w:eastAsia="楷体_GB2312" w:cs="楷体_GB2312"/>
          <w:b/>
          <w:bCs/>
          <w:color w:val="auto"/>
          <w:sz w:val="32"/>
          <w:szCs w:val="32"/>
          <w:highlight w:val="none"/>
          <w:lang w:val="en-US" w:eastAsia="zh-CN"/>
        </w:rPr>
        <w:t>6</w:t>
      </w:r>
      <w:r>
        <w:rPr>
          <w:rFonts w:hint="eastAsia" w:ascii="楷体_GB2312" w:hAnsi="楷体_GB2312" w:eastAsia="楷体_GB2312" w:cs="楷体_GB2312"/>
          <w:b/>
          <w:bCs/>
          <w:color w:val="auto"/>
          <w:sz w:val="32"/>
          <w:szCs w:val="32"/>
          <w:highlight w:val="none"/>
        </w:rPr>
        <w:t>年</w:t>
      </w:r>
      <w:r>
        <w:rPr>
          <w:rFonts w:hint="eastAsia" w:ascii="楷体_GB2312" w:hAnsi="楷体_GB2312" w:eastAsia="楷体_GB2312" w:cs="楷体_GB2312"/>
          <w:b/>
          <w:bCs/>
          <w:color w:val="auto"/>
          <w:sz w:val="32"/>
          <w:szCs w:val="32"/>
          <w:highlight w:val="none"/>
          <w:lang w:val="en-US" w:eastAsia="zh-CN"/>
        </w:rPr>
        <w:t>10</w:t>
      </w:r>
      <w:r>
        <w:rPr>
          <w:rFonts w:hint="eastAsia" w:ascii="楷体_GB2312" w:hAnsi="楷体_GB2312" w:eastAsia="楷体_GB2312" w:cs="楷体_GB2312"/>
          <w:b/>
          <w:bCs/>
          <w:color w:val="auto"/>
          <w:sz w:val="32"/>
          <w:szCs w:val="32"/>
          <w:highlight w:val="none"/>
        </w:rPr>
        <w:t>月</w:t>
      </w:r>
    </w:p>
    <w:p w14:paraId="2EB96886">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3720C86F">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12DE8ED8">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color w:val="auto"/>
          <w:sz w:val="44"/>
          <w:szCs w:val="44"/>
          <w:highlight w:val="none"/>
        </w:rPr>
      </w:pPr>
    </w:p>
    <w:p w14:paraId="5F5BC137">
      <w:pPr>
        <w:pStyle w:val="7"/>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color w:val="auto"/>
          <w:sz w:val="44"/>
          <w:szCs w:val="44"/>
          <w:highlight w:val="none"/>
        </w:rPr>
      </w:pPr>
    </w:p>
    <w:p w14:paraId="335988B9">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b/>
          <w:bCs/>
          <w:color w:val="auto"/>
          <w:sz w:val="32"/>
          <w:szCs w:val="32"/>
          <w:highlight w:val="none"/>
        </w:rPr>
        <w:sectPr>
          <w:pgSz w:w="11906" w:h="16838"/>
          <w:pgMar w:top="2098" w:right="1474" w:bottom="1984" w:left="1587" w:header="851" w:footer="992" w:gutter="0"/>
          <w:pgNumType w:fmt="decimal" w:start="1"/>
          <w:cols w:space="0" w:num="1"/>
          <w:formProt w:val="0"/>
          <w:rtlGutter w:val="0"/>
          <w:docGrid w:type="linesAndChars" w:linePitch="579" w:charSpace="-1024"/>
        </w:sectPr>
      </w:pPr>
    </w:p>
    <w:p w14:paraId="1BE032C4">
      <w:pPr>
        <w:pStyle w:val="5"/>
        <w:keepNext w:val="0"/>
        <w:keepLines w:val="0"/>
        <w:pageBreakBefore w:val="0"/>
        <w:widowControl w:val="0"/>
        <w:kinsoku/>
        <w:wordWrap/>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目</w:t>
      </w:r>
      <w:r>
        <w:rPr>
          <w:rFonts w:hint="eastAsia" w:ascii="黑体" w:hAnsi="黑体" w:eastAsia="黑体" w:cs="黑体"/>
          <w:b w:val="0"/>
          <w:bCs w:val="0"/>
          <w:sz w:val="32"/>
          <w:szCs w:val="32"/>
          <w:lang w:eastAsia="zh-CN"/>
        </w:rPr>
        <w:t>　</w:t>
      </w:r>
      <w:r>
        <w:rPr>
          <w:rFonts w:hint="eastAsia" w:ascii="黑体" w:hAnsi="黑体" w:eastAsia="黑体" w:cs="黑体"/>
          <w:b w:val="0"/>
          <w:bCs w:val="0"/>
          <w:sz w:val="32"/>
          <w:szCs w:val="32"/>
        </w:rPr>
        <w:t>录</w:t>
      </w:r>
    </w:p>
    <w:p w14:paraId="72EDDC1A">
      <w:pPr>
        <w:pStyle w:val="5"/>
        <w:keepNext w:val="0"/>
        <w:keepLines w:val="0"/>
        <w:pageBreakBefore w:val="0"/>
        <w:widowControl w:val="0"/>
        <w:kinsoku/>
        <w:wordWrap/>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b w:val="0"/>
          <w:bCs w:val="0"/>
          <w:sz w:val="32"/>
          <w:szCs w:val="32"/>
          <w:lang w:val="en-US" w:eastAsia="zh-CN"/>
        </w:rPr>
      </w:pPr>
    </w:p>
    <w:p w14:paraId="00E4316C">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0" w:leftChars="0" w:firstLine="552" w:firstLineChars="200"/>
        <w:jc w:val="both"/>
        <w:textAlignment w:val="auto"/>
        <w:rPr>
          <w:rFonts w:hint="eastAsia" w:ascii="宋体" w:hAnsi="宋体" w:eastAsia="宋体" w:cs="宋体"/>
          <w:b w:val="0"/>
          <w:bCs w:val="0"/>
          <w:sz w:val="28"/>
          <w:szCs w:val="28"/>
          <w:lang w:val="en-US" w:eastAsia="zh-CN"/>
        </w:rPr>
      </w:pPr>
      <w:r>
        <w:rPr>
          <w:rFonts w:hint="eastAsia" w:ascii="黑体" w:hAnsi="黑体" w:eastAsia="黑体" w:cs="黑体"/>
          <w:b w:val="0"/>
          <w:bCs w:val="0"/>
          <w:sz w:val="28"/>
          <w:szCs w:val="28"/>
        </w:rPr>
        <w:t>一、事故基本情况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w:t>
      </w:r>
    </w:p>
    <w:p w14:paraId="0D0F215E">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rPr>
        <w:t>（一）</w:t>
      </w:r>
      <w:r>
        <w:rPr>
          <w:rFonts w:hint="eastAsia" w:ascii="宋体" w:hAnsi="宋体" w:eastAsia="宋体" w:cs="宋体"/>
          <w:b w:val="0"/>
          <w:bCs w:val="0"/>
          <w:sz w:val="28"/>
          <w:szCs w:val="28"/>
          <w:lang w:val="en-US" w:eastAsia="zh-CN"/>
        </w:rPr>
        <w:t>项目情况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（二）</w:t>
      </w:r>
      <w:r>
        <w:rPr>
          <w:rFonts w:hint="eastAsia" w:ascii="宋体" w:hAnsi="宋体" w:eastAsia="宋体" w:cs="宋体"/>
          <w:b w:val="0"/>
          <w:bCs w:val="0"/>
          <w:sz w:val="28"/>
          <w:szCs w:val="28"/>
          <w:lang w:val="en-US" w:eastAsia="zh-CN"/>
        </w:rPr>
        <w:t>事故发生单位情况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2</w:t>
      </w:r>
    </w:p>
    <w:p w14:paraId="55C4646D">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sz w:val="28"/>
          <w:szCs w:val="28"/>
        </w:rPr>
        <w:t>（三）</w:t>
      </w:r>
      <w:r>
        <w:rPr>
          <w:rFonts w:hint="eastAsia" w:ascii="宋体" w:hAnsi="宋体" w:eastAsia="宋体" w:cs="宋体"/>
          <w:b w:val="0"/>
          <w:bCs w:val="0"/>
          <w:sz w:val="28"/>
          <w:szCs w:val="28"/>
          <w:lang w:val="en-US" w:eastAsia="zh-CN"/>
        </w:rPr>
        <w:t>合同签订情况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3</w:t>
      </w:r>
      <w:r>
        <w:rPr>
          <w:rFonts w:hint="eastAsia" w:ascii="宋体" w:hAnsi="宋体" w:eastAsia="宋体" w:cs="宋体"/>
          <w:b w:val="0"/>
          <w:bCs w:val="0"/>
          <w:sz w:val="28"/>
          <w:szCs w:val="28"/>
        </w:rPr>
        <w:t>（四）</w:t>
      </w:r>
      <w:r>
        <w:rPr>
          <w:rFonts w:hint="eastAsia" w:ascii="宋体" w:hAnsi="宋体" w:eastAsia="宋体" w:cs="宋体"/>
          <w:b w:val="0"/>
          <w:bCs w:val="0"/>
          <w:sz w:val="28"/>
          <w:szCs w:val="28"/>
          <w:lang w:val="en-US" w:eastAsia="zh-CN"/>
        </w:rPr>
        <w:t>事故发生经过</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3</w:t>
      </w:r>
      <w:r>
        <w:rPr>
          <w:rFonts w:hint="eastAsia" w:ascii="宋体" w:hAnsi="宋体" w:eastAsia="宋体" w:cs="宋体"/>
          <w:b w:val="0"/>
          <w:bCs w:val="0"/>
          <w:sz w:val="28"/>
          <w:szCs w:val="28"/>
        </w:rPr>
        <w:t>（</w:t>
      </w:r>
      <w:r>
        <w:rPr>
          <w:rFonts w:hint="eastAsia" w:ascii="宋体" w:hAnsi="宋体" w:eastAsia="宋体" w:cs="宋体"/>
          <w:b w:val="0"/>
          <w:bCs w:val="0"/>
          <w:sz w:val="28"/>
          <w:szCs w:val="28"/>
          <w:lang w:val="en-US" w:eastAsia="zh-CN"/>
        </w:rPr>
        <w:t>五</w:t>
      </w:r>
      <w:r>
        <w:rPr>
          <w:rFonts w:hint="eastAsia" w:ascii="宋体" w:hAnsi="宋体" w:eastAsia="宋体" w:cs="宋体"/>
          <w:b w:val="0"/>
          <w:bCs w:val="0"/>
          <w:sz w:val="28"/>
          <w:szCs w:val="28"/>
        </w:rPr>
        <w:t>）事故现场情况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4</w:t>
      </w:r>
      <w:r>
        <w:rPr>
          <w:rFonts w:hint="eastAsia" w:ascii="宋体" w:hAnsi="宋体" w:eastAsia="宋体" w:cs="宋体"/>
          <w:b w:val="0"/>
          <w:bCs w:val="0"/>
          <w:sz w:val="28"/>
          <w:szCs w:val="28"/>
        </w:rPr>
        <w:t>（</w:t>
      </w:r>
      <w:r>
        <w:rPr>
          <w:rFonts w:hint="eastAsia" w:ascii="宋体" w:hAnsi="宋体" w:eastAsia="宋体" w:cs="宋体"/>
          <w:b w:val="0"/>
          <w:bCs w:val="0"/>
          <w:sz w:val="28"/>
          <w:szCs w:val="28"/>
          <w:lang w:val="en-US" w:eastAsia="zh-CN"/>
        </w:rPr>
        <w:t>六</w:t>
      </w:r>
      <w:r>
        <w:rPr>
          <w:rFonts w:hint="eastAsia" w:ascii="宋体" w:hAnsi="宋体" w:eastAsia="宋体" w:cs="宋体"/>
          <w:b w:val="0"/>
          <w:bCs w:val="0"/>
          <w:sz w:val="28"/>
          <w:szCs w:val="28"/>
        </w:rPr>
        <w:t>）事故死亡人员</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6</w:t>
      </w:r>
    </w:p>
    <w:p w14:paraId="4C5AE078">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eastAsia" w:ascii="宋体" w:hAnsi="宋体" w:eastAsia="宋体" w:cs="宋体"/>
          <w:b w:val="0"/>
          <w:bCs w:val="0"/>
          <w:sz w:val="28"/>
          <w:szCs w:val="28"/>
          <w:lang w:eastAsia="zh-CN"/>
        </w:rPr>
      </w:pPr>
      <w:r>
        <w:rPr>
          <w:rFonts w:hint="eastAsia" w:ascii="黑体" w:hAnsi="黑体" w:eastAsia="黑体" w:cs="黑体"/>
          <w:b w:val="0"/>
          <w:bCs w:val="0"/>
          <w:sz w:val="28"/>
          <w:szCs w:val="28"/>
        </w:rPr>
        <w:t>二、事故应急处置评估情况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6</w:t>
      </w:r>
      <w:r>
        <w:rPr>
          <w:rFonts w:hint="eastAsia" w:ascii="宋体" w:hAnsi="宋体" w:eastAsia="宋体" w:cs="宋体"/>
          <w:b w:val="0"/>
          <w:bCs w:val="0"/>
          <w:sz w:val="28"/>
          <w:szCs w:val="28"/>
        </w:rPr>
        <w:t>（一）事故信息接报及响应情况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6</w:t>
      </w:r>
    </w:p>
    <w:p w14:paraId="73EFC076">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rPr>
        <w:t>（二）事故现场应急处置情况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6</w:t>
      </w:r>
      <w:r>
        <w:rPr>
          <w:rFonts w:hint="eastAsia" w:ascii="宋体" w:hAnsi="宋体" w:eastAsia="宋体" w:cs="宋体"/>
          <w:b w:val="0"/>
          <w:bCs w:val="0"/>
          <w:sz w:val="28"/>
          <w:szCs w:val="28"/>
        </w:rPr>
        <w:t>（三）医疗救助善后情况</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6</w:t>
      </w:r>
      <w:r>
        <w:rPr>
          <w:rFonts w:hint="eastAsia" w:ascii="宋体" w:hAnsi="宋体" w:eastAsia="宋体" w:cs="宋体"/>
          <w:b w:val="0"/>
          <w:bCs w:val="0"/>
          <w:sz w:val="28"/>
          <w:szCs w:val="28"/>
        </w:rPr>
        <w:t>（四）事故应急处置评估</w:t>
      </w:r>
      <w:r>
        <w:rPr>
          <w:rFonts w:hint="eastAsia" w:ascii="宋体" w:hAnsi="宋体" w:eastAsia="宋体" w:cs="宋体"/>
          <w:b w:val="0"/>
          <w:bCs w:val="0"/>
          <w:sz w:val="28"/>
          <w:szCs w:val="28"/>
          <w:lang w:val="en-US" w:eastAsia="zh-CN"/>
        </w:rPr>
        <w:tab/>
      </w:r>
    </w:p>
    <w:p w14:paraId="6ABFC11F">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eastAsia" w:ascii="宋体" w:hAnsi="宋体" w:eastAsia="宋体" w:cs="宋体"/>
          <w:b w:val="0"/>
          <w:bCs w:val="0"/>
          <w:sz w:val="28"/>
          <w:szCs w:val="28"/>
          <w:lang w:val="en-US" w:eastAsia="zh-CN"/>
        </w:rPr>
      </w:pPr>
      <w:r>
        <w:rPr>
          <w:rFonts w:hint="eastAsia" w:ascii="黑体" w:hAnsi="黑体" w:eastAsia="黑体" w:cs="黑体"/>
          <w:b w:val="0"/>
          <w:bCs w:val="0"/>
          <w:sz w:val="28"/>
          <w:szCs w:val="28"/>
        </w:rPr>
        <w:t>三、事故原因分析</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7</w:t>
      </w:r>
    </w:p>
    <w:p w14:paraId="7D26C39F">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（一）直接原因分析</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7（二）间接原因分析</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7</w:t>
      </w:r>
    </w:p>
    <w:p w14:paraId="261878FF">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0" w:leftChars="0" w:firstLine="552" w:firstLineChars="200"/>
        <w:jc w:val="both"/>
        <w:textAlignment w:val="auto"/>
        <w:rPr>
          <w:rFonts w:hint="eastAsia" w:ascii="宋体" w:hAnsi="宋体" w:eastAsia="宋体" w:cs="宋体"/>
          <w:b w:val="0"/>
          <w:bCs w:val="0"/>
          <w:sz w:val="28"/>
          <w:szCs w:val="28"/>
          <w:lang w:val="en-US" w:eastAsia="zh-CN"/>
        </w:rPr>
      </w:pPr>
      <w:r>
        <w:rPr>
          <w:rFonts w:hint="eastAsia" w:ascii="黑体" w:hAnsi="黑体" w:eastAsia="黑体" w:cs="黑体"/>
          <w:b w:val="0"/>
          <w:bCs w:val="0"/>
          <w:sz w:val="28"/>
          <w:szCs w:val="28"/>
          <w:lang w:val="en-US" w:eastAsia="zh-CN"/>
        </w:rPr>
        <w:t>四、有关责任单位存在的问题</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8</w:t>
      </w:r>
    </w:p>
    <w:p w14:paraId="0199008A">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0" w:leftChars="0" w:firstLine="552"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黑体"/>
          <w:b w:val="0"/>
          <w:bCs w:val="0"/>
          <w:sz w:val="28"/>
          <w:szCs w:val="28"/>
          <w:lang w:val="en-US" w:eastAsia="zh-CN"/>
        </w:rPr>
        <w:t>五、对有关责任人员和责任单位的处理意见</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10</w:t>
      </w:r>
    </w:p>
    <w:p w14:paraId="31F6B4D3">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474" w:leftChars="150" w:firstLine="0" w:firstLineChars="0"/>
        <w:jc w:val="both"/>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（一）对事故有关责任人员的行政处罚建议</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10（二）对事故责任单位的行政处罚</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10</w:t>
      </w:r>
    </w:p>
    <w:p w14:paraId="78A564D2">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0" w:leftChars="0" w:firstLine="552"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黑体"/>
          <w:b w:val="0"/>
          <w:bCs w:val="0"/>
          <w:sz w:val="28"/>
          <w:szCs w:val="28"/>
          <w:lang w:val="en-US" w:eastAsia="zh-CN"/>
        </w:rPr>
        <w:t>六、事故主要教训</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12</w:t>
      </w:r>
    </w:p>
    <w:p w14:paraId="349A5FAF">
      <w:pPr>
        <w:pStyle w:val="7"/>
        <w:keepNext w:val="0"/>
        <w:keepLines w:val="0"/>
        <w:pageBreakBefore w:val="0"/>
        <w:widowControl w:val="0"/>
        <w:tabs>
          <w:tab w:val="left" w:leader="dot" w:pos="8121"/>
        </w:tabs>
        <w:kinsoku/>
        <w:wordWrap/>
        <w:overflowPunct w:val="0"/>
        <w:topLinePunct w:val="0"/>
        <w:autoSpaceDE/>
        <w:autoSpaceDN/>
        <w:bidi w:val="0"/>
        <w:adjustRightInd/>
        <w:snapToGrid w:val="0"/>
        <w:spacing w:line="480" w:lineRule="exact"/>
        <w:ind w:left="0" w:leftChars="0" w:firstLine="552"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黑体"/>
          <w:b w:val="0"/>
          <w:bCs w:val="0"/>
          <w:sz w:val="28"/>
          <w:szCs w:val="28"/>
          <w:lang w:val="en-US" w:eastAsia="zh-CN"/>
        </w:rPr>
        <w:t>七、事故整改和防范措施</w:t>
      </w:r>
      <w:r>
        <w:rPr>
          <w:rFonts w:hint="eastAsia" w:ascii="宋体" w:hAnsi="宋体" w:eastAsia="宋体" w:cs="宋体"/>
          <w:b w:val="0"/>
          <w:bCs w:val="0"/>
          <w:sz w:val="28"/>
          <w:szCs w:val="28"/>
          <w:lang w:val="en-US" w:eastAsia="zh-CN"/>
        </w:rPr>
        <w:tab/>
      </w:r>
      <w:r>
        <w:rPr>
          <w:rFonts w:hint="eastAsia" w:ascii="宋体" w:hAnsi="宋体" w:eastAsia="宋体" w:cs="宋体"/>
          <w:b w:val="0"/>
          <w:bCs w:val="0"/>
          <w:sz w:val="28"/>
          <w:szCs w:val="28"/>
          <w:lang w:val="en-US" w:eastAsia="zh-CN"/>
        </w:rPr>
        <w:t>13</w:t>
      </w:r>
    </w:p>
    <w:p w14:paraId="3E35EAEC">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712" w:firstLineChars="200"/>
        <w:jc w:val="both"/>
        <w:textAlignment w:val="auto"/>
        <w:rPr>
          <w:rFonts w:hint="eastAsia" w:ascii="仿宋_GB2312" w:hAnsi="仿宋_GB2312" w:eastAsia="仿宋_GB2312" w:cs="仿宋_GB2312"/>
          <w:color w:val="auto"/>
          <w:sz w:val="36"/>
          <w:szCs w:val="36"/>
          <w:highlight w:val="none"/>
          <w:lang w:val="en-US" w:eastAsia="zh-CN"/>
        </w:rPr>
      </w:pPr>
    </w:p>
    <w:p w14:paraId="69FEF1F0">
      <w:pPr>
        <w:pStyle w:val="5"/>
        <w:rPr>
          <w:rFonts w:hint="eastAsia" w:ascii="仿宋_GB2312" w:hAnsi="仿宋_GB2312" w:eastAsia="仿宋_GB2312" w:cs="仿宋_GB2312"/>
          <w:color w:val="auto"/>
          <w:sz w:val="32"/>
          <w:szCs w:val="32"/>
          <w:highlight w:val="none"/>
          <w:lang w:val="en-US" w:eastAsia="zh-CN"/>
        </w:rPr>
      </w:pPr>
    </w:p>
    <w:p w14:paraId="30BC53BF">
      <w:pPr>
        <w:pStyle w:val="5"/>
        <w:rPr>
          <w:rFonts w:hint="eastAsia" w:ascii="仿宋_GB2312" w:hAnsi="仿宋_GB2312" w:eastAsia="仿宋_GB2312" w:cs="仿宋_GB2312"/>
          <w:color w:val="auto"/>
          <w:sz w:val="32"/>
          <w:szCs w:val="32"/>
          <w:highlight w:val="none"/>
          <w:lang w:val="en-US" w:eastAsia="zh-CN"/>
        </w:rPr>
      </w:pPr>
    </w:p>
    <w:p w14:paraId="7DE96454">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sectPr>
          <w:footerReference r:id="rId4" w:type="default"/>
          <w:footnotePr>
            <w:numFmt w:val="decimal"/>
          </w:footnotePr>
          <w:pgSz w:w="11906" w:h="16838"/>
          <w:pgMar w:top="1984" w:right="1474" w:bottom="1984" w:left="1587" w:header="851" w:footer="992" w:gutter="0"/>
          <w:pgNumType w:start="1"/>
          <w:cols w:space="0" w:num="1"/>
          <w:formProt w:val="0"/>
          <w:rtlGutter w:val="0"/>
          <w:docGrid w:type="linesAndChars" w:linePitch="579" w:charSpace="-1024"/>
        </w:sectPr>
      </w:pPr>
    </w:p>
    <w:p w14:paraId="5264653B">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2026年6月14日11时30分许，江西棱恒建筑劳务有限公司（以下简称棱恒公司）在对江西双程医疗健康有限公司（以下简称双程公司）北侧车库出入口车棚顶部进行施工过程中发生一起高处坠落事故，造成1人死亡。</w:t>
      </w:r>
    </w:p>
    <w:p w14:paraId="39370623">
      <w:pPr>
        <w:pStyle w:val="15"/>
        <w:keepNext w:val="0"/>
        <w:keepLines w:val="0"/>
        <w:pageBreakBefore w:val="0"/>
        <w:kinsoku/>
        <w:wordWrap/>
        <w:overflowPunct w:val="0"/>
        <w:topLinePunct w:val="0"/>
        <w:autoSpaceDE/>
        <w:autoSpaceDN/>
        <w:bidi w:val="0"/>
        <w:adjustRightInd/>
        <w:snapToGrid/>
        <w:spacing w:beforeAutospacing="0" w:afterAutospacing="0" w:line="560" w:lineRule="exact"/>
        <w:ind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依据《中华人民共和国安全生产法》和《生产安全事故报告和调查处理条例》（国务院令第493号）等有关法律法规，吉州区政府成立了由区应急管理局牵头，工业园区管委会、区住建局、吉州公安分局、区总工会、区人社局等部门，组成的江西双程医疗健康有限公司汽车坡道车棚工程“6·14”一般高处坠落事故调查组（以下简称事故调查组），负责事故调查工作，并邀请区纪委监委、区检察院派员参加。</w:t>
      </w:r>
    </w:p>
    <w:p w14:paraId="046CC6B2">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事故调查组按照“科学严谨、依法依规、实事求是、注重实效”和“四不放过”的原则，认真开展事故调查工作。通过现场勘查、询问调查、查阅有关资料和综合分析，查清了事故发生经过、原因，认定了事故性质和责任。</w:t>
      </w:r>
    </w:p>
    <w:p w14:paraId="6A0F8295">
      <w:pPr>
        <w:keepNext w:val="0"/>
        <w:keepLines w:val="0"/>
        <w:pageBreakBefore w:val="0"/>
        <w:widowControl/>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经调查认定，这起高处坠落事故是一起因生产经营单位未落实安全生产主体责任、现场管理不到位、作业人员未按规定穿戴安全防护用品且未经专门安全培训取得高处作业资格从事高处作业、企业未依法对从业人员进行安全生产教育和培训而导致的一般生产安全事故。</w:t>
      </w:r>
      <w:bookmarkStart w:id="6" w:name="_Toc468"/>
    </w:p>
    <w:p w14:paraId="041E4030">
      <w:pPr>
        <w:pStyle w:val="7"/>
        <w:keepNext w:val="0"/>
        <w:keepLines w:val="0"/>
        <w:pageBreakBefore w:val="0"/>
        <w:widowControl w:val="0"/>
        <w:kinsoku/>
        <w:wordWrap/>
        <w:overflowPunct w:val="0"/>
        <w:topLinePunct w:val="0"/>
        <w:autoSpaceDE/>
        <w:autoSpaceDN/>
        <w:bidi w:val="0"/>
        <w:adjustRightInd/>
        <w:snapToGrid/>
        <w:spacing w:line="560" w:lineRule="exact"/>
        <w:ind w:firstLine="632" w:firstLineChars="200"/>
        <w:jc w:val="both"/>
        <w:textAlignment w:val="auto"/>
        <w:outlineLvl w:val="0"/>
        <w:rPr>
          <w:rFonts w:ascii="黑体" w:hAnsi="黑体" w:eastAsia="黑体" w:cs="黑体"/>
          <w:b/>
          <w:color w:val="auto"/>
          <w:sz w:val="32"/>
          <w:szCs w:val="32"/>
          <w:highlight w:val="none"/>
        </w:rPr>
      </w:pPr>
      <w:r>
        <w:rPr>
          <w:rFonts w:ascii="黑体" w:hAnsi="黑体" w:eastAsia="黑体" w:cs="黑体"/>
          <w:b/>
          <w:color w:val="auto"/>
          <w:sz w:val="32"/>
          <w:szCs w:val="32"/>
          <w:highlight w:val="none"/>
        </w:rPr>
        <w:t>一、</w:t>
      </w:r>
      <w:r>
        <w:rPr>
          <w:rFonts w:hint="eastAsia" w:ascii="黑体" w:hAnsi="黑体" w:eastAsia="黑体" w:cs="黑体"/>
          <w:b/>
          <w:color w:val="auto"/>
          <w:sz w:val="32"/>
          <w:szCs w:val="32"/>
          <w:highlight w:val="none"/>
        </w:rPr>
        <w:t>事故</w:t>
      </w:r>
      <w:r>
        <w:rPr>
          <w:rFonts w:ascii="黑体" w:hAnsi="黑体" w:eastAsia="黑体" w:cs="黑体"/>
          <w:b/>
          <w:color w:val="auto"/>
          <w:sz w:val="32"/>
          <w:szCs w:val="32"/>
          <w:highlight w:val="none"/>
        </w:rPr>
        <w:t>基本情况</w:t>
      </w:r>
      <w:bookmarkEnd w:id="6"/>
    </w:p>
    <w:p w14:paraId="1642D63E">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7" w:name="_Toc11181"/>
      <w:r>
        <w:rPr>
          <w:rFonts w:hint="eastAsia" w:ascii="楷体_GB2312" w:hAnsi="楷体_GB2312" w:eastAsia="楷体_GB2312" w:cs="楷体_GB2312"/>
          <w:b/>
          <w:bCs/>
          <w:color w:val="auto"/>
          <w:kern w:val="0"/>
          <w:sz w:val="32"/>
          <w:szCs w:val="32"/>
          <w:highlight w:val="none"/>
          <w:lang w:val="en-US" w:eastAsia="zh-CN" w:bidi="ar"/>
        </w:rPr>
        <w:t>（一）项目情况</w:t>
      </w:r>
      <w:bookmarkEnd w:id="7"/>
    </w:p>
    <w:p w14:paraId="05E9199E">
      <w:pPr>
        <w:pStyle w:val="5"/>
        <w:keepNext w:val="0"/>
        <w:keepLines w:val="0"/>
        <w:pageBreakBefore w:val="0"/>
        <w:kinsoku/>
        <w:wordWrap/>
        <w:overflowPunct w:val="0"/>
        <w:topLinePunct w:val="0"/>
        <w:autoSpaceDE/>
        <w:autoSpaceDN/>
        <w:bidi w:val="0"/>
        <w:adjustRightInd/>
        <w:snapToGrid/>
        <w:spacing w:line="560" w:lineRule="exact"/>
        <w:ind w:left="0" w:leftChars="0" w:firstLine="632" w:firstLineChars="200"/>
        <w:textAlignment w:val="auto"/>
        <w:rPr>
          <w:rFonts w:hint="default"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该项目为双程公司办公楼北侧车库出入口车棚搭建，钢结构面积：顶部约120平方米，两侧约100平方米。建设单位：江西双程医疗健康有限公司，施工单位：江西棱恒建筑劳务有限公司。</w:t>
      </w:r>
    </w:p>
    <w:p w14:paraId="000DBA1D">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default" w:ascii="楷体_GB2312" w:hAnsi="楷体_GB2312" w:eastAsia="楷体_GB2312" w:cs="楷体_GB2312"/>
          <w:b/>
          <w:bCs/>
          <w:color w:val="auto"/>
          <w:kern w:val="0"/>
          <w:sz w:val="32"/>
          <w:szCs w:val="32"/>
          <w:highlight w:val="none"/>
          <w:lang w:val="en-US" w:eastAsia="zh-CN" w:bidi="ar"/>
        </w:rPr>
      </w:pPr>
      <w:bookmarkStart w:id="8" w:name="_Toc13639"/>
      <w:r>
        <w:rPr>
          <w:rFonts w:hint="eastAsia" w:ascii="楷体_GB2312" w:hAnsi="楷体_GB2312" w:eastAsia="楷体_GB2312" w:cs="楷体_GB2312"/>
          <w:b/>
          <w:bCs/>
          <w:color w:val="auto"/>
          <w:kern w:val="0"/>
          <w:sz w:val="32"/>
          <w:szCs w:val="32"/>
          <w:highlight w:val="none"/>
          <w:lang w:val="en-US" w:eastAsia="zh-CN" w:bidi="ar"/>
        </w:rPr>
        <w:t>（二）事故发生单位情况</w:t>
      </w:r>
      <w:bookmarkEnd w:id="8"/>
    </w:p>
    <w:p w14:paraId="59B7092C">
      <w:pPr>
        <w:pStyle w:val="5"/>
        <w:keepNext w:val="0"/>
        <w:keepLines w:val="0"/>
        <w:pageBreakBefore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bCs/>
          <w:color w:val="auto"/>
          <w:kern w:val="0"/>
          <w:sz w:val="32"/>
          <w:szCs w:val="32"/>
          <w:highlight w:val="none"/>
          <w:lang w:val="en-US" w:eastAsia="zh-CN" w:bidi="ar-SA"/>
        </w:rPr>
        <w:t>项目建设单位：</w:t>
      </w:r>
      <w:r>
        <w:rPr>
          <w:rFonts w:hint="eastAsia" w:ascii="仿宋_GB2312" w:hAnsi="仿宋" w:eastAsia="仿宋_GB2312" w:cs="仿宋_GB2312"/>
          <w:b w:val="0"/>
          <w:bCs w:val="0"/>
          <w:color w:val="auto"/>
          <w:kern w:val="0"/>
          <w:sz w:val="32"/>
          <w:szCs w:val="32"/>
          <w:highlight w:val="none"/>
          <w:lang w:val="en-US" w:eastAsia="zh-CN" w:bidi="ar-SA"/>
        </w:rPr>
        <w:t>江西双程医疗健康有限公司，注册时间：2023年3月23日，法定代表人黎**，统一社会信用代码913******。住所：江西省吉安市********，类型为有限责任公司</w:t>
      </w:r>
      <w:r>
        <w:rPr>
          <w:rFonts w:hint="default" w:ascii="仿宋_GB2312" w:hAnsi="仿宋" w:eastAsia="仿宋_GB2312" w:cs="仿宋_GB2312"/>
          <w:b w:val="0"/>
          <w:bCs w:val="0"/>
          <w:color w:val="auto"/>
          <w:kern w:val="0"/>
          <w:sz w:val="32"/>
          <w:szCs w:val="32"/>
          <w:highlight w:val="none"/>
          <w:lang w:val="en-US" w:eastAsia="zh-CN" w:bidi="ar-SA"/>
        </w:rPr>
        <w:t>（自然人投资或控股的法人独</w:t>
      </w:r>
      <w:r>
        <w:rPr>
          <w:rFonts w:hint="eastAsia" w:ascii="仿宋_GB2312" w:hAnsi="仿宋" w:eastAsia="仿宋_GB2312" w:cs="仿宋_GB2312"/>
          <w:b w:val="0"/>
          <w:bCs w:val="0"/>
          <w:color w:val="auto"/>
          <w:kern w:val="0"/>
          <w:sz w:val="32"/>
          <w:szCs w:val="32"/>
          <w:highlight w:val="none"/>
          <w:lang w:val="en-US" w:eastAsia="zh-CN" w:bidi="ar-SA"/>
        </w:rPr>
        <w:t>资</w:t>
      </w:r>
      <w:r>
        <w:rPr>
          <w:rFonts w:hint="default" w:ascii="仿宋_GB2312" w:hAnsi="仿宋" w:eastAsia="仿宋_GB2312"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注册资本：贰仟万元整，经营范围与许可项目:第二类医疗器械生产，医疗器械互联网信息服务(依法须经批准的项目，经相关部门批准后在许可有效期内方可开展经营活动，具体经营项目和许可期限以相关部门批准文件或许可证件为准)一般项目:第一类医疗器械生产，第二类医疗设备租赁，专用设备修理，家居用品制造，家居用品销售，软件开发，软件销售，电子元器件批发，电子元器件零售，信息咨询服务(不含许可类信息咨询服务)，健康咨询服务(不含诊疗服务)，技术服务、技术开发、技术咨询、技术交流、技术转让、技术推广，企业管理咨询，会议及展览服务(出国办展须经相关部门审批)，国内贸易代理，第一类医疗器械销售，第二类医疗器械销售，非居住房地产租赁，住房租赁(除依法须经批准的项目外，凭营业执照依法自主开展经营活动)。</w:t>
      </w:r>
    </w:p>
    <w:p w14:paraId="5EA6F937">
      <w:pPr>
        <w:pStyle w:val="5"/>
        <w:keepNext w:val="0"/>
        <w:keepLines w:val="0"/>
        <w:pageBreakBefore w:val="0"/>
        <w:kinsoku/>
        <w:wordWrap/>
        <w:overflowPunct w:val="0"/>
        <w:topLinePunct w:val="0"/>
        <w:autoSpaceDE/>
        <w:autoSpaceDN/>
        <w:bidi w:val="0"/>
        <w:adjustRightInd/>
        <w:snapToGrid/>
        <w:spacing w:line="560" w:lineRule="exact"/>
        <w:ind w:left="0" w:leftChars="0" w:firstLine="948" w:firstLineChars="300"/>
        <w:textAlignment w:val="auto"/>
        <w:rPr>
          <w:rFonts w:hint="default"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Times New Roman"/>
          <w:b/>
          <w:bCs/>
          <w:color w:val="auto"/>
          <w:kern w:val="0"/>
          <w:sz w:val="32"/>
          <w:szCs w:val="32"/>
          <w:highlight w:val="none"/>
          <w:lang w:val="en-US" w:eastAsia="zh-CN" w:bidi="ar"/>
        </w:rPr>
        <w:t>项目施工单位：</w:t>
      </w:r>
      <w:r>
        <w:rPr>
          <w:rFonts w:hint="eastAsia" w:ascii="仿宋_GB2312" w:hAnsi="仿宋" w:eastAsia="仿宋_GB2312" w:cs="仿宋_GB2312"/>
          <w:b w:val="0"/>
          <w:bCs w:val="0"/>
          <w:color w:val="auto"/>
          <w:kern w:val="0"/>
          <w:sz w:val="32"/>
          <w:szCs w:val="32"/>
          <w:highlight w:val="none"/>
          <w:lang w:val="en-US" w:eastAsia="zh-CN" w:bidi="ar-SA"/>
        </w:rPr>
        <w:t>江西棱恒建筑劳务有限公司，注册时间：2025年2月25日，法定代表人袁**，统一社会信用代码913*******。住所：江西省吉安市********，类型为有限责任公司</w:t>
      </w:r>
      <w:r>
        <w:rPr>
          <w:rFonts w:hint="default" w:ascii="仿宋_GB2312" w:hAnsi="仿宋" w:eastAsia="仿宋_GB2312" w:cs="仿宋_GB2312"/>
          <w:b w:val="0"/>
          <w:bCs w:val="0"/>
          <w:color w:val="auto"/>
          <w:kern w:val="0"/>
          <w:sz w:val="32"/>
          <w:szCs w:val="32"/>
          <w:highlight w:val="none"/>
          <w:lang w:val="en-US" w:eastAsia="zh-CN" w:bidi="ar-SA"/>
        </w:rPr>
        <w:t>（自然人投资或控股）</w:t>
      </w:r>
      <w:r>
        <w:rPr>
          <w:rFonts w:hint="eastAsia" w:ascii="仿宋_GB2312" w:hAnsi="仿宋" w:eastAsia="仿宋_GB2312" w:cs="仿宋_GB2312"/>
          <w:b w:val="0"/>
          <w:bCs w:val="0"/>
          <w:color w:val="auto"/>
          <w:kern w:val="0"/>
          <w:sz w:val="32"/>
          <w:szCs w:val="32"/>
          <w:highlight w:val="none"/>
          <w:lang w:val="en-US" w:eastAsia="zh-CN" w:bidi="ar-SA"/>
        </w:rPr>
        <w:t>，注册资本：壹拾万元整，经营范围与许可项目:住宅室内装饰装修，建筑劳务分包(依法须经批准的项目，经相关部门批准后在许可有效期内方可开展经营活动，具体经营项目和许可期限以相关部门批准文件或许可证件为准)室内木门窗安装服务一般项目:劳务服务(不含劳务派遣)住宅水电安装维护服务，家具安装和维修服务，城市绿化管理园林绿化工程施工(除依法须经批准的项目外，凭营业执照依法自主开展经营活动)。</w:t>
      </w:r>
    </w:p>
    <w:p w14:paraId="3236D1B7">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9" w:name="_Toc14907"/>
      <w:r>
        <w:rPr>
          <w:rFonts w:hint="eastAsia" w:ascii="楷体_GB2312" w:hAnsi="楷体_GB2312" w:eastAsia="楷体_GB2312" w:cs="楷体_GB2312"/>
          <w:b/>
          <w:bCs/>
          <w:color w:val="auto"/>
          <w:kern w:val="0"/>
          <w:sz w:val="32"/>
          <w:szCs w:val="32"/>
          <w:highlight w:val="none"/>
          <w:lang w:val="en-US" w:eastAsia="zh-CN" w:bidi="ar"/>
        </w:rPr>
        <w:t>（三）合同签订情况</w:t>
      </w:r>
      <w:bookmarkEnd w:id="9"/>
    </w:p>
    <w:p w14:paraId="7060C910">
      <w:pPr>
        <w:pStyle w:val="5"/>
        <w:keepNext w:val="0"/>
        <w:keepLines w:val="0"/>
        <w:pageBreakBefore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双程公司与棱恒公司于2026年5月22日签订《江西双程医疗健康有限公司汽车坡道车棚合同》，工程名称：办公楼汽车坡道车棚项目，施工内容：搭建钢结构雨棚，钢结构面积：顶部约120平方米，两侧约100平方米。</w:t>
      </w:r>
    </w:p>
    <w:p w14:paraId="4C4D4F5B">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0" w:name="_Toc24707"/>
      <w:r>
        <w:rPr>
          <w:rFonts w:hint="eastAsia" w:ascii="楷体_GB2312" w:hAnsi="楷体_GB2312" w:eastAsia="楷体_GB2312" w:cs="楷体_GB2312"/>
          <w:b/>
          <w:bCs/>
          <w:color w:val="auto"/>
          <w:kern w:val="0"/>
          <w:sz w:val="32"/>
          <w:szCs w:val="32"/>
          <w:highlight w:val="none"/>
          <w:lang w:val="en-US" w:eastAsia="zh-CN" w:bidi="ar"/>
        </w:rPr>
        <w:t>（四）事故发生经过</w:t>
      </w:r>
      <w:bookmarkEnd w:id="10"/>
    </w:p>
    <w:p w14:paraId="620035AD">
      <w:pPr>
        <w:pStyle w:val="5"/>
        <w:keepNext w:val="0"/>
        <w:keepLines w:val="0"/>
        <w:pageBreakBefore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6月14日8时15分许，施工人员邓**和陈**（因贺**需前往遂川做电焊，贺**请陈**代替其施工）在项目现场汇合后开始施工，陈**在未采取任何安全措施的情况下，攀爬至钢结构顶部测量顶部镂空部位尺寸，邓**负责在下面为其递测量镂空部位尺寸的材料。施工前邓**要求其佩戴安全帽进行施工，陈**以佩戴不舒服以及不方便作业为由拒绝佩戴，让邓**找几块方木垫脚即可，8时30分许，陈**到达施工现场并进行电焊作业。11时05分许，陈**在施工作业时不慎从钢结构顶部坠落至地面（垂直高度5.66米）。</w:t>
      </w:r>
    </w:p>
    <w:p w14:paraId="06F18202">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1" w:name="_Toc16111"/>
      <w:r>
        <w:rPr>
          <w:rFonts w:hint="eastAsia" w:ascii="楷体_GB2312" w:hAnsi="楷体_GB2312" w:eastAsia="楷体_GB2312" w:cs="楷体_GB2312"/>
          <w:b/>
          <w:bCs/>
          <w:color w:val="auto"/>
          <w:kern w:val="0"/>
          <w:sz w:val="32"/>
          <w:szCs w:val="32"/>
          <w:highlight w:val="none"/>
          <w:lang w:val="en-US" w:eastAsia="zh-CN" w:bidi="ar"/>
        </w:rPr>
        <w:t>（五）事故现场情况</w:t>
      </w:r>
      <w:bookmarkEnd w:id="11"/>
    </w:p>
    <w:p w14:paraId="4CCC38F4">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事故发生地点位于双程公司综合办公楼北侧地下车库出入口钢结构车棚，该车棚为弧形结构，长24.5米，宽4.2米，高2.2米。横梁与竖梁间距分别为1.04米和1米不等。坠落点离地面约5.66米。</w:t>
      </w:r>
    </w:p>
    <w:p w14:paraId="18AA5D68">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2" w:name="_Toc7635"/>
      <w:r>
        <w:rPr>
          <w:rFonts w:hint="eastAsia" w:ascii="楷体_GB2312" w:hAnsi="楷体_GB2312" w:eastAsia="楷体_GB2312" w:cs="楷体_GB2312"/>
          <w:b/>
          <w:bCs/>
          <w:color w:val="auto"/>
          <w:kern w:val="0"/>
          <w:sz w:val="32"/>
          <w:szCs w:val="32"/>
          <w:highlight w:val="none"/>
          <w:lang w:val="en-US" w:eastAsia="zh-CN" w:bidi="ar"/>
        </w:rPr>
        <w:t>（六）事故死亡人员</w:t>
      </w:r>
      <w:bookmarkEnd w:id="12"/>
    </w:p>
    <w:p w14:paraId="538524BA">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default"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本次事故造成</w:t>
      </w:r>
      <w:r>
        <w:rPr>
          <w:rFonts w:hint="default" w:ascii="仿宋_GB2312" w:hAnsi="仿宋" w:eastAsia="仿宋_GB2312" w:cs="仿宋_GB2312"/>
          <w:b w:val="0"/>
          <w:bCs w:val="0"/>
          <w:color w:val="auto"/>
          <w:kern w:val="0"/>
          <w:sz w:val="32"/>
          <w:szCs w:val="32"/>
          <w:highlight w:val="none"/>
          <w:lang w:val="en-US" w:eastAsia="zh-CN" w:bidi="ar-SA"/>
        </w:rPr>
        <w:t>1</w:t>
      </w:r>
      <w:r>
        <w:rPr>
          <w:rFonts w:hint="eastAsia" w:ascii="仿宋_GB2312" w:hAnsi="仿宋" w:eastAsia="仿宋_GB2312" w:cs="仿宋_GB2312"/>
          <w:b w:val="0"/>
          <w:bCs w:val="0"/>
          <w:color w:val="auto"/>
          <w:kern w:val="0"/>
          <w:sz w:val="32"/>
          <w:szCs w:val="32"/>
          <w:highlight w:val="none"/>
          <w:lang w:val="en-US" w:eastAsia="zh-CN" w:bidi="ar-SA"/>
        </w:rPr>
        <w:t>名人员死亡，死者：陈</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，男，</w:t>
      </w:r>
      <w:r>
        <w:rPr>
          <w:rFonts w:hint="eastAsia" w:ascii="仿宋_GB2312" w:hAnsi="仿宋" w:cs="仿宋_GB2312"/>
          <w:b w:val="0"/>
          <w:bCs w:val="0"/>
          <w:color w:val="auto"/>
          <w:kern w:val="0"/>
          <w:sz w:val="32"/>
          <w:szCs w:val="32"/>
          <w:highlight w:val="none"/>
          <w:lang w:val="en-US" w:eastAsia="zh" w:bidi="ar-SA"/>
        </w:rPr>
        <w:t>**</w:t>
      </w:r>
      <w:bookmarkStart w:id="45" w:name="_GoBack"/>
      <w:bookmarkEnd w:id="45"/>
      <w:r>
        <w:rPr>
          <w:rFonts w:hint="eastAsia" w:ascii="仿宋_GB2312" w:hAnsi="仿宋" w:eastAsia="仿宋_GB2312" w:cs="仿宋_GB2312"/>
          <w:b w:val="0"/>
          <w:bCs w:val="0"/>
          <w:color w:val="auto"/>
          <w:kern w:val="0"/>
          <w:sz w:val="32"/>
          <w:szCs w:val="32"/>
          <w:highlight w:val="none"/>
          <w:lang w:val="en-US" w:eastAsia="zh-CN" w:bidi="ar-SA"/>
        </w:rPr>
        <w:t>岁，身份证号：36</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，吉安县固江镇</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人。</w:t>
      </w:r>
    </w:p>
    <w:p w14:paraId="30D84200">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outlineLvl w:val="0"/>
        <w:rPr>
          <w:rFonts w:hint="eastAsia" w:ascii="仿宋_GB2312" w:hAnsi="仿宋" w:eastAsia="仿宋_GB2312" w:cs="仿宋_GB2312"/>
          <w:b w:val="0"/>
          <w:bCs w:val="0"/>
          <w:color w:val="auto"/>
          <w:kern w:val="0"/>
          <w:sz w:val="32"/>
          <w:szCs w:val="32"/>
          <w:highlight w:val="none"/>
          <w:lang w:val="en-US" w:eastAsia="zh-CN" w:bidi="ar-SA"/>
        </w:rPr>
      </w:pPr>
      <w:bookmarkStart w:id="13" w:name="_Toc2272"/>
      <w:r>
        <w:rPr>
          <w:rFonts w:hint="eastAsia" w:ascii="黑体" w:hAnsi="黑体" w:eastAsia="黑体" w:cs="黑体"/>
          <w:b/>
          <w:color w:val="auto"/>
          <w:sz w:val="32"/>
          <w:szCs w:val="32"/>
          <w:highlight w:val="none"/>
        </w:rPr>
        <w:t>二、事故应急处置评估情况</w:t>
      </w:r>
      <w:bookmarkEnd w:id="13"/>
    </w:p>
    <w:p w14:paraId="203273D3">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4" w:name="_Toc3584"/>
      <w:r>
        <w:rPr>
          <w:rFonts w:hint="eastAsia" w:ascii="楷体_GB2312" w:hAnsi="楷体_GB2312" w:eastAsia="楷体_GB2312" w:cs="楷体_GB2312"/>
          <w:b/>
          <w:bCs/>
          <w:color w:val="auto"/>
          <w:kern w:val="0"/>
          <w:sz w:val="32"/>
          <w:szCs w:val="32"/>
          <w:highlight w:val="none"/>
          <w:lang w:val="en-US" w:eastAsia="zh-CN" w:bidi="ar"/>
        </w:rPr>
        <w:t>（一）事故信息接报及响应情况</w:t>
      </w:r>
      <w:bookmarkEnd w:id="14"/>
    </w:p>
    <w:p w14:paraId="3982B664">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事故发生后，陈</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立即拨打了110报告事故情况，邓</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告知企业负责人，企业及时上报区工业园区管委会，工业园区管委会向区应急管理局报告了事故。区应急管理局接到报告后第一时间向区人民政府和市应急管理局上报事故情况，同时立即安排人员赶赴现场了解情况。</w:t>
      </w:r>
    </w:p>
    <w:p w14:paraId="08A5E550">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32" w:firstLineChars="200"/>
        <w:jc w:val="left"/>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5" w:name="_Toc21373"/>
      <w:r>
        <w:rPr>
          <w:rFonts w:hint="eastAsia" w:ascii="楷体_GB2312" w:hAnsi="楷体_GB2312" w:eastAsia="楷体_GB2312" w:cs="楷体_GB2312"/>
          <w:b/>
          <w:bCs/>
          <w:color w:val="auto"/>
          <w:kern w:val="0"/>
          <w:sz w:val="32"/>
          <w:szCs w:val="32"/>
          <w:highlight w:val="none"/>
          <w:lang w:val="en-US" w:eastAsia="zh-CN" w:bidi="ar"/>
        </w:rPr>
        <w:t>（二）事故现场应急处理情况</w:t>
      </w:r>
      <w:bookmarkEnd w:id="15"/>
    </w:p>
    <w:p w14:paraId="5169D322">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事故发生后，陈</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立即拨打</w:t>
      </w:r>
      <w:r>
        <w:rPr>
          <w:rFonts w:hint="default" w:ascii="仿宋_GB2312" w:hAnsi="仿宋" w:eastAsia="仿宋_GB2312" w:cs="仿宋_GB2312"/>
          <w:b w:val="0"/>
          <w:bCs w:val="0"/>
          <w:color w:val="auto"/>
          <w:kern w:val="0"/>
          <w:sz w:val="32"/>
          <w:szCs w:val="32"/>
          <w:highlight w:val="none"/>
          <w:lang w:val="en-US" w:eastAsia="zh-CN" w:bidi="ar-SA"/>
        </w:rPr>
        <w:t>120</w:t>
      </w:r>
      <w:r>
        <w:rPr>
          <w:rFonts w:hint="eastAsia" w:ascii="仿宋_GB2312" w:hAnsi="仿宋" w:eastAsia="仿宋_GB2312" w:cs="仿宋_GB2312"/>
          <w:b w:val="0"/>
          <w:bCs w:val="0"/>
          <w:color w:val="auto"/>
          <w:kern w:val="0"/>
          <w:sz w:val="32"/>
          <w:szCs w:val="32"/>
          <w:highlight w:val="none"/>
          <w:lang w:val="en-US" w:eastAsia="zh-CN" w:bidi="ar-SA"/>
        </w:rPr>
        <w:t>急救电话，邓</w:t>
      </w:r>
      <w:r>
        <w:rPr>
          <w:rFonts w:hint="eastAsia" w:ascii="仿宋_GB2312" w:hAnsi="仿宋" w:cs="仿宋_GB2312"/>
          <w:b w:val="0"/>
          <w:bCs w:val="0"/>
          <w:color w:val="auto"/>
          <w:kern w:val="0"/>
          <w:sz w:val="32"/>
          <w:szCs w:val="32"/>
          <w:highlight w:val="none"/>
          <w:lang w:val="en-US" w:eastAsia="zh-CN" w:bidi="ar-SA"/>
        </w:rPr>
        <w:t>**</w:t>
      </w:r>
      <w:r>
        <w:rPr>
          <w:rFonts w:hint="eastAsia" w:ascii="仿宋_GB2312" w:hAnsi="仿宋" w:eastAsia="仿宋_GB2312" w:cs="仿宋_GB2312"/>
          <w:b w:val="0"/>
          <w:bCs w:val="0"/>
          <w:color w:val="auto"/>
          <w:kern w:val="0"/>
          <w:sz w:val="32"/>
          <w:szCs w:val="32"/>
          <w:highlight w:val="none"/>
          <w:lang w:val="en-US" w:eastAsia="zh-CN" w:bidi="ar-SA"/>
        </w:rPr>
        <w:t>在双程公司门口引导120救护车，将伤者送往医院救治。政府有关部门接到报告立即安排人员赴现场了解情况，并组织现场处置工作，防止次生事故的发生。</w:t>
      </w:r>
    </w:p>
    <w:p w14:paraId="27A6AC17">
      <w:pPr>
        <w:keepNext w:val="0"/>
        <w:keepLines w:val="0"/>
        <w:pageBreakBefore w:val="0"/>
        <w:widowControl/>
        <w:suppressLineNumbers w:val="0"/>
        <w:kinsoku/>
        <w:overflowPunct w:val="0"/>
        <w:topLinePunct w:val="0"/>
        <w:autoSpaceDE/>
        <w:autoSpaceDN/>
        <w:bidi w:val="0"/>
        <w:adjustRightInd/>
        <w:snapToGrid/>
        <w:spacing w:line="560" w:lineRule="exact"/>
        <w:ind w:left="0" w:leftChars="0" w:firstLine="632" w:firstLineChars="200"/>
        <w:jc w:val="both"/>
        <w:outlineLvl w:val="1"/>
        <w:rPr>
          <w:rFonts w:hint="eastAsia" w:ascii="楷体_GB2312" w:hAnsi="楷体_GB2312" w:eastAsia="楷体_GB2312" w:cs="楷体_GB2312"/>
          <w:b/>
          <w:bCs/>
          <w:color w:val="auto"/>
          <w:kern w:val="0"/>
          <w:sz w:val="32"/>
          <w:szCs w:val="32"/>
          <w:highlight w:val="none"/>
          <w:lang w:val="en-US" w:eastAsia="zh-CN" w:bidi="ar"/>
        </w:rPr>
      </w:pPr>
      <w:bookmarkStart w:id="16" w:name="_Toc19806"/>
      <w:r>
        <w:rPr>
          <w:rFonts w:hint="eastAsia" w:ascii="楷体_GB2312" w:hAnsi="楷体_GB2312" w:eastAsia="楷体_GB2312" w:cs="楷体_GB2312"/>
          <w:b/>
          <w:bCs/>
          <w:color w:val="auto"/>
          <w:kern w:val="0"/>
          <w:sz w:val="32"/>
          <w:szCs w:val="32"/>
          <w:highlight w:val="none"/>
          <w:lang w:val="en-US" w:eastAsia="zh-CN" w:bidi="ar"/>
        </w:rPr>
        <w:t>（三）医疗救助善后情况</w:t>
      </w:r>
      <w:bookmarkEnd w:id="16"/>
    </w:p>
    <w:p w14:paraId="34EC4524">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120急救中心接到急救电话后立即派员赶往事故现场，将伤者送往医院进行救治。伤者经抢救无效，于6月14日21时22分</w:t>
      </w:r>
      <w:r>
        <w:rPr>
          <w:rFonts w:hint="eastAsia" w:ascii="仿宋_GB2312" w:hAnsi="仿宋" w:cs="仿宋_GB2312"/>
          <w:b w:val="0"/>
          <w:bCs w:val="0"/>
          <w:color w:val="auto"/>
          <w:kern w:val="0"/>
          <w:sz w:val="32"/>
          <w:szCs w:val="32"/>
          <w:highlight w:val="none"/>
          <w:lang w:val="en-US" w:eastAsia="zh-CN" w:bidi="ar-SA"/>
        </w:rPr>
        <w:t>宣布</w:t>
      </w:r>
      <w:r>
        <w:rPr>
          <w:rFonts w:hint="eastAsia" w:ascii="仿宋_GB2312" w:hAnsi="仿宋" w:eastAsia="仿宋_GB2312" w:cs="仿宋_GB2312"/>
          <w:b w:val="0"/>
          <w:bCs w:val="0"/>
          <w:color w:val="auto"/>
          <w:kern w:val="0"/>
          <w:sz w:val="32"/>
          <w:szCs w:val="32"/>
          <w:highlight w:val="none"/>
          <w:lang w:val="en-US" w:eastAsia="zh-CN" w:bidi="ar-SA"/>
        </w:rPr>
        <w:t>死亡。事故相关单位及有关人员对该起事故进行了善后处理，对死者家属做了安抚工作，并签订了《调解协议书》，商定赔偿金额，总计</w:t>
      </w:r>
      <w:r>
        <w:rPr>
          <w:rFonts w:hint="eastAsia" w:ascii="仿宋_GB2312" w:hAnsi="仿宋" w:cs="仿宋_GB2312"/>
          <w:b w:val="0"/>
          <w:bCs w:val="0"/>
          <w:color w:val="auto"/>
          <w:kern w:val="0"/>
          <w:sz w:val="32"/>
          <w:szCs w:val="32"/>
          <w:highlight w:val="none"/>
          <w:lang w:val="en-US" w:eastAsia="zh-CN" w:bidi="ar-SA"/>
        </w:rPr>
        <w:t>赔付</w:t>
      </w:r>
      <w:r>
        <w:rPr>
          <w:rFonts w:hint="eastAsia" w:ascii="仿宋_GB2312" w:hAnsi="仿宋" w:eastAsia="仿宋_GB2312" w:cs="仿宋_GB2312"/>
          <w:b w:val="0"/>
          <w:bCs w:val="0"/>
          <w:color w:val="auto"/>
          <w:kern w:val="0"/>
          <w:sz w:val="32"/>
          <w:szCs w:val="32"/>
          <w:highlight w:val="none"/>
          <w:lang w:val="en-US" w:eastAsia="zh-CN" w:bidi="ar-SA"/>
        </w:rPr>
        <w:t>118.3万元整。</w:t>
      </w:r>
    </w:p>
    <w:p w14:paraId="2C94BFD4">
      <w:pPr>
        <w:keepNext w:val="0"/>
        <w:keepLines w:val="0"/>
        <w:pageBreakBefore w:val="0"/>
        <w:widowControl/>
        <w:suppressLineNumbers w:val="0"/>
        <w:kinsoku/>
        <w:overflowPunct w:val="0"/>
        <w:topLinePunct w:val="0"/>
        <w:autoSpaceDE/>
        <w:autoSpaceDN/>
        <w:bidi w:val="0"/>
        <w:adjustRightInd/>
        <w:snapToGrid/>
        <w:spacing w:line="560" w:lineRule="exact"/>
        <w:ind w:left="0" w:leftChars="0" w:firstLine="632" w:firstLineChars="200"/>
        <w:jc w:val="both"/>
        <w:outlineLvl w:val="1"/>
        <w:rPr>
          <w:rFonts w:hint="eastAsia" w:ascii="楷体_GB2312" w:hAnsi="楷体_GB2312" w:eastAsia="楷体_GB2312" w:cs="楷体_GB2312"/>
          <w:b/>
          <w:bCs/>
          <w:color w:val="auto"/>
          <w:kern w:val="0"/>
          <w:sz w:val="32"/>
          <w:szCs w:val="32"/>
          <w:highlight w:val="none"/>
          <w:lang w:val="en-US" w:eastAsia="zh-CN" w:bidi="ar"/>
        </w:rPr>
      </w:pPr>
      <w:bookmarkStart w:id="17" w:name="_Toc26083"/>
      <w:r>
        <w:rPr>
          <w:rFonts w:hint="eastAsia" w:ascii="楷体_GB2312" w:hAnsi="楷体_GB2312" w:eastAsia="楷体_GB2312" w:cs="楷体_GB2312"/>
          <w:b/>
          <w:bCs/>
          <w:color w:val="auto"/>
          <w:kern w:val="0"/>
          <w:sz w:val="32"/>
          <w:szCs w:val="32"/>
          <w:highlight w:val="none"/>
          <w:lang w:val="en-US" w:eastAsia="zh-CN" w:bidi="ar"/>
        </w:rPr>
        <w:t>（四）事故应急处置评估</w:t>
      </w:r>
      <w:bookmarkEnd w:id="17"/>
    </w:p>
    <w:p w14:paraId="3777CD65">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cs="仿宋_GB2312"/>
          <w:b w:val="0"/>
          <w:bCs w:val="0"/>
          <w:color w:val="auto"/>
          <w:kern w:val="0"/>
          <w:sz w:val="32"/>
          <w:szCs w:val="32"/>
          <w:highlight w:val="none"/>
          <w:lang w:val="en-US" w:eastAsia="zh-CN" w:bidi="ar-SA"/>
        </w:rPr>
      </w:pPr>
      <w:r>
        <w:rPr>
          <w:rFonts w:hint="eastAsia" w:ascii="仿宋_GB2312" w:hAnsi="仿宋" w:cs="仿宋_GB2312"/>
          <w:b w:val="0"/>
          <w:bCs w:val="0"/>
          <w:color w:val="auto"/>
          <w:kern w:val="0"/>
          <w:sz w:val="32"/>
          <w:szCs w:val="32"/>
          <w:highlight w:val="none"/>
          <w:lang w:val="en-US" w:eastAsia="zh-CN" w:bidi="ar-SA"/>
        </w:rPr>
        <w:t>经调查评估，双程公司及时报告了事故情况，有关部门接报后第一时间赶赴现场处置，妥善做好了现场救援和善后处置工作，未发生次生事故。在自救方面，施工人员在第一时间拨打了120急救电话，处置较为得当。</w:t>
      </w:r>
    </w:p>
    <w:p w14:paraId="06AA9313">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outlineLvl w:val="0"/>
        <w:rPr>
          <w:rFonts w:ascii="黑体" w:hAnsi="黑体" w:eastAsia="黑体" w:cs="黑体"/>
          <w:b/>
          <w:color w:val="auto"/>
          <w:sz w:val="32"/>
          <w:szCs w:val="32"/>
          <w:highlight w:val="none"/>
        </w:rPr>
      </w:pPr>
      <w:bookmarkStart w:id="18" w:name="_Toc6727"/>
      <w:r>
        <w:rPr>
          <w:rFonts w:hint="eastAsia" w:ascii="黑体" w:hAnsi="黑体" w:eastAsia="黑体" w:cs="黑体"/>
          <w:b/>
          <w:color w:val="auto"/>
          <w:sz w:val="32"/>
          <w:szCs w:val="32"/>
          <w:highlight w:val="none"/>
          <w:lang w:val="en-US" w:eastAsia="zh-CN"/>
        </w:rPr>
        <w:t>三</w:t>
      </w:r>
      <w:r>
        <w:rPr>
          <w:rFonts w:hint="eastAsia" w:ascii="黑体" w:hAnsi="黑体" w:eastAsia="黑体" w:cs="黑体"/>
          <w:b/>
          <w:color w:val="auto"/>
          <w:sz w:val="32"/>
          <w:szCs w:val="32"/>
          <w:highlight w:val="none"/>
        </w:rPr>
        <w:t>、事故原因分析</w:t>
      </w:r>
      <w:bookmarkEnd w:id="18"/>
    </w:p>
    <w:p w14:paraId="15BC26D9">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Times New Roman"/>
          <w:color w:val="auto"/>
          <w:kern w:val="0"/>
          <w:sz w:val="32"/>
          <w:szCs w:val="32"/>
          <w:highlight w:val="none"/>
          <w:lang w:val="en-US" w:eastAsia="zh-CN" w:bidi="ar"/>
        </w:rPr>
      </w:pPr>
      <w:r>
        <w:rPr>
          <w:rFonts w:hint="eastAsia" w:ascii="仿宋_GB2312" w:hAnsi="仿宋" w:cs="仿宋_GB2312"/>
          <w:b w:val="0"/>
          <w:bCs w:val="0"/>
          <w:color w:val="auto"/>
          <w:kern w:val="0"/>
          <w:sz w:val="32"/>
          <w:szCs w:val="32"/>
          <w:highlight w:val="none"/>
          <w:lang w:val="en-US" w:eastAsia="zh-CN" w:bidi="ar-SA"/>
        </w:rPr>
        <w:t>事故直接原因：陈**测量车棚顶部镂空部位尺寸时不慎从钢结构车棚顶部坠落至地面。</w:t>
      </w:r>
    </w:p>
    <w:p w14:paraId="1A8691E2">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kern w:val="0"/>
          <w:sz w:val="32"/>
          <w:szCs w:val="32"/>
          <w:highlight w:val="none"/>
          <w:lang w:val="en-US" w:eastAsia="zh-CN" w:bidi="ar"/>
        </w:rPr>
      </w:pPr>
      <w:bookmarkStart w:id="19" w:name="_Toc4591"/>
      <w:r>
        <w:rPr>
          <w:rFonts w:hint="eastAsia" w:ascii="楷体_GB2312" w:hAnsi="楷体_GB2312" w:eastAsia="楷体_GB2312" w:cs="楷体_GB2312"/>
          <w:b/>
          <w:bCs/>
          <w:color w:val="auto"/>
          <w:kern w:val="0"/>
          <w:sz w:val="32"/>
          <w:szCs w:val="32"/>
          <w:highlight w:val="none"/>
          <w:lang w:val="en-US" w:eastAsia="zh-CN" w:bidi="ar"/>
        </w:rPr>
        <w:t>（一）直接原因分析</w:t>
      </w:r>
      <w:bookmarkEnd w:id="19"/>
    </w:p>
    <w:p w14:paraId="08F34557">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default" w:ascii="仿宋_GB2312" w:hAnsi="仿宋" w:eastAsia="仿宋_GB2312" w:cs="仿宋_GB2312"/>
          <w:b w:val="0"/>
          <w:bCs w:val="0"/>
          <w:color w:val="auto"/>
          <w:kern w:val="0"/>
          <w:sz w:val="32"/>
          <w:szCs w:val="32"/>
          <w:highlight w:val="none"/>
          <w:lang w:val="en-US" w:eastAsia="zh-CN" w:bidi="ar-SA"/>
        </w:rPr>
      </w:pPr>
      <w:r>
        <w:rPr>
          <w:rFonts w:hint="eastAsia" w:ascii="仿宋_GB2312" w:hAnsi="Calibri" w:eastAsia="仿宋_GB2312" w:cs="仿宋_GB2312"/>
          <w:b/>
          <w:bCs/>
          <w:i w:val="0"/>
          <w:iCs w:val="0"/>
          <w:caps w:val="0"/>
          <w:color w:val="auto"/>
          <w:spacing w:val="0"/>
          <w:sz w:val="32"/>
          <w:szCs w:val="32"/>
          <w:highlight w:val="none"/>
          <w:shd w:val="clear" w:fill="FFFFFF"/>
          <w:lang w:val="en-US" w:eastAsia="zh-CN" w:bidi="ar-SA"/>
        </w:rPr>
        <w:t>一是陈**存在侥幸心理和麻痹思想。</w:t>
      </w:r>
      <w:r>
        <w:rPr>
          <w:rFonts w:hint="eastAsia" w:ascii="仿宋_GB2312" w:hAnsi="仿宋" w:eastAsia="仿宋_GB2312" w:cs="仿宋_GB2312"/>
          <w:b w:val="0"/>
          <w:bCs w:val="0"/>
          <w:color w:val="auto"/>
          <w:kern w:val="0"/>
          <w:sz w:val="32"/>
          <w:szCs w:val="32"/>
          <w:highlight w:val="none"/>
          <w:lang w:val="en-US" w:eastAsia="zh-CN" w:bidi="ar-SA"/>
        </w:rPr>
        <w:t>在高处作业过程中，未按照高处作业安全规范要求佩戴安全帽和系安全带。中华人民共和国国家标准GB/T3608-2025《高处作业分级》3.1</w:t>
      </w:r>
      <w:r>
        <w:rPr>
          <w:rStyle w:val="22"/>
          <w:rFonts w:hint="eastAsia" w:ascii="仿宋_GB2312" w:hAnsi="仿宋_GB2312" w:eastAsia="仿宋_GB2312" w:cs="仿宋_GB2312"/>
          <w:color w:val="auto"/>
          <w:sz w:val="32"/>
          <w:szCs w:val="32"/>
          <w:highlight w:val="none"/>
          <w:lang w:val="en-US" w:eastAsia="zh-CN"/>
        </w:rPr>
        <w:t>[</w:t>
      </w:r>
      <w:r>
        <w:rPr>
          <w:rStyle w:val="22"/>
          <w:rFonts w:hint="eastAsia" w:ascii="仿宋_GB2312" w:hAnsi="仿宋_GB2312" w:eastAsia="仿宋_GB2312" w:cs="仿宋_GB2312"/>
          <w:color w:val="auto"/>
          <w:sz w:val="32"/>
          <w:szCs w:val="32"/>
          <w:highlight w:val="none"/>
          <w:lang w:val="en-US" w:eastAsia="zh-CN"/>
        </w:rPr>
        <w:footnoteReference w:id="0"/>
      </w:r>
      <w:r>
        <w:rPr>
          <w:rStyle w:val="22"/>
          <w:rFonts w:hint="eastAsia" w:ascii="仿宋_GB2312" w:hAnsi="仿宋_GB2312" w:eastAsia="仿宋_GB2312" w:cs="仿宋_GB2312"/>
          <w:color w:val="auto"/>
          <w:sz w:val="32"/>
          <w:szCs w:val="32"/>
          <w:highlight w:val="none"/>
          <w:lang w:val="en-US" w:eastAsia="zh-CN"/>
        </w:rPr>
        <w:t>]</w:t>
      </w:r>
      <w:r>
        <w:rPr>
          <w:rFonts w:hint="eastAsia" w:ascii="仿宋_GB2312" w:hAnsi="仿宋" w:eastAsia="仿宋_GB2312" w:cs="仿宋_GB2312"/>
          <w:b w:val="0"/>
          <w:bCs w:val="0"/>
          <w:color w:val="auto"/>
          <w:kern w:val="0"/>
          <w:sz w:val="32"/>
          <w:szCs w:val="32"/>
          <w:highlight w:val="none"/>
          <w:lang w:val="en-US" w:eastAsia="zh-CN" w:bidi="ar-SA"/>
        </w:rPr>
        <w:t>，事故现场坠落高度约5.66米，属于高处作业。</w:t>
      </w:r>
    </w:p>
    <w:p w14:paraId="3A895C26">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二是作业环境不良。</w:t>
      </w:r>
      <w:r>
        <w:rPr>
          <w:rFonts w:hint="eastAsia" w:ascii="仿宋_GB2312" w:hAnsi="仿宋" w:eastAsia="仿宋_GB2312" w:cs="仿宋_GB2312"/>
          <w:b w:val="0"/>
          <w:bCs w:val="0"/>
          <w:color w:val="auto"/>
          <w:kern w:val="0"/>
          <w:sz w:val="32"/>
          <w:szCs w:val="32"/>
          <w:highlight w:val="none"/>
          <w:lang w:val="en-US" w:eastAsia="zh-CN" w:bidi="ar-SA"/>
        </w:rPr>
        <w:t>事发钢结构车棚顶部镂空部位较多，且未铺设操作平台，作业人员需在钢结构镂空部位之间移动作业，坠落风险高。</w:t>
      </w:r>
    </w:p>
    <w:p w14:paraId="600D277A">
      <w:pPr>
        <w:keepNext w:val="0"/>
        <w:keepLines w:val="0"/>
        <w:pageBreakBefore w:val="0"/>
        <w:widowControl/>
        <w:suppressLineNumbers w:val="0"/>
        <w:kinsoku/>
        <w:overflowPunct w:val="0"/>
        <w:topLinePunct w:val="0"/>
        <w:autoSpaceDE/>
        <w:autoSpaceDN/>
        <w:bidi w:val="0"/>
        <w:adjustRightInd/>
        <w:snapToGrid/>
        <w:spacing w:line="560" w:lineRule="exact"/>
        <w:ind w:firstLine="632" w:firstLineChars="200"/>
        <w:jc w:val="both"/>
        <w:outlineLvl w:val="1"/>
        <w:rPr>
          <w:rFonts w:hint="eastAsia" w:ascii="楷体_GB2312" w:hAnsi="楷体_GB2312" w:eastAsia="楷体_GB2312" w:cs="楷体_GB2312"/>
          <w:b/>
          <w:bCs/>
          <w:color w:val="auto"/>
          <w:kern w:val="0"/>
          <w:sz w:val="32"/>
          <w:szCs w:val="32"/>
          <w:highlight w:val="none"/>
          <w:lang w:val="en-US" w:eastAsia="zh-CN" w:bidi="ar"/>
        </w:rPr>
      </w:pPr>
      <w:bookmarkStart w:id="20" w:name="_Toc108"/>
      <w:r>
        <w:rPr>
          <w:rFonts w:hint="eastAsia" w:ascii="楷体_GB2312" w:hAnsi="楷体_GB2312" w:eastAsia="楷体_GB2312" w:cs="楷体_GB2312"/>
          <w:b/>
          <w:bCs/>
          <w:color w:val="auto"/>
          <w:kern w:val="0"/>
          <w:sz w:val="32"/>
          <w:szCs w:val="32"/>
          <w:highlight w:val="none"/>
          <w:lang w:val="en-US" w:eastAsia="zh-CN" w:bidi="ar"/>
        </w:rPr>
        <w:t>（二）间接原因分析</w:t>
      </w:r>
      <w:bookmarkEnd w:id="20"/>
    </w:p>
    <w:p w14:paraId="5E76F4D0">
      <w:pPr>
        <w:pStyle w:val="5"/>
        <w:keepNext w:val="0"/>
        <w:keepLines w:val="0"/>
        <w:pageBreakBefore w:val="0"/>
        <w:widowControl w:val="0"/>
        <w:tabs>
          <w:tab w:val="left" w:pos="2205"/>
        </w:tabs>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1.事故现场管理方面</w:t>
      </w:r>
      <w:r>
        <w:rPr>
          <w:rFonts w:hint="default"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b/>
          <w:bCs/>
          <w:color w:val="auto"/>
          <w:kern w:val="2"/>
          <w:sz w:val="32"/>
          <w:szCs w:val="32"/>
          <w:highlight w:val="none"/>
          <w:lang w:val="en-US" w:eastAsia="zh-CN" w:bidi="ar-SA"/>
        </w:rPr>
        <w:t>一是</w:t>
      </w:r>
      <w:r>
        <w:rPr>
          <w:rFonts w:hint="default" w:ascii="仿宋_GB2312" w:hAnsi="仿宋" w:eastAsia="仿宋_GB2312" w:cs="仿宋_GB2312"/>
          <w:b w:val="0"/>
          <w:bCs w:val="0"/>
          <w:color w:val="auto"/>
          <w:kern w:val="0"/>
          <w:sz w:val="32"/>
          <w:szCs w:val="32"/>
          <w:highlight w:val="none"/>
          <w:lang w:val="en-US" w:eastAsia="zh-CN" w:bidi="ar-SA"/>
        </w:rPr>
        <w:t>事发区域缺少必要的防坠落设施，未能形成有效的物理防护屏障，导致人员一旦坠落便无最后一道防线。</w:t>
      </w:r>
      <w:r>
        <w:rPr>
          <w:rFonts w:hint="eastAsia" w:ascii="仿宋_GB2312" w:hAnsi="仿宋" w:eastAsia="仿宋_GB2312" w:cs="仿宋_GB2312"/>
          <w:b/>
          <w:bCs/>
          <w:color w:val="auto"/>
          <w:kern w:val="0"/>
          <w:sz w:val="32"/>
          <w:szCs w:val="32"/>
          <w:highlight w:val="none"/>
          <w:lang w:val="en-US" w:eastAsia="zh-CN" w:bidi="ar-SA"/>
        </w:rPr>
        <w:t>二是</w:t>
      </w:r>
      <w:r>
        <w:rPr>
          <w:rFonts w:hint="eastAsia" w:ascii="仿宋_GB2312" w:hAnsi="仿宋" w:eastAsia="仿宋_GB2312" w:cs="仿宋_GB2312"/>
          <w:b w:val="0"/>
          <w:bCs w:val="0"/>
          <w:color w:val="auto"/>
          <w:kern w:val="0"/>
          <w:sz w:val="32"/>
          <w:szCs w:val="32"/>
          <w:highlight w:val="none"/>
          <w:lang w:val="en-US" w:eastAsia="zh-CN" w:bidi="ar-SA"/>
        </w:rPr>
        <w:t>施工单位组织未取得高处作业证的从业人员进行施工，经查，陈**本人并无相关高处作业证。</w:t>
      </w:r>
    </w:p>
    <w:p w14:paraId="55C15B6E">
      <w:pPr>
        <w:pStyle w:val="5"/>
        <w:keepNext w:val="0"/>
        <w:keepLines w:val="0"/>
        <w:pageBreakBefore w:val="0"/>
        <w:widowControl w:val="0"/>
        <w:tabs>
          <w:tab w:val="left" w:pos="2205"/>
        </w:tabs>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2.安全教育方面。</w:t>
      </w:r>
      <w:r>
        <w:rPr>
          <w:rFonts w:hint="eastAsia" w:ascii="仿宋_GB2312" w:hAnsi="仿宋" w:eastAsia="仿宋_GB2312" w:cs="仿宋_GB2312"/>
          <w:b w:val="0"/>
          <w:bCs w:val="0"/>
          <w:color w:val="auto"/>
          <w:kern w:val="0"/>
          <w:sz w:val="32"/>
          <w:szCs w:val="32"/>
          <w:highlight w:val="none"/>
          <w:lang w:val="en-US" w:eastAsia="zh-CN" w:bidi="ar-SA"/>
        </w:rPr>
        <w:t>施工单位未对从业人员进行安全生产教育和培训，</w:t>
      </w:r>
      <w:r>
        <w:rPr>
          <w:rFonts w:hint="default" w:ascii="仿宋_GB2312" w:hAnsi="仿宋" w:eastAsia="仿宋_GB2312" w:cs="仿宋_GB2312"/>
          <w:b w:val="0"/>
          <w:bCs w:val="0"/>
          <w:color w:val="auto"/>
          <w:kern w:val="0"/>
          <w:sz w:val="32"/>
          <w:szCs w:val="32"/>
          <w:highlight w:val="none"/>
          <w:lang w:val="en-US" w:eastAsia="zh-CN" w:bidi="ar-SA"/>
        </w:rPr>
        <w:t>未对施工人员持证情况实施核查</w:t>
      </w:r>
      <w:r>
        <w:rPr>
          <w:rFonts w:hint="eastAsia" w:ascii="仿宋_GB2312" w:hAnsi="仿宋" w:eastAsia="仿宋_GB2312" w:cs="仿宋_GB2312"/>
          <w:b w:val="0"/>
          <w:bCs w:val="0"/>
          <w:color w:val="auto"/>
          <w:kern w:val="0"/>
          <w:sz w:val="32"/>
          <w:szCs w:val="32"/>
          <w:highlight w:val="none"/>
          <w:lang w:val="en-US" w:eastAsia="zh-CN" w:bidi="ar-SA"/>
        </w:rPr>
        <w:t>。</w:t>
      </w:r>
    </w:p>
    <w:p w14:paraId="4B8C74CA">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outlineLvl w:val="0"/>
        <w:rPr>
          <w:rFonts w:ascii="黑体" w:hAnsi="黑体" w:eastAsia="黑体" w:cs="黑体"/>
          <w:b/>
          <w:color w:val="auto"/>
          <w:sz w:val="32"/>
          <w:szCs w:val="32"/>
          <w:highlight w:val="none"/>
        </w:rPr>
      </w:pPr>
      <w:bookmarkStart w:id="21" w:name="_Toc14538"/>
      <w:r>
        <w:rPr>
          <w:rFonts w:hint="eastAsia" w:ascii="黑体" w:hAnsi="黑体" w:eastAsia="黑体" w:cs="黑体"/>
          <w:b/>
          <w:color w:val="auto"/>
          <w:sz w:val="32"/>
          <w:szCs w:val="32"/>
          <w:highlight w:val="none"/>
          <w:lang w:val="en-US" w:eastAsia="zh-CN"/>
        </w:rPr>
        <w:t>四</w:t>
      </w:r>
      <w:r>
        <w:rPr>
          <w:rFonts w:hint="eastAsia" w:ascii="黑体" w:hAnsi="黑体" w:eastAsia="黑体" w:cs="黑体"/>
          <w:b/>
          <w:color w:val="auto"/>
          <w:sz w:val="32"/>
          <w:szCs w:val="32"/>
          <w:highlight w:val="none"/>
        </w:rPr>
        <w:t>、有关责任单位存在的问题</w:t>
      </w:r>
      <w:bookmarkEnd w:id="21"/>
    </w:p>
    <w:p w14:paraId="7402A41C">
      <w:pPr>
        <w:keepNext w:val="0"/>
        <w:keepLines w:val="0"/>
        <w:pageBreakBefore w:val="0"/>
        <w:widowControl/>
        <w:suppressLineNumbers w:val="0"/>
        <w:kinsoku/>
        <w:overflowPunct w:val="0"/>
        <w:topLinePunct w:val="0"/>
        <w:autoSpaceDE/>
        <w:autoSpaceDN/>
        <w:bidi w:val="0"/>
        <w:adjustRightInd/>
        <w:snapToGrid/>
        <w:spacing w:line="560" w:lineRule="exact"/>
        <w:ind w:firstLine="632" w:firstLineChars="200"/>
        <w:jc w:val="both"/>
        <w:rPr>
          <w:rFonts w:hint="default" w:ascii="仿宋_GB2312" w:hAnsi="仿宋_GB2312" w:cs="仿宋_GB2312"/>
          <w:b/>
          <w:bCs/>
          <w:color w:val="auto"/>
          <w:kern w:val="2"/>
          <w:sz w:val="32"/>
          <w:szCs w:val="32"/>
          <w:highlight w:val="none"/>
          <w:lang w:val="en-US" w:eastAsia="zh-CN" w:bidi="ar-SA"/>
        </w:rPr>
      </w:pPr>
      <w:r>
        <w:rPr>
          <w:rFonts w:hint="eastAsia" w:ascii="仿宋_GB2312" w:hAnsi="仿宋_GB2312" w:cs="仿宋_GB2312"/>
          <w:b/>
          <w:bCs/>
          <w:color w:val="auto"/>
          <w:kern w:val="2"/>
          <w:sz w:val="32"/>
          <w:szCs w:val="32"/>
          <w:highlight w:val="none"/>
          <w:lang w:val="en-US" w:eastAsia="zh-CN" w:bidi="ar-SA"/>
        </w:rPr>
        <w:t>1.棱恒公司存在的问题</w:t>
      </w:r>
    </w:p>
    <w:p w14:paraId="73C4D256">
      <w:pPr>
        <w:pStyle w:val="5"/>
        <w:keepNext w:val="0"/>
        <w:keepLines w:val="0"/>
        <w:pageBreakBefore w:val="0"/>
        <w:widowControl w:val="0"/>
        <w:tabs>
          <w:tab w:val="left" w:pos="2205"/>
        </w:tabs>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 w:eastAsia="仿宋_GB2312" w:cs="仿宋_GB2312"/>
          <w:b w:val="0"/>
          <w:bCs w:val="0"/>
          <w:color w:val="auto"/>
          <w:kern w:val="0"/>
          <w:sz w:val="32"/>
          <w:szCs w:val="32"/>
          <w:highlight w:val="none"/>
          <w:lang w:val="en-US" w:eastAsia="zh-CN" w:bidi="ar-SA"/>
        </w:rPr>
        <w:t>棱恒公司作为施工单位，安全生产主体责任落实不到位，具体表现为：</w:t>
      </w:r>
    </w:p>
    <w:p w14:paraId="33A6707C">
      <w:pPr>
        <w:pStyle w:val="5"/>
        <w:keepNext w:val="0"/>
        <w:keepLines w:val="0"/>
        <w:pageBreakBefore w:val="0"/>
        <w:widowControl w:val="0"/>
        <w:tabs>
          <w:tab w:val="left" w:pos="2205"/>
        </w:tabs>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（一）未依法对从业人员进行安全生产教育和培训。</w:t>
      </w:r>
      <w:r>
        <w:rPr>
          <w:rFonts w:hint="eastAsia" w:ascii="仿宋_GB2312" w:hAnsi="仿宋" w:eastAsia="仿宋_GB2312" w:cs="仿宋_GB2312"/>
          <w:b w:val="0"/>
          <w:bCs w:val="0"/>
          <w:color w:val="auto"/>
          <w:kern w:val="0"/>
          <w:sz w:val="32"/>
          <w:szCs w:val="32"/>
          <w:highlight w:val="none"/>
          <w:lang w:val="en-US" w:eastAsia="zh-CN" w:bidi="ar-SA"/>
        </w:rPr>
        <w:t>棱恒公司未保证从业人员具备必要的安全生产知识，未使其熟悉有关安全规章制度和安全操作规程，未使其掌握本岗位安全操作技能</w:t>
      </w:r>
      <w:r>
        <w:rPr>
          <w:rStyle w:val="22"/>
          <w:rFonts w:hint="eastAsia" w:ascii="仿宋_GB2312" w:hAnsi="仿宋_GB2312" w:eastAsia="仿宋_GB2312" w:cs="仿宋_GB2312"/>
          <w:color w:val="auto"/>
          <w:sz w:val="32"/>
          <w:szCs w:val="32"/>
          <w:highlight w:val="none"/>
          <w:lang w:val="en-US" w:eastAsia="zh-CN"/>
        </w:rPr>
        <w:t>[</w:t>
      </w:r>
      <w:r>
        <w:rPr>
          <w:rStyle w:val="22"/>
          <w:rFonts w:hint="eastAsia" w:ascii="仿宋_GB2312" w:hAnsi="仿宋_GB2312" w:eastAsia="仿宋_GB2312" w:cs="仿宋_GB2312"/>
          <w:color w:val="auto"/>
          <w:sz w:val="32"/>
          <w:szCs w:val="32"/>
          <w:highlight w:val="none"/>
          <w:lang w:val="en-US" w:eastAsia="zh-CN"/>
        </w:rPr>
        <w:footnoteReference w:id="1"/>
      </w:r>
      <w:r>
        <w:rPr>
          <w:rStyle w:val="22"/>
          <w:rFonts w:hint="eastAsia" w:ascii="仿宋_GB2312" w:hAnsi="仿宋_GB2312" w:eastAsia="仿宋_GB2312" w:cs="仿宋_GB2312"/>
          <w:color w:val="auto"/>
          <w:sz w:val="32"/>
          <w:szCs w:val="32"/>
          <w:highlight w:val="none"/>
          <w:lang w:val="en-US" w:eastAsia="zh-CN"/>
        </w:rPr>
        <w:t>]</w:t>
      </w:r>
      <w:r>
        <w:rPr>
          <w:rFonts w:hint="eastAsia" w:ascii="仿宋_GB2312" w:hAnsi="仿宋" w:eastAsia="仿宋_GB2312" w:cs="仿宋_GB2312"/>
          <w:b w:val="0"/>
          <w:bCs w:val="0"/>
          <w:color w:val="auto"/>
          <w:kern w:val="0"/>
          <w:sz w:val="32"/>
          <w:szCs w:val="32"/>
          <w:highlight w:val="none"/>
          <w:lang w:val="en-US" w:eastAsia="zh-CN" w:bidi="ar-SA"/>
        </w:rPr>
        <w:t>。</w:t>
      </w:r>
    </w:p>
    <w:p w14:paraId="344A649D">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（二）安全管理规章制度缺失。</w:t>
      </w:r>
      <w:r>
        <w:rPr>
          <w:rFonts w:hint="eastAsia" w:ascii="仿宋_GB2312" w:hAnsi="仿宋" w:eastAsia="仿宋_GB2312" w:cs="仿宋_GB2312"/>
          <w:b w:val="0"/>
          <w:bCs w:val="0"/>
          <w:color w:val="auto"/>
          <w:kern w:val="0"/>
          <w:sz w:val="32"/>
          <w:szCs w:val="32"/>
          <w:highlight w:val="none"/>
          <w:lang w:val="en-US" w:eastAsia="zh-CN" w:bidi="ar-SA"/>
        </w:rPr>
        <w:t>棱恒公司未建立全员安全生产责任制、安全生产教育和培训制度、安全风险分级管控和隐患排查治理制度等必要的规章制度</w:t>
      </w:r>
      <w:r>
        <w:rPr>
          <w:rStyle w:val="22"/>
          <w:rFonts w:hint="eastAsia" w:ascii="仿宋_GB2312" w:hAnsi="仿宋_GB2312" w:eastAsia="仿宋_GB2312" w:cs="仿宋_GB2312"/>
          <w:color w:val="auto"/>
          <w:sz w:val="32"/>
          <w:szCs w:val="32"/>
          <w:highlight w:val="none"/>
          <w:lang w:val="en-US" w:eastAsia="zh-CN"/>
        </w:rPr>
        <w:t>[</w:t>
      </w:r>
      <w:r>
        <w:rPr>
          <w:rStyle w:val="22"/>
          <w:rFonts w:hint="eastAsia" w:ascii="仿宋_GB2312" w:hAnsi="仿宋_GB2312" w:eastAsia="仿宋_GB2312" w:cs="仿宋_GB2312"/>
          <w:color w:val="auto"/>
          <w:sz w:val="32"/>
          <w:szCs w:val="32"/>
          <w:highlight w:val="none"/>
          <w:lang w:val="en-US" w:eastAsia="zh-CN"/>
        </w:rPr>
        <w:footnoteReference w:id="2"/>
      </w:r>
      <w:r>
        <w:rPr>
          <w:rStyle w:val="22"/>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p>
    <w:p w14:paraId="6CD05DA8">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Style w:val="22"/>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（三）危险作业现场安全管理不落实。</w:t>
      </w:r>
      <w:r>
        <w:rPr>
          <w:rFonts w:hint="eastAsia" w:ascii="仿宋_GB2312" w:hAnsi="仿宋_GB2312" w:eastAsia="仿宋_GB2312" w:cs="仿宋_GB2312"/>
          <w:color w:val="auto"/>
          <w:kern w:val="2"/>
          <w:sz w:val="32"/>
          <w:szCs w:val="32"/>
          <w:highlight w:val="none"/>
          <w:lang w:val="en-US" w:eastAsia="zh-CN" w:bidi="ar-SA"/>
        </w:rPr>
        <w:t>在作业人员从事高处危险作业过程中，棱恒公司未安排专门人员进行现场安全管理，未确保作业人员落实安全防护措施</w:t>
      </w:r>
      <w:r>
        <w:rPr>
          <w:rStyle w:val="22"/>
          <w:rFonts w:hint="eastAsia" w:ascii="仿宋_GB2312" w:hAnsi="仿宋_GB2312" w:eastAsia="仿宋_GB2312" w:cs="仿宋_GB2312"/>
          <w:color w:val="auto"/>
          <w:sz w:val="32"/>
          <w:szCs w:val="32"/>
          <w:highlight w:val="none"/>
          <w:lang w:val="en-US" w:eastAsia="zh-CN"/>
        </w:rPr>
        <w:t>[</w:t>
      </w:r>
      <w:r>
        <w:rPr>
          <w:rStyle w:val="22"/>
          <w:rFonts w:hint="eastAsia" w:ascii="仿宋_GB2312" w:hAnsi="仿宋_GB2312" w:eastAsia="仿宋_GB2312" w:cs="仿宋_GB2312"/>
          <w:color w:val="auto"/>
          <w:sz w:val="32"/>
          <w:szCs w:val="32"/>
          <w:highlight w:val="none"/>
          <w:lang w:val="en-US" w:eastAsia="zh-CN"/>
        </w:rPr>
        <w:footnoteReference w:id="3"/>
      </w:r>
      <w:r>
        <w:rPr>
          <w:rStyle w:val="22"/>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w:t>
      </w:r>
    </w:p>
    <w:p w14:paraId="68A55BFA">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pPr>
      <w:r>
        <w:rPr>
          <w:rFonts w:hint="eastAsia" w:ascii="仿宋_GB2312" w:hAnsi="仿宋_GB2312" w:eastAsia="仿宋_GB2312" w:cs="仿宋_GB2312"/>
          <w:b/>
          <w:bCs/>
          <w:color w:val="auto"/>
          <w:sz w:val="32"/>
          <w:szCs w:val="32"/>
          <w:highlight w:val="none"/>
          <w:lang w:val="en-US" w:eastAsia="zh-CN"/>
        </w:rPr>
        <w:t>（四）违规组织</w:t>
      </w:r>
      <w:r>
        <w:rPr>
          <w:rFonts w:hint="eastAsia" w:ascii="仿宋_GB2312" w:hAnsi="仿宋_GB2312" w:eastAsia="仿宋_GB2312" w:cs="仿宋_GB2312"/>
          <w:b/>
          <w:bCs/>
          <w:color w:val="auto"/>
          <w:sz w:val="32"/>
          <w:szCs w:val="32"/>
          <w:highlight w:val="none"/>
        </w:rPr>
        <w:t>未取得特种作业资格的人员从事高处作业</w:t>
      </w:r>
      <w:r>
        <w:rPr>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color w:val="auto"/>
          <w:kern w:val="2"/>
          <w:sz w:val="32"/>
          <w:szCs w:val="32"/>
          <w:highlight w:val="none"/>
          <w:lang w:val="en-US" w:eastAsia="zh-CN" w:bidi="ar-SA"/>
        </w:rPr>
        <w:t>棱恒公司组织未取得特种作业操作证的人员从事高处作业</w:t>
      </w:r>
      <w:r>
        <w:rPr>
          <w:rStyle w:val="22"/>
          <w:rFonts w:hint="eastAsia" w:ascii="仿宋_GB2312" w:hAnsi="仿宋_GB2312" w:eastAsia="仿宋_GB2312" w:cs="仿宋_GB2312"/>
          <w:color w:val="auto"/>
          <w:sz w:val="32"/>
          <w:szCs w:val="32"/>
          <w:highlight w:val="none"/>
          <w:lang w:val="en-US" w:eastAsia="zh-CN"/>
        </w:rPr>
        <w:t>[</w:t>
      </w:r>
      <w:r>
        <w:rPr>
          <w:rStyle w:val="22"/>
          <w:rFonts w:hint="eastAsia" w:ascii="仿宋_GB2312" w:hAnsi="仿宋_GB2312" w:eastAsia="仿宋_GB2312" w:cs="仿宋_GB2312"/>
          <w:color w:val="auto"/>
          <w:sz w:val="32"/>
          <w:szCs w:val="32"/>
          <w:highlight w:val="none"/>
          <w:lang w:val="en-US" w:eastAsia="zh-CN"/>
        </w:rPr>
        <w:footnoteReference w:id="4"/>
      </w:r>
      <w:r>
        <w:rPr>
          <w:rStyle w:val="22"/>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p>
    <w:p w14:paraId="3C618753">
      <w:pPr>
        <w:keepNext w:val="0"/>
        <w:keepLines w:val="0"/>
        <w:pageBreakBefore w:val="0"/>
        <w:widowControl/>
        <w:suppressLineNumbers w:val="0"/>
        <w:kinsoku/>
        <w:overflowPunct w:val="0"/>
        <w:topLinePunct w:val="0"/>
        <w:autoSpaceDE/>
        <w:autoSpaceDN/>
        <w:bidi w:val="0"/>
        <w:adjustRightInd/>
        <w:snapToGrid/>
        <w:spacing w:line="560" w:lineRule="exact"/>
        <w:ind w:firstLine="632" w:firstLineChars="200"/>
        <w:jc w:val="both"/>
        <w:rPr>
          <w:rFonts w:hint="eastAsia" w:ascii="仿宋_GB2312" w:hAnsi="仿宋_GB2312" w:cs="仿宋_GB2312"/>
          <w:b/>
          <w:bCs/>
          <w:color w:val="auto"/>
          <w:kern w:val="2"/>
          <w:sz w:val="32"/>
          <w:szCs w:val="32"/>
          <w:highlight w:val="none"/>
          <w:lang w:val="en-US" w:eastAsia="zh-CN" w:bidi="ar-SA"/>
        </w:rPr>
      </w:pPr>
      <w:r>
        <w:rPr>
          <w:rFonts w:hint="eastAsia" w:ascii="仿宋_GB2312" w:hAnsi="仿宋_GB2312" w:cs="仿宋_GB2312"/>
          <w:b/>
          <w:bCs/>
          <w:color w:val="auto"/>
          <w:kern w:val="2"/>
          <w:sz w:val="32"/>
          <w:szCs w:val="32"/>
          <w:highlight w:val="none"/>
          <w:lang w:val="en-US" w:eastAsia="zh-CN" w:bidi="ar-SA"/>
        </w:rPr>
        <w:t>2.双程公司存在的问题</w:t>
      </w:r>
    </w:p>
    <w:p w14:paraId="2C14F31D">
      <w:pPr>
        <w:keepNext w:val="0"/>
        <w:keepLines w:val="0"/>
        <w:pageBreakBefore w:val="0"/>
        <w:widowControl/>
        <w:suppressLineNumbers w:val="0"/>
        <w:kinsoku/>
        <w:overflowPunct w:val="0"/>
        <w:topLinePunct w:val="0"/>
        <w:autoSpaceDE/>
        <w:autoSpaceDN/>
        <w:bidi w:val="0"/>
        <w:adjustRightInd/>
        <w:snapToGrid/>
        <w:spacing w:line="560" w:lineRule="exact"/>
        <w:ind w:firstLine="632" w:firstLineChars="200"/>
        <w:jc w:val="both"/>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cs="仿宋_GB2312"/>
          <w:b w:val="0"/>
          <w:bCs w:val="0"/>
          <w:color w:val="auto"/>
          <w:kern w:val="2"/>
          <w:sz w:val="32"/>
          <w:szCs w:val="32"/>
          <w:highlight w:val="none"/>
          <w:lang w:val="en-US" w:eastAsia="zh-CN" w:bidi="ar-SA"/>
        </w:rPr>
        <w:t>双程公司作为建设单位，将工程发包给不具备施工资质的单位</w:t>
      </w:r>
      <w:r>
        <w:rPr>
          <w:rStyle w:val="22"/>
          <w:rFonts w:hint="eastAsia" w:ascii="仿宋_GB2312" w:hAnsi="仿宋_GB2312" w:cs="仿宋_GB2312"/>
          <w:b w:val="0"/>
          <w:bCs w:val="0"/>
          <w:color w:val="auto"/>
          <w:kern w:val="2"/>
          <w:sz w:val="32"/>
          <w:szCs w:val="32"/>
          <w:highlight w:val="none"/>
          <w:lang w:val="en-US" w:eastAsia="zh-CN" w:bidi="ar-SA"/>
        </w:rPr>
        <w:t>[</w:t>
      </w:r>
      <w:r>
        <w:rPr>
          <w:rStyle w:val="22"/>
          <w:rFonts w:hint="eastAsia" w:ascii="仿宋_GB2312" w:hAnsi="仿宋_GB2312" w:cs="仿宋_GB2312"/>
          <w:b w:val="0"/>
          <w:bCs w:val="0"/>
          <w:color w:val="auto"/>
          <w:kern w:val="2"/>
          <w:sz w:val="32"/>
          <w:szCs w:val="32"/>
          <w:highlight w:val="none"/>
          <w:lang w:val="en-US" w:eastAsia="zh-CN" w:bidi="ar-SA"/>
        </w:rPr>
        <w:footnoteReference w:id="5"/>
      </w:r>
      <w:r>
        <w:rPr>
          <w:rStyle w:val="22"/>
          <w:rFonts w:hint="eastAsia" w:ascii="仿宋_GB2312" w:hAnsi="仿宋_GB2312" w:cs="仿宋_GB2312"/>
          <w:b w:val="0"/>
          <w:bCs w:val="0"/>
          <w:color w:val="auto"/>
          <w:kern w:val="2"/>
          <w:sz w:val="32"/>
          <w:szCs w:val="32"/>
          <w:highlight w:val="none"/>
          <w:lang w:val="en-US" w:eastAsia="zh-CN" w:bidi="ar-SA"/>
        </w:rPr>
        <w:t>]</w:t>
      </w:r>
      <w:r>
        <w:rPr>
          <w:rFonts w:hint="eastAsia" w:ascii="仿宋_GB2312" w:hAnsi="仿宋_GB2312" w:cs="仿宋_GB2312"/>
          <w:b w:val="0"/>
          <w:bCs w:val="0"/>
          <w:color w:val="auto"/>
          <w:kern w:val="2"/>
          <w:sz w:val="32"/>
          <w:szCs w:val="32"/>
          <w:highlight w:val="none"/>
          <w:lang w:val="en-US" w:eastAsia="zh-CN" w:bidi="ar-SA"/>
        </w:rPr>
        <w:t>。</w:t>
      </w:r>
      <w:r>
        <w:rPr>
          <w:rFonts w:hint="eastAsia" w:ascii="仿宋_GB2312" w:hAnsi="Calibri" w:eastAsia="仿宋_GB2312" w:cs="仿宋_GB2312"/>
          <w:i w:val="0"/>
          <w:iCs w:val="0"/>
          <w:caps w:val="0"/>
          <w:color w:val="auto"/>
          <w:spacing w:val="0"/>
          <w:sz w:val="32"/>
          <w:szCs w:val="32"/>
          <w:highlight w:val="none"/>
          <w:u w:val="none"/>
          <w:shd w:val="clear" w:fill="FFFFFF"/>
        </w:rPr>
        <w:t>未履行安全生产统一协调管理义务</w:t>
      </w:r>
      <w:r>
        <w:rPr>
          <w:rFonts w:hint="eastAsia" w:ascii="仿宋_GB2312" w:hAnsi="Calibri" w:cs="仿宋_GB2312"/>
          <w:i w:val="0"/>
          <w:iCs w:val="0"/>
          <w:caps w:val="0"/>
          <w:color w:val="auto"/>
          <w:spacing w:val="0"/>
          <w:sz w:val="32"/>
          <w:szCs w:val="32"/>
          <w:highlight w:val="none"/>
          <w:u w:val="none"/>
          <w:shd w:val="clear" w:fill="FFFFFF"/>
          <w:lang w:eastAsia="zh-CN"/>
        </w:rPr>
        <w:t>，</w:t>
      </w:r>
      <w:r>
        <w:rPr>
          <w:rFonts w:hint="eastAsia" w:ascii="仿宋_GB2312" w:hAnsi="仿宋_GB2312" w:cs="仿宋_GB2312"/>
          <w:b w:val="0"/>
          <w:bCs w:val="0"/>
          <w:color w:val="auto"/>
          <w:kern w:val="2"/>
          <w:sz w:val="32"/>
          <w:szCs w:val="32"/>
          <w:highlight w:val="none"/>
          <w:lang w:val="en-US" w:eastAsia="zh-CN" w:bidi="ar-SA"/>
        </w:rPr>
        <w:t>未与承包单位和个人签订专门的安全管理协议，未对施工现场进行安全检查</w:t>
      </w:r>
      <w:r>
        <w:rPr>
          <w:rStyle w:val="22"/>
          <w:rFonts w:hint="eastAsia" w:ascii="仿宋_GB2312" w:hAnsi="Calibri" w:eastAsia="仿宋_GB2312" w:cs="仿宋_GB2312"/>
          <w:i w:val="0"/>
          <w:iCs w:val="0"/>
          <w:caps w:val="0"/>
          <w:color w:val="auto"/>
          <w:spacing w:val="0"/>
          <w:sz w:val="32"/>
          <w:szCs w:val="32"/>
          <w:highlight w:val="none"/>
          <w:u w:val="none"/>
          <w:shd w:val="clear" w:fill="FFFFFF"/>
        </w:rPr>
        <w:t>[</w:t>
      </w:r>
      <w:r>
        <w:rPr>
          <w:rStyle w:val="22"/>
          <w:rFonts w:hint="eastAsia" w:ascii="仿宋_GB2312" w:hAnsi="Calibri" w:eastAsia="仿宋_GB2312" w:cs="仿宋_GB2312"/>
          <w:i w:val="0"/>
          <w:iCs w:val="0"/>
          <w:caps w:val="0"/>
          <w:color w:val="auto"/>
          <w:spacing w:val="0"/>
          <w:sz w:val="32"/>
          <w:szCs w:val="32"/>
          <w:highlight w:val="none"/>
          <w:u w:val="none"/>
          <w:shd w:val="clear" w:fill="FFFFFF"/>
        </w:rPr>
        <w:footnoteReference w:id="6"/>
      </w:r>
      <w:r>
        <w:rPr>
          <w:rStyle w:val="22"/>
          <w:rFonts w:hint="eastAsia" w:ascii="仿宋_GB2312" w:hAnsi="Calibri" w:eastAsia="仿宋_GB2312" w:cs="仿宋_GB2312"/>
          <w:i w:val="0"/>
          <w:iCs w:val="0"/>
          <w:caps w:val="0"/>
          <w:color w:val="auto"/>
          <w:spacing w:val="0"/>
          <w:sz w:val="32"/>
          <w:szCs w:val="32"/>
          <w:highlight w:val="none"/>
          <w:u w:val="none"/>
          <w:shd w:val="clear" w:fill="FFFFFF"/>
        </w:rPr>
        <w:t>]</w:t>
      </w:r>
      <w:r>
        <w:rPr>
          <w:rFonts w:hint="eastAsia" w:ascii="仿宋_GB2312" w:hAnsi="Calibri" w:cs="仿宋_GB2312"/>
          <w:i w:val="0"/>
          <w:iCs w:val="0"/>
          <w:caps w:val="0"/>
          <w:color w:val="auto"/>
          <w:spacing w:val="0"/>
          <w:sz w:val="32"/>
          <w:szCs w:val="32"/>
          <w:highlight w:val="none"/>
          <w:u w:val="none"/>
          <w:shd w:val="clear" w:fill="FFFFFF"/>
          <w:lang w:eastAsia="zh-CN"/>
        </w:rPr>
        <w:t>。</w:t>
      </w:r>
    </w:p>
    <w:p w14:paraId="4BDD8A23">
      <w:pPr>
        <w:pStyle w:val="5"/>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32" w:firstLineChars="200"/>
        <w:jc w:val="both"/>
        <w:outlineLvl w:val="0"/>
        <w:rPr>
          <w:rFonts w:ascii="黑体" w:hAnsi="宋体" w:eastAsia="黑体" w:cs="黑体"/>
          <w:b/>
          <w:bCs/>
          <w:i w:val="0"/>
          <w:iCs w:val="0"/>
          <w:caps w:val="0"/>
          <w:color w:val="auto"/>
          <w:spacing w:val="0"/>
          <w:sz w:val="32"/>
          <w:szCs w:val="32"/>
          <w:highlight w:val="none"/>
          <w:shd w:val="clear" w:fill="FFFFFF"/>
        </w:rPr>
      </w:pPr>
      <w:r>
        <w:rPr>
          <w:rFonts w:hint="eastAsia" w:ascii="黑体" w:hAnsi="黑体" w:eastAsia="黑体" w:cs="黑体"/>
          <w:b/>
          <w:color w:val="auto"/>
          <w:sz w:val="32"/>
          <w:szCs w:val="32"/>
          <w:highlight w:val="none"/>
          <w:lang w:val="en-US" w:eastAsia="zh-CN"/>
        </w:rPr>
        <w:t xml:space="preserve"> </w:t>
      </w:r>
      <w:bookmarkStart w:id="22" w:name="_Toc14238"/>
      <w:r>
        <w:rPr>
          <w:rFonts w:hint="eastAsia" w:ascii="黑体" w:hAnsi="黑体" w:eastAsia="黑体" w:cs="黑体"/>
          <w:b/>
          <w:color w:val="auto"/>
          <w:sz w:val="32"/>
          <w:szCs w:val="32"/>
          <w:highlight w:val="none"/>
          <w:lang w:val="en-US" w:eastAsia="zh-CN"/>
        </w:rPr>
        <w:t>五</w:t>
      </w:r>
      <w:r>
        <w:rPr>
          <w:rFonts w:hint="eastAsia" w:ascii="黑体" w:hAnsi="黑体" w:eastAsia="黑体" w:cs="黑体"/>
          <w:b/>
          <w:color w:val="auto"/>
          <w:sz w:val="32"/>
          <w:szCs w:val="32"/>
          <w:highlight w:val="none"/>
        </w:rPr>
        <w:t>、对有关责任人员和责任单位的处理意见</w:t>
      </w:r>
      <w:bookmarkEnd w:id="22"/>
    </w:p>
    <w:p w14:paraId="2F841FFC">
      <w:pPr>
        <w:keepNext w:val="0"/>
        <w:keepLines w:val="0"/>
        <w:pageBreakBefore w:val="0"/>
        <w:widowControl/>
        <w:suppressLineNumbers w:val="0"/>
        <w:kinsoku/>
        <w:overflowPunct w:val="0"/>
        <w:topLinePunct w:val="0"/>
        <w:autoSpaceDE/>
        <w:autoSpaceDN/>
        <w:bidi w:val="0"/>
        <w:adjustRightInd/>
        <w:snapToGrid/>
        <w:spacing w:line="560" w:lineRule="exact"/>
        <w:ind w:left="0" w:leftChars="0" w:firstLine="632" w:firstLineChars="200"/>
        <w:jc w:val="both"/>
        <w:outlineLvl w:val="1"/>
        <w:rPr>
          <w:rFonts w:hint="eastAsia" w:ascii="楷体_GB2312" w:hAnsi="楷体_GB2312" w:eastAsia="楷体_GB2312" w:cs="楷体_GB2312"/>
          <w:b/>
          <w:bCs/>
          <w:color w:val="auto"/>
          <w:kern w:val="0"/>
          <w:sz w:val="32"/>
          <w:szCs w:val="32"/>
          <w:highlight w:val="none"/>
          <w:lang w:val="en-US" w:eastAsia="zh-CN" w:bidi="ar"/>
        </w:rPr>
      </w:pPr>
      <w:bookmarkStart w:id="23" w:name="_Toc26889"/>
      <w:r>
        <w:rPr>
          <w:rFonts w:hint="eastAsia" w:ascii="楷体_GB2312" w:hAnsi="楷体_GB2312" w:eastAsia="楷体_GB2312" w:cs="楷体_GB2312"/>
          <w:b/>
          <w:bCs/>
          <w:color w:val="auto"/>
          <w:kern w:val="0"/>
          <w:sz w:val="32"/>
          <w:szCs w:val="32"/>
          <w:highlight w:val="none"/>
          <w:lang w:val="en-US" w:eastAsia="zh-CN" w:bidi="ar"/>
        </w:rPr>
        <w:t>（一）对事故有关责任人员的行政处罚建议</w:t>
      </w:r>
      <w:bookmarkEnd w:id="23"/>
    </w:p>
    <w:p w14:paraId="65540FBF">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
          <w:color w:val="auto"/>
          <w:sz w:val="32"/>
          <w:szCs w:val="32"/>
          <w:highlight w:val="none"/>
          <w:lang w:val="en-US" w:eastAsia="zh-CN"/>
        </w:rPr>
        <w:t>1.陈**，</w:t>
      </w:r>
      <w:r>
        <w:rPr>
          <w:rFonts w:hint="eastAsia" w:ascii="仿宋_GB2312" w:hAnsi="仿宋_GB2312" w:eastAsia="仿宋_GB2312" w:cs="仿宋_GB2312"/>
          <w:color w:val="auto"/>
          <w:sz w:val="32"/>
          <w:szCs w:val="32"/>
          <w:highlight w:val="none"/>
        </w:rPr>
        <w:t>安全意识淡薄，</w:t>
      </w:r>
      <w:r>
        <w:rPr>
          <w:rFonts w:hint="eastAsia" w:ascii="仿宋_GB2312" w:hAnsi="仿宋_GB2312" w:eastAsia="仿宋_GB2312" w:cs="仿宋_GB2312"/>
          <w:color w:val="auto"/>
          <w:sz w:val="32"/>
          <w:szCs w:val="32"/>
          <w:highlight w:val="none"/>
          <w:lang w:eastAsia="zh-CN"/>
        </w:rPr>
        <w:t>在未采取安全防护措施情况下冒险进行高处作业，从</w:t>
      </w:r>
      <w:r>
        <w:rPr>
          <w:rFonts w:hint="eastAsia" w:ascii="仿宋_GB2312" w:hAnsi="仿宋_GB2312" w:eastAsia="仿宋_GB2312" w:cs="仿宋_GB2312"/>
          <w:color w:val="auto"/>
          <w:sz w:val="32"/>
          <w:szCs w:val="32"/>
          <w:highlight w:val="none"/>
          <w:lang w:val="en-US" w:eastAsia="zh-CN"/>
        </w:rPr>
        <w:t>车</w:t>
      </w:r>
      <w:r>
        <w:rPr>
          <w:rFonts w:hint="eastAsia" w:ascii="仿宋_GB2312" w:hAnsi="仿宋_GB2312" w:eastAsia="仿宋_GB2312" w:cs="仿宋_GB2312"/>
          <w:color w:val="auto"/>
          <w:sz w:val="32"/>
          <w:szCs w:val="32"/>
          <w:highlight w:val="none"/>
          <w:lang w:eastAsia="zh-CN"/>
        </w:rPr>
        <w:t>棚上坠落导致事故发生。</w:t>
      </w:r>
      <w:r>
        <w:rPr>
          <w:rFonts w:hint="eastAsia" w:ascii="仿宋_GB2312" w:hAnsi="仿宋_GB2312" w:eastAsia="仿宋_GB2312" w:cs="仿宋_GB2312"/>
          <w:color w:val="auto"/>
          <w:sz w:val="32"/>
          <w:szCs w:val="32"/>
          <w:highlight w:val="none"/>
        </w:rPr>
        <w:t>鉴于其在事故中已经死亡，不再进行相关责任</w:t>
      </w:r>
      <w:r>
        <w:rPr>
          <w:rFonts w:hint="eastAsia" w:ascii="仿宋_GB2312" w:hAnsi="仿宋_GB2312" w:eastAsia="仿宋_GB2312" w:cs="仿宋_GB2312"/>
          <w:bCs/>
          <w:color w:val="auto"/>
          <w:sz w:val="32"/>
          <w:szCs w:val="32"/>
          <w:highlight w:val="none"/>
        </w:rPr>
        <w:t>追究。</w:t>
      </w:r>
    </w:p>
    <w:p w14:paraId="55A02706">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b/>
          <w:bCs/>
          <w:color w:val="auto"/>
          <w:kern w:val="2"/>
          <w:sz w:val="32"/>
          <w:szCs w:val="32"/>
          <w:highlight w:val="none"/>
          <w:lang w:val="en-US" w:eastAsia="zh-CN" w:bidi="ar-SA"/>
        </w:rPr>
        <w:t>2.</w:t>
      </w:r>
      <w:r>
        <w:rPr>
          <w:rFonts w:hint="eastAsia" w:ascii="仿宋_GB2312" w:hAnsi="仿宋_GB2312" w:eastAsia="仿宋_GB2312" w:cs="仿宋_GB2312"/>
          <w:b/>
          <w:bCs/>
          <w:color w:val="auto"/>
          <w:sz w:val="32"/>
          <w:szCs w:val="32"/>
          <w:highlight w:val="none"/>
          <w:lang w:val="en-US" w:eastAsia="zh-CN"/>
        </w:rPr>
        <w:t>袁**</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棱恒公司法定代表人</w:t>
      </w:r>
      <w:r>
        <w:rPr>
          <w:rFonts w:hint="eastAsia" w:ascii="仿宋_GB2312" w:hAnsi="仿宋_GB2312" w:eastAsia="仿宋_GB2312" w:cs="仿宋_GB2312"/>
          <w:bCs/>
          <w:color w:val="auto"/>
          <w:sz w:val="32"/>
          <w:szCs w:val="32"/>
          <w:highlight w:val="none"/>
          <w:lang w:val="en-US" w:eastAsia="zh-CN"/>
        </w:rPr>
        <w:t>，未依法履行主要负责人安全生产工作职责。未组织制定并实施本单位安全生产规章制度和操作规程；</w:t>
      </w:r>
      <w:r>
        <w:rPr>
          <w:rFonts w:hint="eastAsia" w:ascii="仿宋_GB2312" w:hAnsi="仿宋_GB2312" w:eastAsia="仿宋_GB2312" w:cs="仿宋_GB2312"/>
          <w:color w:val="auto"/>
          <w:sz w:val="32"/>
          <w:szCs w:val="32"/>
          <w:highlight w:val="none"/>
          <w:lang w:val="en-US" w:eastAsia="zh-CN"/>
        </w:rPr>
        <w:t>未组织制定并实施本单位安全生产教育和培训计划。</w:t>
      </w:r>
      <w:r>
        <w:rPr>
          <w:rFonts w:hint="eastAsia" w:ascii="仿宋_GB2312" w:hAnsi="仿宋_GB2312" w:eastAsia="仿宋_GB2312" w:cs="仿宋_GB2312"/>
          <w:b w:val="0"/>
          <w:bCs w:val="0"/>
          <w:color w:val="auto"/>
          <w:kern w:val="0"/>
          <w:sz w:val="32"/>
          <w:szCs w:val="32"/>
          <w:highlight w:val="none"/>
          <w:lang w:val="en-US" w:eastAsia="zh-CN" w:bidi="hi-IN"/>
        </w:rPr>
        <w:t>其行为违反了《中华人民共和国安全生产法》第二十一条第二项、第三项</w:t>
      </w:r>
      <w:r>
        <w:rPr>
          <w:rStyle w:val="22"/>
          <w:rFonts w:hint="eastAsia" w:ascii="仿宋_GB2312" w:hAnsi="仿宋_GB2312" w:eastAsia="仿宋_GB2312" w:cs="仿宋_GB2312"/>
          <w:color w:val="auto"/>
          <w:kern w:val="2"/>
          <w:sz w:val="32"/>
          <w:szCs w:val="32"/>
          <w:highlight w:val="none"/>
          <w:lang w:val="en-US" w:eastAsia="zh-CN" w:bidi="ar-SA"/>
        </w:rPr>
        <w:t>[</w:t>
      </w:r>
      <w:r>
        <w:rPr>
          <w:rStyle w:val="22"/>
          <w:rFonts w:hint="eastAsia" w:ascii="仿宋_GB2312" w:hAnsi="仿宋_GB2312" w:eastAsia="仿宋_GB2312" w:cs="仿宋_GB2312"/>
          <w:color w:val="auto"/>
          <w:kern w:val="2"/>
          <w:sz w:val="32"/>
          <w:szCs w:val="32"/>
          <w:highlight w:val="none"/>
          <w:lang w:val="en-US" w:eastAsia="zh-CN" w:bidi="ar-SA"/>
        </w:rPr>
        <w:footnoteReference w:id="7"/>
      </w:r>
      <w:r>
        <w:rPr>
          <w:rStyle w:val="22"/>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highlight w:val="none"/>
          <w:lang w:val="en-US" w:eastAsia="zh-CN" w:bidi="hi-IN"/>
        </w:rPr>
        <w:t>的规定，对该起事故的发生负有主要领导责任。建议由吉州区应急管理局依据《中华人民共和国安全生产法》第九十五条第一项</w:t>
      </w:r>
      <w:r>
        <w:rPr>
          <w:rStyle w:val="22"/>
          <w:rFonts w:hint="eastAsia" w:ascii="仿宋_GB2312" w:hAnsi="仿宋_GB2312" w:eastAsia="仿宋_GB2312" w:cs="仿宋_GB2312"/>
          <w:b w:val="0"/>
          <w:bCs/>
          <w:color w:val="auto"/>
          <w:kern w:val="2"/>
          <w:sz w:val="32"/>
          <w:szCs w:val="32"/>
          <w:highlight w:val="none"/>
          <w:lang w:val="en-US" w:eastAsia="zh-CN" w:bidi="ar-SA"/>
        </w:rPr>
        <w:t>[</w:t>
      </w:r>
      <w:r>
        <w:rPr>
          <w:rStyle w:val="22"/>
          <w:rFonts w:hint="eastAsia" w:ascii="仿宋_GB2312" w:hAnsi="仿宋_GB2312" w:eastAsia="仿宋_GB2312" w:cs="仿宋_GB2312"/>
          <w:b w:val="0"/>
          <w:bCs/>
          <w:color w:val="auto"/>
          <w:kern w:val="2"/>
          <w:sz w:val="32"/>
          <w:szCs w:val="32"/>
          <w:highlight w:val="none"/>
          <w:lang w:val="en-US" w:eastAsia="zh-CN" w:bidi="ar-SA"/>
        </w:rPr>
        <w:footnoteReference w:id="8"/>
      </w:r>
      <w:r>
        <w:rPr>
          <w:rStyle w:val="22"/>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highlight w:val="none"/>
          <w:lang w:val="en-US" w:eastAsia="zh-CN" w:bidi="hi-IN"/>
        </w:rPr>
        <w:t>的有关规定，</w:t>
      </w:r>
      <w:r>
        <w:rPr>
          <w:rFonts w:hint="eastAsia" w:ascii="仿宋_GB2312" w:hAnsi="仿宋_GB2312" w:eastAsia="仿宋_GB2312" w:cs="仿宋_GB2312"/>
          <w:color w:val="auto"/>
          <w:sz w:val="32"/>
          <w:szCs w:val="32"/>
          <w:highlight w:val="none"/>
        </w:rPr>
        <w:t>依法予以行政处罚</w:t>
      </w:r>
      <w:r>
        <w:rPr>
          <w:rFonts w:hint="eastAsia" w:ascii="仿宋_GB2312" w:hAnsi="仿宋_GB2312" w:eastAsia="仿宋_GB2312" w:cs="仿宋_GB2312"/>
          <w:b w:val="0"/>
          <w:bCs w:val="0"/>
          <w:color w:val="auto"/>
          <w:kern w:val="0"/>
          <w:sz w:val="32"/>
          <w:szCs w:val="32"/>
          <w:highlight w:val="none"/>
          <w:lang w:val="en-US" w:eastAsia="zh-CN" w:bidi="hi-IN"/>
        </w:rPr>
        <w:t>。</w:t>
      </w:r>
    </w:p>
    <w:p w14:paraId="64467B1B">
      <w:pPr>
        <w:keepNext w:val="0"/>
        <w:keepLines w:val="0"/>
        <w:pageBreakBefore w:val="0"/>
        <w:widowControl/>
        <w:suppressLineNumbers w:val="0"/>
        <w:kinsoku/>
        <w:overflowPunct w:val="0"/>
        <w:topLinePunct w:val="0"/>
        <w:autoSpaceDE/>
        <w:autoSpaceDN/>
        <w:bidi w:val="0"/>
        <w:adjustRightInd/>
        <w:snapToGrid/>
        <w:spacing w:line="560" w:lineRule="exact"/>
        <w:ind w:firstLine="632" w:firstLineChars="200"/>
        <w:jc w:val="both"/>
        <w:outlineLvl w:val="1"/>
        <w:rPr>
          <w:rFonts w:hint="default" w:ascii="楷体_GB2312" w:hAnsi="楷体_GB2312" w:eastAsia="楷体_GB2312" w:cs="楷体_GB2312"/>
          <w:b/>
          <w:bCs/>
          <w:color w:val="auto"/>
          <w:kern w:val="0"/>
          <w:sz w:val="32"/>
          <w:szCs w:val="32"/>
          <w:highlight w:val="none"/>
          <w:lang w:val="en-US" w:eastAsia="zh-CN" w:bidi="ar"/>
        </w:rPr>
      </w:pPr>
      <w:bookmarkStart w:id="24" w:name="_Toc6659"/>
      <w:r>
        <w:rPr>
          <w:rFonts w:hint="eastAsia" w:ascii="楷体_GB2312" w:hAnsi="楷体_GB2312" w:eastAsia="楷体_GB2312" w:cs="楷体_GB2312"/>
          <w:b/>
          <w:bCs/>
          <w:color w:val="auto"/>
          <w:kern w:val="0"/>
          <w:sz w:val="32"/>
          <w:szCs w:val="32"/>
          <w:highlight w:val="none"/>
          <w:lang w:val="en-US" w:eastAsia="zh-CN" w:bidi="ar"/>
        </w:rPr>
        <w:t>（二）对事故责任单位的行政处罚</w:t>
      </w:r>
      <w:bookmarkEnd w:id="24"/>
    </w:p>
    <w:p w14:paraId="64B85FBA">
      <w:pPr>
        <w:pStyle w:val="5"/>
        <w:keepNext w:val="0"/>
        <w:keepLines w:val="0"/>
        <w:pageBreakBefore w:val="0"/>
        <w:kinsoku/>
        <w:overflowPunct w:val="0"/>
        <w:topLinePunct w:val="0"/>
        <w:autoSpaceDE/>
        <w:autoSpaceDN/>
        <w:bidi w:val="0"/>
        <w:adjustRightInd/>
        <w:snapToGrid/>
        <w:spacing w:line="560" w:lineRule="exact"/>
        <w:ind w:left="0" w:leftChars="0" w:firstLine="632" w:firstLineChars="200"/>
        <w:rPr>
          <w:rFonts w:hint="eastAsia" w:ascii="仿宋_GB2312" w:hAnsi="Calibri" w:eastAsia="仿宋_GB2312" w:cs="仿宋_GB2312"/>
          <w:i w:val="0"/>
          <w:iCs w:val="0"/>
          <w:caps w:val="0"/>
          <w:color w:val="auto"/>
          <w:spacing w:val="0"/>
          <w:sz w:val="32"/>
          <w:szCs w:val="32"/>
          <w:highlight w:val="none"/>
          <w:u w:val="none"/>
          <w:shd w:val="clear" w:fill="FFFFFF"/>
        </w:rPr>
      </w:pPr>
      <w:r>
        <w:rPr>
          <w:rFonts w:hint="eastAsia" w:ascii="楷体_GB2312" w:hAnsi="宋体" w:eastAsia="楷体_GB2312" w:cs="楷体_GB2312"/>
          <w:b/>
          <w:bCs/>
          <w:i w:val="0"/>
          <w:iCs w:val="0"/>
          <w:caps w:val="0"/>
          <w:color w:val="auto"/>
          <w:spacing w:val="0"/>
          <w:sz w:val="32"/>
          <w:szCs w:val="32"/>
          <w:highlight w:val="none"/>
          <w:shd w:val="clear" w:fill="FFFFFF"/>
          <w:lang w:val="en-US" w:eastAsia="zh-CN"/>
        </w:rPr>
        <w:t>1.棱恒</w:t>
      </w:r>
      <w:r>
        <w:rPr>
          <w:rFonts w:ascii="楷体_GB2312" w:hAnsi="宋体" w:eastAsia="楷体_GB2312" w:cs="楷体_GB2312"/>
          <w:b/>
          <w:bCs/>
          <w:i w:val="0"/>
          <w:iCs w:val="0"/>
          <w:caps w:val="0"/>
          <w:color w:val="auto"/>
          <w:spacing w:val="0"/>
          <w:sz w:val="32"/>
          <w:szCs w:val="32"/>
          <w:highlight w:val="none"/>
          <w:shd w:val="clear" w:fill="FFFFFF"/>
        </w:rPr>
        <w:t>公司</w:t>
      </w:r>
    </w:p>
    <w:p w14:paraId="78A32D46">
      <w:pPr>
        <w:pStyle w:val="5"/>
        <w:keepNext w:val="0"/>
        <w:keepLines w:val="0"/>
        <w:pageBreakBefore w:val="0"/>
        <w:kinsoku/>
        <w:overflowPunct w:val="0"/>
        <w:topLinePunct w:val="0"/>
        <w:autoSpaceDE/>
        <w:autoSpaceDN/>
        <w:bidi w:val="0"/>
        <w:adjustRightInd/>
        <w:snapToGrid/>
        <w:spacing w:line="560" w:lineRule="exact"/>
        <w:ind w:left="0" w:leftChars="0" w:firstLine="632"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棱恒公司</w:t>
      </w:r>
      <w:r>
        <w:rPr>
          <w:rFonts w:hint="eastAsia" w:ascii="仿宋_GB2312" w:hAnsi="仿宋_GB2312" w:eastAsia="仿宋_GB2312" w:cs="仿宋_GB2312"/>
          <w:color w:val="auto"/>
          <w:sz w:val="32"/>
          <w:szCs w:val="32"/>
          <w:highlight w:val="none"/>
        </w:rPr>
        <w:t>安全生产责任主体落实不到位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color w:val="auto"/>
          <w:sz w:val="32"/>
          <w:szCs w:val="32"/>
          <w:highlight w:val="none"/>
          <w:lang w:val="en-US" w:eastAsia="zh-CN"/>
        </w:rPr>
        <w:t>未建立健全全员安全生产责任制和安全生产规章制度；</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color w:val="auto"/>
          <w:sz w:val="32"/>
          <w:szCs w:val="32"/>
          <w:highlight w:val="none"/>
          <w:lang w:val="en-US" w:eastAsia="zh-CN"/>
        </w:rPr>
        <w:t>未依法对从业人员进行安全生产教育和培训；</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color w:val="auto"/>
          <w:sz w:val="32"/>
          <w:szCs w:val="32"/>
          <w:highlight w:val="none"/>
          <w:lang w:val="en-US" w:eastAsia="zh-CN"/>
        </w:rPr>
        <w:t>高处危险作业现场安全管理和安全措施不落实；</w:t>
      </w:r>
      <w:r>
        <w:rPr>
          <w:rFonts w:hint="eastAsia" w:ascii="仿宋_GB2312" w:hAnsi="仿宋_GB2312" w:eastAsia="仿宋_GB2312" w:cs="仿宋_GB2312"/>
          <w:b/>
          <w:bCs/>
          <w:color w:val="auto"/>
          <w:sz w:val="32"/>
          <w:szCs w:val="32"/>
          <w:highlight w:val="none"/>
          <w:lang w:val="en-US" w:eastAsia="zh-CN"/>
        </w:rPr>
        <w:t>四是</w:t>
      </w:r>
      <w:r>
        <w:rPr>
          <w:rFonts w:hint="eastAsia" w:ascii="仿宋_GB2312" w:hAnsi="仿宋_GB2312" w:eastAsia="仿宋_GB2312" w:cs="仿宋_GB2312"/>
          <w:color w:val="auto"/>
          <w:sz w:val="32"/>
          <w:szCs w:val="32"/>
          <w:highlight w:val="none"/>
          <w:lang w:val="en-US" w:eastAsia="zh-CN"/>
        </w:rPr>
        <w:t>组织未取得特种作业证的人员从事高处作业。其行为违反了《中华人民共和国安全生产法》第四条第一款</w:t>
      </w:r>
      <w:r>
        <w:rPr>
          <w:rStyle w:val="22"/>
          <w:rFonts w:hint="eastAsia" w:ascii="仿宋_GB2312" w:hAnsi="仿宋_GB2312" w:eastAsia="仿宋_GB2312" w:cs="仿宋_GB2312"/>
          <w:b w:val="0"/>
          <w:bCs/>
          <w:color w:val="auto"/>
          <w:kern w:val="2"/>
          <w:sz w:val="32"/>
          <w:szCs w:val="32"/>
          <w:highlight w:val="none"/>
          <w:lang w:val="en-US" w:eastAsia="zh-CN" w:bidi="ar-SA"/>
        </w:rPr>
        <w:t>[</w:t>
      </w:r>
      <w:r>
        <w:rPr>
          <w:rStyle w:val="22"/>
          <w:rFonts w:hint="eastAsia" w:ascii="仿宋_GB2312" w:hAnsi="仿宋_GB2312" w:eastAsia="仿宋_GB2312" w:cs="仿宋_GB2312"/>
          <w:b w:val="0"/>
          <w:bCs/>
          <w:color w:val="auto"/>
          <w:kern w:val="2"/>
          <w:sz w:val="32"/>
          <w:szCs w:val="32"/>
          <w:highlight w:val="none"/>
          <w:lang w:val="en-US" w:eastAsia="zh-CN" w:bidi="ar-SA"/>
        </w:rPr>
        <w:footnoteReference w:id="9"/>
      </w:r>
      <w:r>
        <w:rPr>
          <w:rStyle w:val="22"/>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、第二十八条第一款</w:t>
      </w:r>
      <w:r>
        <w:rPr>
          <w:rStyle w:val="22"/>
          <w:rFonts w:hint="eastAsia" w:ascii="仿宋_GB2312" w:hAnsi="仿宋_GB2312" w:eastAsia="仿宋_GB2312" w:cs="仿宋_GB2312"/>
          <w:b w:val="0"/>
          <w:bCs/>
          <w:color w:val="auto"/>
          <w:kern w:val="2"/>
          <w:sz w:val="32"/>
          <w:szCs w:val="32"/>
          <w:highlight w:val="none"/>
          <w:lang w:val="en-US" w:eastAsia="zh-CN" w:bidi="ar-SA"/>
        </w:rPr>
        <w:t>[</w:t>
      </w:r>
      <w:r>
        <w:rPr>
          <w:rStyle w:val="22"/>
          <w:rFonts w:hint="eastAsia" w:ascii="仿宋_GB2312" w:hAnsi="仿宋_GB2312" w:eastAsia="仿宋_GB2312" w:cs="仿宋_GB2312"/>
          <w:b w:val="0"/>
          <w:bCs/>
          <w:color w:val="auto"/>
          <w:kern w:val="2"/>
          <w:sz w:val="32"/>
          <w:szCs w:val="32"/>
          <w:highlight w:val="none"/>
          <w:lang w:val="en-US" w:eastAsia="zh-CN" w:bidi="ar-SA"/>
        </w:rPr>
        <w:footnoteReference w:id="10"/>
      </w:r>
      <w:r>
        <w:rPr>
          <w:rStyle w:val="22"/>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、第四十三条</w:t>
      </w:r>
      <w:r>
        <w:rPr>
          <w:rStyle w:val="22"/>
          <w:rFonts w:hint="eastAsia" w:ascii="仿宋_GB2312" w:hAnsi="仿宋_GB2312" w:eastAsia="仿宋_GB2312" w:cs="仿宋_GB2312"/>
          <w:b w:val="0"/>
          <w:bCs/>
          <w:color w:val="auto"/>
          <w:kern w:val="2"/>
          <w:sz w:val="32"/>
          <w:szCs w:val="32"/>
          <w:highlight w:val="none"/>
          <w:lang w:val="en-US" w:eastAsia="zh-CN" w:bidi="ar-SA"/>
        </w:rPr>
        <w:t>[</w:t>
      </w:r>
      <w:r>
        <w:rPr>
          <w:rStyle w:val="22"/>
          <w:rFonts w:hint="eastAsia" w:ascii="仿宋_GB2312" w:hAnsi="仿宋_GB2312" w:eastAsia="仿宋_GB2312" w:cs="仿宋_GB2312"/>
          <w:b w:val="0"/>
          <w:bCs/>
          <w:color w:val="auto"/>
          <w:kern w:val="2"/>
          <w:sz w:val="32"/>
          <w:szCs w:val="32"/>
          <w:highlight w:val="none"/>
          <w:lang w:val="en-US" w:eastAsia="zh-CN" w:bidi="ar-SA"/>
        </w:rPr>
        <w:footnoteReference w:id="11"/>
      </w:r>
      <w:r>
        <w:rPr>
          <w:rStyle w:val="22"/>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、第三十条第一款</w:t>
      </w:r>
      <w:r>
        <w:rPr>
          <w:rStyle w:val="22"/>
          <w:rFonts w:hint="eastAsia" w:ascii="仿宋_GB2312" w:hAnsi="仿宋_GB2312" w:eastAsia="仿宋_GB2312" w:cs="仿宋_GB2312"/>
          <w:b w:val="0"/>
          <w:bCs/>
          <w:color w:val="auto"/>
          <w:kern w:val="2"/>
          <w:sz w:val="32"/>
          <w:szCs w:val="32"/>
          <w:highlight w:val="none"/>
          <w:lang w:val="en-US" w:eastAsia="zh-CN" w:bidi="ar-SA"/>
        </w:rPr>
        <w:t>[</w:t>
      </w:r>
      <w:r>
        <w:rPr>
          <w:rStyle w:val="22"/>
          <w:rFonts w:hint="eastAsia" w:ascii="仿宋_GB2312" w:hAnsi="仿宋_GB2312" w:eastAsia="仿宋_GB2312" w:cs="仿宋_GB2312"/>
          <w:b w:val="0"/>
          <w:bCs/>
          <w:color w:val="auto"/>
          <w:kern w:val="2"/>
          <w:sz w:val="32"/>
          <w:szCs w:val="32"/>
          <w:highlight w:val="none"/>
          <w:lang w:val="en-US" w:eastAsia="zh-CN" w:bidi="ar-SA"/>
        </w:rPr>
        <w:footnoteReference w:id="12"/>
      </w:r>
      <w:r>
        <w:rPr>
          <w:rStyle w:val="22"/>
          <w:rFonts w:hint="eastAsia"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val="en-US" w:eastAsia="zh-CN"/>
        </w:rPr>
        <w:t>等规定，对事故的发生负有责任，建议由吉州区应急管理局依据《中华人民共和国安全生产法》第一百一十四条第一款</w:t>
      </w:r>
      <w:r>
        <w:rPr>
          <w:rStyle w:val="22"/>
          <w:rFonts w:hint="eastAsia" w:ascii="仿宋_GB2312" w:hAnsi="仿宋_GB2312" w:eastAsia="仿宋_GB2312" w:cs="仿宋_GB2312"/>
          <w:color w:val="auto"/>
          <w:sz w:val="32"/>
          <w:szCs w:val="32"/>
          <w:highlight w:val="none"/>
        </w:rPr>
        <w:t>[</w:t>
      </w:r>
      <w:r>
        <w:rPr>
          <w:rStyle w:val="22"/>
          <w:rFonts w:hint="eastAsia" w:ascii="仿宋_GB2312" w:hAnsi="仿宋_GB2312" w:eastAsia="仿宋_GB2312" w:cs="仿宋_GB2312"/>
          <w:color w:val="auto"/>
          <w:sz w:val="32"/>
          <w:szCs w:val="32"/>
          <w:highlight w:val="none"/>
        </w:rPr>
        <w:footnoteReference w:id="13"/>
      </w:r>
      <w:r>
        <w:rPr>
          <w:rStyle w:val="22"/>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的有关规定</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依法予以行政处罚。</w:t>
      </w:r>
    </w:p>
    <w:p w14:paraId="5AEA1CC0">
      <w:pPr>
        <w:pStyle w:val="5"/>
        <w:keepNext w:val="0"/>
        <w:keepLines w:val="0"/>
        <w:pageBreakBefore w:val="0"/>
        <w:kinsoku/>
        <w:overflowPunct w:val="0"/>
        <w:topLinePunct w:val="0"/>
        <w:autoSpaceDE/>
        <w:autoSpaceDN/>
        <w:bidi w:val="0"/>
        <w:adjustRightInd/>
        <w:snapToGrid/>
        <w:spacing w:line="560" w:lineRule="exact"/>
        <w:ind w:left="0" w:leftChars="0" w:firstLine="632" w:firstLineChars="200"/>
        <w:rPr>
          <w:rFonts w:hint="eastAsia" w:ascii="楷体" w:hAnsi="楷体" w:eastAsia="楷体" w:cs="楷体"/>
          <w:b/>
          <w:bCs/>
          <w:i w:val="0"/>
          <w:iCs w:val="0"/>
          <w:caps w:val="0"/>
          <w:color w:val="auto"/>
          <w:spacing w:val="0"/>
          <w:sz w:val="32"/>
          <w:szCs w:val="32"/>
          <w:highlight w:val="none"/>
          <w:u w:val="none"/>
          <w:shd w:val="clear" w:fill="FFFFFF"/>
          <w:lang w:val="en-US" w:eastAsia="zh-CN"/>
        </w:rPr>
      </w:pPr>
      <w:r>
        <w:rPr>
          <w:rFonts w:hint="eastAsia" w:ascii="楷体" w:hAnsi="楷体" w:eastAsia="楷体" w:cs="楷体"/>
          <w:b/>
          <w:bCs/>
          <w:i w:val="0"/>
          <w:iCs w:val="0"/>
          <w:caps w:val="0"/>
          <w:color w:val="auto"/>
          <w:spacing w:val="0"/>
          <w:sz w:val="32"/>
          <w:szCs w:val="32"/>
          <w:highlight w:val="none"/>
          <w:u w:val="none"/>
          <w:shd w:val="clear" w:fill="FFFFFF"/>
          <w:lang w:val="en-US" w:eastAsia="zh-CN"/>
        </w:rPr>
        <w:t>2.双程公司</w:t>
      </w:r>
    </w:p>
    <w:p w14:paraId="244D6789">
      <w:pPr>
        <w:pStyle w:val="5"/>
        <w:keepNext w:val="0"/>
        <w:keepLines w:val="0"/>
        <w:pageBreakBefore w:val="0"/>
        <w:kinsoku/>
        <w:overflowPunct w:val="0"/>
        <w:topLinePunct w:val="0"/>
        <w:autoSpaceDE/>
        <w:autoSpaceDN/>
        <w:bidi w:val="0"/>
        <w:adjustRightInd/>
        <w:snapToGrid/>
        <w:spacing w:line="560" w:lineRule="exact"/>
        <w:ind w:left="0" w:leftChars="0" w:firstLine="632" w:firstLineChars="200"/>
        <w:rPr>
          <w:rFonts w:hint="eastAsia" w:ascii="仿宋_GB2312" w:hAnsi="仿宋_GB2312" w:eastAsia="仿宋_GB2312" w:cs="仿宋_GB2312"/>
          <w:color w:val="auto"/>
          <w:sz w:val="32"/>
          <w:szCs w:val="32"/>
          <w:highlight w:val="none"/>
        </w:rPr>
      </w:pPr>
      <w:r>
        <w:rPr>
          <w:rFonts w:ascii="仿宋_GB2312" w:hAnsi="Calibri" w:eastAsia="仿宋_GB2312" w:cs="仿宋_GB2312"/>
          <w:b/>
          <w:bCs/>
          <w:i w:val="0"/>
          <w:iCs w:val="0"/>
          <w:caps w:val="0"/>
          <w:color w:val="auto"/>
          <w:spacing w:val="0"/>
          <w:sz w:val="32"/>
          <w:szCs w:val="32"/>
          <w:highlight w:val="none"/>
          <w:u w:val="none"/>
          <w:shd w:val="clear" w:fill="FFFFFF"/>
        </w:rPr>
        <w:t>一是</w:t>
      </w:r>
      <w:r>
        <w:rPr>
          <w:rFonts w:hint="eastAsia" w:ascii="仿宋_GB2312" w:hAnsi="Calibri" w:eastAsia="仿宋_GB2312" w:cs="仿宋_GB2312"/>
          <w:i w:val="0"/>
          <w:iCs w:val="0"/>
          <w:caps w:val="0"/>
          <w:color w:val="auto"/>
          <w:spacing w:val="0"/>
          <w:sz w:val="32"/>
          <w:szCs w:val="32"/>
          <w:highlight w:val="none"/>
          <w:u w:val="none"/>
          <w:shd w:val="clear" w:fill="FFFFFF"/>
        </w:rPr>
        <w:t>未</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审核施工单位</w:t>
      </w:r>
      <w:r>
        <w:rPr>
          <w:rFonts w:hint="eastAsia" w:ascii="仿宋_GB2312" w:hAnsi="Calibri" w:eastAsia="仿宋_GB2312" w:cs="仿宋_GB2312"/>
          <w:i w:val="0"/>
          <w:iCs w:val="0"/>
          <w:caps w:val="0"/>
          <w:color w:val="auto"/>
          <w:spacing w:val="0"/>
          <w:sz w:val="32"/>
          <w:szCs w:val="32"/>
          <w:highlight w:val="none"/>
          <w:u w:val="none"/>
          <w:shd w:val="clear" w:fill="FFFFFF"/>
          <w:lang w:eastAsia="zh-CN"/>
        </w:rPr>
        <w:t>的</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相关</w:t>
      </w:r>
      <w:r>
        <w:rPr>
          <w:rFonts w:hint="eastAsia" w:ascii="仿宋_GB2312" w:hAnsi="Calibri" w:eastAsia="仿宋_GB2312" w:cs="仿宋_GB2312"/>
          <w:i w:val="0"/>
          <w:iCs w:val="0"/>
          <w:caps w:val="0"/>
          <w:color w:val="auto"/>
          <w:spacing w:val="0"/>
          <w:sz w:val="32"/>
          <w:szCs w:val="32"/>
          <w:highlight w:val="none"/>
          <w:u w:val="none"/>
          <w:shd w:val="clear" w:fill="FFFFFF"/>
        </w:rPr>
        <w:t>资质，</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将项目</w:t>
      </w:r>
      <w:r>
        <w:rPr>
          <w:rFonts w:hint="eastAsia" w:ascii="仿宋_GB2312" w:hAnsi="Calibri" w:eastAsia="仿宋_GB2312" w:cs="仿宋_GB2312"/>
          <w:i w:val="0"/>
          <w:iCs w:val="0"/>
          <w:caps w:val="0"/>
          <w:color w:val="auto"/>
          <w:spacing w:val="0"/>
          <w:sz w:val="32"/>
          <w:szCs w:val="32"/>
          <w:highlight w:val="none"/>
          <w:u w:val="none"/>
          <w:shd w:val="clear" w:fill="FFFFFF"/>
        </w:rPr>
        <w:t>发包给无</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资质的公司进行施工</w:t>
      </w:r>
      <w:r>
        <w:rPr>
          <w:rFonts w:hint="eastAsia" w:ascii="仿宋_GB2312" w:hAnsi="Calibri" w:eastAsia="仿宋_GB2312" w:cs="仿宋_GB2312"/>
          <w:i w:val="0"/>
          <w:iCs w:val="0"/>
          <w:caps w:val="0"/>
          <w:color w:val="auto"/>
          <w:spacing w:val="0"/>
          <w:sz w:val="32"/>
          <w:szCs w:val="32"/>
          <w:highlight w:val="none"/>
          <w:u w:val="none"/>
          <w:shd w:val="clear" w:fill="FFFFFF"/>
        </w:rPr>
        <w:t>，</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其行为</w:t>
      </w:r>
      <w:r>
        <w:rPr>
          <w:rFonts w:hint="eastAsia" w:ascii="仿宋_GB2312" w:hAnsi="Calibri" w:eastAsia="仿宋_GB2312" w:cs="仿宋_GB2312"/>
          <w:i w:val="0"/>
          <w:iCs w:val="0"/>
          <w:caps w:val="0"/>
          <w:color w:val="auto"/>
          <w:spacing w:val="0"/>
          <w:sz w:val="32"/>
          <w:szCs w:val="32"/>
          <w:highlight w:val="none"/>
          <w:u w:val="none"/>
          <w:shd w:val="clear" w:fill="FFFFFF"/>
        </w:rPr>
        <w:t>违反</w:t>
      </w:r>
      <w:r>
        <w:rPr>
          <w:rFonts w:hint="eastAsia" w:ascii="仿宋_GB2312" w:hAnsi="Calibri" w:eastAsia="仿宋_GB2312" w:cs="仿宋_GB2312"/>
          <w:i w:val="0"/>
          <w:iCs w:val="0"/>
          <w:caps w:val="0"/>
          <w:color w:val="auto"/>
          <w:spacing w:val="0"/>
          <w:sz w:val="32"/>
          <w:szCs w:val="32"/>
          <w:highlight w:val="none"/>
          <w:u w:val="none"/>
          <w:shd w:val="clear" w:fill="FFFFFF"/>
          <w:lang w:eastAsia="zh-CN"/>
        </w:rPr>
        <w:t>《</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中华人民共和国安全生产法</w:t>
      </w:r>
      <w:r>
        <w:rPr>
          <w:rFonts w:hint="eastAsia" w:ascii="仿宋_GB2312" w:hAnsi="Calibri" w:eastAsia="仿宋_GB2312" w:cs="仿宋_GB2312"/>
          <w:i w:val="0"/>
          <w:iCs w:val="0"/>
          <w:caps w:val="0"/>
          <w:color w:val="auto"/>
          <w:spacing w:val="0"/>
          <w:sz w:val="32"/>
          <w:szCs w:val="32"/>
          <w:highlight w:val="none"/>
          <w:u w:val="none"/>
          <w:shd w:val="clear" w:fill="FFFFFF"/>
          <w:lang w:eastAsia="zh-CN"/>
        </w:rPr>
        <w:t>》第</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四十九条第一款</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footnoteReference w:id="14"/>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Fonts w:hint="eastAsia" w:ascii="仿宋_GB2312" w:hAnsi="Calibri" w:eastAsia="仿宋_GB2312" w:cs="仿宋_GB2312"/>
          <w:i w:val="0"/>
          <w:iCs w:val="0"/>
          <w:caps w:val="0"/>
          <w:color w:val="auto"/>
          <w:spacing w:val="0"/>
          <w:sz w:val="32"/>
          <w:szCs w:val="32"/>
          <w:highlight w:val="none"/>
          <w:u w:val="none"/>
          <w:shd w:val="clear" w:fill="FFFFFF"/>
          <w:lang w:eastAsia="zh-CN"/>
        </w:rPr>
        <w:t>。</w:t>
      </w:r>
      <w:r>
        <w:rPr>
          <w:rFonts w:hint="eastAsia" w:ascii="仿宋_GB2312" w:hAnsi="Calibri" w:eastAsia="仿宋_GB2312" w:cs="仿宋_GB2312"/>
          <w:b/>
          <w:bCs/>
          <w:i w:val="0"/>
          <w:iCs w:val="0"/>
          <w:caps w:val="0"/>
          <w:color w:val="auto"/>
          <w:spacing w:val="0"/>
          <w:sz w:val="32"/>
          <w:szCs w:val="32"/>
          <w:highlight w:val="none"/>
          <w:u w:val="none"/>
          <w:shd w:val="clear" w:fill="FFFFFF"/>
          <w:lang w:val="en-US" w:eastAsia="zh-CN"/>
        </w:rPr>
        <w:t>二是</w:t>
      </w:r>
      <w:r>
        <w:rPr>
          <w:rFonts w:hint="eastAsia" w:ascii="仿宋_GB2312" w:hAnsi="Calibri" w:eastAsia="仿宋_GB2312" w:cs="仿宋_GB2312"/>
          <w:i w:val="0"/>
          <w:iCs w:val="0"/>
          <w:caps w:val="0"/>
          <w:color w:val="auto"/>
          <w:spacing w:val="0"/>
          <w:sz w:val="32"/>
          <w:szCs w:val="32"/>
          <w:highlight w:val="none"/>
          <w:u w:val="none"/>
          <w:shd w:val="clear" w:fill="FFFFFF"/>
        </w:rPr>
        <w:t>未履行安全生产统一协调管理义务。未与承包单位</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和个人</w:t>
      </w:r>
      <w:r>
        <w:rPr>
          <w:rFonts w:hint="eastAsia" w:ascii="仿宋_GB2312" w:hAnsi="Calibri" w:eastAsia="仿宋_GB2312" w:cs="仿宋_GB2312"/>
          <w:i w:val="0"/>
          <w:iCs w:val="0"/>
          <w:caps w:val="0"/>
          <w:color w:val="auto"/>
          <w:spacing w:val="0"/>
          <w:sz w:val="32"/>
          <w:szCs w:val="32"/>
          <w:highlight w:val="none"/>
          <w:u w:val="none"/>
          <w:shd w:val="clear" w:fill="FFFFFF"/>
        </w:rPr>
        <w:t>签订有效安全管理协议，未对施工安全进行统一协调、</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未定期进行</w:t>
      </w:r>
      <w:r>
        <w:rPr>
          <w:rFonts w:hint="eastAsia" w:ascii="仿宋_GB2312" w:hAnsi="Calibri" w:eastAsia="仿宋_GB2312" w:cs="仿宋_GB2312"/>
          <w:i w:val="0"/>
          <w:iCs w:val="0"/>
          <w:caps w:val="0"/>
          <w:color w:val="auto"/>
          <w:spacing w:val="0"/>
          <w:sz w:val="32"/>
          <w:szCs w:val="32"/>
          <w:highlight w:val="none"/>
          <w:u w:val="none"/>
          <w:shd w:val="clear" w:fill="FFFFFF"/>
        </w:rPr>
        <w:t>现场检查</w:t>
      </w:r>
      <w:r>
        <w:rPr>
          <w:rFonts w:hint="eastAsia" w:ascii="仿宋_GB2312" w:hAnsi="Calibri" w:cs="仿宋_GB2312"/>
          <w:i w:val="0"/>
          <w:iCs w:val="0"/>
          <w:caps w:val="0"/>
          <w:color w:val="auto"/>
          <w:spacing w:val="0"/>
          <w:sz w:val="32"/>
          <w:szCs w:val="32"/>
          <w:highlight w:val="none"/>
          <w:u w:val="none"/>
          <w:shd w:val="clear" w:fill="FFFFFF"/>
          <w:lang w:eastAsia="zh-CN"/>
        </w:rPr>
        <w:t>。</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其行为违反了《中华人民共和国安全生产法》第四十九条第二款</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footnoteReference w:id="15"/>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，建议由吉州区应急管理局依据《中华人民共和国安全生产法》第一百零三条第一款、第二款</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footnoteReference w:id="16"/>
      </w:r>
      <w:r>
        <w:rPr>
          <w:rStyle w:val="22"/>
          <w:rFonts w:hint="eastAsia" w:ascii="仿宋_GB2312" w:hAnsi="Calibri" w:eastAsia="仿宋_GB2312" w:cs="仿宋_GB2312"/>
          <w:i w:val="0"/>
          <w:iCs w:val="0"/>
          <w:caps w:val="0"/>
          <w:color w:val="auto"/>
          <w:spacing w:val="0"/>
          <w:sz w:val="32"/>
          <w:szCs w:val="32"/>
          <w:highlight w:val="none"/>
          <w:u w:val="none"/>
          <w:shd w:val="clear" w:fill="FFFFFF"/>
          <w:lang w:val="en-US" w:eastAsia="zh-CN"/>
        </w:rPr>
        <w:t>]</w:t>
      </w:r>
      <w:r>
        <w:rPr>
          <w:rFonts w:hint="eastAsia" w:ascii="仿宋_GB2312" w:hAnsi="Calibri" w:eastAsia="仿宋_GB2312" w:cs="仿宋_GB2312"/>
          <w:i w:val="0"/>
          <w:iCs w:val="0"/>
          <w:caps w:val="0"/>
          <w:color w:val="auto"/>
          <w:spacing w:val="0"/>
          <w:sz w:val="32"/>
          <w:szCs w:val="32"/>
          <w:highlight w:val="none"/>
          <w:u w:val="none"/>
          <w:shd w:val="clear" w:fill="FFFFFF"/>
          <w:lang w:val="en-US" w:eastAsia="zh-CN"/>
        </w:rPr>
        <w:t>对公司及相关人员进行处罚。</w:t>
      </w:r>
    </w:p>
    <w:p w14:paraId="4F3D4F0F">
      <w:pPr>
        <w:pStyle w:val="5"/>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outlineLvl w:val="0"/>
        <w:rPr>
          <w:rFonts w:ascii="黑体" w:hAnsi="黑体" w:eastAsia="黑体" w:cs="黑体"/>
          <w:b/>
          <w:color w:val="auto"/>
          <w:sz w:val="32"/>
          <w:szCs w:val="32"/>
          <w:highlight w:val="none"/>
        </w:rPr>
      </w:pPr>
      <w:bookmarkStart w:id="25" w:name="_Toc2709"/>
      <w:r>
        <w:rPr>
          <w:rFonts w:hint="eastAsia" w:ascii="黑体" w:hAnsi="黑体" w:eastAsia="黑体" w:cs="黑体"/>
          <w:b/>
          <w:color w:val="auto"/>
          <w:sz w:val="32"/>
          <w:szCs w:val="32"/>
          <w:highlight w:val="none"/>
          <w:lang w:val="en-US" w:eastAsia="zh-CN"/>
        </w:rPr>
        <w:t>六</w:t>
      </w:r>
      <w:r>
        <w:rPr>
          <w:rFonts w:hint="eastAsia" w:ascii="黑体" w:hAnsi="黑体" w:eastAsia="黑体" w:cs="黑体"/>
          <w:b/>
          <w:color w:val="auto"/>
          <w:sz w:val="32"/>
          <w:szCs w:val="32"/>
          <w:highlight w:val="none"/>
        </w:rPr>
        <w:t>、事故主要教训</w:t>
      </w:r>
      <w:bookmarkEnd w:id="25"/>
    </w:p>
    <w:p w14:paraId="214D9883">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 w:hAnsi="楷体" w:eastAsia="楷体" w:cs="楷体"/>
          <w:b/>
          <w:bCs/>
          <w:color w:val="auto"/>
          <w:sz w:val="32"/>
          <w:szCs w:val="32"/>
          <w:highlight w:val="none"/>
        </w:rPr>
      </w:pPr>
      <w:bookmarkStart w:id="26" w:name="_Toc29907"/>
      <w:bookmarkStart w:id="27" w:name="_Toc27484"/>
      <w:r>
        <w:rPr>
          <w:rFonts w:hint="eastAsia" w:ascii="楷体" w:hAnsi="楷体" w:eastAsia="楷体" w:cs="楷体"/>
          <w:b/>
          <w:bCs/>
          <w:color w:val="auto"/>
          <w:sz w:val="32"/>
          <w:szCs w:val="32"/>
          <w:highlight w:val="none"/>
        </w:rPr>
        <w:t>（一）企业安全生产主体责任严重缺失</w:t>
      </w:r>
      <w:bookmarkEnd w:id="26"/>
      <w:bookmarkEnd w:id="27"/>
    </w:p>
    <w:p w14:paraId="4026BB3C">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仿宋_GB2312" w:hAnsi="仿宋_GB2312" w:eastAsia="仿宋_GB2312" w:cs="仿宋_GB2312"/>
          <w:color w:val="auto"/>
          <w:sz w:val="32"/>
          <w:szCs w:val="32"/>
          <w:highlight w:val="none"/>
        </w:rPr>
      </w:pPr>
      <w:bookmarkStart w:id="28" w:name="_Toc16018"/>
      <w:bookmarkStart w:id="29" w:name="_Toc28397"/>
      <w:r>
        <w:rPr>
          <w:rFonts w:hint="eastAsia" w:ascii="仿宋_GB2312" w:hAnsi="仿宋_GB2312" w:eastAsia="仿宋_GB2312" w:cs="仿宋_GB2312"/>
          <w:color w:val="auto"/>
          <w:sz w:val="32"/>
          <w:szCs w:val="32"/>
          <w:highlight w:val="none"/>
        </w:rPr>
        <w:t>棱恒公司安全生产管理制度体系不完善，从业人员安全培训工作落实不到位，未按要求配发劳动防护用品，施工现场缺少专职安全管理人员，充分反映出该企业未能严格遵守安全生产相关法律法规，安全主体责任落实存在明显短板。安全生产不能简单视作经营成本，而是不可逾越的安全底线；一旦安全管理缺位，极易引发生产安全事故，造成难以挽回的损失。</w:t>
      </w:r>
    </w:p>
    <w:p w14:paraId="57F5BB36">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val="en-US" w:eastAsia="zh-CN" w:bidi="hi-IN"/>
        </w:rPr>
        <w:t>（二）</w:t>
      </w:r>
      <w:r>
        <w:rPr>
          <w:rFonts w:hint="eastAsia" w:ascii="楷体_GB2312" w:hAnsi="楷体_GB2312" w:eastAsia="楷体_GB2312" w:cs="楷体_GB2312"/>
          <w:b/>
          <w:bCs/>
          <w:color w:val="auto"/>
          <w:sz w:val="32"/>
          <w:szCs w:val="32"/>
          <w:highlight w:val="none"/>
        </w:rPr>
        <w:t>违章作业</w:t>
      </w:r>
      <w:r>
        <w:rPr>
          <w:rFonts w:hint="eastAsia" w:ascii="楷体_GB2312" w:hAnsi="楷体_GB2312" w:eastAsia="楷体_GB2312" w:cs="楷体_GB2312"/>
          <w:b/>
          <w:bCs/>
          <w:color w:val="auto"/>
          <w:sz w:val="32"/>
          <w:szCs w:val="32"/>
          <w:highlight w:val="none"/>
          <w:lang w:val="en-US" w:eastAsia="zh-CN"/>
        </w:rPr>
        <w:t>与</w:t>
      </w:r>
      <w:r>
        <w:rPr>
          <w:rFonts w:hint="eastAsia" w:ascii="楷体_GB2312" w:hAnsi="楷体_GB2312" w:eastAsia="楷体_GB2312" w:cs="楷体_GB2312"/>
          <w:b/>
          <w:bCs/>
          <w:color w:val="auto"/>
          <w:sz w:val="32"/>
          <w:szCs w:val="32"/>
          <w:highlight w:val="none"/>
        </w:rPr>
        <w:t>安全意识薄弱，是事故发生的直接诱因</w:t>
      </w:r>
      <w:bookmarkEnd w:id="28"/>
      <w:bookmarkEnd w:id="29"/>
    </w:p>
    <w:p w14:paraId="600266BE">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高处作业人员在未佩戴安全带、作业区域未布设防护网、现场缺少专人监护的条件下违规开展高处作业，凸显作业人员安全风险识别能力不足，自身防护意识薄弱。高处作业应当坚持先落实安全防护措施、再实施作业的原则，这条硬性规定必须严格执行，不容逾越。</w:t>
      </w:r>
    </w:p>
    <w:p w14:paraId="432F43DD">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sz w:val="32"/>
          <w:szCs w:val="32"/>
          <w:highlight w:val="none"/>
        </w:rPr>
      </w:pPr>
      <w:bookmarkStart w:id="30" w:name="_Toc20493"/>
      <w:bookmarkStart w:id="31" w:name="_Toc17612"/>
      <w:r>
        <w:rPr>
          <w:rFonts w:hint="eastAsia" w:ascii="楷体_GB2312" w:hAnsi="楷体_GB2312" w:eastAsia="楷体_GB2312" w:cs="楷体_GB2312"/>
          <w:b/>
          <w:bCs/>
          <w:color w:val="auto"/>
          <w:sz w:val="32"/>
          <w:szCs w:val="32"/>
          <w:highlight w:val="none"/>
        </w:rPr>
        <w:t>（三）特种作业人员无证上岗问题突出</w:t>
      </w:r>
      <w:bookmarkEnd w:id="30"/>
      <w:bookmarkEnd w:id="31"/>
    </w:p>
    <w:p w14:paraId="709A82FB">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施工人员中，邓**与陈**无特种作业操作证，贺**焊工证处于实习期、陈**焊工证过期未审，施工单位也未进行资质核查。高处作业属于法定特种作业，未经专门安全培训和考核合格的人员，不具备从事该项作业的资格和能力，企业违规用工是事故发生的重要根源。</w:t>
      </w:r>
    </w:p>
    <w:p w14:paraId="019F0AC8">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sz w:val="32"/>
          <w:szCs w:val="32"/>
          <w:highlight w:val="none"/>
          <w:lang w:eastAsia="zh-CN"/>
        </w:rPr>
      </w:pPr>
      <w:bookmarkStart w:id="32" w:name="_Toc4243"/>
      <w:bookmarkStart w:id="33" w:name="_Toc20218"/>
      <w:r>
        <w:rPr>
          <w:rFonts w:hint="eastAsia" w:ascii="楷体_GB2312" w:hAnsi="楷体_GB2312" w:eastAsia="楷体_GB2312" w:cs="楷体_GB2312"/>
          <w:b/>
          <w:bCs/>
          <w:color w:val="auto"/>
          <w:sz w:val="32"/>
          <w:szCs w:val="32"/>
          <w:highlight w:val="none"/>
        </w:rPr>
        <w:t>（四）现场管控缺失，安全隐患失管失察</w:t>
      </w:r>
      <w:bookmarkEnd w:id="32"/>
      <w:bookmarkEnd w:id="33"/>
    </w:p>
    <w:p w14:paraId="41A99F57">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仿宋_GB2312" w:hAnsi="仿宋_GB2312" w:cs="仿宋_GB2312"/>
          <w:color w:val="auto"/>
          <w:sz w:val="32"/>
          <w:szCs w:val="32"/>
          <w:highlight w:val="none"/>
          <w:lang w:val="en-US" w:eastAsia="zh-CN"/>
        </w:rPr>
      </w:pPr>
      <w:bookmarkStart w:id="34" w:name="_Toc27845"/>
      <w:bookmarkStart w:id="35" w:name="_Toc17552"/>
      <w:r>
        <w:rPr>
          <w:rFonts w:hint="eastAsia" w:ascii="仿宋_GB2312" w:hAnsi="仿宋_GB2312" w:cs="仿宋_GB2312"/>
          <w:color w:val="auto"/>
          <w:sz w:val="32"/>
          <w:szCs w:val="32"/>
          <w:highlight w:val="none"/>
          <w:lang w:val="en-US" w:eastAsia="zh-CN"/>
        </w:rPr>
        <w:t>本次作业过程中，棱恒公司未向作业人员提供劳动防护用品，未安排人员在现场进行监护和指导，导致作业人员未佩戴安全带、未采取安全防护措施登高作业等明显违章行为未被及时制止，直至事故发生。</w:t>
      </w:r>
    </w:p>
    <w:p w14:paraId="6153703B">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outlineLvl w:val="1"/>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（五）</w:t>
      </w:r>
      <w:r>
        <w:rPr>
          <w:rFonts w:hint="eastAsia" w:ascii="楷体_GB2312" w:hAnsi="楷体_GB2312" w:eastAsia="楷体_GB2312" w:cs="楷体_GB2312"/>
          <w:b/>
          <w:bCs/>
          <w:color w:val="auto"/>
          <w:sz w:val="32"/>
          <w:szCs w:val="32"/>
          <w:highlight w:val="none"/>
          <w:lang w:val="en-US" w:eastAsia="zh-CN"/>
        </w:rPr>
        <w:t>限额以下项目</w:t>
      </w:r>
      <w:r>
        <w:rPr>
          <w:rFonts w:hint="eastAsia" w:ascii="楷体_GB2312" w:hAnsi="楷体_GB2312" w:eastAsia="楷体_GB2312" w:cs="楷体_GB2312"/>
          <w:b/>
          <w:bCs/>
          <w:color w:val="auto"/>
          <w:sz w:val="32"/>
          <w:szCs w:val="32"/>
          <w:highlight w:val="none"/>
        </w:rPr>
        <w:t>和零星作业监管存在盲区</w:t>
      </w:r>
      <w:bookmarkEnd w:id="34"/>
      <w:bookmarkEnd w:id="35"/>
    </w:p>
    <w:p w14:paraId="6FD22487">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黑体" w:hAnsi="黑体" w:eastAsia="黑体" w:cs="黑体"/>
          <w:b/>
          <w:color w:val="auto"/>
          <w:sz w:val="32"/>
          <w:szCs w:val="32"/>
          <w:highlight w:val="none"/>
        </w:rPr>
      </w:pPr>
      <w:r>
        <w:rPr>
          <w:rFonts w:hint="eastAsia" w:ascii="仿宋_GB2312" w:hAnsi="仿宋_GB2312" w:eastAsia="仿宋_GB2312" w:cs="仿宋_GB2312"/>
          <w:color w:val="auto"/>
          <w:sz w:val="32"/>
          <w:szCs w:val="32"/>
          <w:highlight w:val="none"/>
        </w:rPr>
        <w:t>本次事故发生在</w:t>
      </w:r>
      <w:r>
        <w:rPr>
          <w:rFonts w:hint="eastAsia" w:ascii="仿宋_GB2312" w:hAnsi="仿宋_GB2312" w:cs="仿宋_GB2312"/>
          <w:color w:val="auto"/>
          <w:sz w:val="32"/>
          <w:szCs w:val="32"/>
          <w:highlight w:val="none"/>
          <w:lang w:val="en-US" w:eastAsia="zh-CN"/>
        </w:rPr>
        <w:t>限额以下工程，项目</w:t>
      </w:r>
      <w:r>
        <w:rPr>
          <w:rFonts w:hint="eastAsia" w:ascii="仿宋_GB2312" w:hAnsi="仿宋_GB2312" w:eastAsia="仿宋_GB2312" w:cs="仿宋_GB2312"/>
          <w:color w:val="auto"/>
          <w:sz w:val="32"/>
          <w:szCs w:val="32"/>
          <w:highlight w:val="none"/>
        </w:rPr>
        <w:t>规模小、作业周期短、容易游离于日常监管之外。如何加强对</w:t>
      </w:r>
      <w:r>
        <w:rPr>
          <w:rFonts w:hint="eastAsia" w:ascii="仿宋_GB2312" w:hAnsi="仿宋_GB2312" w:cs="仿宋_GB2312"/>
          <w:color w:val="auto"/>
          <w:sz w:val="32"/>
          <w:szCs w:val="32"/>
          <w:highlight w:val="none"/>
          <w:lang w:val="en-US" w:eastAsia="zh-CN"/>
        </w:rPr>
        <w:t>限额以下项目的</w:t>
      </w:r>
      <w:r>
        <w:rPr>
          <w:rFonts w:hint="eastAsia" w:ascii="仿宋_GB2312" w:hAnsi="仿宋_GB2312" w:eastAsia="仿宋_GB2312" w:cs="仿宋_GB2312"/>
          <w:color w:val="auto"/>
          <w:sz w:val="32"/>
          <w:szCs w:val="32"/>
          <w:highlight w:val="none"/>
        </w:rPr>
        <w:t>零星作业、临时用工的安全监管，是当前安全生产工作中的突出难点。</w:t>
      </w:r>
    </w:p>
    <w:p w14:paraId="5634C43A">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baseline"/>
        <w:outlineLvl w:val="0"/>
        <w:rPr>
          <w:rFonts w:ascii="黑体" w:hAnsi="黑体" w:eastAsia="黑体" w:cs="黑体"/>
          <w:b/>
          <w:color w:val="auto"/>
          <w:sz w:val="32"/>
          <w:szCs w:val="32"/>
          <w:highlight w:val="none"/>
        </w:rPr>
      </w:pPr>
      <w:bookmarkStart w:id="36" w:name="_Toc25232"/>
      <w:r>
        <w:rPr>
          <w:rFonts w:hint="eastAsia" w:ascii="黑体" w:hAnsi="黑体" w:eastAsia="黑体" w:cs="黑体"/>
          <w:b/>
          <w:color w:val="auto"/>
          <w:sz w:val="32"/>
          <w:szCs w:val="32"/>
          <w:highlight w:val="none"/>
          <w:lang w:val="en-US" w:eastAsia="zh-CN"/>
        </w:rPr>
        <w:t>七</w:t>
      </w:r>
      <w:r>
        <w:rPr>
          <w:rFonts w:hint="eastAsia" w:ascii="黑体" w:hAnsi="黑体" w:eastAsia="黑体" w:cs="黑体"/>
          <w:b/>
          <w:color w:val="auto"/>
          <w:sz w:val="32"/>
          <w:szCs w:val="32"/>
          <w:highlight w:val="none"/>
        </w:rPr>
        <w:t>、事故整改和防范措施</w:t>
      </w:r>
      <w:bookmarkEnd w:id="36"/>
    </w:p>
    <w:p w14:paraId="012584C1">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baseline"/>
        <w:rPr>
          <w:rFonts w:ascii="仿宋_GB2312" w:hAnsi="仿宋_GB2312" w:eastAsia="仿宋_GB2312" w:cs="仿宋_GB2312"/>
          <w:color w:val="auto"/>
          <w:kern w:val="0"/>
          <w:sz w:val="32"/>
          <w:szCs w:val="32"/>
          <w:highlight w:val="none"/>
        </w:rPr>
      </w:pPr>
      <w:r>
        <w:rPr>
          <w:rFonts w:ascii="仿宋_GB2312" w:hAnsi="仿宋_GB2312" w:eastAsia="仿宋_GB2312" w:cs="仿宋_GB2312"/>
          <w:color w:val="auto"/>
          <w:kern w:val="0"/>
          <w:sz w:val="32"/>
          <w:szCs w:val="32"/>
          <w:highlight w:val="none"/>
        </w:rPr>
        <w:t>针对这起事故暴露出的问题，为深刻吸取事故教训，进一步强化安全生产</w:t>
      </w:r>
      <w:r>
        <w:rPr>
          <w:rFonts w:hint="eastAsia" w:ascii="仿宋_GB2312" w:hAnsi="仿宋_GB2312" w:eastAsia="仿宋_GB2312" w:cs="仿宋_GB2312"/>
          <w:color w:val="auto"/>
          <w:kern w:val="0"/>
          <w:sz w:val="32"/>
          <w:szCs w:val="32"/>
          <w:highlight w:val="none"/>
          <w:lang w:val="en-US" w:eastAsia="zh-CN"/>
        </w:rPr>
        <w:t>责任</w:t>
      </w:r>
      <w:r>
        <w:rPr>
          <w:rFonts w:ascii="仿宋_GB2312" w:hAnsi="仿宋_GB2312" w:eastAsia="仿宋_GB2312" w:cs="仿宋_GB2312"/>
          <w:color w:val="auto"/>
          <w:kern w:val="0"/>
          <w:sz w:val="32"/>
          <w:szCs w:val="32"/>
          <w:highlight w:val="none"/>
        </w:rPr>
        <w:t>，有效防范类似事故重复发生，提出如下建议措施：</w:t>
      </w:r>
    </w:p>
    <w:p w14:paraId="5212925B">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outlineLvl w:val="1"/>
        <w:rPr>
          <w:rFonts w:hint="eastAsia" w:ascii="楷体_GB2312" w:hAnsi="楷体_GB2312" w:eastAsia="楷体_GB2312" w:cs="楷体_GB2312"/>
          <w:b/>
          <w:bCs/>
          <w:color w:val="auto"/>
          <w:sz w:val="32"/>
          <w:szCs w:val="32"/>
          <w:highlight w:val="none"/>
        </w:rPr>
      </w:pPr>
      <w:bookmarkStart w:id="37" w:name="_Toc30461"/>
      <w:bookmarkStart w:id="38" w:name="_Toc29802"/>
      <w:r>
        <w:rPr>
          <w:rFonts w:hint="eastAsia" w:ascii="楷体_GB2312" w:hAnsi="楷体_GB2312" w:eastAsia="楷体_GB2312" w:cs="楷体_GB2312"/>
          <w:b/>
          <w:bCs/>
          <w:color w:val="auto"/>
          <w:sz w:val="32"/>
          <w:szCs w:val="32"/>
          <w:highlight w:val="none"/>
        </w:rPr>
        <w:t>（一）对事故责任单位的整改要求</w:t>
      </w:r>
      <w:bookmarkEnd w:id="37"/>
      <w:bookmarkEnd w:id="38"/>
    </w:p>
    <w:p w14:paraId="357E0FFA">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outlineLvl w:val="2"/>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color w:val="auto"/>
          <w:sz w:val="32"/>
          <w:szCs w:val="32"/>
          <w:highlight w:val="none"/>
          <w:lang w:eastAsia="zh-CN"/>
        </w:rPr>
        <w:t>1.</w:t>
      </w:r>
      <w:r>
        <w:rPr>
          <w:rFonts w:hint="eastAsia" w:ascii="仿宋_GB2312" w:hAnsi="仿宋_GB2312" w:eastAsia="仿宋_GB2312" w:cs="仿宋_GB2312"/>
          <w:b/>
          <w:color w:val="auto"/>
          <w:sz w:val="32"/>
          <w:szCs w:val="32"/>
          <w:highlight w:val="none"/>
          <w:lang w:val="en-US" w:eastAsia="zh-CN"/>
        </w:rPr>
        <w:t>棱恒</w:t>
      </w:r>
      <w:r>
        <w:rPr>
          <w:rFonts w:hint="eastAsia" w:ascii="仿宋_GB2312" w:hAnsi="仿宋_GB2312" w:eastAsia="仿宋_GB2312" w:cs="仿宋_GB2312"/>
          <w:b/>
          <w:bCs/>
          <w:color w:val="auto"/>
          <w:kern w:val="0"/>
          <w:sz w:val="32"/>
          <w:szCs w:val="32"/>
          <w:highlight w:val="none"/>
          <w:lang w:val="en-US" w:eastAsia="zh-CN"/>
        </w:rPr>
        <w:t>公司</w:t>
      </w:r>
    </w:p>
    <w:p w14:paraId="5AB71657">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color w:val="auto"/>
          <w:sz w:val="32"/>
          <w:szCs w:val="32"/>
          <w:highlight w:val="none"/>
          <w:lang w:eastAsia="zh-CN"/>
        </w:rPr>
      </w:pPr>
      <w:r>
        <w:rPr>
          <w:rFonts w:ascii="仿宋_GB2312" w:hAnsi="仿宋_GB2312" w:eastAsia="仿宋_GB2312" w:cs="仿宋_GB2312"/>
          <w:b/>
          <w:bCs/>
          <w:color w:val="auto"/>
          <w:sz w:val="32"/>
          <w:szCs w:val="32"/>
          <w:highlight w:val="none"/>
        </w:rPr>
        <w:t>一是压紧压实企业安全生产主体责任。</w:t>
      </w:r>
      <w:r>
        <w:rPr>
          <w:rFonts w:ascii="仿宋_GB2312" w:hAnsi="仿宋_GB2312" w:eastAsia="仿宋_GB2312" w:cs="仿宋_GB2312"/>
          <w:color w:val="auto"/>
          <w:sz w:val="32"/>
          <w:szCs w:val="32"/>
          <w:highlight w:val="none"/>
        </w:rPr>
        <w:t>要深刻汲取“6・14”事故惨痛教训，严格遵照《中华人民共和国安全生产法》《中华人民共和国建筑法》等法律法规要求，健全并落地安全生产责任体系，完善内部安全管理制度，推动各项安全工作落地生根，夯实安全管理根基，依法依规履行安全管理法定职责。持续强化内部安全管控，严格执行安全管理制度与岗位操作规程，保障各类安全防控举措执行到位。</w:t>
      </w:r>
      <w:r>
        <w:rPr>
          <w:rFonts w:ascii="仿宋_GB2312" w:hAnsi="仿宋_GB2312" w:eastAsia="仿宋_GB2312" w:cs="仿宋_GB2312"/>
          <w:b/>
          <w:bCs/>
          <w:color w:val="auto"/>
          <w:sz w:val="32"/>
          <w:szCs w:val="32"/>
          <w:highlight w:val="none"/>
        </w:rPr>
        <w:t>二是抓实安全教育培训与施工现场管控。</w:t>
      </w:r>
      <w:r>
        <w:rPr>
          <w:rFonts w:ascii="仿宋_GB2312" w:hAnsi="仿宋_GB2312" w:eastAsia="仿宋_GB2312" w:cs="仿宋_GB2312"/>
          <w:color w:val="auto"/>
          <w:sz w:val="32"/>
          <w:szCs w:val="32"/>
          <w:highlight w:val="none"/>
        </w:rPr>
        <w:t>常态化组织从业人员开展安全宣教培训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从业</w:t>
      </w:r>
      <w:r>
        <w:rPr>
          <w:rFonts w:ascii="仿宋_GB2312" w:hAnsi="仿宋_GB2312" w:eastAsia="仿宋_GB2312" w:cs="仿宋_GB2312"/>
          <w:color w:val="auto"/>
          <w:sz w:val="32"/>
          <w:szCs w:val="32"/>
          <w:highlight w:val="none"/>
        </w:rPr>
        <w:t>人员进场前，必须完成安全教育以及安全技术交底工作，保障</w:t>
      </w:r>
      <w:r>
        <w:rPr>
          <w:rFonts w:hint="eastAsia" w:ascii="仿宋_GB2312" w:hAnsi="仿宋_GB2312" w:eastAsia="仿宋_GB2312" w:cs="仿宋_GB2312"/>
          <w:color w:val="auto"/>
          <w:sz w:val="32"/>
          <w:szCs w:val="32"/>
          <w:highlight w:val="none"/>
          <w:lang w:val="en-US" w:eastAsia="zh-CN"/>
        </w:rPr>
        <w:t>从业</w:t>
      </w:r>
      <w:r>
        <w:rPr>
          <w:rFonts w:ascii="仿宋_GB2312" w:hAnsi="仿宋_GB2312" w:eastAsia="仿宋_GB2312" w:cs="仿宋_GB2312"/>
          <w:color w:val="auto"/>
          <w:sz w:val="32"/>
          <w:szCs w:val="32"/>
          <w:highlight w:val="none"/>
        </w:rPr>
        <w:t>人员能够辨识施工现场</w:t>
      </w:r>
      <w:r>
        <w:rPr>
          <w:rFonts w:hint="eastAsia" w:ascii="仿宋_GB2312" w:hAnsi="仿宋_GB2312" w:eastAsia="仿宋_GB2312" w:cs="仿宋_GB2312"/>
          <w:color w:val="auto"/>
          <w:sz w:val="32"/>
          <w:szCs w:val="32"/>
          <w:highlight w:val="none"/>
          <w:lang w:val="en-US" w:eastAsia="zh-CN"/>
        </w:rPr>
        <w:t>存在的</w:t>
      </w:r>
      <w:r>
        <w:rPr>
          <w:rFonts w:ascii="仿宋_GB2312" w:hAnsi="仿宋_GB2312" w:eastAsia="仿宋_GB2312" w:cs="仿宋_GB2312"/>
          <w:color w:val="auto"/>
          <w:sz w:val="32"/>
          <w:szCs w:val="32"/>
          <w:highlight w:val="none"/>
        </w:rPr>
        <w:t>各类安全隐患，掌握岗位</w:t>
      </w:r>
      <w:r>
        <w:rPr>
          <w:rFonts w:hint="eastAsia" w:ascii="仿宋_GB2312" w:hAnsi="仿宋_GB2312" w:eastAsia="仿宋_GB2312" w:cs="仿宋_GB2312"/>
          <w:color w:val="auto"/>
          <w:sz w:val="32"/>
          <w:szCs w:val="32"/>
          <w:highlight w:val="none"/>
          <w:lang w:val="en-US" w:eastAsia="zh-CN"/>
        </w:rPr>
        <w:t>必须</w:t>
      </w:r>
      <w:r>
        <w:rPr>
          <w:rFonts w:ascii="仿宋_GB2312" w:hAnsi="仿宋_GB2312" w:eastAsia="仿宋_GB2312" w:cs="仿宋_GB2312"/>
          <w:color w:val="auto"/>
          <w:sz w:val="32"/>
          <w:szCs w:val="32"/>
          <w:highlight w:val="none"/>
        </w:rPr>
        <w:t>的安全知识。加大施工现场、危险作业环节的安全监管力度，按标准向从业人员配发</w:t>
      </w:r>
      <w:r>
        <w:rPr>
          <w:rFonts w:hint="eastAsia" w:ascii="仿宋_GB2312" w:hAnsi="仿宋_GB2312" w:eastAsia="仿宋_GB2312" w:cs="仿宋_GB2312"/>
          <w:color w:val="auto"/>
          <w:sz w:val="32"/>
          <w:szCs w:val="32"/>
          <w:highlight w:val="none"/>
          <w:lang w:val="en-US" w:eastAsia="zh-CN"/>
        </w:rPr>
        <w:t>质量</w:t>
      </w:r>
      <w:r>
        <w:rPr>
          <w:rFonts w:ascii="仿宋_GB2312" w:hAnsi="仿宋_GB2312" w:eastAsia="仿宋_GB2312" w:cs="仿宋_GB2312"/>
          <w:color w:val="auto"/>
          <w:sz w:val="32"/>
          <w:szCs w:val="32"/>
          <w:highlight w:val="none"/>
        </w:rPr>
        <w:t>合格</w:t>
      </w:r>
      <w:r>
        <w:rPr>
          <w:rFonts w:hint="eastAsia" w:ascii="仿宋_GB2312" w:hAnsi="仿宋_GB2312" w:eastAsia="仿宋_GB2312" w:cs="仿宋_GB2312"/>
          <w:color w:val="auto"/>
          <w:sz w:val="32"/>
          <w:szCs w:val="32"/>
          <w:highlight w:val="none"/>
          <w:lang w:eastAsia="zh-CN"/>
        </w:rPr>
        <w:t>的</w:t>
      </w:r>
      <w:r>
        <w:rPr>
          <w:rFonts w:ascii="仿宋_GB2312" w:hAnsi="仿宋_GB2312" w:eastAsia="仿宋_GB2312" w:cs="仿宋_GB2312"/>
          <w:color w:val="auto"/>
          <w:sz w:val="32"/>
          <w:szCs w:val="32"/>
          <w:highlight w:val="none"/>
        </w:rPr>
        <w:t>劳动防护用品，并督促</w:t>
      </w:r>
      <w:r>
        <w:rPr>
          <w:rFonts w:hint="eastAsia" w:ascii="仿宋_GB2312" w:hAnsi="仿宋_GB2312" w:eastAsia="仿宋_GB2312" w:cs="仿宋_GB2312"/>
          <w:color w:val="auto"/>
          <w:sz w:val="32"/>
          <w:szCs w:val="32"/>
          <w:highlight w:val="none"/>
          <w:lang w:val="en-US" w:eastAsia="zh-CN"/>
        </w:rPr>
        <w:t>从业</w:t>
      </w:r>
      <w:r>
        <w:rPr>
          <w:rFonts w:ascii="仿宋_GB2312" w:hAnsi="仿宋_GB2312" w:eastAsia="仿宋_GB2312" w:cs="仿宋_GB2312"/>
          <w:color w:val="auto"/>
          <w:sz w:val="32"/>
          <w:szCs w:val="32"/>
          <w:highlight w:val="none"/>
        </w:rPr>
        <w:t>人员规范佩戴使用。严格特种作业人员和作业现场管理，严禁安排无特种作业操作资格证书的人员开展特种作业，切实守护从业人员生命安全</w:t>
      </w:r>
      <w:r>
        <w:rPr>
          <w:rFonts w:hint="eastAsia" w:ascii="仿宋_GB2312" w:hAnsi="仿宋_GB2312" w:eastAsia="仿宋_GB2312" w:cs="仿宋_GB2312"/>
          <w:color w:val="auto"/>
          <w:sz w:val="32"/>
          <w:szCs w:val="32"/>
          <w:highlight w:val="none"/>
          <w:lang w:eastAsia="zh-CN"/>
        </w:rPr>
        <w:t>。</w:t>
      </w:r>
    </w:p>
    <w:p w14:paraId="0982605C">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b/>
          <w:color w:val="auto"/>
          <w:kern w:val="2"/>
          <w:sz w:val="32"/>
          <w:szCs w:val="32"/>
          <w:highlight w:val="none"/>
          <w:lang w:val="en-US" w:eastAsia="zh-CN" w:bidi="ar-SA"/>
        </w:rPr>
      </w:pPr>
      <w:r>
        <w:rPr>
          <w:rFonts w:hint="eastAsia" w:ascii="仿宋_GB2312" w:hAnsi="仿宋_GB2312" w:eastAsia="仿宋_GB2312" w:cs="仿宋_GB2312"/>
          <w:b/>
          <w:color w:val="auto"/>
          <w:kern w:val="2"/>
          <w:sz w:val="32"/>
          <w:szCs w:val="32"/>
          <w:highlight w:val="none"/>
          <w:lang w:val="en-US" w:eastAsia="zh-CN" w:bidi="ar-SA"/>
        </w:rPr>
        <w:t>2.双程公司</w:t>
      </w:r>
    </w:p>
    <w:p w14:paraId="01D1CFF5">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outlineLvl w:val="1"/>
        <w:rPr>
          <w:rFonts w:ascii="仿宋_GB2312" w:hAnsi="仿宋_GB2312" w:eastAsia="仿宋_GB2312" w:cs="仿宋_GB2312"/>
          <w:color w:val="auto"/>
          <w:kern w:val="2"/>
          <w:sz w:val="32"/>
          <w:szCs w:val="32"/>
          <w:highlight w:val="none"/>
          <w:lang w:val="en-US" w:eastAsia="zh-CN" w:bidi="ar-SA"/>
        </w:rPr>
      </w:pPr>
      <w:bookmarkStart w:id="39" w:name="_Toc22906"/>
      <w:bookmarkStart w:id="40" w:name="_Toc11343"/>
      <w:r>
        <w:rPr>
          <w:rFonts w:ascii="仿宋_GB2312" w:hAnsi="仿宋_GB2312" w:eastAsia="仿宋_GB2312" w:cs="仿宋_GB2312"/>
          <w:b/>
          <w:bCs/>
          <w:color w:val="auto"/>
          <w:kern w:val="2"/>
          <w:sz w:val="32"/>
          <w:szCs w:val="32"/>
          <w:highlight w:val="none"/>
          <w:lang w:val="en-US" w:eastAsia="zh-CN" w:bidi="ar-SA"/>
        </w:rPr>
        <w:t>一是切实规范项目发包管理。</w:t>
      </w:r>
      <w:r>
        <w:rPr>
          <w:rFonts w:hint="eastAsia" w:ascii="仿宋_GB2312" w:hAnsi="仿宋_GB2312" w:cs="仿宋_GB2312"/>
          <w:b w:val="0"/>
          <w:bCs w:val="0"/>
          <w:color w:val="auto"/>
          <w:kern w:val="2"/>
          <w:sz w:val="32"/>
          <w:szCs w:val="32"/>
          <w:highlight w:val="none"/>
          <w:lang w:val="en-US" w:eastAsia="zh-CN" w:bidi="ar-SA"/>
        </w:rPr>
        <w:t>要</w:t>
      </w:r>
      <w:r>
        <w:rPr>
          <w:rFonts w:ascii="仿宋_GB2312" w:hAnsi="仿宋_GB2312" w:eastAsia="仿宋_GB2312" w:cs="仿宋_GB2312"/>
          <w:color w:val="auto"/>
          <w:kern w:val="2"/>
          <w:sz w:val="32"/>
          <w:szCs w:val="32"/>
          <w:highlight w:val="none"/>
          <w:lang w:val="en-US" w:eastAsia="zh-CN" w:bidi="ar-SA"/>
        </w:rPr>
        <w:t>深刻汲取</w:t>
      </w:r>
      <w:r>
        <w:rPr>
          <w:rFonts w:ascii="仿宋_GB2312" w:hAnsi="仿宋_GB2312" w:eastAsia="仿宋_GB2312" w:cs="仿宋_GB2312"/>
          <w:color w:val="auto"/>
          <w:sz w:val="32"/>
          <w:szCs w:val="32"/>
          <w:highlight w:val="none"/>
        </w:rPr>
        <w:t>“6・14”</w:t>
      </w:r>
      <w:r>
        <w:rPr>
          <w:rFonts w:ascii="仿宋_GB2312" w:hAnsi="仿宋_GB2312" w:eastAsia="仿宋_GB2312" w:cs="仿宋_GB2312"/>
          <w:color w:val="auto"/>
          <w:kern w:val="2"/>
          <w:sz w:val="32"/>
          <w:szCs w:val="32"/>
          <w:highlight w:val="none"/>
          <w:lang w:val="en-US" w:eastAsia="zh-CN" w:bidi="ar-SA"/>
        </w:rPr>
        <w:t>事故教训，严格遵守《中华人民共和国安全生产法》《中华人民共和国建筑法》等法律法规，发包前严格审查承包单位营业执照、施工资质、安全生产许可证及特种作业人员</w:t>
      </w:r>
      <w:r>
        <w:rPr>
          <w:rFonts w:hint="eastAsia" w:ascii="仿宋_GB2312" w:hAnsi="仿宋_GB2312" w:cs="仿宋_GB2312"/>
          <w:color w:val="auto"/>
          <w:kern w:val="2"/>
          <w:sz w:val="32"/>
          <w:szCs w:val="32"/>
          <w:highlight w:val="none"/>
          <w:lang w:val="en-US" w:eastAsia="zh-CN" w:bidi="ar-SA"/>
        </w:rPr>
        <w:t>持证情况</w:t>
      </w:r>
      <w:r>
        <w:rPr>
          <w:rFonts w:ascii="仿宋_GB2312" w:hAnsi="仿宋_GB2312" w:eastAsia="仿宋_GB2312" w:cs="仿宋_GB2312"/>
          <w:color w:val="auto"/>
          <w:kern w:val="2"/>
          <w:sz w:val="32"/>
          <w:szCs w:val="32"/>
          <w:highlight w:val="none"/>
          <w:lang w:val="en-US" w:eastAsia="zh-CN" w:bidi="ar-SA"/>
        </w:rPr>
        <w:t>，严禁将项目发包给不具备安全生产条件或相应资质的单位和个人。</w:t>
      </w:r>
      <w:r>
        <w:rPr>
          <w:rFonts w:ascii="仿宋_GB2312" w:hAnsi="仿宋_GB2312" w:eastAsia="仿宋_GB2312" w:cs="仿宋_GB2312"/>
          <w:b/>
          <w:bCs/>
          <w:color w:val="auto"/>
          <w:kern w:val="2"/>
          <w:sz w:val="32"/>
          <w:szCs w:val="32"/>
          <w:highlight w:val="none"/>
          <w:lang w:val="en-US" w:eastAsia="zh-CN" w:bidi="ar-SA"/>
        </w:rPr>
        <w:t>二是严格执行安全生产统一协调管理义务。</w:t>
      </w:r>
      <w:r>
        <w:rPr>
          <w:rFonts w:ascii="仿宋_GB2312" w:hAnsi="仿宋_GB2312" w:eastAsia="仿宋_GB2312" w:cs="仿宋_GB2312"/>
          <w:color w:val="auto"/>
          <w:kern w:val="2"/>
          <w:sz w:val="32"/>
          <w:szCs w:val="32"/>
          <w:highlight w:val="none"/>
          <w:lang w:val="en-US" w:eastAsia="zh-CN" w:bidi="ar-SA"/>
        </w:rPr>
        <w:t>指定专人对施工现场实施统一协调管理，定期开展安全检查，重点核查高处作业防护、特种作业人员持证上岗、安全技术交底等落实情况，发现隐患及时督促整改，并实行闭环销号。</w:t>
      </w:r>
    </w:p>
    <w:p w14:paraId="408DB32D">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outlineLvl w:val="1"/>
        <w:rPr>
          <w:rFonts w:hint="eastAsia" w:ascii="仿宋_GB2312" w:hAnsi="仿宋_GB2312" w:eastAsia="仿宋_GB2312" w:cs="仿宋_GB2312"/>
          <w:b/>
          <w:bCs/>
          <w:color w:val="auto"/>
          <w:sz w:val="32"/>
          <w:szCs w:val="32"/>
          <w:highlight w:val="none"/>
        </w:rPr>
      </w:pPr>
      <w:r>
        <w:rPr>
          <w:rFonts w:hint="eastAsia" w:ascii="楷体_GB2312" w:hAnsi="楷体_GB2312" w:eastAsia="楷体_GB2312" w:cs="楷体_GB2312"/>
          <w:b/>
          <w:bCs/>
          <w:color w:val="auto"/>
          <w:sz w:val="32"/>
          <w:szCs w:val="32"/>
          <w:highlight w:val="none"/>
        </w:rPr>
        <w:t>（二）对政府有关部门的工作建议</w:t>
      </w:r>
      <w:bookmarkEnd w:id="39"/>
      <w:bookmarkEnd w:id="40"/>
    </w:p>
    <w:p w14:paraId="1A33B13C">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outlineLvl w:val="2"/>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1.区住建局——强化行业监管</w:t>
      </w:r>
    </w:p>
    <w:p w14:paraId="279610A6">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ascii="仿宋_GB2312" w:hAnsi="仿宋_GB2312" w:eastAsia="仿宋_GB2312" w:cs="仿宋_GB2312"/>
          <w:color w:val="auto"/>
          <w:kern w:val="2"/>
          <w:sz w:val="32"/>
          <w:szCs w:val="32"/>
          <w:highlight w:val="none"/>
          <w:lang w:val="en-US" w:eastAsia="zh-CN" w:bidi="ar-SA"/>
        </w:rPr>
        <w:t>认真履行建筑施工领域安全生产监管职能，协同指导各镇（街道）、工业园区开展限额以下工程、零星施工作业项目的监督检查工作。聚焦安全生产责任制落地、安全管理制度建立、安全教育培训组织实施、特种作业人员持证上岗、劳动防护用品配发及规范佩戴、危险作业现场管控等重点内容开展核查。针对未落实安全教育培训、劳动防护用品配备不到位、违法安排无证人员实施特种作业等各类违法行为，坚持依法从严查处，充分发挥执法警示震慑作用。</w:t>
      </w:r>
    </w:p>
    <w:p w14:paraId="3C23B47E">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outlineLvl w:val="2"/>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w:t>
      </w:r>
      <w:r>
        <w:rPr>
          <w:rFonts w:hint="eastAsia" w:ascii="仿宋_GB2312" w:hAnsi="仿宋_GB2312" w:cs="仿宋_GB2312"/>
          <w:b/>
          <w:bCs/>
          <w:color w:val="auto"/>
          <w:sz w:val="32"/>
          <w:szCs w:val="32"/>
          <w:highlight w:val="none"/>
          <w:lang w:val="en-US" w:eastAsia="zh-CN"/>
        </w:rPr>
        <w:t>工业园区管委会</w:t>
      </w:r>
      <w:r>
        <w:rPr>
          <w:rFonts w:hint="eastAsia" w:ascii="仿宋_GB2312" w:hAnsi="仿宋_GB2312" w:eastAsia="仿宋_GB2312" w:cs="仿宋_GB2312"/>
          <w:b/>
          <w:bCs/>
          <w:color w:val="auto"/>
          <w:sz w:val="32"/>
          <w:szCs w:val="32"/>
          <w:highlight w:val="none"/>
        </w:rPr>
        <w:t>——落实属地监管责任</w:t>
      </w:r>
    </w:p>
    <w:p w14:paraId="3E804ACD">
      <w:pPr>
        <w:keepNext w:val="0"/>
        <w:keepLines w:val="0"/>
        <w:pageBreakBefore w:val="0"/>
        <w:widowControl w:val="0"/>
        <w:kinsoku/>
        <w:wordWrap/>
        <w:overflowPunct w:val="0"/>
        <w:topLinePunct w:val="0"/>
        <w:autoSpaceDE/>
        <w:autoSpaceDN/>
        <w:bidi w:val="0"/>
        <w:adjustRightInd/>
        <w:snapToGrid/>
        <w:spacing w:line="560" w:lineRule="exact"/>
        <w:ind w:firstLine="632" w:firstLineChars="200"/>
        <w:textAlignment w:val="auto"/>
        <w:rPr>
          <w:rFonts w:ascii="仿宋_GB2312" w:hAnsi="仿宋_GB2312" w:eastAsia="仿宋_GB2312" w:cs="仿宋_GB2312"/>
          <w:color w:val="auto"/>
          <w:kern w:val="2"/>
          <w:sz w:val="32"/>
          <w:szCs w:val="32"/>
          <w:highlight w:val="none"/>
          <w:lang w:val="en-US" w:eastAsia="zh-CN" w:bidi="ar-SA"/>
        </w:rPr>
      </w:pPr>
      <w:r>
        <w:rPr>
          <w:rFonts w:ascii="仿宋_GB2312" w:hAnsi="仿宋_GB2312" w:eastAsia="仿宋_GB2312" w:cs="仿宋_GB2312"/>
          <w:color w:val="auto"/>
          <w:kern w:val="2"/>
          <w:sz w:val="32"/>
          <w:szCs w:val="32"/>
          <w:highlight w:val="none"/>
          <w:lang w:val="en-US" w:eastAsia="zh-CN" w:bidi="ar-SA"/>
        </w:rPr>
        <w:t>工业园区管委会要深刻汲取本次事故教训，扎实</w:t>
      </w:r>
      <w:r>
        <w:rPr>
          <w:rFonts w:hint="eastAsia" w:ascii="仿宋_GB2312" w:hAnsi="仿宋_GB2312" w:cs="仿宋_GB2312"/>
          <w:color w:val="auto"/>
          <w:kern w:val="2"/>
          <w:sz w:val="32"/>
          <w:szCs w:val="32"/>
          <w:highlight w:val="none"/>
          <w:lang w:val="en-US" w:eastAsia="zh-CN" w:bidi="ar-SA"/>
        </w:rPr>
        <w:t>开展</w:t>
      </w:r>
      <w:r>
        <w:rPr>
          <w:rFonts w:ascii="仿宋_GB2312" w:hAnsi="仿宋_GB2312" w:eastAsia="仿宋_GB2312" w:cs="仿宋_GB2312"/>
          <w:color w:val="auto"/>
          <w:kern w:val="2"/>
          <w:sz w:val="32"/>
          <w:szCs w:val="32"/>
          <w:highlight w:val="none"/>
          <w:lang w:val="en-US" w:eastAsia="zh-CN" w:bidi="ar-SA"/>
        </w:rPr>
        <w:t>属地安全监管职责。组织开展辖区安全生产宣传教育，常态化推进安全隐患排查治理工作，加大对</w:t>
      </w:r>
      <w:r>
        <w:rPr>
          <w:rFonts w:hint="default" w:ascii="仿宋_GB2312" w:hAnsi="仿宋_GB2312" w:eastAsia="仿宋_GB2312" w:cs="仿宋_GB2312"/>
          <w:color w:val="auto"/>
          <w:kern w:val="2"/>
          <w:sz w:val="32"/>
          <w:szCs w:val="32"/>
          <w:highlight w:val="none"/>
          <w:lang w:val="en-US" w:eastAsia="zh-CN" w:bidi="ar-SA"/>
        </w:rPr>
        <w:t>辖区限额以下工程和零星作业的管控力度</w:t>
      </w:r>
      <w:r>
        <w:rPr>
          <w:rFonts w:ascii="仿宋_GB2312" w:hAnsi="仿宋_GB2312" w:eastAsia="仿宋_GB2312" w:cs="仿宋_GB2312"/>
          <w:color w:val="auto"/>
          <w:kern w:val="2"/>
          <w:sz w:val="32"/>
          <w:szCs w:val="32"/>
          <w:highlight w:val="none"/>
          <w:lang w:val="en-US" w:eastAsia="zh-CN" w:bidi="ar-SA"/>
        </w:rPr>
        <w:t>，及早排查并消除各类安全隐患。建立辖区限额以下项目、零星临时施工项目登记备案机制，及时发现、上报安全生产违法违规行为，严防同类事故重演。主动配合相关职能部门开展安全生产监管工作，抓实抓细各项安全管控举措，有效防范和遏制各类生产安全事故</w:t>
      </w:r>
      <w:r>
        <w:rPr>
          <w:rFonts w:hint="eastAsia" w:ascii="仿宋_GB2312" w:hAnsi="仿宋_GB2312" w:cs="仿宋_GB2312"/>
          <w:color w:val="auto"/>
          <w:kern w:val="2"/>
          <w:sz w:val="32"/>
          <w:szCs w:val="32"/>
          <w:highlight w:val="none"/>
          <w:lang w:val="en-US" w:eastAsia="zh-CN" w:bidi="ar-SA"/>
        </w:rPr>
        <w:t>。</w:t>
      </w:r>
    </w:p>
    <w:p w14:paraId="46751D5A">
      <w:pPr>
        <w:pStyle w:val="7"/>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both"/>
        <w:rPr>
          <w:rFonts w:hint="eastAsia" w:ascii="仿宋_GB2312" w:hAnsi="仿宋" w:eastAsia="仿宋_GB2312" w:cs="Times New Roman"/>
          <w:color w:val="auto"/>
          <w:sz w:val="32"/>
          <w:szCs w:val="32"/>
          <w:highlight w:val="none"/>
          <w:lang w:val="en-US" w:eastAsia="zh-CN"/>
        </w:rPr>
      </w:pPr>
    </w:p>
    <w:p w14:paraId="3B000770">
      <w:pPr>
        <w:pStyle w:val="7"/>
        <w:keepNext w:val="0"/>
        <w:keepLines w:val="0"/>
        <w:pageBreakBefore w:val="0"/>
        <w:widowControl w:val="0"/>
        <w:kinsoku/>
        <w:wordWrap w:val="0"/>
        <w:overflowPunct w:val="0"/>
        <w:topLinePunct w:val="0"/>
        <w:autoSpaceDE/>
        <w:autoSpaceDN/>
        <w:bidi w:val="0"/>
        <w:adjustRightInd/>
        <w:snapToGrid/>
        <w:spacing w:line="560" w:lineRule="exact"/>
        <w:ind w:left="0" w:leftChars="0" w:firstLine="0" w:firstLineChars="0"/>
        <w:jc w:val="left"/>
        <w:rPr>
          <w:rFonts w:hint="eastAsia" w:ascii="仿宋_GB2312" w:hAnsi="仿宋" w:eastAsia="仿宋_GB2312" w:cs="Times New Roman"/>
          <w:color w:val="auto"/>
          <w:sz w:val="32"/>
          <w:szCs w:val="32"/>
          <w:highlight w:val="none"/>
          <w:lang w:val="en-US" w:eastAsia="zh-CN"/>
        </w:rPr>
      </w:pPr>
    </w:p>
    <w:p w14:paraId="50A53065">
      <w:pPr>
        <w:pStyle w:val="7"/>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right"/>
        <w:rPr>
          <w:rFonts w:hint="eastAsia" w:ascii="仿宋_GB2312" w:hAnsi="仿宋_GB2312" w:eastAsia="仿宋_GB2312" w:cs="仿宋_GB2312"/>
          <w:color w:val="auto"/>
          <w:sz w:val="32"/>
          <w:szCs w:val="32"/>
          <w:highlight w:val="none"/>
          <w:lang w:val="en-US" w:eastAsia="zh-CN"/>
        </w:rPr>
      </w:pPr>
    </w:p>
    <w:p w14:paraId="3A5D6B53">
      <w:pPr>
        <w:pStyle w:val="5"/>
        <w:keepNext w:val="0"/>
        <w:keepLines w:val="0"/>
        <w:pageBreakBefore w:val="0"/>
        <w:kinsoku/>
        <w:overflowPunct w:val="0"/>
        <w:topLinePunct w:val="0"/>
        <w:autoSpaceDE/>
        <w:autoSpaceDN/>
        <w:bidi w:val="0"/>
        <w:adjustRightInd/>
        <w:snapToGrid/>
        <w:spacing w:line="560" w:lineRule="exact"/>
        <w:rPr>
          <w:rFonts w:hint="eastAsia"/>
          <w:color w:val="auto"/>
          <w:highlight w:val="none"/>
          <w:lang w:val="en-US" w:eastAsia="zh-CN"/>
        </w:rPr>
      </w:pPr>
    </w:p>
    <w:p w14:paraId="71DD88C0">
      <w:pPr>
        <w:pStyle w:val="7"/>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right"/>
        <w:outlineLvl w:val="0"/>
        <w:rPr>
          <w:rFonts w:hint="eastAsia" w:ascii="仿宋_GB2312" w:hAnsi="仿宋" w:eastAsia="仿宋_GB2312" w:cs="Times New Roman"/>
          <w:color w:val="auto"/>
          <w:sz w:val="32"/>
          <w:szCs w:val="32"/>
          <w:highlight w:val="none"/>
          <w:lang w:val="en-US" w:eastAsia="zh-CN"/>
        </w:rPr>
      </w:pPr>
      <w:bookmarkStart w:id="41" w:name="_Toc26947"/>
      <w:bookmarkStart w:id="42" w:name="_Toc3877"/>
      <w:r>
        <w:rPr>
          <w:rFonts w:hint="eastAsia" w:ascii="仿宋_GB2312" w:hAnsi="仿宋" w:eastAsia="仿宋_GB2312" w:cs="Times New Roman"/>
          <w:color w:val="auto"/>
          <w:sz w:val="32"/>
          <w:szCs w:val="32"/>
          <w:highlight w:val="none"/>
          <w:lang w:val="en-US" w:eastAsia="zh-CN"/>
        </w:rPr>
        <w:t>江西双程医疗健康有限公司汽车坡道车棚工程</w:t>
      </w:r>
    </w:p>
    <w:p w14:paraId="1C9204A3">
      <w:pPr>
        <w:pStyle w:val="7"/>
        <w:keepNext w:val="0"/>
        <w:keepLines w:val="0"/>
        <w:pageBreakBefore w:val="0"/>
        <w:widowControl w:val="0"/>
        <w:kinsoku/>
        <w:wordWrap w:val="0"/>
        <w:overflowPunct w:val="0"/>
        <w:topLinePunct w:val="0"/>
        <w:autoSpaceDE/>
        <w:autoSpaceDN/>
        <w:bidi w:val="0"/>
        <w:adjustRightInd/>
        <w:snapToGrid/>
        <w:spacing w:line="560" w:lineRule="exact"/>
        <w:ind w:left="0" w:leftChars="0" w:firstLine="3160" w:firstLineChars="1000"/>
        <w:jc w:val="both"/>
        <w:outlineLvl w:val="0"/>
        <w:rPr>
          <w:rFonts w:hint="default" w:ascii="仿宋_GB2312" w:hAnsi="仿宋_GB2312" w:eastAsia="仿宋_GB2312" w:cs="仿宋_GB2312"/>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“6·14”</w:t>
      </w:r>
      <w:bookmarkEnd w:id="41"/>
      <w:bookmarkEnd w:id="42"/>
      <w:bookmarkStart w:id="43" w:name="_Toc32623"/>
      <w:bookmarkStart w:id="44" w:name="_Toc24939"/>
      <w:r>
        <w:rPr>
          <w:rFonts w:hint="eastAsia" w:ascii="仿宋_GB2312" w:hAnsi="仿宋" w:eastAsia="仿宋_GB2312" w:cs="Times New Roman"/>
          <w:color w:val="auto"/>
          <w:sz w:val="32"/>
          <w:szCs w:val="32"/>
          <w:highlight w:val="none"/>
          <w:lang w:val="en-US" w:eastAsia="zh-CN"/>
        </w:rPr>
        <w:t>一般高处坠落事故调查</w:t>
      </w:r>
      <w:r>
        <w:rPr>
          <w:rFonts w:ascii="仿宋_GB2312" w:hAnsi="仿宋_GB2312" w:eastAsia="仿宋_GB2312" w:cs="仿宋_GB2312"/>
          <w:color w:val="auto"/>
          <w:sz w:val="32"/>
          <w:szCs w:val="32"/>
          <w:highlight w:val="none"/>
        </w:rPr>
        <w:t>组</w:t>
      </w:r>
      <w:bookmarkEnd w:id="43"/>
      <w:bookmarkEnd w:id="44"/>
    </w:p>
    <w:p w14:paraId="7CCCF813">
      <w:pPr>
        <w:pStyle w:val="7"/>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center"/>
        <w:rPr>
          <w:rFonts w:hint="default" w:ascii="仿宋_GB2312" w:hAnsi="仿宋" w:eastAsia="仿宋_GB2312"/>
          <w:color w:val="auto"/>
          <w:sz w:val="32"/>
          <w:szCs w:val="32"/>
          <w:highlight w:val="none"/>
          <w:lang w:val="en-US" w:eastAsia="zh-CN"/>
        </w:rPr>
      </w:pPr>
      <w:r>
        <w:rPr>
          <w:rFonts w:hint="eastAsia" w:ascii="仿宋_GB2312" w:hAnsi="仿宋" w:eastAsia="仿宋_GB2312" w:cs="Times New Roman"/>
          <w:color w:val="auto"/>
          <w:sz w:val="32"/>
          <w:szCs w:val="32"/>
          <w:highlight w:val="none"/>
          <w:lang w:val="en-US" w:eastAsia="zh-CN"/>
        </w:rPr>
        <w:t xml:space="preserve">                      2026年10月10日</w:t>
      </w:r>
      <w:r>
        <w:rPr>
          <w:rFonts w:hint="eastAsia" w:ascii="仿宋_GB2312" w:hAnsi="仿宋_GB2312" w:eastAsia="仿宋_GB2312" w:cs="仿宋_GB2312"/>
          <w:color w:val="auto"/>
          <w:sz w:val="32"/>
          <w:szCs w:val="32"/>
          <w:highlight w:val="none"/>
          <w:lang w:val="en-US" w:eastAsia="zh-CN"/>
        </w:rPr>
        <w:t xml:space="preserve">     </w:t>
      </w:r>
    </w:p>
    <w:sectPr>
      <w:footerReference r:id="rId5" w:type="default"/>
      <w:pgSz w:w="11906" w:h="16838"/>
      <w:pgMar w:top="2098" w:right="1474" w:bottom="1984" w:left="1587" w:header="851" w:footer="992" w:gutter="0"/>
      <w:pgNumType w:fmt="decimal"/>
      <w:cols w:space="0" w:num="1"/>
      <w:formProt w:val="0"/>
      <w:rtlGutter w:val="0"/>
      <w:docGrid w:type="linesAndChars" w:linePitch="579"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roman"/>
    <w:pitch w:val="default"/>
    <w:sig w:usb0="00000001" w:usb1="080E0000" w:usb2="00000000" w:usb3="00000000" w:csb0="00040000"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roma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3D2C">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2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1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r>
        <w:separator/>
      </w:r>
    </w:p>
  </w:footnote>
  <w:footnote w:type="continuationSeparator" w:id="35">
    <w:p>
      <w:r>
        <w:continuationSeparator/>
      </w:r>
    </w:p>
  </w:footnote>
  <w:footnote w:id="0">
    <w:p w14:paraId="2ACA8D36">
      <w:pPr>
        <w:pStyle w:val="13"/>
        <w:keepNext w:val="0"/>
        <w:keepLines w:val="0"/>
        <w:pageBreakBefore w:val="0"/>
        <w:widowControl w:val="0"/>
        <w:kinsoku/>
        <w:wordWrap/>
        <w:overflowPunct/>
        <w:topLinePunct w:val="0"/>
        <w:bidi w:val="0"/>
        <w:adjustRightInd/>
        <w:snapToGrid w:val="0"/>
        <w:spacing w:line="300" w:lineRule="exact"/>
        <w:textAlignment w:val="auto"/>
        <w:rPr>
          <w:u w:val="none"/>
        </w:rPr>
      </w:pPr>
      <w:r>
        <w:rPr>
          <w:rFonts w:hint="eastAsia" w:asciiTheme="minorEastAsia" w:hAnsiTheme="minorEastAsia" w:eastAsiaTheme="minorEastAsia" w:cstheme="minorEastAsia"/>
          <w:sz w:val="18"/>
          <w:szCs w:val="18"/>
          <w:u w:val="none"/>
          <w:lang w:val="en-US" w:eastAsia="zh-CN"/>
        </w:rPr>
        <w:t>[</w:t>
      </w:r>
      <w:r>
        <w:rPr>
          <w:rFonts w:hint="eastAsia" w:asciiTheme="minorEastAsia" w:hAnsiTheme="minorEastAsia" w:eastAsiaTheme="minorEastAsia" w:cstheme="minorEastAsia"/>
          <w:sz w:val="18"/>
          <w:szCs w:val="18"/>
          <w:u w:val="none"/>
          <w:lang w:val="en-US" w:eastAsia="zh-CN"/>
        </w:rPr>
        <w:footnoteRef/>
      </w:r>
      <w:r>
        <w:rPr>
          <w:rFonts w:hint="eastAsia" w:asciiTheme="minorEastAsia" w:hAnsiTheme="minorEastAsia" w:eastAsiaTheme="minorEastAsia" w:cstheme="minorEastAsia"/>
          <w:sz w:val="18"/>
          <w:szCs w:val="18"/>
          <w:u w:val="none"/>
          <w:lang w:val="en-US" w:eastAsia="zh-CN"/>
        </w:rPr>
        <w:t xml:space="preserve">] </w:t>
      </w:r>
      <w:r>
        <w:rPr>
          <w:rFonts w:hint="default"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lang w:val="en-US" w:eastAsia="zh-CN"/>
        </w:rPr>
        <w:t>国家标准</w:t>
      </w:r>
      <w:r>
        <w:rPr>
          <w:rFonts w:hint="default" w:asciiTheme="minorEastAsia" w:hAnsiTheme="minorEastAsia" w:eastAsiaTheme="minorEastAsia" w:cstheme="minorEastAsia"/>
          <w:sz w:val="18"/>
          <w:szCs w:val="18"/>
          <w:lang w:val="en-US" w:eastAsia="zh-CN"/>
        </w:rPr>
        <w:t>GB 3608-2025《高处作业分级》第3.1条，高处作业是指在距坠落高度基准面2m或2m以上的高度，且存在发生坠落可能的作业。</w:t>
      </w:r>
    </w:p>
  </w:footnote>
  <w:footnote w:id="1">
    <w:p w14:paraId="6CC1CCA0">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42A10747">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生产经营单位应当建立安全生产教育和培训档案，如实记录安全生产教育和培训的时间、内容、参加人员以及考核结果等情况。</w:t>
      </w:r>
    </w:p>
  </w:footnote>
  <w:footnote w:id="2">
    <w:p w14:paraId="5ECD1F17">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条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2F9BFF69">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《江西省安全生产条例》第十六条：生产经营单位应当制定下列安全生产规章制度：</w:t>
      </w:r>
    </w:p>
    <w:p w14:paraId="596031E3">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（一）全员安全生产责任制度；</w:t>
      </w:r>
    </w:p>
    <w:p w14:paraId="4F65A206">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（二）安全生产教育和培训制度；</w:t>
      </w:r>
    </w:p>
    <w:p w14:paraId="20883809">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（三）安全风险分级管控和隐患排查治理制度；</w:t>
      </w:r>
    </w:p>
    <w:p w14:paraId="24599BAC">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（四）安全生产投入制度；</w:t>
      </w:r>
    </w:p>
    <w:p w14:paraId="290FD14B">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（五）危险作业管理制度；</w:t>
      </w:r>
    </w:p>
    <w:p w14:paraId="534F9E94">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（六）生产经营场所和设施、设备、工艺安全管理制度；</w:t>
      </w:r>
    </w:p>
    <w:p w14:paraId="49260345">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（七）劳动防护用品使用和管理制度；</w:t>
      </w:r>
    </w:p>
    <w:p w14:paraId="145C7B91">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（八）生产安全事故报告和处理制度；</w:t>
      </w:r>
    </w:p>
    <w:p w14:paraId="4C87E2E6">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（九）安全生产考核奖惩制度；</w:t>
      </w:r>
    </w:p>
    <w:p w14:paraId="28CDEC45">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（十）其他保障安全生产的规章制度。</w:t>
      </w:r>
    </w:p>
    <w:p w14:paraId="0EF675C5">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生产经营单位根据本单位实际，可以制定包含上一款内容的综合性安全生产规章制度。</w:t>
      </w:r>
    </w:p>
  </w:footnote>
  <w:footnote w:id="3">
    <w:p w14:paraId="481392E3">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四十三条：生产经营单位进行爆破、吊装、动火、临时用电以及国务院应急管理部门会同国务院有关部门规定的其他危险作业，应当安排专门人员进行现场安全管理，确保操作规程的遵守和安全措施的落实。</w:t>
      </w:r>
    </w:p>
    <w:p w14:paraId="2A7BB335">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《江西省安全生产条例》第二十五条 生产经营单位进行爆破、吊装、动火、临时用电、有限空间作业等国家规定的危险作业，应当安排专门人员进行现场安全管理并遵守下列规定：</w:t>
      </w:r>
    </w:p>
    <w:p w14:paraId="167AD9F7">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（一）确认现场作业条件、作业人员的资格、身体状况以及正确佩戴劳动防护用品；</w:t>
      </w:r>
    </w:p>
    <w:p w14:paraId="29DEABC1">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（二）确认安全防护设备、应急救援装备配备情况，设置作业现场安全区域和安全警示标志，确定统一指挥和管理人员；</w:t>
      </w:r>
    </w:p>
    <w:p w14:paraId="5D386D4D">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（三）进行现场安全风险辨识评估，制定现场作业方案和应急处置措施，向作业人员告知危险因素、作业要求和应急措施；</w:t>
      </w:r>
    </w:p>
  </w:footnote>
  <w:footnote w:id="4">
    <w:p w14:paraId="39A5B026">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《中华人民共和国安全生产法》第三十条：生产经营单位的特种作业人员必须按照国家有关规定经专门的安全作业培训，取得相应资格，方可上岗作业。</w:t>
      </w:r>
    </w:p>
  </w:footnote>
  <w:footnote w:id="5">
    <w:p w14:paraId="77F73AA5">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《中华人民共和国安全生产法》第四十九条第一款：生产经营单位不得将生产经营项目、场所、设备发包或者出租给不具备安全生产条件或者相应资质的单位或者个人。</w:t>
      </w:r>
    </w:p>
  </w:footnote>
  <w:footnote w:id="6">
    <w:p w14:paraId="2BA93D11">
      <w:pPr>
        <w:pStyle w:val="13"/>
        <w:keepNext w:val="0"/>
        <w:keepLines w:val="0"/>
        <w:pageBreakBefore w:val="0"/>
        <w:widowControl w:val="0"/>
        <w:kinsoku/>
        <w:wordWrap/>
        <w:overflowPunct/>
        <w:topLinePunct w:val="0"/>
        <w:bidi w:val="0"/>
        <w:adjustRightInd/>
        <w:snapToGrid w:val="0"/>
        <w:spacing w:line="300" w:lineRule="exac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14:paraId="4C82852E">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《中华人民共和国安全生产法》第二十一条：生产经营单位的主要负责人对本单位安全生产工作负有下列职责:</w:t>
      </w:r>
    </w:p>
    <w:p w14:paraId="261BB557">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043FDD2D">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69FA0649">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597F1FFB">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4C1A3E27">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7EF0BB4C">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（六）组织制定并实施本单位的生产安全事故应急救援预案；</w:t>
      </w:r>
    </w:p>
    <w:p w14:paraId="3F46D9AB">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（七）及时、如实报告生产安全事故。</w:t>
      </w:r>
    </w:p>
  </w:footnote>
  <w:footnote w:id="8">
    <w:p w14:paraId="7F8A66F3">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《中华人民共和国安全生产法》第九十五条：生产经营单位的主要负责人未履行本法规定的安全生产管理职责，导致发生生产安全事故的，由应急管理部门依照下列规定处以罚款:</w:t>
      </w:r>
    </w:p>
    <w:p w14:paraId="0718A390">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（一）发生一般事故的，处上一年年收入百分之四十的罚款；</w:t>
      </w:r>
    </w:p>
  </w:footnote>
  <w:footnote w:id="9">
    <w:p w14:paraId="1C412304">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0">
    <w:p w14:paraId="3E76BC74">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1">
    <w:p w14:paraId="3415700E">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footnote>
  <w:footnote w:id="12">
    <w:p w14:paraId="1E0D9354">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《中华人民共和国安全生产法》第三十条第一款：生产经营单位的特种作业人员必须按照国家有关规定经专门的安全作业培训，取得相应资格，方可上岗作业。</w:t>
      </w:r>
    </w:p>
  </w:footnote>
  <w:footnote w:id="13">
    <w:p w14:paraId="628F9A26">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《中华人民共和国安全生产法》第一百一十四条：发生生产安全事故，对负有责任的生产经营单位除要求其依法承担相应的赔偿等责任外，由应急管理部门依照下列规定处以罚款：</w:t>
      </w:r>
    </w:p>
    <w:p w14:paraId="4905B25A">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（一）发生一般事故的，处三十万元以上一百万元以下的罚款；</w:t>
      </w:r>
    </w:p>
    <w:p w14:paraId="21618847">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（二）发生较大事故的，处一百万元以上二百万元以下的罚款；</w:t>
      </w:r>
    </w:p>
    <w:p w14:paraId="7CF4E9A4">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（三）发生重大事故的，处二百万元以上一千万元以下的罚款；</w:t>
      </w:r>
    </w:p>
    <w:p w14:paraId="31ACAD0F">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（四）发生特别重大事故的，处一千万元以上二千万元以下的罚款。</w:t>
      </w:r>
    </w:p>
    <w:p w14:paraId="4C9AA7B9">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发生生产安全事故，情节特别严重、影响特别恶劣的，应急管理部门可以按照前款罚款数额的二倍以上五倍以下对负有责任的生产经营单位处以罚款。</w:t>
      </w:r>
    </w:p>
  </w:footnote>
  <w:footnote w:id="14">
    <w:p w14:paraId="6C09AA1D">
      <w:pPr>
        <w:pStyle w:val="13"/>
        <w:keepNext w:val="0"/>
        <w:keepLines w:val="0"/>
        <w:pageBreakBefore w:val="0"/>
        <w:widowControl w:val="0"/>
        <w:kinsoku/>
        <w:wordWrap/>
        <w:overflowPunct/>
        <w:topLinePunct w:val="0"/>
        <w:bidi w:val="0"/>
        <w:adjustRightInd/>
        <w:snapToGrid w:val="0"/>
        <w:spacing w:line="28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]《中华人民共和国安全生产法》第四十九条 第一款：生产经营单位不得将生产经营项目、场所、设备发包或者出租给不具备安全生产条件或者相应资质的单位或者个人</w:t>
      </w:r>
    </w:p>
  </w:footnote>
  <w:footnote w:id="15">
    <w:p w14:paraId="24AFDD89">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6">
    <w:p w14:paraId="0A8E2C7F">
      <w:pPr>
        <w:pStyle w:val="13"/>
        <w:keepNext w:val="0"/>
        <w:keepLines w:val="0"/>
        <w:pageBreakBefore w:val="0"/>
        <w:widowControl w:val="0"/>
        <w:kinsoku/>
        <w:wordWrap/>
        <w:overflowPunct/>
        <w:topLinePunct w:val="0"/>
        <w:bidi w:val="0"/>
        <w:adjustRightInd/>
        <w:snapToGrid w:val="0"/>
        <w:spacing w:line="300" w:lineRule="exac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《中华人民共和国安全生产法》第一百零三条</w:t>
      </w:r>
      <w:r>
        <w:rPr>
          <w:rFonts w:hint="default" w:asciiTheme="minorEastAsia" w:hAnsiTheme="minorEastAsia" w:eastAsiaTheme="minorEastAsia" w:cstheme="minorEastAsia"/>
          <w:sz w:val="18"/>
          <w:szCs w:val="18"/>
          <w:lang w:val="en-US" w:eastAsia="zh-CN"/>
        </w:rPr>
        <w:t>第一款</w:t>
      </w:r>
      <w:r>
        <w:rPr>
          <w:rFonts w:hint="eastAsia" w:asciiTheme="minorEastAsia" w:hAnsiTheme="minorEastAsia" w:eastAsiaTheme="minorEastAsia" w:cstheme="minorEastAsia"/>
          <w:sz w:val="18"/>
          <w:szCs w:val="18"/>
          <w:lang w:val="en-US" w:eastAsia="zh-CN"/>
        </w:rPr>
        <w:t>：</w:t>
      </w:r>
      <w:r>
        <w:rPr>
          <w:rFonts w:hint="default" w:asciiTheme="minorEastAsia" w:hAnsiTheme="minorEastAsia" w:eastAsiaTheme="minorEastAsia" w:cstheme="minorEastAsia"/>
          <w:sz w:val="18"/>
          <w:szCs w:val="18"/>
          <w:lang w:val="en-US" w:eastAsia="zh-CN"/>
        </w:rPr>
        <w:t>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14:paraId="6AE7050A">
      <w:pPr>
        <w:pStyle w:val="13"/>
        <w:keepNext w:val="0"/>
        <w:keepLines w:val="0"/>
        <w:pageBreakBefore w:val="0"/>
        <w:widowControl w:val="0"/>
        <w:kinsoku/>
        <w:wordWrap/>
        <w:overflowPunct/>
        <w:topLinePunct w:val="0"/>
        <w:bidi w:val="0"/>
        <w:adjustRightInd/>
        <w:snapToGrid w:val="0"/>
        <w:spacing w:line="300" w:lineRule="exac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《中华人民共和国安全生产法》第一百零三条</w:t>
      </w:r>
      <w:r>
        <w:rPr>
          <w:rFonts w:hint="default" w:asciiTheme="minorEastAsia" w:hAnsiTheme="minorEastAsia" w:eastAsiaTheme="minorEastAsia" w:cstheme="minorEastAsia"/>
          <w:sz w:val="18"/>
          <w:szCs w:val="18"/>
          <w:lang w:val="en-US" w:eastAsia="zh-CN"/>
        </w:rPr>
        <w:t>第二款</w:t>
      </w:r>
      <w:r>
        <w:rPr>
          <w:rFonts w:hint="eastAsia" w:asciiTheme="minorEastAsia" w:hAnsiTheme="minorEastAsia" w:eastAsiaTheme="minorEastAsia" w:cstheme="minorEastAsia"/>
          <w:sz w:val="18"/>
          <w:szCs w:val="18"/>
          <w:lang w:val="en-US" w:eastAsia="zh-CN"/>
        </w:rPr>
        <w:t>：</w:t>
      </w:r>
      <w:r>
        <w:rPr>
          <w:rFonts w:hint="default" w:asciiTheme="minorEastAsia" w:hAnsiTheme="minorEastAsia" w:eastAsiaTheme="minorEastAsia" w:cstheme="minorEastAsia"/>
          <w:sz w:val="18"/>
          <w:szCs w:val="18"/>
          <w:lang w:val="en-US" w:eastAsia="zh-CN"/>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14:paraId="29D68201">
      <w:pPr>
        <w:pStyle w:val="13"/>
        <w:snapToGrid w:val="0"/>
        <w:rPr>
          <w:rFonts w:hint="eastAsia" w:asciiTheme="minorEastAsia" w:hAnsiTheme="minorEastAsia" w:eastAsiaTheme="minorEastAsia" w:cstheme="minorEastAsia"/>
          <w:kern w:val="2"/>
          <w:sz w:val="18"/>
          <w:szCs w:val="18"/>
          <w:lang w:val="en-US" w:eastAsia="zh-CN" w:bidi="ar-SA"/>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rawingGridHorizontalSpacing w:val="158"/>
  <w:drawingGridVerticalSpacing w:val="290"/>
  <w:displayHorizontalDrawingGridEvery w:val="1"/>
  <w:displayVerticalDrawingGridEvery w:val="1"/>
  <w:noPunctuationKerning w:val="1"/>
  <w:characterSpacingControl w:val="doNotCompress"/>
  <w:footnotePr>
    <w:footnote w:id="34"/>
    <w:footnote w:id="35"/>
  </w:foot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0319A"/>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8160A"/>
    <w:rsid w:val="00EB228F"/>
    <w:rsid w:val="00FE1315"/>
    <w:rsid w:val="01855C1F"/>
    <w:rsid w:val="018A58CB"/>
    <w:rsid w:val="01D056DE"/>
    <w:rsid w:val="01FF1E15"/>
    <w:rsid w:val="02330939"/>
    <w:rsid w:val="024B61E8"/>
    <w:rsid w:val="030D40BE"/>
    <w:rsid w:val="03F25B23"/>
    <w:rsid w:val="04846944"/>
    <w:rsid w:val="04F14B13"/>
    <w:rsid w:val="05300538"/>
    <w:rsid w:val="053C16DE"/>
    <w:rsid w:val="056F380D"/>
    <w:rsid w:val="05EF3F4F"/>
    <w:rsid w:val="063901C2"/>
    <w:rsid w:val="06562220"/>
    <w:rsid w:val="06A37F5B"/>
    <w:rsid w:val="06A56B48"/>
    <w:rsid w:val="06A83220"/>
    <w:rsid w:val="06AF5991"/>
    <w:rsid w:val="06E60D29"/>
    <w:rsid w:val="074B4DF2"/>
    <w:rsid w:val="075524D7"/>
    <w:rsid w:val="07724A47"/>
    <w:rsid w:val="07783BA0"/>
    <w:rsid w:val="078D3A1F"/>
    <w:rsid w:val="08085596"/>
    <w:rsid w:val="0818453F"/>
    <w:rsid w:val="0826583C"/>
    <w:rsid w:val="085F1943"/>
    <w:rsid w:val="08984829"/>
    <w:rsid w:val="08AC2F18"/>
    <w:rsid w:val="08EE6740"/>
    <w:rsid w:val="09903A5B"/>
    <w:rsid w:val="09AA6B0A"/>
    <w:rsid w:val="09B5568E"/>
    <w:rsid w:val="0A157CFC"/>
    <w:rsid w:val="0A856C30"/>
    <w:rsid w:val="0AB47F2A"/>
    <w:rsid w:val="0AC82E14"/>
    <w:rsid w:val="0B5205EC"/>
    <w:rsid w:val="0BAD0343"/>
    <w:rsid w:val="0BB04180"/>
    <w:rsid w:val="0C2C7CAB"/>
    <w:rsid w:val="0C3571FF"/>
    <w:rsid w:val="0D3F756A"/>
    <w:rsid w:val="0D4C4C89"/>
    <w:rsid w:val="0D53546C"/>
    <w:rsid w:val="0D774F56"/>
    <w:rsid w:val="0D94046F"/>
    <w:rsid w:val="0D9E0871"/>
    <w:rsid w:val="0E6D3CDD"/>
    <w:rsid w:val="0E72571D"/>
    <w:rsid w:val="0E8D2557"/>
    <w:rsid w:val="0F77518B"/>
    <w:rsid w:val="0F973EA3"/>
    <w:rsid w:val="0F9C2F06"/>
    <w:rsid w:val="10186CAC"/>
    <w:rsid w:val="110B1799"/>
    <w:rsid w:val="1117619B"/>
    <w:rsid w:val="112563F5"/>
    <w:rsid w:val="1144122A"/>
    <w:rsid w:val="115F1BDA"/>
    <w:rsid w:val="119157E6"/>
    <w:rsid w:val="11A82B01"/>
    <w:rsid w:val="11DC7A7D"/>
    <w:rsid w:val="11E64458"/>
    <w:rsid w:val="12571737"/>
    <w:rsid w:val="125F7627"/>
    <w:rsid w:val="128B3606"/>
    <w:rsid w:val="12DA0C7B"/>
    <w:rsid w:val="14495172"/>
    <w:rsid w:val="14545939"/>
    <w:rsid w:val="14621E5D"/>
    <w:rsid w:val="14665D24"/>
    <w:rsid w:val="14E03DAA"/>
    <w:rsid w:val="14EA311B"/>
    <w:rsid w:val="157222F6"/>
    <w:rsid w:val="1664317D"/>
    <w:rsid w:val="16C414B1"/>
    <w:rsid w:val="175638FA"/>
    <w:rsid w:val="17950BEF"/>
    <w:rsid w:val="17C5010E"/>
    <w:rsid w:val="17FF2BFF"/>
    <w:rsid w:val="1810088A"/>
    <w:rsid w:val="18EA16B7"/>
    <w:rsid w:val="190A3776"/>
    <w:rsid w:val="19297320"/>
    <w:rsid w:val="193B7A6B"/>
    <w:rsid w:val="194957E2"/>
    <w:rsid w:val="195A572B"/>
    <w:rsid w:val="19D96564"/>
    <w:rsid w:val="1A2D37CA"/>
    <w:rsid w:val="1AAE3A41"/>
    <w:rsid w:val="1AE6371B"/>
    <w:rsid w:val="1B2D1E0F"/>
    <w:rsid w:val="1B3B2E9D"/>
    <w:rsid w:val="1B5747FB"/>
    <w:rsid w:val="1B8D4A98"/>
    <w:rsid w:val="1C365FDC"/>
    <w:rsid w:val="1C9C10DE"/>
    <w:rsid w:val="1CFD4F9F"/>
    <w:rsid w:val="1E6123C7"/>
    <w:rsid w:val="1E624E22"/>
    <w:rsid w:val="1E6C2DEB"/>
    <w:rsid w:val="1E820A99"/>
    <w:rsid w:val="1E90793C"/>
    <w:rsid w:val="1F5C0C50"/>
    <w:rsid w:val="1FA607CC"/>
    <w:rsid w:val="1FFBBF93"/>
    <w:rsid w:val="20125347"/>
    <w:rsid w:val="201802E0"/>
    <w:rsid w:val="21B87493"/>
    <w:rsid w:val="21C354A2"/>
    <w:rsid w:val="21C82F51"/>
    <w:rsid w:val="21F45E67"/>
    <w:rsid w:val="21F90CC0"/>
    <w:rsid w:val="22551E62"/>
    <w:rsid w:val="22A34CB2"/>
    <w:rsid w:val="22C76174"/>
    <w:rsid w:val="22CA3A39"/>
    <w:rsid w:val="231B417D"/>
    <w:rsid w:val="23B75C54"/>
    <w:rsid w:val="23C46526"/>
    <w:rsid w:val="24212E47"/>
    <w:rsid w:val="24E54A43"/>
    <w:rsid w:val="24F10F13"/>
    <w:rsid w:val="25034EC9"/>
    <w:rsid w:val="25BD3609"/>
    <w:rsid w:val="26930D99"/>
    <w:rsid w:val="26AF134E"/>
    <w:rsid w:val="26E36D60"/>
    <w:rsid w:val="27574607"/>
    <w:rsid w:val="276734B3"/>
    <w:rsid w:val="27C76682"/>
    <w:rsid w:val="280D0539"/>
    <w:rsid w:val="28675388"/>
    <w:rsid w:val="28CD5F1A"/>
    <w:rsid w:val="28EB99A6"/>
    <w:rsid w:val="29521158"/>
    <w:rsid w:val="2956473B"/>
    <w:rsid w:val="2A3D1CDF"/>
    <w:rsid w:val="2A9B76FE"/>
    <w:rsid w:val="2AAD2577"/>
    <w:rsid w:val="2ABF44AF"/>
    <w:rsid w:val="2AF7102C"/>
    <w:rsid w:val="2B05199B"/>
    <w:rsid w:val="2B9B40AD"/>
    <w:rsid w:val="2BEE7BFA"/>
    <w:rsid w:val="2C0D6C02"/>
    <w:rsid w:val="2C655D27"/>
    <w:rsid w:val="2C9925D1"/>
    <w:rsid w:val="2C9D3A40"/>
    <w:rsid w:val="2D3B4634"/>
    <w:rsid w:val="2DC3417B"/>
    <w:rsid w:val="2DE93D59"/>
    <w:rsid w:val="2DFA1131"/>
    <w:rsid w:val="2E60513A"/>
    <w:rsid w:val="2E8B228D"/>
    <w:rsid w:val="2EF35FAE"/>
    <w:rsid w:val="2F504BBD"/>
    <w:rsid w:val="2F7F2556"/>
    <w:rsid w:val="2F807842"/>
    <w:rsid w:val="2FE4197F"/>
    <w:rsid w:val="300A35B0"/>
    <w:rsid w:val="30352579"/>
    <w:rsid w:val="307A0735"/>
    <w:rsid w:val="309C68FD"/>
    <w:rsid w:val="30D00355"/>
    <w:rsid w:val="316E7B6E"/>
    <w:rsid w:val="31D64091"/>
    <w:rsid w:val="32584AA6"/>
    <w:rsid w:val="32967180"/>
    <w:rsid w:val="329C4871"/>
    <w:rsid w:val="32DE7765"/>
    <w:rsid w:val="33010C9A"/>
    <w:rsid w:val="332227E2"/>
    <w:rsid w:val="33674BFD"/>
    <w:rsid w:val="337A0A4C"/>
    <w:rsid w:val="339733AC"/>
    <w:rsid w:val="33C331DC"/>
    <w:rsid w:val="33CF0D98"/>
    <w:rsid w:val="33FA071E"/>
    <w:rsid w:val="342E0AC8"/>
    <w:rsid w:val="34CC056A"/>
    <w:rsid w:val="35411821"/>
    <w:rsid w:val="360109F6"/>
    <w:rsid w:val="364621A2"/>
    <w:rsid w:val="374C6A20"/>
    <w:rsid w:val="37974C3A"/>
    <w:rsid w:val="37A8473A"/>
    <w:rsid w:val="37F94635"/>
    <w:rsid w:val="38895B61"/>
    <w:rsid w:val="38E94FE5"/>
    <w:rsid w:val="3A82117B"/>
    <w:rsid w:val="3AC107C7"/>
    <w:rsid w:val="3AEC222F"/>
    <w:rsid w:val="3AEE5047"/>
    <w:rsid w:val="3B190C3C"/>
    <w:rsid w:val="3B653D90"/>
    <w:rsid w:val="3B9711A7"/>
    <w:rsid w:val="3BCD5AB1"/>
    <w:rsid w:val="3BD137DB"/>
    <w:rsid w:val="3C4165AB"/>
    <w:rsid w:val="3C7054DF"/>
    <w:rsid w:val="3CE36864"/>
    <w:rsid w:val="3D27037D"/>
    <w:rsid w:val="3D850B8F"/>
    <w:rsid w:val="3DFB0640"/>
    <w:rsid w:val="3E9260D6"/>
    <w:rsid w:val="3EB26AE9"/>
    <w:rsid w:val="3EFA798A"/>
    <w:rsid w:val="3F584337"/>
    <w:rsid w:val="3FFC231A"/>
    <w:rsid w:val="404A344A"/>
    <w:rsid w:val="40D646F5"/>
    <w:rsid w:val="41521A3E"/>
    <w:rsid w:val="419D1715"/>
    <w:rsid w:val="41CC2DBB"/>
    <w:rsid w:val="42804726"/>
    <w:rsid w:val="42C86F8D"/>
    <w:rsid w:val="42D80560"/>
    <w:rsid w:val="43430E5B"/>
    <w:rsid w:val="43CA24DE"/>
    <w:rsid w:val="44030F25"/>
    <w:rsid w:val="441328F8"/>
    <w:rsid w:val="443E79B1"/>
    <w:rsid w:val="446247C1"/>
    <w:rsid w:val="44BE2E8F"/>
    <w:rsid w:val="44D71F3C"/>
    <w:rsid w:val="44ED5522"/>
    <w:rsid w:val="44F57717"/>
    <w:rsid w:val="45173EE8"/>
    <w:rsid w:val="454B473F"/>
    <w:rsid w:val="4568104C"/>
    <w:rsid w:val="45714915"/>
    <w:rsid w:val="45796508"/>
    <w:rsid w:val="457D2540"/>
    <w:rsid w:val="45F823D0"/>
    <w:rsid w:val="45FE0286"/>
    <w:rsid w:val="46431172"/>
    <w:rsid w:val="47356E1A"/>
    <w:rsid w:val="47F0239B"/>
    <w:rsid w:val="484E298E"/>
    <w:rsid w:val="48816BF8"/>
    <w:rsid w:val="48977804"/>
    <w:rsid w:val="48EE1869"/>
    <w:rsid w:val="490177EE"/>
    <w:rsid w:val="49AE2F15"/>
    <w:rsid w:val="49CC72FF"/>
    <w:rsid w:val="49EE5569"/>
    <w:rsid w:val="49FD6A33"/>
    <w:rsid w:val="49FF939A"/>
    <w:rsid w:val="4A34774F"/>
    <w:rsid w:val="4A3B0ADD"/>
    <w:rsid w:val="4ABB577A"/>
    <w:rsid w:val="4ABE4653"/>
    <w:rsid w:val="4AD05CCA"/>
    <w:rsid w:val="4B101F6A"/>
    <w:rsid w:val="4B4B2A29"/>
    <w:rsid w:val="4B7D0C6E"/>
    <w:rsid w:val="4BAE52DF"/>
    <w:rsid w:val="4BF75D90"/>
    <w:rsid w:val="4CAD1260"/>
    <w:rsid w:val="4CB21515"/>
    <w:rsid w:val="4D2C0BB1"/>
    <w:rsid w:val="4D4339AC"/>
    <w:rsid w:val="4D8C39CA"/>
    <w:rsid w:val="4E122D00"/>
    <w:rsid w:val="4E5E2927"/>
    <w:rsid w:val="4E5E4D9B"/>
    <w:rsid w:val="4EA36C51"/>
    <w:rsid w:val="4F020FAD"/>
    <w:rsid w:val="4F6034B8"/>
    <w:rsid w:val="4F7866DB"/>
    <w:rsid w:val="4F9A247A"/>
    <w:rsid w:val="4FB629B4"/>
    <w:rsid w:val="4FF260E2"/>
    <w:rsid w:val="4FF43C08"/>
    <w:rsid w:val="50836D3A"/>
    <w:rsid w:val="51337FC8"/>
    <w:rsid w:val="514A5AAA"/>
    <w:rsid w:val="517221EA"/>
    <w:rsid w:val="5176064D"/>
    <w:rsid w:val="517C63FE"/>
    <w:rsid w:val="519B6840"/>
    <w:rsid w:val="51C000AC"/>
    <w:rsid w:val="51E07226"/>
    <w:rsid w:val="51E952C3"/>
    <w:rsid w:val="52253394"/>
    <w:rsid w:val="525FB76E"/>
    <w:rsid w:val="526E5A22"/>
    <w:rsid w:val="52F821D4"/>
    <w:rsid w:val="531D5224"/>
    <w:rsid w:val="532950A2"/>
    <w:rsid w:val="533F623F"/>
    <w:rsid w:val="5342039C"/>
    <w:rsid w:val="536F5752"/>
    <w:rsid w:val="5386672E"/>
    <w:rsid w:val="53B813F1"/>
    <w:rsid w:val="5442607F"/>
    <w:rsid w:val="54837309"/>
    <w:rsid w:val="55517F94"/>
    <w:rsid w:val="556A671B"/>
    <w:rsid w:val="55A760D4"/>
    <w:rsid w:val="55B015CE"/>
    <w:rsid w:val="55CA0847"/>
    <w:rsid w:val="56107A43"/>
    <w:rsid w:val="56296B2A"/>
    <w:rsid w:val="563034C0"/>
    <w:rsid w:val="569164B9"/>
    <w:rsid w:val="574A2360"/>
    <w:rsid w:val="57777883"/>
    <w:rsid w:val="58296419"/>
    <w:rsid w:val="58530CC9"/>
    <w:rsid w:val="58DD6347"/>
    <w:rsid w:val="59A541C5"/>
    <w:rsid w:val="59B27721"/>
    <w:rsid w:val="5A0A51C8"/>
    <w:rsid w:val="5A190866"/>
    <w:rsid w:val="5A437BF3"/>
    <w:rsid w:val="5A655703"/>
    <w:rsid w:val="5ABD2305"/>
    <w:rsid w:val="5ACA0E33"/>
    <w:rsid w:val="5BF60584"/>
    <w:rsid w:val="5C182A2D"/>
    <w:rsid w:val="5C7E53FF"/>
    <w:rsid w:val="5CE40B61"/>
    <w:rsid w:val="5CFA35BA"/>
    <w:rsid w:val="5D7A7717"/>
    <w:rsid w:val="5D8F31C2"/>
    <w:rsid w:val="5DAB5B22"/>
    <w:rsid w:val="5DF91BE5"/>
    <w:rsid w:val="5E443FAD"/>
    <w:rsid w:val="5F6662FF"/>
    <w:rsid w:val="5F9165FD"/>
    <w:rsid w:val="5FDA2EFF"/>
    <w:rsid w:val="60310B86"/>
    <w:rsid w:val="60563087"/>
    <w:rsid w:val="60591866"/>
    <w:rsid w:val="609C10B5"/>
    <w:rsid w:val="60CA62C0"/>
    <w:rsid w:val="60E23609"/>
    <w:rsid w:val="61292712"/>
    <w:rsid w:val="625B18C5"/>
    <w:rsid w:val="628B3AAF"/>
    <w:rsid w:val="63000B83"/>
    <w:rsid w:val="63511D57"/>
    <w:rsid w:val="63966935"/>
    <w:rsid w:val="63A308A2"/>
    <w:rsid w:val="63B079EF"/>
    <w:rsid w:val="63BD624B"/>
    <w:rsid w:val="64867B99"/>
    <w:rsid w:val="649015CE"/>
    <w:rsid w:val="658F06FA"/>
    <w:rsid w:val="66906FB8"/>
    <w:rsid w:val="66B617C0"/>
    <w:rsid w:val="66C564EF"/>
    <w:rsid w:val="67087822"/>
    <w:rsid w:val="6716225F"/>
    <w:rsid w:val="671771FC"/>
    <w:rsid w:val="676F5D62"/>
    <w:rsid w:val="6770152B"/>
    <w:rsid w:val="6773145F"/>
    <w:rsid w:val="67CC0B6F"/>
    <w:rsid w:val="67DA328C"/>
    <w:rsid w:val="68106CAE"/>
    <w:rsid w:val="686139AD"/>
    <w:rsid w:val="693C476F"/>
    <w:rsid w:val="694071DA"/>
    <w:rsid w:val="69CC3811"/>
    <w:rsid w:val="69EC5D0E"/>
    <w:rsid w:val="6A0D0354"/>
    <w:rsid w:val="6AD472F2"/>
    <w:rsid w:val="6B6A0DCB"/>
    <w:rsid w:val="6BB7602F"/>
    <w:rsid w:val="6BC4672D"/>
    <w:rsid w:val="6C4C0AD1"/>
    <w:rsid w:val="6C737CFB"/>
    <w:rsid w:val="6C7D712C"/>
    <w:rsid w:val="6C7F0FAD"/>
    <w:rsid w:val="6D0E5BEF"/>
    <w:rsid w:val="6D5D1467"/>
    <w:rsid w:val="6D7D4DE5"/>
    <w:rsid w:val="6D9C243D"/>
    <w:rsid w:val="6DA943DF"/>
    <w:rsid w:val="6DAD31F1"/>
    <w:rsid w:val="6DE56617"/>
    <w:rsid w:val="6F187D41"/>
    <w:rsid w:val="6F570D38"/>
    <w:rsid w:val="6F5A4CB2"/>
    <w:rsid w:val="6FD41A03"/>
    <w:rsid w:val="6FE70842"/>
    <w:rsid w:val="70D56CE6"/>
    <w:rsid w:val="70DD3DED"/>
    <w:rsid w:val="71030A88"/>
    <w:rsid w:val="71AB3FB5"/>
    <w:rsid w:val="71E847F7"/>
    <w:rsid w:val="725B146D"/>
    <w:rsid w:val="72D7E428"/>
    <w:rsid w:val="73090EC9"/>
    <w:rsid w:val="73571248"/>
    <w:rsid w:val="73916786"/>
    <w:rsid w:val="73966C01"/>
    <w:rsid w:val="73A979E7"/>
    <w:rsid w:val="73EC4A73"/>
    <w:rsid w:val="741C5549"/>
    <w:rsid w:val="74255B94"/>
    <w:rsid w:val="74437F2F"/>
    <w:rsid w:val="748D119D"/>
    <w:rsid w:val="749134A8"/>
    <w:rsid w:val="749F1AE5"/>
    <w:rsid w:val="74F37D19"/>
    <w:rsid w:val="75032A73"/>
    <w:rsid w:val="751002ED"/>
    <w:rsid w:val="752726C4"/>
    <w:rsid w:val="75483F2B"/>
    <w:rsid w:val="75680129"/>
    <w:rsid w:val="75E33C54"/>
    <w:rsid w:val="760A0722"/>
    <w:rsid w:val="7645046A"/>
    <w:rsid w:val="76866E81"/>
    <w:rsid w:val="772205A1"/>
    <w:rsid w:val="77450125"/>
    <w:rsid w:val="774539FA"/>
    <w:rsid w:val="77465145"/>
    <w:rsid w:val="77472DB0"/>
    <w:rsid w:val="77BE1E65"/>
    <w:rsid w:val="782347DB"/>
    <w:rsid w:val="786468B7"/>
    <w:rsid w:val="78F10436"/>
    <w:rsid w:val="79841C0E"/>
    <w:rsid w:val="79922AD0"/>
    <w:rsid w:val="79EC613E"/>
    <w:rsid w:val="7A1C07A1"/>
    <w:rsid w:val="7A6F7A9A"/>
    <w:rsid w:val="7ABB0CFB"/>
    <w:rsid w:val="7BEE5100"/>
    <w:rsid w:val="7BF97907"/>
    <w:rsid w:val="7BFA7F7A"/>
    <w:rsid w:val="7BFC41D8"/>
    <w:rsid w:val="7C835849"/>
    <w:rsid w:val="7C8920FF"/>
    <w:rsid w:val="7CA44BAE"/>
    <w:rsid w:val="7D3957CF"/>
    <w:rsid w:val="7DC4436B"/>
    <w:rsid w:val="7DE47C5D"/>
    <w:rsid w:val="7E0C7CBA"/>
    <w:rsid w:val="7E1B6FAC"/>
    <w:rsid w:val="7E611BB9"/>
    <w:rsid w:val="7E633F8B"/>
    <w:rsid w:val="7E971F26"/>
    <w:rsid w:val="7EF6799E"/>
    <w:rsid w:val="7EFF04E6"/>
    <w:rsid w:val="7F3A210C"/>
    <w:rsid w:val="7F4F5200"/>
    <w:rsid w:val="7F914720"/>
    <w:rsid w:val="7F9DE4FD"/>
    <w:rsid w:val="7FADC2CA"/>
    <w:rsid w:val="7FE323B7"/>
    <w:rsid w:val="7FF2B9FA"/>
    <w:rsid w:val="A7DFD531"/>
    <w:rsid w:val="ADBF1979"/>
    <w:rsid w:val="B5E915BD"/>
    <w:rsid w:val="BBB59CD5"/>
    <w:rsid w:val="BF57F3C3"/>
    <w:rsid w:val="DB591935"/>
    <w:rsid w:val="DCEF5A4B"/>
    <w:rsid w:val="E3EF0E1F"/>
    <w:rsid w:val="E9599A17"/>
    <w:rsid w:val="ED6F2B12"/>
    <w:rsid w:val="F37C3AD9"/>
    <w:rsid w:val="F37C4EB5"/>
    <w:rsid w:val="FBD2071E"/>
    <w:rsid w:val="FC7F154E"/>
    <w:rsid w:val="FD35CC3C"/>
    <w:rsid w:val="FDFF0427"/>
    <w:rsid w:val="FE7763F2"/>
    <w:rsid w:val="FEFCBA8C"/>
    <w:rsid w:val="FFFBDBC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sz w:val="32"/>
      <w:szCs w:val="24"/>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ind w:left="120"/>
    </w:pPr>
    <w:rPr>
      <w:rFonts w:ascii="宋体" w:hAnsi="宋体" w:eastAsia="宋体" w:cs="宋体"/>
      <w:sz w:val="32"/>
      <w:szCs w:val="32"/>
    </w:rPr>
  </w:style>
  <w:style w:type="paragraph" w:styleId="5">
    <w:name w:val="Body Text Indent"/>
    <w:basedOn w:val="6"/>
    <w:qFormat/>
    <w:uiPriority w:val="0"/>
    <w:pPr>
      <w:ind w:firstLine="881"/>
    </w:pPr>
    <w:rPr>
      <w:rFonts w:ascii="Times New Roman" w:hAnsi="Times New Roman" w:cs="Times New Roman"/>
      <w:sz w:val="28"/>
      <w:szCs w:val="24"/>
    </w:rPr>
  </w:style>
  <w:style w:type="paragraph" w:customStyle="1" w:styleId="6">
    <w:name w:val="正文文本1"/>
    <w:basedOn w:val="7"/>
    <w:qFormat/>
    <w:uiPriority w:val="0"/>
    <w:pPr>
      <w:ind w:left="120"/>
    </w:pPr>
    <w:rPr>
      <w:rFonts w:ascii="宋体" w:hAnsi="宋体" w:eastAsia="宋体" w:cs="宋体"/>
      <w:sz w:val="32"/>
      <w:szCs w:val="32"/>
    </w:rPr>
  </w:style>
  <w:style w:type="paragraph" w:customStyle="1" w:styleId="7">
    <w:name w:val="正文1"/>
    <w:next w:val="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8">
    <w:name w:val="toc 3"/>
    <w:basedOn w:val="1"/>
    <w:next w:val="1"/>
    <w:semiHidden/>
    <w:unhideWhenUsed/>
    <w:qFormat/>
    <w:uiPriority w:val="39"/>
    <w:pPr>
      <w:ind w:left="840" w:leftChars="400"/>
    </w:pPr>
  </w:style>
  <w:style w:type="paragraph" w:styleId="9">
    <w:name w:val="Balloon Text"/>
    <w:basedOn w:val="1"/>
    <w:link w:val="28"/>
    <w:semiHidden/>
    <w:unhideWhenUsed/>
    <w:qFormat/>
    <w:uiPriority w:val="99"/>
    <w:rPr>
      <w:rFonts w:cs="Mangal"/>
      <w:sz w:val="18"/>
      <w:szCs w:val="16"/>
    </w:rPr>
  </w:style>
  <w:style w:type="paragraph" w:styleId="10">
    <w:name w:val="footer"/>
    <w:basedOn w:val="1"/>
    <w:link w:val="27"/>
    <w:semiHidden/>
    <w:unhideWhenUsed/>
    <w:qFormat/>
    <w:uiPriority w:val="99"/>
    <w:pPr>
      <w:tabs>
        <w:tab w:val="center" w:pos="4153"/>
        <w:tab w:val="right" w:pos="8306"/>
      </w:tabs>
      <w:snapToGrid w:val="0"/>
      <w:jc w:val="left"/>
    </w:pPr>
    <w:rPr>
      <w:rFonts w:cs="Mangal"/>
      <w:sz w:val="18"/>
      <w:szCs w:val="16"/>
    </w:rPr>
  </w:style>
  <w:style w:type="paragraph" w:styleId="11">
    <w:name w:val="header"/>
    <w:basedOn w:val="1"/>
    <w:link w:val="26"/>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2">
    <w:name w:val="toc 1"/>
    <w:basedOn w:val="1"/>
    <w:next w:val="1"/>
    <w:semiHidden/>
    <w:unhideWhenUsed/>
    <w:qFormat/>
    <w:uiPriority w:val="39"/>
  </w:style>
  <w:style w:type="paragraph" w:styleId="13">
    <w:name w:val="footnote text"/>
    <w:basedOn w:val="1"/>
    <w:semiHidden/>
    <w:unhideWhenUsed/>
    <w:qFormat/>
    <w:uiPriority w:val="99"/>
    <w:pPr>
      <w:snapToGrid w:val="0"/>
      <w:jc w:val="left"/>
    </w:pPr>
    <w:rPr>
      <w:sz w:val="18"/>
    </w:rPr>
  </w:style>
  <w:style w:type="paragraph" w:styleId="14">
    <w:name w:val="toc 2"/>
    <w:basedOn w:val="1"/>
    <w:next w:val="1"/>
    <w:semiHidden/>
    <w:unhideWhenUsed/>
    <w:qFormat/>
    <w:uiPriority w:val="39"/>
    <w:pPr>
      <w:ind w:left="420" w:leftChars="200"/>
    </w:pPr>
  </w:style>
  <w:style w:type="paragraph" w:styleId="15">
    <w:name w:val="Normal (Web)"/>
    <w:basedOn w:val="1"/>
    <w:qFormat/>
    <w:uiPriority w:val="0"/>
    <w:pPr>
      <w:spacing w:beforeAutospacing="1" w:afterAutospacing="1"/>
      <w:jc w:val="left"/>
    </w:pPr>
    <w:rPr>
      <w:sz w:val="24"/>
      <w:lang w:bidi="ar-SA"/>
    </w:rPr>
  </w:style>
  <w:style w:type="paragraph" w:styleId="16">
    <w:name w:val="Body Text First Indent"/>
    <w:basedOn w:val="4"/>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footnote reference"/>
    <w:basedOn w:val="19"/>
    <w:unhideWhenUsed/>
    <w:qFormat/>
    <w:uiPriority w:val="99"/>
    <w:rPr>
      <w:vertAlign w:val="superscript"/>
    </w:rPr>
  </w:style>
  <w:style w:type="paragraph" w:customStyle="1" w:styleId="23">
    <w:name w:val="页脚1"/>
    <w:basedOn w:val="7"/>
    <w:semiHidden/>
    <w:unhideWhenUsed/>
    <w:qFormat/>
    <w:uiPriority w:val="99"/>
    <w:pPr>
      <w:tabs>
        <w:tab w:val="center" w:pos="4153"/>
        <w:tab w:val="right" w:pos="8306"/>
      </w:tabs>
      <w:snapToGrid w:val="0"/>
      <w:jc w:val="left"/>
    </w:pPr>
    <w:rPr>
      <w:sz w:val="18"/>
      <w:szCs w:val="18"/>
    </w:rPr>
  </w:style>
  <w:style w:type="paragraph" w:customStyle="1" w:styleId="24">
    <w:name w:val="页眉1"/>
    <w:basedOn w:val="7"/>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5">
    <w:name w:val="列表段落"/>
    <w:basedOn w:val="7"/>
    <w:qFormat/>
    <w:uiPriority w:val="34"/>
    <w:pPr>
      <w:ind w:firstLine="200" w:firstLineChars="200"/>
    </w:pPr>
  </w:style>
  <w:style w:type="character" w:customStyle="1" w:styleId="26">
    <w:name w:val="页眉 Char"/>
    <w:basedOn w:val="19"/>
    <w:link w:val="11"/>
    <w:semiHidden/>
    <w:qFormat/>
    <w:uiPriority w:val="99"/>
    <w:rPr>
      <w:rFonts w:cs="Mangal"/>
      <w:sz w:val="18"/>
      <w:szCs w:val="16"/>
      <w:lang w:bidi="hi-IN"/>
    </w:rPr>
  </w:style>
  <w:style w:type="character" w:customStyle="1" w:styleId="27">
    <w:name w:val="页脚 Char"/>
    <w:basedOn w:val="19"/>
    <w:link w:val="10"/>
    <w:semiHidden/>
    <w:qFormat/>
    <w:uiPriority w:val="99"/>
    <w:rPr>
      <w:rFonts w:cs="Mangal"/>
      <w:sz w:val="18"/>
      <w:szCs w:val="16"/>
      <w:lang w:bidi="hi-IN"/>
    </w:rPr>
  </w:style>
  <w:style w:type="character" w:customStyle="1" w:styleId="28">
    <w:name w:val="批注框文本 Char"/>
    <w:basedOn w:val="19"/>
    <w:link w:val="9"/>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Micorosoft</Company>
  <Pages>16</Pages>
  <Words>6434</Words>
  <Characters>6607</Characters>
  <Lines>41</Lines>
  <Paragraphs>11</Paragraphs>
  <TotalTime>5</TotalTime>
  <ScaleCrop>false</ScaleCrop>
  <LinksUpToDate>false</LinksUpToDate>
  <CharactersWithSpaces>6671</CharactersWithSpaces>
  <Application>WPS Office WWO_wpscloud_20250725212728-169485052d</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2023-06-03T00:51:00Z</dcterms:created>
  <dc:creator>???</dc:creator>
  <cp:lastModifiedBy>余多多</cp:lastModifiedBy>
  <cp:lastPrinted>2026-10-12T09:50:00Z</cp:lastPrinted>
  <dcterms:modified xsi:type="dcterms:W3CDTF">2026-10-21T15:56:19Z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CC65200BB4F570A02370D86ABC1CC59E_43</vt:lpwstr>
  </property>
  <property fmtid="{D5CDD505-2E9C-101B-9397-08002B2CF9AE}" pid="3" name="KSOProductBuildVer">
    <vt:lpwstr>2052-0.0.0.0</vt:lpwstr>
  </property>
  <property fmtid="{D5CDD505-2E9C-101B-9397-08002B2CF9AE}" pid="4" name="KSOTemplateDocerSaveRecord">
    <vt:lpwstr>eyJoZGlkIjoiNjYyZmI3NzZjNWIzZmUzOWYxZGNlYTFlZGU2NjBjZTQiLCJ1c2VySWQiOiIzNjQ0NTQ1MDgifQ==</vt:lpwstr>
  </property>
</Properties>
</file>