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天津天域无限广告传媒有限公司“5•16”一般物体打击事故</w:t>
      </w:r>
      <w:r>
        <w:rPr>
          <w:rFonts w:hint="eastAsia" w:ascii="方正小标宋简体" w:eastAsia="方正小标宋简体"/>
          <w:sz w:val="44"/>
          <w:szCs w:val="44"/>
        </w:rPr>
        <w:t>评估报告</w:t>
      </w:r>
    </w:p>
    <w:p>
      <w:pPr>
        <w:jc w:val="left"/>
        <w:rPr>
          <w:rFonts w:hint="eastAsia" w:ascii="黑体" w:hAnsi="黑体" w:eastAsia="黑体"/>
          <w:sz w:val="32"/>
          <w:szCs w:val="32"/>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黑体"/>
          <w:color w:val="000000"/>
          <w:sz w:val="32"/>
          <w:szCs w:val="32"/>
          <w:lang w:val="en-US" w:eastAsia="zh-CN"/>
        </w:rPr>
      </w:pPr>
      <w:r>
        <w:rPr>
          <w:rFonts w:hint="eastAsia" w:ascii="Times New Roman" w:hAnsi="Times New Roman" w:eastAsia="黑体"/>
          <w:color w:val="000000"/>
          <w:sz w:val="32"/>
          <w:szCs w:val="32"/>
          <w:lang w:eastAsia="zh-CN"/>
        </w:rPr>
        <w:t>一、</w:t>
      </w:r>
      <w:r>
        <w:rPr>
          <w:rFonts w:hint="eastAsia" w:ascii="Times New Roman" w:hAnsi="Times New Roman" w:eastAsia="黑体"/>
          <w:color w:val="000000"/>
          <w:sz w:val="32"/>
          <w:szCs w:val="32"/>
        </w:rPr>
        <w:t>评估目的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sz w:val="32"/>
          <w:szCs w:val="32"/>
        </w:rPr>
      </w:pPr>
      <w:r>
        <w:rPr>
          <w:rFonts w:hint="eastAsia" w:ascii="仿宋_GB2312" w:hAnsi="仿宋_GB2312" w:eastAsia="仿宋_GB2312" w:cs="仿宋_GB2312"/>
          <w:sz w:val="32"/>
          <w:szCs w:val="32"/>
          <w:lang w:val="en-US" w:eastAsia="zh-CN"/>
        </w:rPr>
        <w:t>为认真贯彻落实党中央、国务院决策部署，充分发挥事故调查处理对加强和改进安全生产工作促进作用，督促事故责任单位充分落实事故防范和整改措施，从根本上消除事故隐患，防范类似生产安全事故再次发生，保障人民群众生命安全，针对天津天域无限广告传媒有限公司“5•16”一般物体打击事故，区应急管理局牵头相关单位按照要求开展事故评估工作。</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黑体" w:hAnsi="黑体" w:eastAsia="黑体"/>
          <w:sz w:val="32"/>
          <w:szCs w:val="32"/>
        </w:rPr>
      </w:pPr>
      <w:r>
        <w:rPr>
          <w:rFonts w:hint="eastAsia" w:ascii="Times New Roman" w:hAnsi="Times New Roman" w:eastAsia="黑体"/>
          <w:color w:val="000000"/>
          <w:sz w:val="32"/>
          <w:szCs w:val="32"/>
          <w:lang w:eastAsia="zh-CN"/>
        </w:rPr>
        <w:t>二、</w:t>
      </w:r>
      <w:r>
        <w:rPr>
          <w:rFonts w:hint="eastAsia" w:ascii="Times New Roman" w:hAnsi="Times New Roman" w:eastAsia="黑体"/>
          <w:color w:val="000000"/>
          <w:sz w:val="32"/>
          <w:szCs w:val="32"/>
        </w:rPr>
        <w:t>评估依据及职责分工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国务院安委会办公室关于印发生产安全事故防范和整改措施落实情况评估办法的通知》（安委办[2021]4号）和《市安委办关于印发&lt;天津市生产安全事故暴露问题整改督办制度（试行）&gt;的通知》（津安办[2020]7号）要求，区应急管理局牵头组织公安南开分局、区总工会等部门成立事故评估组，制定了《天津天域无限广告传媒有限公司“5•16”一般物体打击事故评估工作方案》。具体责任分工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区应急管理局负责提交本部门落实事故调查报告中相关处理意见和整改措施情况；承担所负责行业领域事故发生单位整改措施落实情况的评估。</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公安南开分局、区总工会</w:t>
      </w:r>
      <w:r>
        <w:rPr>
          <w:rFonts w:hint="eastAsia" w:eastAsia="仿宋_GB2312"/>
          <w:color w:val="000000"/>
          <w:sz w:val="32"/>
          <w:szCs w:val="32"/>
        </w:rPr>
        <w:t>参与对追责问责、事故防范和整改措施落实情况的评估。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sz w:val="32"/>
          <w:szCs w:val="32"/>
        </w:rPr>
      </w:pPr>
      <w:r>
        <w:rPr>
          <w:rFonts w:hint="eastAsia" w:ascii="Times New Roman" w:hAnsi="Times New Roman" w:eastAsia="黑体"/>
          <w:color w:val="000000"/>
          <w:sz w:val="32"/>
          <w:szCs w:val="32"/>
          <w:lang w:val="en-US" w:eastAsia="zh-CN"/>
        </w:rPr>
        <w:t>三、</w:t>
      </w:r>
      <w:r>
        <w:rPr>
          <w:rFonts w:hint="eastAsia" w:ascii="Times New Roman" w:hAnsi="Times New Roman" w:eastAsia="黑体"/>
          <w:color w:val="000000"/>
          <w:sz w:val="32"/>
          <w:szCs w:val="32"/>
        </w:rPr>
        <w:t>事故调查处理情况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5月17日1时39分，天津劝业场集团南开百货有限公司发生一起物体打击事故，事故造成1人死亡，直接经济损失（不含事故罚款）为人民币77万元。事故发生后，依据国家和我市有关法律法规，由区应急管理局牵头组织，成立了由公安南开分局、区总工会等部门参加的事故调查组并聘请了专业机构开展事故调查工作，经过现场勘验、调查取证、专家分析，形成了《天津天域无限广告传媒有限公司“5•16”一般物体打击事故调查报告》。2019年8月22日，事故调查组向区政府提交了关于事故调查处理意见的请示；同日，区政府批示同意。</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黑体" w:hAnsi="黑体" w:eastAsia="黑体"/>
          <w:sz w:val="32"/>
          <w:szCs w:val="32"/>
        </w:rPr>
      </w:pPr>
      <w:r>
        <w:rPr>
          <w:rFonts w:hint="eastAsia" w:ascii="Times New Roman" w:hAnsi="Times New Roman" w:eastAsia="黑体"/>
          <w:color w:val="000000"/>
          <w:sz w:val="32"/>
          <w:szCs w:val="32"/>
          <w:lang w:eastAsia="zh-CN"/>
        </w:rPr>
        <w:t>四、</w:t>
      </w:r>
      <w:r>
        <w:rPr>
          <w:rFonts w:hint="eastAsia" w:ascii="Times New Roman" w:hAnsi="Times New Roman" w:eastAsia="黑体"/>
          <w:color w:val="000000"/>
          <w:sz w:val="32"/>
          <w:szCs w:val="32"/>
        </w:rPr>
        <w:t>评估部署工作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8月，区应急管理局牵头相关单位成立事故评估组。2020年8月21日，制定了《天津天域无限广告传媒有限公司“5•16”一般物体打击事故评估工作方案》，明确了评估工作分工。事故评估组根据《关于天津天域无限广告传媒有限公司“5•16”一般物体打击事故调查报告的请示》和南开区人民政府《关于天津天域无限广告传媒有限公司“5•16”一般物体打击事故调查和处理意见的批复》，对照《国务院安委会办公室关于印发生产安全事故防范和整改措施落实情况评估办法的通知》（安委办[2021]4号）和《市安委办关于印发&lt;天津市生产安全事故暴露问题整改督办制度（试行）&gt;的通知》（津安办[2020]7号）的相关要求，对事故责任追究落实情况、整改措施落实情况进行了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olor w:val="000000"/>
          <w:sz w:val="32"/>
          <w:szCs w:val="32"/>
        </w:rPr>
      </w:pPr>
      <w:r>
        <w:rPr>
          <w:rFonts w:hint="eastAsia" w:ascii="Times New Roman" w:hAnsi="Times New Roman" w:eastAsia="黑体"/>
          <w:color w:val="000000"/>
          <w:sz w:val="32"/>
          <w:szCs w:val="32"/>
          <w:lang w:val="en-US" w:eastAsia="zh-CN"/>
        </w:rPr>
        <w:t>五、</w:t>
      </w:r>
      <w:r>
        <w:rPr>
          <w:rFonts w:hint="eastAsia" w:ascii="Times New Roman" w:hAnsi="Times New Roman" w:eastAsia="黑体"/>
          <w:color w:val="000000"/>
          <w:sz w:val="32"/>
          <w:szCs w:val="32"/>
        </w:rPr>
        <w:t>评估事项及结论</w:t>
      </w:r>
    </w:p>
    <w:p>
      <w:pPr>
        <w:keepNext w:val="0"/>
        <w:keepLines w:val="0"/>
        <w:pageBreakBefore w:val="0"/>
        <w:widowControl w:val="0"/>
        <w:kinsoku/>
        <w:wordWrap/>
        <w:overflowPunct/>
        <w:topLinePunct w:val="0"/>
        <w:autoSpaceDE/>
        <w:autoSpaceDN/>
        <w:bidi w:val="0"/>
        <w:adjustRightInd/>
        <w:snapToGrid/>
        <w:spacing w:line="560" w:lineRule="exact"/>
        <w:ind w:firstLine="709" w:firstLineChars="221"/>
        <w:jc w:val="left"/>
        <w:textAlignment w:val="auto"/>
        <w:rPr>
          <w:rFonts w:hint="eastAsia" w:ascii="楷体_GB2312" w:eastAsia="楷体_GB2312"/>
          <w:b/>
          <w:sz w:val="32"/>
        </w:rPr>
      </w:pPr>
      <w:r>
        <w:rPr>
          <w:rFonts w:hint="eastAsia" w:ascii="楷体_GB2312" w:eastAsia="楷体_GB2312"/>
          <w:b/>
          <w:sz w:val="32"/>
        </w:rPr>
        <w:t>（</w:t>
      </w:r>
      <w:r>
        <w:rPr>
          <w:rFonts w:hint="eastAsia" w:ascii="楷体_GB2312" w:eastAsia="楷体_GB2312"/>
          <w:b/>
          <w:sz w:val="32"/>
          <w:lang w:eastAsia="zh-CN"/>
        </w:rPr>
        <w:t>一</w:t>
      </w:r>
      <w:r>
        <w:rPr>
          <w:rFonts w:hint="eastAsia" w:ascii="楷体_GB2312" w:eastAsia="楷体_GB2312"/>
          <w:b/>
          <w:sz w:val="32"/>
        </w:rPr>
        <w:t>）</w:t>
      </w:r>
      <w:r>
        <w:rPr>
          <w:rFonts w:ascii="楷体_GB2312" w:eastAsia="楷体_GB2312"/>
          <w:b/>
          <w:sz w:val="32"/>
        </w:rPr>
        <w:t>行政处罚落实情况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9月9日，区应急管理局对天津天域无限广告传媒有限公司“5•16”一般物体打击事故案责任单位及责任人员立案处罚，依据《中华人民共和国安全生产法》第一百零九条第（一）项的规定，分别对天津天域无限广告传媒有限公司和天津市乾运电子科技有限公司处以人民币贰拾万元整和叁拾万元整罚款的</w:t>
      </w:r>
      <w:bookmarkStart w:id="0" w:name="_GoBack"/>
      <w:bookmarkEnd w:id="0"/>
      <w:r>
        <w:rPr>
          <w:rFonts w:hint="eastAsia" w:ascii="仿宋_GB2312" w:hAnsi="仿宋_GB2312" w:eastAsia="仿宋_GB2312" w:cs="仿宋_GB2312"/>
          <w:sz w:val="32"/>
          <w:szCs w:val="32"/>
          <w:lang w:val="en-US" w:eastAsia="zh-CN"/>
        </w:rPr>
        <w:t>行政处罚；依据《中华人民共和国安全生产法》第九十二条第（一）项的规定，分别对</w:t>
      </w:r>
      <w:r>
        <w:rPr>
          <w:rFonts w:hint="default" w:ascii="仿宋_GB2312" w:hAnsi="仿宋_GB2312" w:eastAsia="仿宋_GB2312" w:cs="仿宋_GB2312"/>
          <w:sz w:val="32"/>
          <w:szCs w:val="32"/>
          <w:lang w:val="en" w:eastAsia="zh-CN"/>
        </w:rPr>
        <w:t>李某某</w:t>
      </w:r>
      <w:r>
        <w:rPr>
          <w:rFonts w:hint="eastAsia" w:ascii="仿宋_GB2312" w:hAnsi="仿宋_GB2312" w:eastAsia="仿宋_GB2312" w:cs="仿宋_GB2312"/>
          <w:sz w:val="32"/>
          <w:szCs w:val="32"/>
          <w:lang w:val="en-US" w:eastAsia="zh-CN"/>
        </w:rPr>
        <w:t>和</w:t>
      </w:r>
      <w:r>
        <w:rPr>
          <w:rFonts w:hint="default" w:ascii="仿宋_GB2312" w:hAnsi="仿宋_GB2312" w:eastAsia="仿宋_GB2312" w:cs="仿宋_GB2312"/>
          <w:sz w:val="32"/>
          <w:szCs w:val="32"/>
          <w:lang w:val="en" w:eastAsia="zh-CN"/>
        </w:rPr>
        <w:t>吕某某</w:t>
      </w:r>
      <w:r>
        <w:rPr>
          <w:rFonts w:hint="eastAsia" w:ascii="仿宋_GB2312" w:hAnsi="仿宋_GB2312" w:eastAsia="仿宋_GB2312" w:cs="仿宋_GB2312"/>
          <w:sz w:val="32"/>
          <w:szCs w:val="32"/>
          <w:lang w:val="en-US" w:eastAsia="zh-CN"/>
        </w:rPr>
        <w:t>处以2018年度全年收入的30%，即人民币壹万捌仟元整和壹万叁仟叁佰贰拾元整罚款的行政处罚。天津天域无限广告传媒有限公司于2019年11月4日申请分期缴纳罚款，截至2021年5月12日该公司已足额缴纳全部罚款。</w:t>
      </w:r>
      <w:r>
        <w:rPr>
          <w:rFonts w:hint="default" w:ascii="仿宋_GB2312" w:hAnsi="仿宋_GB2312" w:eastAsia="仿宋_GB2312" w:cs="仿宋_GB2312"/>
          <w:sz w:val="32"/>
          <w:szCs w:val="32"/>
          <w:lang w:val="en" w:eastAsia="zh-CN"/>
        </w:rPr>
        <w:t>李某某</w:t>
      </w:r>
      <w:r>
        <w:rPr>
          <w:rFonts w:hint="eastAsia" w:ascii="仿宋_GB2312" w:hAnsi="仿宋_GB2312" w:eastAsia="仿宋_GB2312" w:cs="仿宋_GB2312"/>
          <w:sz w:val="32"/>
          <w:szCs w:val="32"/>
          <w:lang w:val="en-US" w:eastAsia="zh-CN"/>
        </w:rPr>
        <w:t>已于2019年11月8日足额缴纳全部罚款。天津市乾运电子科技有限公司及其法定代表人</w:t>
      </w:r>
      <w:r>
        <w:rPr>
          <w:rFonts w:hint="default" w:ascii="仿宋_GB2312" w:hAnsi="仿宋_GB2312" w:eastAsia="仿宋_GB2312" w:cs="仿宋_GB2312"/>
          <w:sz w:val="32"/>
          <w:szCs w:val="32"/>
          <w:lang w:val="en" w:eastAsia="zh-CN"/>
        </w:rPr>
        <w:t>吕某某</w:t>
      </w:r>
      <w:r>
        <w:rPr>
          <w:rFonts w:hint="eastAsia" w:ascii="仿宋_GB2312" w:hAnsi="仿宋_GB2312" w:eastAsia="仿宋_GB2312" w:cs="仿宋_GB2312"/>
          <w:sz w:val="32"/>
          <w:szCs w:val="32"/>
          <w:lang w:val="en-US" w:eastAsia="zh-CN"/>
        </w:rPr>
        <w:t>已于2019年11月11日足额缴纳全部罚款。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评估结论：对天津天域无限广告传媒有限公司及其法定代表人</w:t>
      </w:r>
      <w:r>
        <w:rPr>
          <w:rFonts w:hint="default" w:ascii="仿宋_GB2312" w:hAnsi="仿宋_GB2312" w:eastAsia="仿宋_GB2312" w:cs="仿宋_GB2312"/>
          <w:sz w:val="32"/>
          <w:szCs w:val="32"/>
          <w:lang w:val="en" w:eastAsia="zh-CN"/>
        </w:rPr>
        <w:t>李某某</w:t>
      </w:r>
      <w:r>
        <w:rPr>
          <w:rFonts w:hint="eastAsia" w:ascii="仿宋_GB2312" w:hAnsi="仿宋_GB2312" w:eastAsia="仿宋_GB2312" w:cs="仿宋_GB2312"/>
          <w:sz w:val="32"/>
          <w:szCs w:val="32"/>
          <w:lang w:val="en-US" w:eastAsia="zh-CN"/>
        </w:rPr>
        <w:t>和天津市乾运电子科技有限公司及其法定代表人</w:t>
      </w:r>
      <w:r>
        <w:rPr>
          <w:rFonts w:hint="default" w:ascii="仿宋_GB2312" w:hAnsi="仿宋_GB2312" w:eastAsia="仿宋_GB2312" w:cs="仿宋_GB2312"/>
          <w:sz w:val="32"/>
          <w:szCs w:val="32"/>
          <w:lang w:val="en" w:eastAsia="zh-CN"/>
        </w:rPr>
        <w:t>吕某某</w:t>
      </w:r>
      <w:r>
        <w:rPr>
          <w:rFonts w:hint="eastAsia" w:ascii="仿宋_GB2312" w:hAnsi="仿宋_GB2312" w:eastAsia="仿宋_GB2312" w:cs="仿宋_GB2312"/>
          <w:sz w:val="32"/>
          <w:szCs w:val="32"/>
          <w:lang w:val="en-US" w:eastAsia="zh-CN"/>
        </w:rPr>
        <w:t>的行政处罚已落实。</w:t>
      </w:r>
    </w:p>
    <w:p>
      <w:pPr>
        <w:keepNext w:val="0"/>
        <w:keepLines w:val="0"/>
        <w:pageBreakBefore w:val="0"/>
        <w:widowControl w:val="0"/>
        <w:kinsoku/>
        <w:wordWrap/>
        <w:overflowPunct/>
        <w:topLinePunct w:val="0"/>
        <w:autoSpaceDE/>
        <w:autoSpaceDN/>
        <w:bidi w:val="0"/>
        <w:adjustRightInd/>
        <w:snapToGrid/>
        <w:spacing w:line="560" w:lineRule="exact"/>
        <w:ind w:firstLine="709" w:firstLineChars="221"/>
        <w:jc w:val="left"/>
        <w:textAlignment w:val="auto"/>
        <w:rPr>
          <w:rFonts w:hint="eastAsia" w:ascii="楷体_GB2312" w:eastAsia="楷体_GB2312"/>
          <w:b/>
          <w:sz w:val="32"/>
          <w:lang w:val="en-US" w:eastAsia="zh-CN"/>
        </w:rPr>
      </w:pPr>
      <w:r>
        <w:rPr>
          <w:rFonts w:hint="eastAsia" w:ascii="楷体_GB2312" w:eastAsia="楷体_GB2312"/>
          <w:b/>
          <w:sz w:val="32"/>
          <w:lang w:val="en-US" w:eastAsia="zh-CN"/>
        </w:rPr>
        <w:t>（二）事故防范和整改措施落实情况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为深刻吸取事故教训，有效避免类似事故的再次发生，事故责任单位严格按照事故调查报告中提出的事故防范和整改措施进行了整改。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1、深刻吸取经验教训，强化问题整改落实。</w:t>
      </w:r>
      <w:r>
        <w:rPr>
          <w:rFonts w:hint="eastAsia" w:ascii="仿宋_GB2312" w:hAnsi="仿宋_GB2312" w:eastAsia="仿宋_GB2312" w:cs="仿宋_GB2312"/>
          <w:sz w:val="32"/>
          <w:szCs w:val="32"/>
          <w:lang w:val="en-US" w:eastAsia="zh-CN"/>
        </w:rPr>
        <w:t>天津天域无限广告传媒有限公司在事故发生后对施工单位重新招标，要求投标单位制定并认真贯彻执行“安全第一，预防为主”的安全施工方针和政策，并聘请专业监理单位参与对现场临建设施、脚手架、起重设备、其他施工设备和线路的检查验收工作。在施工过程中加强对安全设施的监督检查以及对正确使用劳动保护用品的监督管理。天津市乾运电子有限公司深刻吸取经验教训，在施工进场前提前编制施工方案、施工计划、脚手架搭设方案和吊装方案并对吊车司机资质证书、吊车近期维修记录、吊车行驶证等资料进行核查，施工过程中加强对施工吊装作业管理和人员监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2、加强体制机制建设，落实安全生产主体责任。</w:t>
      </w:r>
      <w:r>
        <w:rPr>
          <w:rFonts w:hint="eastAsia" w:ascii="仿宋_GB2312" w:hAnsi="仿宋_GB2312" w:eastAsia="仿宋_GB2312" w:cs="仿宋_GB2312"/>
          <w:sz w:val="32"/>
          <w:szCs w:val="32"/>
          <w:lang w:val="en-US" w:eastAsia="zh-CN"/>
        </w:rPr>
        <w:t>天津天域无限广告传媒有限公司和天津市乾运电子有限公司均制定并逐步落实了安全生产责任制；逐步完善了各项安全生产规章制度并制定了电气焊作业、高处作业、吊装作业等安全操作规程。在临时用工方面，天津市乾运电子有限公司加强对低压电工作业、高处作业、电气焊作业等特种作业人员的资格审核；此外，对劳动者年龄和身体条件进行严格限制，严禁不符合条件的作业人员进场施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3、严格安全教育培训，增强防范事故能力。</w:t>
      </w:r>
      <w:r>
        <w:rPr>
          <w:rFonts w:hint="eastAsia" w:ascii="仿宋_GB2312" w:hAnsi="仿宋_GB2312" w:eastAsia="仿宋_GB2312" w:cs="仿宋_GB2312"/>
          <w:sz w:val="32"/>
          <w:szCs w:val="32"/>
          <w:lang w:val="en-US" w:eastAsia="zh-CN"/>
        </w:rPr>
        <w:t>天津天域无限广告传媒有限公司加强对外包施工人员（含民工）的安全教育培训，详细告知作业现场的危险因素。天津市乾运电子有限公司组织特种作业人员定期参加安全生产培训，保证特种作业人员持证上岗；在施工作业前，加强对施工作业人员的安全教育培训，考核合格后才准予上岗。在施工过程中，每日进行安全教育和技术交底并建档留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4、强化日常监督管理，加大隐患排查整治力度。</w:t>
      </w:r>
      <w:r>
        <w:rPr>
          <w:rFonts w:hint="eastAsia" w:ascii="仿宋_GB2312" w:hAnsi="仿宋_GB2312" w:eastAsia="仿宋_GB2312" w:cs="仿宋_GB2312"/>
          <w:sz w:val="32"/>
          <w:szCs w:val="32"/>
          <w:lang w:val="en-US" w:eastAsia="zh-CN"/>
        </w:rPr>
        <w:t>天津天域无限广告传媒有限公司在显示屏正常投运后，定期进行安全检查，及时处理解决现场存在的不安全因素和隐患。天津市乾运电子有限公司加强对特种作业人员管理，现场指定安全员负责监护并加强对劳动者正确佩戴安全防护用品的督促管理。遇到大风、暴雨等恶劣天气，加大隐患排查力度，现场停工并检查遗落物品防止高空坠物，关闭临时用电，防止漏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评估结论：天津天域无限广告传媒有限公司及天津市乾运电子有限公司对事故调查报告中的事故防范和整改措施已基本落实。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附件：1、问题清单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工作建议清单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经验做法清单。</w:t>
      </w: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                                    南开区应急管理局</w:t>
      </w:r>
    </w:p>
    <w:p>
      <w:pPr>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kern w:val="2"/>
          <w:sz w:val="32"/>
          <w:szCs w:val="32"/>
          <w:lang w:val="en-US" w:eastAsia="zh-CN" w:bidi="ar-SA"/>
        </w:rPr>
        <w:t xml:space="preserve">                              2021年10月25日</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附件1：</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问题清单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天津天域无限广告传媒有限公司和天津市乾运电子有限公司均存在安全生产管理人员专业能力偏低的问题。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pPr>
        <w:numPr>
          <w:ilvl w:val="0"/>
          <w:numId w:val="0"/>
        </w:numPr>
        <w:spacing w:line="600" w:lineRule="exact"/>
        <w:jc w:val="both"/>
        <w:rPr>
          <w:rFonts w:hint="eastAsia" w:ascii="仿宋_GB2312" w:hAnsi="仿宋_GB2312" w:eastAsia="仿宋_GB2312" w:cs="仿宋_GB2312"/>
          <w:b w:val="0"/>
          <w:bCs w:val="0"/>
          <w:sz w:val="28"/>
          <w:szCs w:val="28"/>
          <w:vertAlign w:val="baseline"/>
          <w:lang w:val="en-US" w:eastAsia="zh-CN"/>
        </w:rPr>
      </w:pPr>
    </w:p>
    <w:p>
      <w:pPr>
        <w:numPr>
          <w:ilvl w:val="0"/>
          <w:numId w:val="0"/>
        </w:numPr>
        <w:spacing w:line="600" w:lineRule="exact"/>
        <w:jc w:val="both"/>
        <w:rPr>
          <w:rFonts w:hint="eastAsia" w:ascii="仿宋_GB2312" w:hAnsi="仿宋_GB2312" w:eastAsia="仿宋_GB2312" w:cs="仿宋_GB2312"/>
          <w:b w:val="0"/>
          <w:bCs w:val="0"/>
          <w:sz w:val="28"/>
          <w:szCs w:val="28"/>
          <w:vertAlign w:val="baseli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80" w:lineRule="exact"/>
        <w:jc w:val="both"/>
        <w:textAlignment w:val="auto"/>
        <w:rPr>
          <w:rFonts w:hint="default" w:ascii="仿宋_GB2312" w:hAnsi="仿宋_GB2312" w:eastAsia="仿宋_GB2312" w:cs="仿宋_GB2312"/>
          <w:sz w:val="32"/>
          <w:szCs w:val="32"/>
          <w:lang w:val="en-US" w:eastAsia="zh-CN"/>
        </w:rPr>
      </w:pPr>
    </w:p>
    <w:p>
      <w:pP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br w:type="page"/>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工作建议清单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1、天津天域无限广告传媒有限公司，要细化公司安全生产责任制，加强责任制落实情况的监督考核；要加大对安全管理人员的教育培训力度，严格执行安全教育培训计划，提高安全管理人员的业务能力。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天津市乾运电子有限公司，要加大对安全管理人员的教育培训力度，严格执行安全教育培训计划，提高安全管理人员的业务能力；要根据公司实际和施工现场情况完善生产安全事故隐患排查治理制度，加大对作业现场安全检查频次，如实全面记录隐患情况并及时向从业人员通报；要采购符合国家标准或者行业标准的劳动防护用品，监督、教育从业人员正确佩戴和使用；劳动防护用品要定期检测并及时更换。</w:t>
      </w:r>
    </w:p>
    <w:p>
      <w:pP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br w:type="page"/>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经验做法清单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1、天津天域无限广告传媒有限公司，聘请专业监理单位对现场临建设施、脚手架、起重设备、其他施工设备和线路进行检查验收，加大施工现场安全管理力量。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2、天津市乾运电子有限公司，除对低压电工、高处作业、电气焊作业等特种作业人员的资格审核外，还对劳动者年龄和身体条件严格审查，严禁不符合条件的作业人员进场施工。</w:t>
      </w:r>
    </w:p>
    <w:p>
      <w:pPr>
        <w:jc w:val="both"/>
        <w:rPr>
          <w:rFonts w:hint="eastAsia" w:asciiTheme="majorEastAsia" w:hAnsiTheme="majorEastAsia" w:eastAsiaTheme="majorEastAsia" w:cstheme="majorEastAsia"/>
          <w:b/>
          <w:bCs/>
          <w:sz w:val="44"/>
          <w:szCs w:val="44"/>
          <w:lang w:val="en-US" w:eastAsia="zh-CN"/>
        </w:rPr>
      </w:pPr>
    </w:p>
    <w:sectPr>
      <w:pgSz w:w="11906" w:h="16838"/>
      <w:pgMar w:top="1440" w:right="1474" w:bottom="1440"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方正小标宋_GBK">
    <w:panose1 w:val="03000502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73F60"/>
    <w:multiLevelType w:val="singleLevel"/>
    <w:tmpl w:val="97973F60"/>
    <w:lvl w:ilvl="0" w:tentative="0">
      <w:start w:val="1"/>
      <w:numFmt w:val="chineseCounting"/>
      <w:suff w:val="nothing"/>
      <w:lvlText w:val="（%1）"/>
      <w:lvlJc w:val="left"/>
      <w:rPr>
        <w:rFonts w:hint="eastAsia"/>
      </w:rPr>
    </w:lvl>
  </w:abstractNum>
  <w:abstractNum w:abstractNumId="1">
    <w:nsid w:val="00CC7F9A"/>
    <w:multiLevelType w:val="singleLevel"/>
    <w:tmpl w:val="00CC7F9A"/>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0FA"/>
    <w:rsid w:val="00206181"/>
    <w:rsid w:val="00271C4E"/>
    <w:rsid w:val="002E694A"/>
    <w:rsid w:val="00310517"/>
    <w:rsid w:val="004C4159"/>
    <w:rsid w:val="0052487C"/>
    <w:rsid w:val="007166CB"/>
    <w:rsid w:val="009231BB"/>
    <w:rsid w:val="009A7EDA"/>
    <w:rsid w:val="009D16D0"/>
    <w:rsid w:val="00A467BB"/>
    <w:rsid w:val="00B75DC8"/>
    <w:rsid w:val="00C76974"/>
    <w:rsid w:val="00C8546A"/>
    <w:rsid w:val="00E100FA"/>
    <w:rsid w:val="016A2BE2"/>
    <w:rsid w:val="025F0EF0"/>
    <w:rsid w:val="11AA58A9"/>
    <w:rsid w:val="143878E0"/>
    <w:rsid w:val="176AA367"/>
    <w:rsid w:val="22B66B29"/>
    <w:rsid w:val="230949CD"/>
    <w:rsid w:val="23C25DED"/>
    <w:rsid w:val="26A210A4"/>
    <w:rsid w:val="27DFD8A3"/>
    <w:rsid w:val="282474EE"/>
    <w:rsid w:val="2A7541EC"/>
    <w:rsid w:val="2F3D3386"/>
    <w:rsid w:val="2F86042C"/>
    <w:rsid w:val="30035ECE"/>
    <w:rsid w:val="31FE5790"/>
    <w:rsid w:val="376E024E"/>
    <w:rsid w:val="394B5222"/>
    <w:rsid w:val="3BB00C3C"/>
    <w:rsid w:val="3BB17B73"/>
    <w:rsid w:val="3DFB4275"/>
    <w:rsid w:val="3FFC44C4"/>
    <w:rsid w:val="428F39AF"/>
    <w:rsid w:val="473350ED"/>
    <w:rsid w:val="477430E5"/>
    <w:rsid w:val="48FC5373"/>
    <w:rsid w:val="494F7E6B"/>
    <w:rsid w:val="49D2116C"/>
    <w:rsid w:val="4AF776DD"/>
    <w:rsid w:val="4BFCFE27"/>
    <w:rsid w:val="4C206113"/>
    <w:rsid w:val="4D8C382E"/>
    <w:rsid w:val="4F15E73C"/>
    <w:rsid w:val="50A72E74"/>
    <w:rsid w:val="50E6758D"/>
    <w:rsid w:val="50F17F12"/>
    <w:rsid w:val="53FEE292"/>
    <w:rsid w:val="558D350E"/>
    <w:rsid w:val="55C56EE5"/>
    <w:rsid w:val="57EB473A"/>
    <w:rsid w:val="57FF3899"/>
    <w:rsid w:val="5AE7B2FB"/>
    <w:rsid w:val="5C46053E"/>
    <w:rsid w:val="60CB2C29"/>
    <w:rsid w:val="65084B45"/>
    <w:rsid w:val="67FFD5D9"/>
    <w:rsid w:val="6A1C1980"/>
    <w:rsid w:val="6BEB2140"/>
    <w:rsid w:val="6E377167"/>
    <w:rsid w:val="6E7D49F9"/>
    <w:rsid w:val="6EE817DA"/>
    <w:rsid w:val="6FAF35C6"/>
    <w:rsid w:val="723B408B"/>
    <w:rsid w:val="757E24B3"/>
    <w:rsid w:val="760274C5"/>
    <w:rsid w:val="77AF999B"/>
    <w:rsid w:val="77EF8F35"/>
    <w:rsid w:val="78EC6C13"/>
    <w:rsid w:val="791FB92F"/>
    <w:rsid w:val="7A6D8E9D"/>
    <w:rsid w:val="7BFF045E"/>
    <w:rsid w:val="7C7653BB"/>
    <w:rsid w:val="7DB7F969"/>
    <w:rsid w:val="7FEFACC3"/>
    <w:rsid w:val="7FFA2B6B"/>
    <w:rsid w:val="7FFFFE62"/>
    <w:rsid w:val="9EB5A73D"/>
    <w:rsid w:val="A74F1B04"/>
    <w:rsid w:val="A7B37949"/>
    <w:rsid w:val="ABFF5E90"/>
    <w:rsid w:val="B6EE3106"/>
    <w:rsid w:val="B6F8EB20"/>
    <w:rsid w:val="BD7F6D72"/>
    <w:rsid w:val="BFAB90DA"/>
    <w:rsid w:val="E3CF3620"/>
    <w:rsid w:val="EBF7F26A"/>
    <w:rsid w:val="EDDEBB52"/>
    <w:rsid w:val="EFDD1D4D"/>
    <w:rsid w:val="EFDD9B2F"/>
    <w:rsid w:val="EFFD72AC"/>
    <w:rsid w:val="F9DDD755"/>
    <w:rsid w:val="FBC75E05"/>
    <w:rsid w:val="FBDD0150"/>
    <w:rsid w:val="FBEF77E4"/>
    <w:rsid w:val="FEFF97B7"/>
    <w:rsid w:val="FF6B8A25"/>
    <w:rsid w:val="FFB7DC37"/>
    <w:rsid w:val="FFD3D1A2"/>
    <w:rsid w:val="FFDF27CD"/>
    <w:rsid w:val="FFF75016"/>
    <w:rsid w:val="FFFC3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600" w:lineRule="exact"/>
      <w:jc w:val="center"/>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3"/>
    <w:qFormat/>
    <w:uiPriority w:val="9"/>
    <w:pPr>
      <w:keepNext/>
      <w:keepLines/>
      <w:spacing w:before="340" w:after="330" w:line="200" w:lineRule="exact"/>
      <w:outlineLvl w:val="0"/>
    </w:pPr>
    <w:rPr>
      <w:rFonts w:ascii="仿宋_GB2312" w:eastAsia="宋体"/>
      <w:b/>
      <w:bCs/>
      <w:kern w:val="44"/>
      <w:sz w:val="24"/>
    </w:rPr>
  </w:style>
  <w:style w:type="paragraph" w:styleId="4">
    <w:name w:val="heading 2"/>
    <w:basedOn w:val="1"/>
    <w:next w:val="1"/>
    <w:link w:val="14"/>
    <w:unhideWhenUsed/>
    <w:qFormat/>
    <w:uiPriority w:val="9"/>
    <w:pPr>
      <w:keepNext/>
      <w:keepLines/>
      <w:spacing w:before="260" w:after="260" w:line="200" w:lineRule="exact"/>
      <w:outlineLvl w:val="1"/>
    </w:pPr>
    <w:rPr>
      <w:rFonts w:eastAsia="宋体" w:asciiTheme="majorHAnsi" w:hAnsiTheme="majorHAnsi" w:cstheme="majorBidi"/>
      <w:bCs/>
    </w:rPr>
  </w:style>
  <w:style w:type="paragraph" w:styleId="5">
    <w:name w:val="heading 3"/>
    <w:basedOn w:val="1"/>
    <w:next w:val="1"/>
    <w:link w:val="15"/>
    <w:unhideWhenUsed/>
    <w:qFormat/>
    <w:uiPriority w:val="9"/>
    <w:pPr>
      <w:keepNext/>
      <w:keepLines/>
      <w:spacing w:before="260" w:after="260" w:line="200" w:lineRule="exact"/>
      <w:outlineLvl w:val="2"/>
    </w:pPr>
    <w:rPr>
      <w:rFonts w:eastAsia="宋体"/>
      <w:bC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next w:val="1"/>
    <w:qFormat/>
    <w:uiPriority w:val="99"/>
    <w:pPr>
      <w:ind w:firstLine="200"/>
      <w:jc w:val="left"/>
    </w:pPr>
    <w:rPr>
      <w:rFonts w:eastAsia="仿宋_GB2312"/>
    </w:rPr>
  </w:style>
  <w:style w:type="paragraph" w:styleId="6">
    <w:name w:val="Body Text Indent"/>
    <w:basedOn w:val="1"/>
    <w:link w:val="16"/>
    <w:semiHidden/>
    <w:unhideWhenUsed/>
    <w:qFormat/>
    <w:uiPriority w:val="99"/>
    <w:pPr>
      <w:spacing w:after="120"/>
      <w:ind w:left="420" w:leftChars="200"/>
    </w:pPr>
  </w:style>
  <w:style w:type="paragraph" w:styleId="7">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8">
    <w:name w:val="Body Text First Indent 2"/>
    <w:basedOn w:val="1"/>
    <w:link w:val="17"/>
    <w:unhideWhenUsed/>
    <w:qFormat/>
    <w:uiPriority w:val="0"/>
    <w:pPr>
      <w:widowControl w:val="0"/>
      <w:spacing w:line="240" w:lineRule="auto"/>
      <w:ind w:firstLine="420" w:firstLineChars="200"/>
      <w:jc w:val="both"/>
    </w:pPr>
    <w:rPr>
      <w:rFonts w:ascii="Calibri" w:hAnsi="Calibri" w:eastAsia="宋体" w:cs="Calibri"/>
      <w:szCs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标题 1 Char"/>
    <w:basedOn w:val="11"/>
    <w:link w:val="3"/>
    <w:qFormat/>
    <w:uiPriority w:val="9"/>
    <w:rPr>
      <w:rFonts w:ascii="仿宋_GB2312" w:eastAsia="宋体"/>
      <w:b/>
      <w:bCs/>
      <w:kern w:val="44"/>
      <w:sz w:val="24"/>
    </w:rPr>
  </w:style>
  <w:style w:type="character" w:customStyle="1" w:styleId="14">
    <w:name w:val="标题 2 Char"/>
    <w:basedOn w:val="11"/>
    <w:link w:val="4"/>
    <w:qFormat/>
    <w:uiPriority w:val="9"/>
    <w:rPr>
      <w:rFonts w:eastAsia="宋体" w:asciiTheme="majorHAnsi" w:hAnsiTheme="majorHAnsi" w:cstheme="majorBidi"/>
      <w:bCs/>
    </w:rPr>
  </w:style>
  <w:style w:type="character" w:customStyle="1" w:styleId="15">
    <w:name w:val="标题 3 Char"/>
    <w:basedOn w:val="11"/>
    <w:link w:val="5"/>
    <w:qFormat/>
    <w:uiPriority w:val="9"/>
    <w:rPr>
      <w:rFonts w:eastAsia="宋体"/>
      <w:bCs/>
    </w:rPr>
  </w:style>
  <w:style w:type="character" w:customStyle="1" w:styleId="16">
    <w:name w:val="正文文本缩进 Char"/>
    <w:basedOn w:val="11"/>
    <w:link w:val="6"/>
    <w:semiHidden/>
    <w:qFormat/>
    <w:uiPriority w:val="99"/>
  </w:style>
  <w:style w:type="character" w:customStyle="1" w:styleId="17">
    <w:name w:val="正文首行缩进 2 Char"/>
    <w:basedOn w:val="16"/>
    <w:link w:val="8"/>
    <w:qFormat/>
    <w:uiPriority w:val="0"/>
    <w:rPr>
      <w:rFonts w:ascii="Calibri" w:hAnsi="Calibri" w:eastAsia="宋体" w:cs="Calibri"/>
      <w:szCs w:val="24"/>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Words>
  <Characters>439</Characters>
  <Lines>3</Lines>
  <Paragraphs>1</Paragraphs>
  <TotalTime>16</TotalTime>
  <ScaleCrop>false</ScaleCrop>
  <LinksUpToDate>false</LinksUpToDate>
  <CharactersWithSpaces>515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2020-06-21T00:18:00Z</dcterms:created>
  <dc:creator>高正斌</dc:creator>
  <cp:lastModifiedBy>kylin</cp:lastModifiedBy>
  <cp:lastPrinted>2021-08-03T01:09:00Z</cp:lastPrinted>
  <dcterms:modified xsi:type="dcterms:W3CDTF">2022-04-19T10:26:04Z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49068792C32F4D848D48D5B9934743AD</vt:lpwstr>
  </property>
</Properties>
</file>