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rPr>
      </w:pPr>
      <w:r>
        <w:rPr>
          <w:rFonts w:hint="eastAsia" w:ascii="方正小标宋简体" w:eastAsia="方正小标宋简体"/>
          <w:sz w:val="44"/>
          <w:szCs w:val="44"/>
          <w:lang w:val="en-US" w:eastAsia="zh-CN"/>
        </w:rPr>
        <w:t>天津鸿德广告有限公司“8•9”一般高处坠落事故</w:t>
      </w:r>
      <w:r>
        <w:rPr>
          <w:rFonts w:hint="eastAsia" w:ascii="方正小标宋简体" w:eastAsia="方正小标宋简体"/>
          <w:sz w:val="44"/>
          <w:szCs w:val="44"/>
        </w:rPr>
        <w:t>评估报告</w:t>
      </w:r>
    </w:p>
    <w:p>
      <w:pPr>
        <w:jc w:val="left"/>
        <w:rPr>
          <w:rFonts w:hint="eastAsia" w:ascii="黑体" w:hAnsi="黑体" w:eastAsia="黑体"/>
          <w:sz w:val="32"/>
          <w:szCs w:val="32"/>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left"/>
        <w:textAlignment w:val="auto"/>
        <w:rPr>
          <w:rFonts w:hint="eastAsia" w:ascii="Times New Roman" w:hAnsi="Times New Roman" w:eastAsia="黑体"/>
          <w:color w:val="000000"/>
          <w:sz w:val="32"/>
          <w:szCs w:val="32"/>
          <w:lang w:val="en-US" w:eastAsia="zh-CN"/>
        </w:rPr>
      </w:pPr>
      <w:r>
        <w:rPr>
          <w:rFonts w:hint="eastAsia" w:ascii="Times New Roman" w:hAnsi="Times New Roman" w:eastAsia="黑体"/>
          <w:color w:val="000000"/>
          <w:sz w:val="32"/>
          <w:szCs w:val="32"/>
          <w:lang w:eastAsia="zh-CN"/>
        </w:rPr>
        <w:t>一、</w:t>
      </w:r>
      <w:r>
        <w:rPr>
          <w:rFonts w:hint="eastAsia" w:ascii="Times New Roman" w:hAnsi="Times New Roman" w:eastAsia="黑体"/>
          <w:color w:val="000000"/>
          <w:sz w:val="32"/>
          <w:szCs w:val="32"/>
        </w:rPr>
        <w:t>评估目的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sz w:val="32"/>
          <w:szCs w:val="32"/>
        </w:rPr>
      </w:pPr>
      <w:r>
        <w:rPr>
          <w:rFonts w:hint="eastAsia" w:ascii="仿宋_GB2312" w:hAnsi="仿宋_GB2312" w:eastAsia="仿宋_GB2312" w:cs="仿宋_GB2312"/>
          <w:sz w:val="32"/>
          <w:szCs w:val="32"/>
          <w:lang w:val="en-US" w:eastAsia="zh-CN"/>
        </w:rPr>
        <w:t>为认真贯彻落实党中央、国务院决策部署，充分发挥事故调查处理对加强和改进安全生产工作促进作用，督促事故责任单位充分落实事故防范和整改措施，从根本上消除事故隐患，防范类似生产安全事故再次发生，保障人民群众生命安全，针对天津鸿德广告有限公司“8•9”一般高处坠落事故，区应急管理局牵头相关单位按照要求开展事故评估工作。</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left"/>
        <w:textAlignment w:val="auto"/>
        <w:rPr>
          <w:rFonts w:hint="eastAsia" w:ascii="黑体" w:hAnsi="黑体" w:eastAsia="黑体"/>
          <w:sz w:val="32"/>
          <w:szCs w:val="32"/>
        </w:rPr>
      </w:pPr>
      <w:r>
        <w:rPr>
          <w:rFonts w:hint="eastAsia" w:ascii="Times New Roman" w:hAnsi="Times New Roman" w:eastAsia="黑体"/>
          <w:color w:val="000000"/>
          <w:sz w:val="32"/>
          <w:szCs w:val="32"/>
          <w:lang w:eastAsia="zh-CN"/>
        </w:rPr>
        <w:t>二、</w:t>
      </w:r>
      <w:r>
        <w:rPr>
          <w:rFonts w:hint="eastAsia" w:ascii="Times New Roman" w:hAnsi="Times New Roman" w:eastAsia="黑体"/>
          <w:color w:val="000000"/>
          <w:sz w:val="32"/>
          <w:szCs w:val="32"/>
        </w:rPr>
        <w:t>评估依据及职责分工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国务院安委会办公室关于印发生产安全事故防范和整改措施落实情况评估办法的通知》（安委办[2021]4号）和《市安委办关于印发&lt;天津市生产安全事故暴露问题整改督办制度（试行）&gt;的通知》（津安办[2020]7号）要求，区应急管理局牵头组织公安南开分局、区总工会等部门成立事故评估组，制定了《天津鸿德广告有限公司“8•9”一般高处坠落事故评估工作方案》。具体责任分工如下：</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区应急管理局负责提交本部门落实事故调查报告中相关处理意见和整改措施情况；承担所负责行业领域事故发生单位整改措施落实情况的评估。</w:t>
      </w:r>
    </w:p>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公安南开分局、区总工会</w:t>
      </w:r>
      <w:r>
        <w:rPr>
          <w:rFonts w:hint="eastAsia" w:eastAsia="仿宋_GB2312"/>
          <w:color w:val="000000"/>
          <w:sz w:val="32"/>
          <w:szCs w:val="32"/>
        </w:rPr>
        <w:t>参与对追责问责、事故防范和整改措施落实情况的评估。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sz w:val="32"/>
          <w:szCs w:val="32"/>
        </w:rPr>
      </w:pPr>
      <w:r>
        <w:rPr>
          <w:rFonts w:hint="eastAsia" w:ascii="Times New Roman" w:hAnsi="Times New Roman" w:eastAsia="黑体"/>
          <w:color w:val="000000"/>
          <w:sz w:val="32"/>
          <w:szCs w:val="32"/>
          <w:lang w:val="en-US" w:eastAsia="zh-CN"/>
        </w:rPr>
        <w:t>三、</w:t>
      </w:r>
      <w:r>
        <w:rPr>
          <w:rFonts w:hint="eastAsia" w:ascii="Times New Roman" w:hAnsi="Times New Roman" w:eastAsia="黑体"/>
          <w:color w:val="000000"/>
          <w:sz w:val="32"/>
          <w:szCs w:val="32"/>
        </w:rPr>
        <w:t>事故调查处理情况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 w:eastAsia="仿宋_GB2312"/>
          <w:sz w:val="32"/>
          <w:szCs w:val="32"/>
        </w:rPr>
        <w:t>2019年8月9日7时23分，南开区时代奥城B2写字楼更换室外广告布时发生一起高处坠落事故，造成1人死亡</w:t>
      </w:r>
      <w:r>
        <w:rPr>
          <w:rFonts w:hint="eastAsia" w:ascii="仿宋_GB2312" w:hAnsi="仿宋_GB2312" w:eastAsia="仿宋_GB2312" w:cs="仿宋_GB2312"/>
          <w:sz w:val="32"/>
          <w:szCs w:val="32"/>
          <w:lang w:val="en-US" w:eastAsia="zh-CN"/>
        </w:rPr>
        <w:t>，直接经济损失（不含事故罚款）为人民币</w:t>
      </w:r>
      <w:r>
        <w:rPr>
          <w:rFonts w:hint="eastAsia" w:ascii="仿宋_GB2312" w:hAnsi="仿宋" w:eastAsia="仿宋_GB2312"/>
          <w:sz w:val="32"/>
          <w:szCs w:val="32"/>
        </w:rPr>
        <w:t>50万元整</w:t>
      </w:r>
      <w:r>
        <w:rPr>
          <w:rFonts w:hint="eastAsia" w:ascii="仿宋_GB2312" w:hAnsi="仿宋_GB2312" w:eastAsia="仿宋_GB2312" w:cs="仿宋_GB2312"/>
          <w:sz w:val="32"/>
          <w:szCs w:val="32"/>
          <w:lang w:val="en-US" w:eastAsia="zh-CN"/>
        </w:rPr>
        <w:t>。事故发生后，依据国家和我市有关法律法规，区应急管理局牵头组织公安南开分局、区总工会等部门成立事故调查组开展事故调查工作，经过现场勘验、调查取证、专家分析，形成了《天津鸿德广告有限公司“8•9”一般高处坠落事故调查报告》。2019年11月11日，事故调查组向区政府提交了关于事故调查处理意见的请示；同日，区政府批示同意。</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left"/>
        <w:textAlignment w:val="auto"/>
        <w:rPr>
          <w:rFonts w:hint="eastAsia" w:ascii="黑体" w:hAnsi="黑体" w:eastAsia="黑体"/>
          <w:sz w:val="32"/>
          <w:szCs w:val="32"/>
        </w:rPr>
      </w:pPr>
      <w:r>
        <w:rPr>
          <w:rFonts w:hint="eastAsia" w:ascii="Times New Roman" w:hAnsi="Times New Roman" w:eastAsia="黑体"/>
          <w:color w:val="000000"/>
          <w:sz w:val="32"/>
          <w:szCs w:val="32"/>
          <w:lang w:eastAsia="zh-CN"/>
        </w:rPr>
        <w:t>四、</w:t>
      </w:r>
      <w:r>
        <w:rPr>
          <w:rFonts w:hint="eastAsia" w:ascii="Times New Roman" w:hAnsi="Times New Roman" w:eastAsia="黑体"/>
          <w:color w:val="000000"/>
          <w:sz w:val="32"/>
          <w:szCs w:val="32"/>
        </w:rPr>
        <w:t>评估部署工作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10月，区应急管理局牵头相关部门成立事故评估组。2020年10月16日，制定了评估工作方案，明确了评估工作分工。事故评估组根据《关于天津鸿德广告有限公司“8•9”一般高处坠落事故调查报告的请示》和南开区人民政府《关于天津鸿德广告有限公司“8•9”一般高处坠落事故调查和处理意见的批复》，对照《国务院安委会办公室关于印发生产安全事故防范和整改措施落实情况评估办法的通知》（安委办[2021]4号）和《市安委办关于印发&lt;天津市生产安全事故暴露问题整改督办制度（试行）&gt;的通知》（津安办[2020]7号）的相关要求，对事故责任追究落实情况、整改措施落实情况进行了评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黑体"/>
          <w:color w:val="000000"/>
          <w:sz w:val="32"/>
          <w:szCs w:val="32"/>
        </w:rPr>
      </w:pPr>
      <w:r>
        <w:rPr>
          <w:rFonts w:hint="eastAsia" w:ascii="Times New Roman" w:hAnsi="Times New Roman" w:eastAsia="黑体"/>
          <w:color w:val="000000"/>
          <w:sz w:val="32"/>
          <w:szCs w:val="32"/>
          <w:lang w:val="en-US" w:eastAsia="zh-CN"/>
        </w:rPr>
        <w:t>五、</w:t>
      </w:r>
      <w:r>
        <w:rPr>
          <w:rFonts w:hint="eastAsia" w:ascii="Times New Roman" w:hAnsi="Times New Roman" w:eastAsia="黑体"/>
          <w:color w:val="000000"/>
          <w:sz w:val="32"/>
          <w:szCs w:val="32"/>
        </w:rPr>
        <w:t>评估事项及结论</w:t>
      </w:r>
    </w:p>
    <w:p>
      <w:pPr>
        <w:keepNext w:val="0"/>
        <w:keepLines w:val="0"/>
        <w:pageBreakBefore w:val="0"/>
        <w:widowControl w:val="0"/>
        <w:kinsoku/>
        <w:wordWrap/>
        <w:overflowPunct/>
        <w:topLinePunct w:val="0"/>
        <w:autoSpaceDE/>
        <w:autoSpaceDN/>
        <w:bidi w:val="0"/>
        <w:adjustRightInd/>
        <w:snapToGrid/>
        <w:spacing w:line="540" w:lineRule="exact"/>
        <w:ind w:firstLine="709" w:firstLineChars="221"/>
        <w:jc w:val="left"/>
        <w:textAlignment w:val="auto"/>
        <w:rPr>
          <w:rFonts w:hint="eastAsia" w:ascii="楷体_GB2312" w:eastAsia="楷体_GB2312"/>
          <w:b/>
          <w:sz w:val="32"/>
        </w:rPr>
      </w:pPr>
      <w:r>
        <w:rPr>
          <w:rFonts w:hint="eastAsia" w:ascii="楷体_GB2312" w:eastAsia="楷体_GB2312"/>
          <w:b/>
          <w:sz w:val="32"/>
        </w:rPr>
        <w:t>（</w:t>
      </w:r>
      <w:r>
        <w:rPr>
          <w:rFonts w:hint="eastAsia" w:ascii="楷体_GB2312" w:eastAsia="楷体_GB2312"/>
          <w:b/>
          <w:sz w:val="32"/>
          <w:lang w:eastAsia="zh-CN"/>
        </w:rPr>
        <w:t>一</w:t>
      </w:r>
      <w:r>
        <w:rPr>
          <w:rFonts w:hint="eastAsia" w:ascii="楷体_GB2312" w:eastAsia="楷体_GB2312"/>
          <w:b/>
          <w:sz w:val="32"/>
        </w:rPr>
        <w:t>）</w:t>
      </w:r>
      <w:r>
        <w:rPr>
          <w:rFonts w:ascii="楷体_GB2312" w:eastAsia="楷体_GB2312"/>
          <w:b/>
          <w:sz w:val="32"/>
        </w:rPr>
        <w:t>行政处罚落实情况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2019年11月19日，区应急管理局对天津鸿德广告有限公司“8•9”一般高处坠落事故案责任单位和责任人员立案处罚，依据《中华人民共和国安全生产法》第一百零九条第（一）项的规定，分别对天津鸿德广告有限公司和天津凯拓广告有限公司处以人民币贰拾伍万元整和贰拾万元整罚款的行政处罚；依据《中华人民共和国安全生产法》第九十二条第（一）项的规定，对</w:t>
      </w:r>
      <w:bookmarkStart w:id="0" w:name="_GoBack"/>
      <w:bookmarkEnd w:id="0"/>
      <w:r>
        <w:rPr>
          <w:rFonts w:hint="default" w:ascii="仿宋_GB2312" w:hAnsi="仿宋_GB2312" w:eastAsia="仿宋_GB2312" w:cs="仿宋_GB2312"/>
          <w:sz w:val="32"/>
          <w:szCs w:val="32"/>
          <w:lang w:val="en" w:eastAsia="zh-CN"/>
        </w:rPr>
        <w:t>刘某</w:t>
      </w:r>
      <w:r>
        <w:rPr>
          <w:rFonts w:hint="eastAsia" w:ascii="仿宋_GB2312" w:hAnsi="仿宋_GB2312" w:eastAsia="仿宋_GB2312" w:cs="仿宋_GB2312"/>
          <w:sz w:val="32"/>
          <w:szCs w:val="32"/>
          <w:lang w:val="en-US" w:eastAsia="zh-CN"/>
        </w:rPr>
        <w:t>处以2018年度全年收入的30%，即人民币壹万捌仟元整罚款的行政处罚。天津凯拓广告有限公司及</w:t>
      </w:r>
      <w:r>
        <w:rPr>
          <w:rFonts w:hint="default" w:ascii="仿宋_GB2312" w:hAnsi="仿宋_GB2312" w:eastAsia="仿宋_GB2312" w:cs="仿宋_GB2312"/>
          <w:sz w:val="32"/>
          <w:szCs w:val="32"/>
          <w:lang w:val="en" w:eastAsia="zh-CN"/>
        </w:rPr>
        <w:t>刘某</w:t>
      </w:r>
      <w:r>
        <w:rPr>
          <w:rFonts w:hint="eastAsia" w:ascii="仿宋_GB2312" w:hAnsi="仿宋_GB2312" w:eastAsia="仿宋_GB2312" w:cs="仿宋_GB2312"/>
          <w:sz w:val="32"/>
          <w:szCs w:val="32"/>
          <w:lang w:val="en-US" w:eastAsia="zh-CN"/>
        </w:rPr>
        <w:t>已于2019年12月27日足额缴纳全部罚款。2020年7月24日，区应急管理局申请南开法院对天津鸿德广告有限公司强制执行。同日，南开法院予以受理并于2020年7月31日作出准予强制执行的《行政裁定书》。2020年9月14日南开法院作出《执行裁定书》，因被执行人天津鸿德广告有限公司已被注销，并无义务承受人，也没有能够追加变更执行主体的情形，依照《中华人民共和国民事诉讼法》第二百五十七条、《最高人民法院关于执行案件立案、结案若干问题的意见》（法发[2014]26号）第十七条第六项的规定，裁定终结该案件的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评估结论：对天津鸿德广告有限公司（已注销）、天津凯拓广告有限公司和</w:t>
      </w:r>
      <w:r>
        <w:rPr>
          <w:rFonts w:hint="default" w:ascii="仿宋_GB2312" w:hAnsi="仿宋_GB2312" w:eastAsia="仿宋_GB2312" w:cs="仿宋_GB2312"/>
          <w:sz w:val="32"/>
          <w:szCs w:val="32"/>
          <w:lang w:val="en" w:eastAsia="zh-CN"/>
        </w:rPr>
        <w:t>刘某</w:t>
      </w:r>
      <w:r>
        <w:rPr>
          <w:rFonts w:hint="eastAsia" w:ascii="仿宋_GB2312" w:hAnsi="仿宋_GB2312" w:eastAsia="仿宋_GB2312" w:cs="仿宋_GB2312"/>
          <w:sz w:val="32"/>
          <w:szCs w:val="32"/>
          <w:lang w:val="en-US" w:eastAsia="zh-CN"/>
        </w:rPr>
        <w:t>的行政处罚已落实。</w:t>
      </w:r>
    </w:p>
    <w:p>
      <w:pPr>
        <w:keepNext w:val="0"/>
        <w:keepLines w:val="0"/>
        <w:pageBreakBefore w:val="0"/>
        <w:widowControl w:val="0"/>
        <w:kinsoku/>
        <w:wordWrap/>
        <w:overflowPunct/>
        <w:topLinePunct w:val="0"/>
        <w:autoSpaceDE/>
        <w:autoSpaceDN/>
        <w:bidi w:val="0"/>
        <w:adjustRightInd/>
        <w:snapToGrid/>
        <w:spacing w:line="540" w:lineRule="exact"/>
        <w:ind w:firstLine="709" w:firstLineChars="221"/>
        <w:jc w:val="left"/>
        <w:textAlignment w:val="auto"/>
        <w:rPr>
          <w:rFonts w:hint="eastAsia" w:ascii="楷体_GB2312" w:eastAsia="楷体_GB2312"/>
          <w:b/>
          <w:sz w:val="32"/>
          <w:lang w:val="en-US" w:eastAsia="zh-CN"/>
        </w:rPr>
      </w:pPr>
      <w:r>
        <w:rPr>
          <w:rFonts w:hint="eastAsia" w:ascii="楷体_GB2312" w:eastAsia="楷体_GB2312"/>
          <w:b/>
          <w:sz w:val="32"/>
          <w:lang w:val="en-US" w:eastAsia="zh-CN"/>
        </w:rPr>
        <w:t>（二）事故防范和整改措施落实情况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为深刻吸取事故教训，有效避免类似事故的再次发生，事故责任单位严格按照事故调查报告中提出的事故防范和整改措施进行了整改。</w:t>
      </w:r>
    </w:p>
    <w:p>
      <w:pPr>
        <w:keepNext w:val="0"/>
        <w:keepLines w:val="0"/>
        <w:pageBreakBefore w:val="0"/>
        <w:numPr>
          <w:ilvl w:val="0"/>
          <w:numId w:val="2"/>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 w:eastAsia="仿宋_GB2312"/>
          <w:sz w:val="32"/>
          <w:szCs w:val="32"/>
          <w:lang w:val="en-US" w:eastAsia="zh-CN"/>
        </w:rPr>
      </w:pPr>
      <w:r>
        <w:rPr>
          <w:rFonts w:hint="eastAsia" w:ascii="楷体_GB2312" w:hAnsi="楷体_GB2312" w:eastAsia="楷体_GB2312" w:cs="楷体_GB2312"/>
          <w:sz w:val="32"/>
          <w:szCs w:val="32"/>
        </w:rPr>
        <w:t>深刻吸取经验教训，强化问题整改落实。</w:t>
      </w:r>
      <w:r>
        <w:rPr>
          <w:rFonts w:hint="eastAsia" w:ascii="仿宋_GB2312" w:hAnsi="仿宋_GB2312" w:eastAsia="仿宋_GB2312" w:cs="仿宋_GB2312"/>
          <w:sz w:val="32"/>
          <w:szCs w:val="32"/>
          <w:lang w:val="en-US" w:eastAsia="zh-CN"/>
        </w:rPr>
        <w:t>天津凯拓广告有限公司在项目发包前加强了对承包单位资质以及特种作业人员资格的审核。在施工前与施工单位签署安全协议，明确了双方安全管理职责，并加强了对高空悬挂作业的安全管理。2019年后该单位调整了业务范围，不再承接涉及高空作业的业务项目。</w:t>
      </w:r>
    </w:p>
    <w:p>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2、加强体制机制建设，落实安全生产主体责任。</w:t>
      </w:r>
      <w:r>
        <w:rPr>
          <w:rFonts w:hint="eastAsia" w:ascii="仿宋_GB2312" w:hAnsi="仿宋_GB2312" w:eastAsia="仿宋_GB2312" w:cs="仿宋_GB2312"/>
          <w:sz w:val="32"/>
          <w:szCs w:val="32"/>
          <w:lang w:val="en-US" w:eastAsia="zh-CN"/>
        </w:rPr>
        <w:t>天津凯拓广告有限公司认真落实安全生产责任制度，与项目负责人及施工人员签订安全责任书，层层压实安全责任；在施工前实地勘验施工环境，测量施工场地，制定具体的施工方案；在施工过程中安排安全生产管理人员现场监督。</w:t>
      </w:r>
    </w:p>
    <w:p>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rPr>
          <w:rFonts w:hint="default" w:ascii="微软雅黑" w:hAnsi="微软雅黑" w:eastAsia="微软雅黑" w:cs="微软雅黑"/>
          <w:lang w:val="en-US" w:eastAsia="zh-CN"/>
        </w:rPr>
      </w:pP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3、严格安全教育培训，增强防范事故能力。</w:t>
      </w:r>
      <w:r>
        <w:rPr>
          <w:rFonts w:hint="eastAsia" w:ascii="仿宋_GB2312" w:hAnsi="仿宋_GB2312" w:eastAsia="仿宋_GB2312" w:cs="仿宋_GB2312"/>
          <w:sz w:val="32"/>
          <w:szCs w:val="32"/>
          <w:lang w:val="en-US" w:eastAsia="zh-CN"/>
        </w:rPr>
        <w:t>天津凯拓广告有限公司</w:t>
      </w:r>
      <w:r>
        <w:rPr>
          <w:rFonts w:hint="eastAsia" w:ascii="仿宋_GB2312" w:hAnsi="仿宋" w:eastAsia="仿宋_GB2312"/>
          <w:sz w:val="32"/>
          <w:szCs w:val="32"/>
          <w:lang w:eastAsia="zh-CN"/>
        </w:rPr>
        <w:t>加强了对从业人员的安全教育培训</w:t>
      </w:r>
      <w:r>
        <w:rPr>
          <w:rFonts w:hint="eastAsia" w:ascii="仿宋_GB2312" w:hAnsi="仿宋" w:eastAsia="仿宋_GB2312"/>
          <w:sz w:val="32"/>
          <w:szCs w:val="32"/>
          <w:lang w:val="en-US" w:eastAsia="zh-CN"/>
        </w:rPr>
        <w:t>，根据每次施工的特点，制定有针对性的培训内容，使施工人员具备必要的安全施工知识，提高从业人员的自我保护能力。</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rPr>
        <w:t>4、强化日常监督管理，加大隐患排查整治力度。</w:t>
      </w:r>
      <w:r>
        <w:rPr>
          <w:rFonts w:hint="eastAsia" w:ascii="仿宋_GB2312" w:hAnsi="仿宋_GB2312" w:eastAsia="仿宋_GB2312" w:cs="仿宋_GB2312"/>
          <w:sz w:val="32"/>
          <w:szCs w:val="32"/>
          <w:lang w:val="en-US" w:eastAsia="zh-CN"/>
        </w:rPr>
        <w:t>天津凯拓广告有限公司加大了对施工现场的巡查力度，督促员工严格遵守操作规程和标准规范，杜绝违章作业。遇到大风、暴雨等恶劣天气，现场停工检查遗落物品防止发生高空坠落，关闭临时用电防止漏电，严查事故隐患，做到防患于未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天津鸿德广告有限公司已注销，不再从事生产经营活动。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评估结论：天津凯拓广告有限公司对事故调查报告中的事故防范和整改措施已基本落实。</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附件：1、问题清单</w:t>
      </w:r>
    </w:p>
    <w:p>
      <w:pPr>
        <w:keepNext w:val="0"/>
        <w:keepLines w:val="0"/>
        <w:pageBreakBefore w:val="0"/>
        <w:widowControl w:val="0"/>
        <w:numPr>
          <w:ilvl w:val="0"/>
          <w:numId w:val="3"/>
        </w:numPr>
        <w:kinsoku/>
        <w:wordWrap/>
        <w:overflowPunct/>
        <w:topLinePunct w:val="0"/>
        <w:autoSpaceDE/>
        <w:autoSpaceDN/>
        <w:bidi w:val="0"/>
        <w:adjustRightInd/>
        <w:snapToGrid/>
        <w:spacing w:line="54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工作建议清单</w:t>
      </w:r>
    </w:p>
    <w:p>
      <w:pPr>
        <w:keepNext w:val="0"/>
        <w:keepLines w:val="0"/>
        <w:pageBreakBefore w:val="0"/>
        <w:widowControl w:val="0"/>
        <w:numPr>
          <w:ilvl w:val="0"/>
          <w:numId w:val="3"/>
        </w:numPr>
        <w:kinsoku/>
        <w:wordWrap/>
        <w:overflowPunct/>
        <w:topLinePunct w:val="0"/>
        <w:autoSpaceDE/>
        <w:autoSpaceDN/>
        <w:bidi w:val="0"/>
        <w:adjustRightInd/>
        <w:snapToGrid/>
        <w:spacing w:line="54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经验做法清单。</w:t>
      </w:r>
    </w:p>
    <w:p>
      <w:pPr>
        <w:pStyle w:val="2"/>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                                   南开区应急管理局</w:t>
      </w:r>
    </w:p>
    <w:p>
      <w:pPr>
        <w:keepNext w:val="0"/>
        <w:keepLines w:val="0"/>
        <w:pageBreakBefore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2021年10月20日</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附件1：</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问题清单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天津凯拓广告有限公司存在安全生产管理人员偏少，并且专业能力偏低的问题。</w:t>
      </w:r>
    </w:p>
    <w:p>
      <w:pP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br w:type="page"/>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工作建议清单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津凯拓广告有限公司，要适当增加安全管理人员的数量，加大对安全管理人员的教育培训力度，提高安全管理人员的业务能力；要根据公司实际和施工现场情况完善生产安全事故隐患排查治理制度，加大对作业现场安全检查频次，如实全面记录隐患情况并及时向从业人员通报。</w:t>
      </w:r>
    </w:p>
    <w:p>
      <w:pP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br w:type="page"/>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经验做法清单</w:t>
      </w:r>
    </w:p>
    <w:p>
      <w:pPr>
        <w:jc w:val="center"/>
        <w:rPr>
          <w:rFonts w:hint="eastAsia" w:asciiTheme="majorEastAsia" w:hAnsiTheme="majorEastAsia" w:eastAsiaTheme="majorEastAsia" w:cstheme="major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天津凯拓广告有限公司暂无经验做法。</w:t>
      </w:r>
    </w:p>
    <w:p>
      <w:pPr>
        <w:jc w:val="both"/>
        <w:rPr>
          <w:rFonts w:hint="eastAsia" w:asciiTheme="majorEastAsia" w:hAnsiTheme="majorEastAsia" w:eastAsiaTheme="majorEastAsia" w:cstheme="majorEastAsia"/>
          <w:b/>
          <w:bCs/>
          <w:sz w:val="44"/>
          <w:szCs w:val="44"/>
          <w:lang w:val="en-US" w:eastAsia="zh-CN"/>
        </w:rPr>
      </w:pPr>
    </w:p>
    <w:sectPr>
      <w:pgSz w:w="11906" w:h="16838"/>
      <w:pgMar w:top="1440" w:right="1474" w:bottom="1440"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方正小标宋_GBK">
    <w:panose1 w:val="03000502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00"/>
    <w:family w:val="auto"/>
    <w:pitch w:val="default"/>
    <w:sig w:usb0="00000000" w:usb1="00000000"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73F60"/>
    <w:multiLevelType w:val="singleLevel"/>
    <w:tmpl w:val="97973F60"/>
    <w:lvl w:ilvl="0" w:tentative="0">
      <w:start w:val="1"/>
      <w:numFmt w:val="chineseCounting"/>
      <w:suff w:val="nothing"/>
      <w:lvlText w:val="（%1）"/>
      <w:lvlJc w:val="left"/>
      <w:rPr>
        <w:rFonts w:hint="eastAsia"/>
      </w:rPr>
    </w:lvl>
  </w:abstractNum>
  <w:abstractNum w:abstractNumId="1">
    <w:nsid w:val="EEB67085"/>
    <w:multiLevelType w:val="singleLevel"/>
    <w:tmpl w:val="EEB67085"/>
    <w:lvl w:ilvl="0" w:tentative="0">
      <w:start w:val="1"/>
      <w:numFmt w:val="decimal"/>
      <w:suff w:val="nothing"/>
      <w:lvlText w:val="%1、"/>
      <w:lvlJc w:val="left"/>
    </w:lvl>
  </w:abstractNum>
  <w:abstractNum w:abstractNumId="2">
    <w:nsid w:val="00CC7F9A"/>
    <w:multiLevelType w:val="singleLevel"/>
    <w:tmpl w:val="00CC7F9A"/>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0FA"/>
    <w:rsid w:val="00206181"/>
    <w:rsid w:val="00271C4E"/>
    <w:rsid w:val="002E694A"/>
    <w:rsid w:val="00310517"/>
    <w:rsid w:val="004C4159"/>
    <w:rsid w:val="0052487C"/>
    <w:rsid w:val="007166CB"/>
    <w:rsid w:val="009231BB"/>
    <w:rsid w:val="009A7EDA"/>
    <w:rsid w:val="009D16D0"/>
    <w:rsid w:val="00A467BB"/>
    <w:rsid w:val="00B75DC8"/>
    <w:rsid w:val="00C76974"/>
    <w:rsid w:val="00C8546A"/>
    <w:rsid w:val="00E100FA"/>
    <w:rsid w:val="016A2BE2"/>
    <w:rsid w:val="025F0EF0"/>
    <w:rsid w:val="11AA58A9"/>
    <w:rsid w:val="143878E0"/>
    <w:rsid w:val="1F7F6FF5"/>
    <w:rsid w:val="22B66B29"/>
    <w:rsid w:val="230949CD"/>
    <w:rsid w:val="23C25DED"/>
    <w:rsid w:val="26A210A4"/>
    <w:rsid w:val="282474EE"/>
    <w:rsid w:val="2A7541EC"/>
    <w:rsid w:val="2BEF8A0B"/>
    <w:rsid w:val="2DBF706D"/>
    <w:rsid w:val="2DDDB74C"/>
    <w:rsid w:val="2F3D3386"/>
    <w:rsid w:val="2F86042C"/>
    <w:rsid w:val="30035ECE"/>
    <w:rsid w:val="31FE5790"/>
    <w:rsid w:val="376E024E"/>
    <w:rsid w:val="37DBE1B1"/>
    <w:rsid w:val="394B5222"/>
    <w:rsid w:val="3BB00C3C"/>
    <w:rsid w:val="3BB17B73"/>
    <w:rsid w:val="3DCECDEC"/>
    <w:rsid w:val="3DFB4275"/>
    <w:rsid w:val="428F39AF"/>
    <w:rsid w:val="473350ED"/>
    <w:rsid w:val="477430E5"/>
    <w:rsid w:val="48FC5373"/>
    <w:rsid w:val="494F7E6B"/>
    <w:rsid w:val="49D2116C"/>
    <w:rsid w:val="4C206113"/>
    <w:rsid w:val="4D8C382E"/>
    <w:rsid w:val="50A72E74"/>
    <w:rsid w:val="50E6758D"/>
    <w:rsid w:val="50F17F12"/>
    <w:rsid w:val="558D350E"/>
    <w:rsid w:val="55C56EE5"/>
    <w:rsid w:val="56F58208"/>
    <w:rsid w:val="5C46053E"/>
    <w:rsid w:val="60CB2C29"/>
    <w:rsid w:val="65084B45"/>
    <w:rsid w:val="67DB3A94"/>
    <w:rsid w:val="67FFD5D9"/>
    <w:rsid w:val="6A1C1980"/>
    <w:rsid w:val="6BEB2140"/>
    <w:rsid w:val="6E377167"/>
    <w:rsid w:val="6E7D49F9"/>
    <w:rsid w:val="6EE817DA"/>
    <w:rsid w:val="6F27B311"/>
    <w:rsid w:val="72F8937C"/>
    <w:rsid w:val="757E24B3"/>
    <w:rsid w:val="760274C5"/>
    <w:rsid w:val="77DFD2D3"/>
    <w:rsid w:val="78EC6C13"/>
    <w:rsid w:val="7A6D8E9D"/>
    <w:rsid w:val="7BFF045E"/>
    <w:rsid w:val="7C7653BB"/>
    <w:rsid w:val="7EE7985E"/>
    <w:rsid w:val="7FBB786E"/>
    <w:rsid w:val="7FBFFFE2"/>
    <w:rsid w:val="7FF30502"/>
    <w:rsid w:val="7FFA2B6B"/>
    <w:rsid w:val="9CBDAAB4"/>
    <w:rsid w:val="A74F1B04"/>
    <w:rsid w:val="A76F2547"/>
    <w:rsid w:val="A7B37949"/>
    <w:rsid w:val="B6EE3106"/>
    <w:rsid w:val="B6F8EB20"/>
    <w:rsid w:val="BB55E35C"/>
    <w:rsid w:val="BD956B81"/>
    <w:rsid w:val="C6F73098"/>
    <w:rsid w:val="D5FFC8C4"/>
    <w:rsid w:val="DF7FD037"/>
    <w:rsid w:val="EBAB6EB3"/>
    <w:rsid w:val="EED372A0"/>
    <w:rsid w:val="EFDD9B2F"/>
    <w:rsid w:val="F6DFA351"/>
    <w:rsid w:val="F7DF2383"/>
    <w:rsid w:val="FDF7439A"/>
    <w:rsid w:val="FDFF3BE7"/>
    <w:rsid w:val="FF6B8A25"/>
    <w:rsid w:val="FFB7DC37"/>
    <w:rsid w:val="FFFC3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600" w:lineRule="exact"/>
      <w:jc w:val="center"/>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3"/>
    <w:qFormat/>
    <w:uiPriority w:val="9"/>
    <w:pPr>
      <w:keepNext/>
      <w:keepLines/>
      <w:spacing w:before="340" w:after="330" w:line="200" w:lineRule="exact"/>
      <w:outlineLvl w:val="0"/>
    </w:pPr>
    <w:rPr>
      <w:rFonts w:ascii="仿宋_GB2312" w:eastAsia="宋体"/>
      <w:b/>
      <w:bCs/>
      <w:kern w:val="44"/>
      <w:sz w:val="24"/>
    </w:rPr>
  </w:style>
  <w:style w:type="paragraph" w:styleId="4">
    <w:name w:val="heading 2"/>
    <w:basedOn w:val="1"/>
    <w:next w:val="1"/>
    <w:link w:val="14"/>
    <w:unhideWhenUsed/>
    <w:qFormat/>
    <w:uiPriority w:val="9"/>
    <w:pPr>
      <w:keepNext/>
      <w:keepLines/>
      <w:spacing w:before="260" w:after="260" w:line="200" w:lineRule="exact"/>
      <w:outlineLvl w:val="1"/>
    </w:pPr>
    <w:rPr>
      <w:rFonts w:eastAsia="宋体" w:asciiTheme="majorHAnsi" w:hAnsiTheme="majorHAnsi" w:cstheme="majorBidi"/>
      <w:bCs/>
    </w:rPr>
  </w:style>
  <w:style w:type="paragraph" w:styleId="5">
    <w:name w:val="heading 3"/>
    <w:basedOn w:val="1"/>
    <w:next w:val="1"/>
    <w:link w:val="15"/>
    <w:unhideWhenUsed/>
    <w:qFormat/>
    <w:uiPriority w:val="9"/>
    <w:pPr>
      <w:keepNext/>
      <w:keepLines/>
      <w:spacing w:before="260" w:after="260" w:line="200" w:lineRule="exact"/>
      <w:outlineLvl w:val="2"/>
    </w:pPr>
    <w:rPr>
      <w:rFonts w:eastAsia="宋体"/>
      <w:bC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next w:val="1"/>
    <w:qFormat/>
    <w:uiPriority w:val="99"/>
    <w:pPr>
      <w:ind w:firstLine="200"/>
      <w:jc w:val="left"/>
    </w:pPr>
    <w:rPr>
      <w:rFonts w:eastAsia="仿宋_GB2312"/>
    </w:rPr>
  </w:style>
  <w:style w:type="paragraph" w:styleId="6">
    <w:name w:val="Body Text Indent"/>
    <w:basedOn w:val="1"/>
    <w:link w:val="16"/>
    <w:semiHidden/>
    <w:unhideWhenUsed/>
    <w:qFormat/>
    <w:uiPriority w:val="99"/>
    <w:pPr>
      <w:spacing w:after="120"/>
      <w:ind w:left="420" w:leftChars="200"/>
    </w:pPr>
  </w:style>
  <w:style w:type="paragraph" w:styleId="7">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8">
    <w:name w:val="Body Text First Indent 2"/>
    <w:basedOn w:val="1"/>
    <w:link w:val="17"/>
    <w:unhideWhenUsed/>
    <w:qFormat/>
    <w:uiPriority w:val="0"/>
    <w:pPr>
      <w:widowControl w:val="0"/>
      <w:spacing w:line="240" w:lineRule="auto"/>
      <w:ind w:firstLine="420" w:firstLineChars="200"/>
      <w:jc w:val="both"/>
    </w:pPr>
    <w:rPr>
      <w:rFonts w:ascii="Calibri" w:hAnsi="Calibri" w:eastAsia="宋体" w:cs="Calibri"/>
      <w:szCs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customStyle="1" w:styleId="13">
    <w:name w:val="标题 1 Char"/>
    <w:basedOn w:val="11"/>
    <w:link w:val="3"/>
    <w:qFormat/>
    <w:uiPriority w:val="9"/>
    <w:rPr>
      <w:rFonts w:ascii="仿宋_GB2312" w:eastAsia="宋体"/>
      <w:b/>
      <w:bCs/>
      <w:kern w:val="44"/>
      <w:sz w:val="24"/>
    </w:rPr>
  </w:style>
  <w:style w:type="character" w:customStyle="1" w:styleId="14">
    <w:name w:val="标题 2 Char"/>
    <w:basedOn w:val="11"/>
    <w:link w:val="4"/>
    <w:qFormat/>
    <w:uiPriority w:val="9"/>
    <w:rPr>
      <w:rFonts w:eastAsia="宋体" w:asciiTheme="majorHAnsi" w:hAnsiTheme="majorHAnsi" w:cstheme="majorBidi"/>
      <w:bCs/>
    </w:rPr>
  </w:style>
  <w:style w:type="character" w:customStyle="1" w:styleId="15">
    <w:name w:val="标题 3 Char"/>
    <w:basedOn w:val="11"/>
    <w:link w:val="5"/>
    <w:qFormat/>
    <w:uiPriority w:val="9"/>
    <w:rPr>
      <w:rFonts w:eastAsia="宋体"/>
      <w:bCs/>
    </w:rPr>
  </w:style>
  <w:style w:type="character" w:customStyle="1" w:styleId="16">
    <w:name w:val="正文文本缩进 Char"/>
    <w:basedOn w:val="11"/>
    <w:link w:val="6"/>
    <w:semiHidden/>
    <w:qFormat/>
    <w:uiPriority w:val="99"/>
  </w:style>
  <w:style w:type="character" w:customStyle="1" w:styleId="17">
    <w:name w:val="正文首行缩进 2 Char"/>
    <w:basedOn w:val="16"/>
    <w:link w:val="8"/>
    <w:qFormat/>
    <w:uiPriority w:val="0"/>
    <w:rPr>
      <w:rFonts w:ascii="Calibri" w:hAnsi="Calibri" w:eastAsia="宋体" w:cs="Calibri"/>
      <w:szCs w:val="24"/>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Words>
  <Characters>439</Characters>
  <Lines>3</Lines>
  <Paragraphs>1</Paragraphs>
  <TotalTime>5</TotalTime>
  <ScaleCrop>false</ScaleCrop>
  <LinksUpToDate>false</LinksUpToDate>
  <CharactersWithSpaces>515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2020-06-20T16:18:00Z</dcterms:created>
  <dc:creator>高正斌</dc:creator>
  <cp:lastModifiedBy>kylin</cp:lastModifiedBy>
  <cp:lastPrinted>2021-08-02T17:09:00Z</cp:lastPrinted>
  <dcterms:modified xsi:type="dcterms:W3CDTF">2022-04-19T10:28:17Z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49068792C32F4D848D48D5B9934743AD</vt:lpwstr>
  </property>
</Properties>
</file>