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5A592B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after="0"/>
        <w:ind w:left="0" w:leftChars="0"/>
        <w:textAlignment w:val="auto"/>
        <w:rPr>
          <w:rFonts w:hint="default"/>
          <w:lang w:val="en-US" w:eastAsia="zh-CN"/>
        </w:rPr>
      </w:pPr>
    </w:p>
    <w:p w14:paraId="5D292A37">
      <w:pPr>
        <w:pStyle w:val="4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after="0" w:line="560" w:lineRule="exact"/>
        <w:ind w:left="0" w:leftChars="0" w:firstLine="0" w:firstLineChars="0"/>
        <w:jc w:val="center"/>
        <w:textAlignment w:val="auto"/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</w:pPr>
      <w:bookmarkStart w:id="59" w:name="_GoBack"/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米东南路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春和龙畔（一期）建设项目</w:t>
      </w:r>
    </w:p>
    <w:p w14:paraId="13ED047A">
      <w:pPr>
        <w:pStyle w:val="4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after="0"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“7·17”一般场内车辆致害事故</w:t>
      </w:r>
    </w:p>
    <w:p w14:paraId="2B470402">
      <w:pPr>
        <w:pStyle w:val="4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after="0"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u w:val="none"/>
          <w:lang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调查报告</w:t>
      </w:r>
    </w:p>
    <w:bookmarkEnd w:id="59"/>
    <w:p w14:paraId="31ABFE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left="2218" w:leftChars="608" w:right="0" w:rightChars="0" w:hanging="880" w:hangingChars="200"/>
        <w:jc w:val="both"/>
        <w:textAlignment w:val="auto"/>
        <w:outlineLvl w:val="9"/>
        <w:rPr>
          <w:rFonts w:hint="default" w:ascii="Times New Roman" w:hAnsi="Times New Roman" w:eastAsia="方正小标宋简体" w:cs="Times New Roman"/>
          <w:sz w:val="44"/>
          <w:szCs w:val="44"/>
          <w:u w:val="none"/>
          <w:lang w:eastAsia="zh-CN"/>
        </w:rPr>
      </w:pPr>
    </w:p>
    <w:p w14:paraId="7C06A26E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u w:val="none"/>
          <w:lang w:eastAsia="zh-CN"/>
        </w:rPr>
      </w:pPr>
    </w:p>
    <w:p w14:paraId="60F756FE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u w:val="none"/>
          <w:lang w:eastAsia="zh-CN"/>
        </w:rPr>
      </w:pPr>
    </w:p>
    <w:p w14:paraId="3D3D1E8B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u w:val="none"/>
          <w:lang w:eastAsia="zh-CN"/>
        </w:rPr>
      </w:pPr>
    </w:p>
    <w:p w14:paraId="7F8CC208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u w:val="none"/>
          <w:lang w:eastAsia="zh-CN"/>
        </w:rPr>
      </w:pPr>
    </w:p>
    <w:p w14:paraId="7D594D62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u w:val="none"/>
          <w:lang w:eastAsia="zh-CN"/>
        </w:rPr>
      </w:pPr>
    </w:p>
    <w:p w14:paraId="3619F9E6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u w:val="none"/>
          <w:lang w:eastAsia="zh-CN"/>
        </w:rPr>
      </w:pPr>
    </w:p>
    <w:p w14:paraId="49B088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6" w:lineRule="exact"/>
        <w:ind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黑体_GBK" w:cs="Times New Roman"/>
          <w:bCs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Cs/>
          <w:color w:val="auto"/>
          <w:sz w:val="32"/>
          <w:szCs w:val="32"/>
          <w:lang w:val="en-US" w:eastAsia="zh-CN"/>
        </w:rPr>
        <w:t>编制单位：乌鲁木齐市米东区</w:t>
      </w:r>
      <w:r>
        <w:rPr>
          <w:rFonts w:hint="eastAsia" w:eastAsia="方正黑体_GBK" w:cs="Times New Roman"/>
          <w:bCs/>
          <w:color w:val="auto"/>
          <w:sz w:val="32"/>
          <w:szCs w:val="32"/>
          <w:lang w:val="en-US" w:eastAsia="zh-CN"/>
        </w:rPr>
        <w:t>人民</w:t>
      </w:r>
      <w:r>
        <w:rPr>
          <w:rFonts w:hint="default" w:ascii="Times New Roman" w:hAnsi="Times New Roman" w:eastAsia="方正黑体_GBK" w:cs="Times New Roman"/>
          <w:bCs/>
          <w:color w:val="auto"/>
          <w:sz w:val="32"/>
          <w:szCs w:val="32"/>
          <w:lang w:val="en-US" w:eastAsia="zh-CN"/>
        </w:rPr>
        <w:t>政府事故调查组</w:t>
      </w:r>
    </w:p>
    <w:p w14:paraId="65CB9C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/>
        <w:ind w:firstLine="640" w:firstLineChars="200"/>
        <w:textAlignment w:val="auto"/>
        <w:rPr>
          <w:rFonts w:hint="default" w:ascii="Times New Roman" w:hAnsi="Times New Roman" w:eastAsia="方正黑体_GBK" w:cs="Times New Roman"/>
          <w:bCs/>
          <w:color w:val="auto"/>
          <w:sz w:val="32"/>
          <w:szCs w:val="32"/>
          <w:lang w:val="en-US" w:eastAsia="zh-CN"/>
        </w:rPr>
        <w:sectPr>
          <w:footerReference r:id="rId5" w:type="default"/>
          <w:pgSz w:w="11906" w:h="16838"/>
          <w:pgMar w:top="2098" w:right="1531" w:bottom="1984" w:left="1531" w:header="851" w:footer="992" w:gutter="0"/>
          <w:pgNumType w:fmt="decimal"/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方正黑体_GBK" w:cs="Times New Roman"/>
          <w:bCs/>
          <w:color w:val="auto"/>
          <w:sz w:val="32"/>
          <w:szCs w:val="32"/>
          <w:lang w:val="en-US" w:eastAsia="zh-CN"/>
        </w:rPr>
        <w:t>编制时间：2026年</w:t>
      </w:r>
      <w:r>
        <w:rPr>
          <w:rFonts w:hint="eastAsia" w:ascii="Times New Roman" w:hAnsi="Times New Roman" w:eastAsia="方正黑体_GBK" w:cs="Times New Roman"/>
          <w:bCs/>
          <w:color w:val="auto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方正黑体_GBK" w:cs="Times New Roman"/>
          <w:bCs/>
          <w:color w:val="auto"/>
          <w:sz w:val="32"/>
          <w:szCs w:val="32"/>
          <w:lang w:val="en-US" w:eastAsia="zh-CN"/>
        </w:rPr>
        <w:t>月</w:t>
      </w:r>
    </w:p>
    <w:p w14:paraId="0B6D4F4B"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目录</w:t>
      </w:r>
    </w:p>
    <w:p w14:paraId="3BA1B6B0"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41CAC25A">
      <w:pPr>
        <w:pStyle w:val="10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 w:val="0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 w:val="0"/>
          <w:bCs w:val="0"/>
          <w:sz w:val="20"/>
          <w:szCs w:val="20"/>
          <w:highlight w:val="none"/>
          <w:u w:val="none"/>
          <w:lang w:val="en-US" w:eastAsia="zh-CN"/>
        </w:rPr>
        <w:instrText xml:space="preserve">TOC \o "1-3" \h \u </w:instrText>
      </w:r>
      <w:r>
        <w:rPr>
          <w:rFonts w:hint="default" w:ascii="Times New Roman" w:hAnsi="Times New Roman" w:eastAsia="方正楷体_GBK" w:cs="Times New Roman"/>
          <w:b w:val="0"/>
          <w:bCs w:val="0"/>
          <w:sz w:val="20"/>
          <w:szCs w:val="20"/>
          <w:highlight w:val="none"/>
          <w:u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黑体_GBK" w:cs="Times New Roman"/>
          <w:bCs/>
          <w:kern w:val="0"/>
          <w:sz w:val="20"/>
          <w:szCs w:val="20"/>
          <w:lang w:val="en-US" w:eastAsia="zh-CN"/>
        </w:rPr>
        <w:fldChar w:fldCharType="begin"/>
      </w:r>
      <w:r>
        <w:rPr>
          <w:rFonts w:hint="default" w:ascii="Times New Roman" w:hAnsi="Times New Roman" w:eastAsia="方正黑体_GBK" w:cs="Times New Roman"/>
          <w:bCs/>
          <w:kern w:val="0"/>
          <w:sz w:val="20"/>
          <w:szCs w:val="20"/>
          <w:lang w:val="en-US" w:eastAsia="zh-CN"/>
        </w:rPr>
        <w:instrText xml:space="preserve"> HYPERLINK \l _Toc1715344420 </w:instrText>
      </w:r>
      <w:r>
        <w:rPr>
          <w:rFonts w:hint="default" w:ascii="Times New Roman" w:hAnsi="Times New Roman" w:eastAsia="方正黑体_GBK" w:cs="Times New Roman"/>
          <w:bCs/>
          <w:kern w:val="0"/>
          <w:sz w:val="20"/>
          <w:szCs w:val="20"/>
          <w:lang w:val="en-US" w:eastAsia="zh-CN"/>
        </w:rPr>
        <w:fldChar w:fldCharType="separate"/>
      </w:r>
      <w:r>
        <w:rPr>
          <w:rFonts w:hint="default" w:ascii="Times New Roman" w:hAnsi="Times New Roman" w:eastAsia="方正黑体_GBK" w:cs="Times New Roman"/>
          <w:bCs/>
          <w:kern w:val="0"/>
          <w:sz w:val="20"/>
          <w:szCs w:val="20"/>
        </w:rPr>
        <w:t>一、事故基本情况</w:t>
      </w:r>
      <w:r>
        <w:rPr>
          <w:rFonts w:hint="default" w:ascii="Times New Roman" w:hAnsi="Times New Roman" w:eastAsia="方正黑体_GBK" w:cs="Times New Roman"/>
          <w:bCs/>
          <w:kern w:val="0"/>
          <w:sz w:val="20"/>
          <w:szCs w:val="20"/>
        </w:rPr>
        <w:tab/>
      </w:r>
      <w:r>
        <w:rPr>
          <w:rFonts w:hint="default" w:ascii="Times New Roman" w:hAnsi="Times New Roman" w:eastAsia="方正黑体_GBK" w:cs="Times New Roman"/>
          <w:bCs/>
          <w:kern w:val="0"/>
          <w:sz w:val="20"/>
          <w:szCs w:val="20"/>
        </w:rPr>
        <w:fldChar w:fldCharType="begin"/>
      </w:r>
      <w:r>
        <w:rPr>
          <w:rFonts w:hint="default" w:ascii="Times New Roman" w:hAnsi="Times New Roman" w:eastAsia="方正黑体_GBK" w:cs="Times New Roman"/>
          <w:bCs/>
          <w:kern w:val="0"/>
          <w:sz w:val="20"/>
          <w:szCs w:val="20"/>
        </w:rPr>
        <w:instrText xml:space="preserve"> PAGEREF _Toc1715344420 \h </w:instrText>
      </w:r>
      <w:r>
        <w:rPr>
          <w:rFonts w:hint="default" w:ascii="Times New Roman" w:hAnsi="Times New Roman" w:eastAsia="方正黑体_GBK" w:cs="Times New Roman"/>
          <w:bCs/>
          <w:kern w:val="0"/>
          <w:sz w:val="20"/>
          <w:szCs w:val="20"/>
        </w:rPr>
        <w:fldChar w:fldCharType="separate"/>
      </w:r>
      <w:r>
        <w:rPr>
          <w:rFonts w:hint="default" w:ascii="Times New Roman" w:hAnsi="Times New Roman" w:eastAsia="方正黑体_GBK" w:cs="Times New Roman"/>
          <w:bCs/>
          <w:kern w:val="0"/>
          <w:sz w:val="20"/>
          <w:szCs w:val="20"/>
        </w:rPr>
        <w:t>5</w:t>
      </w:r>
      <w:r>
        <w:rPr>
          <w:rFonts w:hint="default" w:ascii="Times New Roman" w:hAnsi="Times New Roman" w:eastAsia="方正黑体_GBK" w:cs="Times New Roman"/>
          <w:bCs/>
          <w:kern w:val="0"/>
          <w:sz w:val="20"/>
          <w:szCs w:val="20"/>
        </w:rPr>
        <w:fldChar w:fldCharType="end"/>
      </w:r>
      <w:r>
        <w:rPr>
          <w:rFonts w:hint="default" w:ascii="Times New Roman" w:hAnsi="Times New Roman" w:eastAsia="方正黑体_GBK" w:cs="Times New Roman"/>
          <w:bCs/>
          <w:kern w:val="0"/>
          <w:sz w:val="20"/>
          <w:szCs w:val="20"/>
          <w:lang w:val="en-US" w:eastAsia="zh-CN"/>
        </w:rPr>
        <w:fldChar w:fldCharType="end"/>
      </w:r>
    </w:p>
    <w:p w14:paraId="1A1857CE">
      <w:pPr>
        <w:pStyle w:val="12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_Toc1809378454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楷体_GBK" w:cs="Times New Roman"/>
          <w:bCs/>
          <w:sz w:val="20"/>
          <w:szCs w:val="20"/>
        </w:rPr>
        <w:t>（一）事故发生单位及相关单位概况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_Toc1809378454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5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3EAF527C">
      <w:pPr>
        <w:pStyle w:val="12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_Toc1268092496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楷体_GBK" w:cs="Times New Roman"/>
          <w:bCs/>
          <w:sz w:val="20"/>
          <w:szCs w:val="20"/>
          <w:lang w:val="en-US" w:eastAsia="zh-CN"/>
        </w:rPr>
        <w:t>（二）事故车辆及驾驶员基本情况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_Toc1268092496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7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54187BBF">
      <w:pPr>
        <w:pStyle w:val="12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_Toc1401954153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楷体_GBK" w:cs="Times New Roman"/>
          <w:bCs/>
          <w:sz w:val="20"/>
          <w:szCs w:val="20"/>
          <w:lang w:val="en-US" w:eastAsia="zh-CN"/>
        </w:rPr>
        <w:t>（三）事故发生单位及相关单位安全管理（监管）情况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_Toc1401954153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8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1FF6E522">
      <w:pPr>
        <w:pStyle w:val="12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_Toc1661348173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楷体_GBK" w:cs="Times New Roman"/>
          <w:bCs/>
          <w:sz w:val="20"/>
          <w:szCs w:val="20"/>
          <w:lang w:val="en-US" w:eastAsia="zh-CN"/>
        </w:rPr>
        <w:t>（四）事故发生经过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_Toc1661348173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9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3E90A5C9">
      <w:pPr>
        <w:pStyle w:val="12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_Toc450057043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楷体_GBK" w:cs="Times New Roman"/>
          <w:bCs/>
          <w:sz w:val="20"/>
          <w:szCs w:val="20"/>
          <w:lang w:val="en-US" w:eastAsia="zh-CN"/>
        </w:rPr>
        <w:t>（五）事故现场情况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_Toc450057043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10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1ECD99BF">
      <w:pPr>
        <w:pStyle w:val="12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_Toc742097195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楷体_GBK" w:cs="Times New Roman"/>
          <w:bCs/>
          <w:sz w:val="20"/>
          <w:szCs w:val="20"/>
          <w:lang w:val="en-US" w:eastAsia="zh-CN"/>
        </w:rPr>
        <w:t>（六）人员伤亡和直接经济损失情况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_Toc742097195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11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43FE2BCA">
      <w:pPr>
        <w:pStyle w:val="10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_Toc1755490434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黑体_GBK" w:cs="Times New Roman"/>
          <w:bCs/>
          <w:kern w:val="0"/>
          <w:sz w:val="20"/>
          <w:szCs w:val="20"/>
          <w:lang w:val="en-US" w:eastAsia="zh-CN"/>
        </w:rPr>
        <w:t>二、事故应急救援和现场处置情况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_Toc1755490434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11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79606533">
      <w:pPr>
        <w:pStyle w:val="12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_Toc1476183395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楷体_GBK" w:cs="Times New Roman"/>
          <w:bCs/>
          <w:sz w:val="20"/>
          <w:szCs w:val="20"/>
          <w:lang w:val="en-US" w:eastAsia="zh-CN"/>
        </w:rPr>
        <w:t>（一）事故信息接报及响应情况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_Toc1476183395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11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48D5D576">
      <w:pPr>
        <w:pStyle w:val="12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_Toc1415496029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楷体_GBK" w:cs="Times New Roman"/>
          <w:bCs/>
          <w:sz w:val="20"/>
          <w:szCs w:val="20"/>
          <w:lang w:val="en-US" w:eastAsia="zh-CN"/>
        </w:rPr>
        <w:t>（二）事故现场应急处置情况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_Toc1415496029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11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0CAF0C68">
      <w:pPr>
        <w:pStyle w:val="12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_Toc1696352961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楷体_GBK" w:cs="Times New Roman"/>
          <w:bCs/>
          <w:sz w:val="20"/>
          <w:szCs w:val="20"/>
          <w:lang w:val="en-US" w:eastAsia="zh-CN"/>
        </w:rPr>
        <w:t>（三）医疗救治和善后情况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_Toc1696352961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11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34A4668F">
      <w:pPr>
        <w:pStyle w:val="12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_Toc1680529044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楷体_GBK" w:cs="Times New Roman"/>
          <w:bCs/>
          <w:sz w:val="20"/>
          <w:szCs w:val="20"/>
          <w:lang w:val="en-US" w:eastAsia="zh-CN"/>
        </w:rPr>
        <w:t>（四）事故应急处置评估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_Toc1680529044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12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7CB511AA">
      <w:pPr>
        <w:pStyle w:val="10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_Toc1911353636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黑体_GBK" w:cs="Times New Roman"/>
          <w:bCs/>
          <w:kern w:val="0"/>
          <w:sz w:val="20"/>
          <w:szCs w:val="20"/>
          <w:lang w:val="en-US" w:eastAsia="zh-CN"/>
        </w:rPr>
        <w:t>三、事故原因分析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_Toc1911353636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12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678908C7">
      <w:pPr>
        <w:pStyle w:val="10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_Toc237548336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黑体_GBK" w:cs="Times New Roman"/>
          <w:bCs/>
          <w:kern w:val="0"/>
          <w:sz w:val="20"/>
          <w:szCs w:val="20"/>
          <w:lang w:val="en-US" w:eastAsia="zh-CN"/>
        </w:rPr>
        <w:t>四、 有关责任单位存在的主要问题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_Toc237548336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12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222EF616">
      <w:pPr>
        <w:pStyle w:val="12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_Toc1848548928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  <w:lang w:val="en-US" w:eastAsia="zh-CN"/>
        </w:rPr>
        <w:t>（一）因在事故中死亡，免予追究责任人员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_Toc1848548928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12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416AD708">
      <w:pPr>
        <w:pStyle w:val="12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_Toc1265175902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  <w:lang w:val="en-US" w:eastAsia="zh-CN"/>
        </w:rPr>
        <w:t>（二）对事故相关单位的责任认定及处理建议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_Toc1265175902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12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3A05936A">
      <w:pPr>
        <w:pStyle w:val="12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_Toc888293030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  <w:lang w:val="en-US" w:eastAsia="zh-CN"/>
        </w:rPr>
        <w:t>（三） 对事故相关人员的责任认定及处理建议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_Toc888293030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13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6A8832C6">
      <w:pPr>
        <w:pStyle w:val="10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_Toc1548095623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黑体_GBK" w:cs="Times New Roman"/>
          <w:bCs/>
          <w:kern w:val="0"/>
          <w:sz w:val="20"/>
          <w:szCs w:val="20"/>
          <w:lang w:val="en-US" w:eastAsia="zh-CN"/>
        </w:rPr>
        <w:t>五、 事故主要教训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_Toc1548095623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13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6D592261">
      <w:pPr>
        <w:pStyle w:val="10"/>
        <w:keepNext w:val="0"/>
        <w:keepLines w:val="0"/>
        <w:pageBreakBefore w:val="0"/>
        <w:widowControl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spacing w:after="0" w:line="240" w:lineRule="auto"/>
        <w:ind w:left="0" w:leftChars="0"/>
        <w:textAlignment w:val="auto"/>
        <w:rPr>
          <w:rFonts w:hint="default" w:ascii="Times New Roman" w:hAnsi="Times New Roman" w:eastAsia="方正楷体_GBK" w:cs="Times New Roman"/>
          <w:sz w:val="20"/>
          <w:szCs w:val="20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begin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instrText xml:space="preserve"> HYPERLINK \l _Toc995266313 </w:instrText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lang w:val="en-US" w:eastAsia="zh-CN"/>
        </w:rPr>
        <w:fldChar w:fldCharType="separate"/>
      </w:r>
      <w:r>
        <w:rPr>
          <w:rFonts w:hint="default" w:ascii="Times New Roman" w:hAnsi="Times New Roman" w:eastAsia="方正黑体_GBK" w:cs="Times New Roman"/>
          <w:bCs/>
          <w:kern w:val="0"/>
          <w:sz w:val="20"/>
          <w:szCs w:val="20"/>
          <w:lang w:val="en-US" w:eastAsia="zh-CN"/>
        </w:rPr>
        <w:t>六、事故整改和防范措施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tab/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begin"/>
      </w:r>
      <w:r>
        <w:rPr>
          <w:rFonts w:hint="default" w:ascii="Times New Roman" w:hAnsi="Times New Roman" w:eastAsia="方正楷体_GBK" w:cs="Times New Roman"/>
          <w:sz w:val="20"/>
          <w:szCs w:val="20"/>
        </w:rPr>
        <w:instrText xml:space="preserve"> PAGEREF _Toc995266313 \h </w:instrTex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separate"/>
      </w:r>
      <w:r>
        <w:rPr>
          <w:rFonts w:hint="default" w:ascii="Times New Roman" w:hAnsi="Times New Roman" w:eastAsia="方正楷体_GBK" w:cs="Times New Roman"/>
          <w:sz w:val="20"/>
          <w:szCs w:val="20"/>
        </w:rPr>
        <w:t>14</w:t>
      </w:r>
      <w:r>
        <w:rPr>
          <w:rFonts w:hint="default" w:ascii="Times New Roman" w:hAnsi="Times New Roman" w:eastAsia="方正楷体_GBK" w:cs="Times New Roman"/>
          <w:sz w:val="20"/>
          <w:szCs w:val="20"/>
        </w:rPr>
        <w:fldChar w:fldCharType="end"/>
      </w: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57D828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/>
        <w:jc w:val="center"/>
        <w:textAlignment w:val="auto"/>
        <w:rPr>
          <w:rFonts w:hint="default" w:ascii="Times New Roman" w:hAnsi="Times New Roman" w:eastAsia="方正舒体" w:cs="Times New Roman"/>
          <w:bCs w:val="0"/>
          <w:sz w:val="22"/>
          <w:szCs w:val="44"/>
          <w:highlight w:val="none"/>
          <w:u w:val="none"/>
          <w:lang w:val="en-US" w:eastAsia="zh-CN" w:bidi="ar-SA"/>
        </w:rPr>
      </w:pPr>
      <w:r>
        <w:rPr>
          <w:rFonts w:hint="default" w:ascii="Times New Roman" w:hAnsi="Times New Roman" w:eastAsia="方正楷体_GBK" w:cs="Times New Roman"/>
          <w:bCs w:val="0"/>
          <w:sz w:val="20"/>
          <w:szCs w:val="20"/>
          <w:highlight w:val="none"/>
          <w:u w:val="none"/>
          <w:lang w:val="en-US" w:eastAsia="zh-CN"/>
        </w:rPr>
        <w:fldChar w:fldCharType="end"/>
      </w:r>
    </w:p>
    <w:p w14:paraId="07BF9A9D">
      <w:pPr>
        <w:pStyle w:val="13"/>
        <w:rPr>
          <w:rFonts w:hint="default"/>
          <w:lang w:val="en-US" w:eastAsia="zh-CN"/>
        </w:rPr>
      </w:pPr>
    </w:p>
    <w:p w14:paraId="613DA64D">
      <w:pPr>
        <w:pStyle w:val="13"/>
        <w:ind w:left="0" w:leftChars="0" w:firstLine="0" w:firstLineChars="0"/>
        <w:rPr>
          <w:rFonts w:hint="eastAsia"/>
          <w:lang w:val="en-US" w:eastAsia="zh-CN"/>
        </w:rPr>
      </w:pPr>
    </w:p>
    <w:p w14:paraId="004DA3C6">
      <w:pPr>
        <w:pStyle w:val="4"/>
        <w:rPr>
          <w:rFonts w:hint="eastAsia"/>
          <w:lang w:val="en-US" w:eastAsia="zh-CN"/>
        </w:rPr>
      </w:pPr>
    </w:p>
    <w:p w14:paraId="780578E1">
      <w:pPr>
        <w:pStyle w:val="2"/>
        <w:rPr>
          <w:rFonts w:hint="eastAsia"/>
          <w:lang w:val="en-US" w:eastAsia="zh-CN"/>
        </w:rPr>
      </w:pPr>
    </w:p>
    <w:p w14:paraId="5BBFD724">
      <w:pPr>
        <w:rPr>
          <w:rFonts w:hint="eastAsia"/>
          <w:lang w:val="en-US" w:eastAsia="zh-CN"/>
        </w:rPr>
      </w:pPr>
    </w:p>
    <w:p w14:paraId="0F0E644D">
      <w:pPr>
        <w:pStyle w:val="13"/>
        <w:rPr>
          <w:rFonts w:hint="eastAsia"/>
          <w:lang w:val="en-US" w:eastAsia="zh-CN"/>
        </w:rPr>
      </w:pPr>
    </w:p>
    <w:p w14:paraId="007F3B40">
      <w:pPr>
        <w:pStyle w:val="4"/>
        <w:rPr>
          <w:rFonts w:hint="eastAsia"/>
          <w:lang w:val="en-US" w:eastAsia="zh-CN"/>
        </w:rPr>
      </w:pPr>
    </w:p>
    <w:p w14:paraId="7BFFE01C">
      <w:pPr>
        <w:pStyle w:val="2"/>
        <w:rPr>
          <w:rFonts w:hint="eastAsia"/>
          <w:lang w:val="en-US" w:eastAsia="zh-CN"/>
        </w:rPr>
      </w:pPr>
    </w:p>
    <w:p w14:paraId="68509F24">
      <w:pPr>
        <w:rPr>
          <w:rFonts w:hint="eastAsia"/>
          <w:lang w:val="en-US" w:eastAsia="zh-CN"/>
        </w:rPr>
      </w:pPr>
    </w:p>
    <w:p w14:paraId="3B3A3CE1">
      <w:pPr>
        <w:pStyle w:val="13"/>
        <w:rPr>
          <w:rFonts w:hint="eastAsia"/>
          <w:lang w:val="en-US" w:eastAsia="zh-CN"/>
        </w:rPr>
      </w:pPr>
    </w:p>
    <w:p w14:paraId="06B7E842">
      <w:pPr>
        <w:pStyle w:val="4"/>
        <w:rPr>
          <w:rFonts w:hint="eastAsia"/>
          <w:lang w:val="en-US" w:eastAsia="zh-CN"/>
        </w:rPr>
      </w:pPr>
    </w:p>
    <w:p w14:paraId="340A56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sectPr>
          <w:footerReference r:id="rId6" w:type="default"/>
          <w:pgSz w:w="11906" w:h="16838"/>
          <w:pgMar w:top="2098" w:right="1559" w:bottom="1984" w:left="1559" w:header="851" w:footer="992" w:gutter="0"/>
          <w:pgNumType w:fmt="decimal"/>
          <w:cols w:space="425" w:num="1"/>
          <w:docGrid w:type="lines" w:linePitch="312" w:charSpace="0"/>
        </w:sectPr>
      </w:pPr>
    </w:p>
    <w:p w14:paraId="3E8D8A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2026年7月17日下午14时43分，位于米东区会展大道7166号春和龙畔（一期）建设项目施工工地门口处发生一起亡人事故，造成1人死亡</w:t>
      </w: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。</w:t>
      </w:r>
    </w:p>
    <w:p w14:paraId="482073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依据《中华人民共和国安全生产法》《生产安全事故报告和调查处理条例》的规定，成立了由</w:t>
      </w:r>
      <w:r>
        <w:rPr>
          <w:rFonts w:hint="default" w:ascii="Times New Roman" w:hAnsi="Times New Roman" w:eastAsia="方正仿宋_GBK" w:cs="Times New Roman"/>
          <w:bCs/>
          <w:sz w:val="32"/>
          <w:szCs w:val="32"/>
          <w:lang w:val="en-US" w:eastAsia="zh-CN"/>
        </w:rPr>
        <w:t>区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应急管理局</w:t>
      </w:r>
      <w:r>
        <w:rPr>
          <w:rFonts w:hint="eastAsia" w:ascii="Times New Roman" w:hAnsi="Times New Roman" w:eastAsia="方正仿宋_GBK" w:cs="Times New Roman"/>
          <w:bCs/>
          <w:sz w:val="32"/>
          <w:szCs w:val="32"/>
          <w:lang w:val="en-US" w:eastAsia="zh-CN"/>
        </w:rPr>
        <w:t>、区建设局、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区司法局、区人社局、市公安局米东</w:t>
      </w:r>
      <w:r>
        <w:rPr>
          <w:rFonts w:hint="default" w:ascii="Times New Roman" w:hAnsi="Times New Roman" w:eastAsia="方正仿宋_GBK" w:cs="Times New Roman"/>
          <w:bCs/>
          <w:sz w:val="32"/>
          <w:szCs w:val="32"/>
          <w:lang w:val="en-US" w:eastAsia="zh-CN"/>
        </w:rPr>
        <w:t>区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分局</w:t>
      </w:r>
      <w:r>
        <w:rPr>
          <w:rFonts w:hint="default" w:ascii="Times New Roman" w:hAnsi="Times New Roman" w:eastAsia="方正仿宋_GBK" w:cs="Times New Roman"/>
          <w:bCs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区总工会</w:t>
      </w:r>
      <w:r>
        <w:rPr>
          <w:rFonts w:hint="default" w:ascii="Times New Roman" w:hAnsi="Times New Roman" w:eastAsia="方正仿宋_GBK" w:cs="Times New Roman"/>
          <w:bCs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方正仿宋_GBK" w:cs="Times New Roman"/>
          <w:bCs/>
          <w:sz w:val="32"/>
          <w:szCs w:val="32"/>
          <w:highlight w:val="none"/>
          <w:lang w:eastAsia="zh-CN"/>
        </w:rPr>
        <w:t>南路</w:t>
      </w:r>
      <w:r>
        <w:rPr>
          <w:rFonts w:hint="eastAsia" w:ascii="Times New Roman" w:hAnsi="Times New Roman" w:eastAsia="方正仿宋_GBK" w:cs="Times New Roman"/>
          <w:bCs/>
          <w:sz w:val="32"/>
          <w:szCs w:val="32"/>
          <w:highlight w:val="none"/>
          <w:lang w:val="en-US" w:eastAsia="zh-CN"/>
        </w:rPr>
        <w:t>街道办事处</w:t>
      </w:r>
      <w:r>
        <w:rPr>
          <w:rFonts w:hint="default" w:ascii="Times New Roman" w:hAnsi="Times New Roman" w:eastAsia="方正仿宋_GBK" w:cs="Times New Roman"/>
          <w:bCs/>
          <w:sz w:val="32"/>
          <w:szCs w:val="32"/>
          <w:highlight w:val="none"/>
        </w:rPr>
        <w:t>等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为成员单位的事故调查组，邀请区纪委监委</w:t>
      </w:r>
      <w:r>
        <w:rPr>
          <w:rFonts w:hint="default" w:ascii="Times New Roman" w:hAnsi="Times New Roman" w:eastAsia="方正仿宋_GBK" w:cs="Times New Roman"/>
          <w:bCs/>
          <w:sz w:val="32"/>
          <w:szCs w:val="32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区人民检察院</w:t>
      </w:r>
      <w:r>
        <w:rPr>
          <w:rFonts w:hint="default" w:ascii="Times New Roman" w:hAnsi="Times New Roman" w:eastAsia="方正仿宋_GBK" w:cs="Times New Roman"/>
          <w:bCs/>
          <w:sz w:val="32"/>
          <w:szCs w:val="32"/>
          <w:lang w:val="en-US" w:eastAsia="zh-CN"/>
        </w:rPr>
        <w:t>参加</w:t>
      </w: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此次事故调查。</w:t>
      </w:r>
    </w:p>
    <w:p w14:paraId="47DFDE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事故调查组按照“四不放过”和“科学严谨、依法依规、实事求是、注重实效”的原则，通过现场勘查、调查取证和科学分析，查明了事故发生的经过、原因，认定了事故性质和责任，提出了对有关责任人员和责任单位的处理建议和事故防范整改措施。</w:t>
      </w:r>
    </w:p>
    <w:p w14:paraId="5D3BF9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color w:val="FF000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>经调查认定，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</w:rPr>
        <w:t>该事故是一起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eastAsia="zh-CN"/>
        </w:rPr>
        <w:t>作业人员进入车道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未观察周边环境，被商砼运输车撞倒致其死亡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的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</w:rPr>
        <w:t>一般生产安全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责任</w:t>
      </w:r>
      <w:r>
        <w:rPr>
          <w:rFonts w:hint="default" w:ascii="Times New Roman" w:hAnsi="Times New Roman" w:eastAsia="方正仿宋_GBK" w:cs="Times New Roman"/>
          <w:bCs/>
          <w:color w:val="auto"/>
          <w:sz w:val="32"/>
          <w:szCs w:val="32"/>
        </w:rPr>
        <w:t>事故。</w:t>
      </w:r>
    </w:p>
    <w:p w14:paraId="5D5F98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outlineLvl w:val="0"/>
        <w:rPr>
          <w:rFonts w:hint="default" w:ascii="Times New Roman" w:hAnsi="Times New Roman" w:eastAsia="黑体" w:cs="Times New Roman"/>
          <w:bCs/>
          <w:kern w:val="0"/>
          <w:sz w:val="32"/>
          <w:szCs w:val="32"/>
        </w:rPr>
      </w:pPr>
      <w:bookmarkStart w:id="0" w:name="_Toc1715344420"/>
      <w:bookmarkStart w:id="1" w:name="_Toc14445"/>
      <w:bookmarkStart w:id="2" w:name="_Toc6566"/>
      <w:r>
        <w:rPr>
          <w:rFonts w:hint="default" w:ascii="Times New Roman" w:hAnsi="Times New Roman" w:eastAsia="黑体" w:cs="Times New Roman"/>
          <w:bCs/>
          <w:kern w:val="0"/>
          <w:sz w:val="32"/>
          <w:szCs w:val="32"/>
        </w:rPr>
        <w:t>一、事故基本情况</w:t>
      </w:r>
      <w:bookmarkEnd w:id="0"/>
      <w:bookmarkEnd w:id="1"/>
      <w:bookmarkEnd w:id="2"/>
    </w:p>
    <w:p w14:paraId="31D32B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outlineLvl w:val="1"/>
        <w:rPr>
          <w:rFonts w:hint="default" w:ascii="Times New Roman" w:hAnsi="Times New Roman" w:eastAsia="楷体_GB2312" w:cs="Times New Roman"/>
          <w:bCs/>
          <w:sz w:val="32"/>
          <w:szCs w:val="32"/>
        </w:rPr>
      </w:pPr>
      <w:bookmarkStart w:id="3" w:name="_Toc30322"/>
      <w:bookmarkStart w:id="4" w:name="_Toc3465"/>
      <w:bookmarkStart w:id="5" w:name="_Toc1809378454"/>
      <w:r>
        <w:rPr>
          <w:rFonts w:hint="default" w:ascii="Times New Roman" w:hAnsi="Times New Roman" w:eastAsia="楷体_GB2312" w:cs="Times New Roman"/>
          <w:bCs/>
          <w:sz w:val="32"/>
          <w:szCs w:val="32"/>
        </w:rPr>
        <w:t>（一）事故发生单位及相关单位</w:t>
      </w:r>
      <w:bookmarkEnd w:id="3"/>
      <w:r>
        <w:rPr>
          <w:rFonts w:hint="default" w:ascii="Times New Roman" w:hAnsi="Times New Roman" w:eastAsia="楷体_GB2312" w:cs="Times New Roman"/>
          <w:bCs/>
          <w:sz w:val="32"/>
          <w:szCs w:val="32"/>
        </w:rPr>
        <w:t>概况</w:t>
      </w:r>
      <w:bookmarkEnd w:id="4"/>
      <w:bookmarkEnd w:id="5"/>
    </w:p>
    <w:p w14:paraId="7759F2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bookmarkStart w:id="6" w:name="_Toc7181"/>
      <w:bookmarkStart w:id="7" w:name="_Toc21974"/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事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故发生单位：新疆雁池联众新型建材有限公司，成立2021年09月15日，地址新疆乌鲁木齐市米东区盛达西路规划北巷317号，许可项目:道路货物运输（不含危险货物）:道路危险货物运输。（依法须经批准的项目，经相关部门批准后方可开展经营活动，具体经营项目以相关部门批准文件或许可证件为准）一般项目:建筑砌块制造；建筑砌块销售:石棉水泥制品制造:水泥制品制造:水泥制品销售:石棉水泥制品销售:砼结构构件制造:砼结构构件销售:非金属矿物制品制造:轻质建筑材料制造:轻质建筑材料销售:建筑材料销售；建筑材料生产专用机械制造:建筑用钢筋产品销售:钢压延加工；机械设备租赁:建筑工程机械与设备租赁；仓储设备租赁服务；特种设备出租；建筑用金属配件制造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:建筑用金属配件销售。（除依法须经批准的项目外，凭营业执照依法自主开展经营活动）。</w:t>
      </w:r>
    </w:p>
    <w:p w14:paraId="3BFC41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施工单位：浙江晟奥建设有限公司，成立日期：2021年3月15日，注册地址：浙江省台州市温岭市温峤镇中心大道1025号（2楼西南面第一间），经营范围：许可项目:房屋建筑和市政基础设施项目工程总承包；房地产开发经营；各类工程建设活动；消防设施工程施工；建设工程设计；建筑智能化工程施工（依法须经批准的项目，经相关部门批准后方可开展经营活动，具体经营项目以审批结果为准）。一般项目:园林绿化工程施工；土石方工程施工（除依法须经批准的项目外，凭营业执照依法自主开展经营活动）。</w:t>
      </w:r>
    </w:p>
    <w:p w14:paraId="28F011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建设单位：乌鲁木齐晶鼎房地产开发有限公司，成立日期：2021年4月22日，注册地址：新疆乌鲁木齐市米东区府前中路1138号米东国际大酒店16楼1616室，经营范围：承接总公司工程建设业务，房地产开发经营，物业管理，土地使用权租赁，柜台摊位出租，住房租赁，非居住房地产租赁，（依法需经批准的项目，经相关部门批准后方可开展经营活动）。</w:t>
      </w:r>
    </w:p>
    <w:p w14:paraId="650597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监理单位：新疆振华安泰工程项目管理有限公司，成立日期：2017年12月14日，注册地址：新疆乌鲁木齐市米东区稻香北路西二渠南三巷2号，经营范围：许可项目:安全评价业务；建设工程质量检测；公路工程监理；建设工程监理；水利工程建设监理；水运工程监理；文物保护工程监理；地质灾害治理工程监理；建设工程施工；文物保护工程施工；住宅室内装饰装修；建筑劳务分包。（依法须经批准的项目，经相关部门批准后方可开展经营活动，具体经营项目以相关部门批准文件或许可证件为准）般项目:工程管理服务:物业管理；单建式人防工程监理；信息技术咨询服务；工程造价咨询业务；融资咨询服务；招投标代理服务；土石方工程施工；园林绿化工程施工；市政设施管理；消防技术服务；建设工程消防验收现场评定技术服务；劳务服务（不含劳务派遣）:房屋拆迁服务:建筑工程机械与设备租赁:城市绿化管理；住房租赁；防洪除涝设施管理；安全技术防范系统设计施工服务；社会稳定风险评估。（除依法须经批准的项目外，凭营业执照依法自主开展经营活动）。</w:t>
      </w:r>
    </w:p>
    <w:p w14:paraId="676438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outlineLvl w:val="1"/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</w:pPr>
      <w:bookmarkStart w:id="8" w:name="_Toc1268092496"/>
      <w:r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楷体_GB2312" w:cs="Times New Roman"/>
          <w:bCs/>
          <w:sz w:val="32"/>
          <w:szCs w:val="32"/>
          <w:lang w:val="en-US" w:eastAsia="zh-CN"/>
        </w:rPr>
        <w:t>二</w:t>
      </w:r>
      <w:r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  <w:t>）事故</w:t>
      </w:r>
      <w:r>
        <w:rPr>
          <w:rFonts w:hint="eastAsia" w:ascii="Times New Roman" w:hAnsi="Times New Roman" w:eastAsia="楷体_GB2312" w:cs="Times New Roman"/>
          <w:bCs/>
          <w:sz w:val="32"/>
          <w:szCs w:val="32"/>
          <w:lang w:val="en-US" w:eastAsia="zh-CN"/>
        </w:rPr>
        <w:t>车辆及驾驶员基本</w:t>
      </w:r>
      <w:r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  <w:t>情况</w:t>
      </w:r>
      <w:bookmarkEnd w:id="8"/>
    </w:p>
    <w:p w14:paraId="05155D0D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left="0" w:leftChars="0"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1.车辆情况：车牌号：新A211***，车辆类型：重型特殊结构货车，所有人：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新疆雁池联众新型建材有限公司</w:t>
      </w:r>
      <w:r>
        <w:rPr>
          <w:rFonts w:hint="eastAsia" w:eastAsia="方正仿宋_GBK" w:cs="Times New Roman"/>
          <w:bCs/>
          <w:kern w:val="0"/>
          <w:sz w:val="32"/>
          <w:szCs w:val="32"/>
          <w:lang w:val="en-US" w:eastAsia="zh-CN" w:bidi="ar-SA"/>
        </w:rPr>
        <w:t>，使</w:t>
      </w:r>
      <w:r>
        <w:rPr>
          <w:rFonts w:hint="eastAsia"/>
          <w:lang w:val="en-US" w:eastAsia="zh-CN"/>
        </w:rPr>
        <w:t>用性质：货运，检验有效期至2027年6月。</w:t>
      </w:r>
    </w:p>
    <w:p w14:paraId="3428BD02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left="0" w:leftChars="0"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2.驾驶员：驾驶证有效期至2028年4月16日，准驾车型：B2。</w:t>
      </w:r>
    </w:p>
    <w:p w14:paraId="6E63F3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outlineLvl w:val="1"/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</w:pPr>
      <w:bookmarkStart w:id="9" w:name="_Toc1401954153"/>
      <w:r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楷体_GB2312" w:cs="Times New Roman"/>
          <w:bCs/>
          <w:sz w:val="32"/>
          <w:szCs w:val="32"/>
          <w:lang w:val="en-US" w:eastAsia="zh-CN"/>
        </w:rPr>
        <w:t>三</w:t>
      </w:r>
      <w:r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  <w:t>）事故发生单位及相关单位安全管理（监管）情况</w:t>
      </w:r>
      <w:bookmarkEnd w:id="6"/>
      <w:bookmarkEnd w:id="9"/>
    </w:p>
    <w:bookmarkEnd w:id="7"/>
    <w:p w14:paraId="42C7FD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bookmarkStart w:id="10" w:name="_Toc23455"/>
      <w:bookmarkStart w:id="11" w:name="_Toc6333"/>
      <w:bookmarkStart w:id="12" w:name="_Toc4158"/>
      <w:r>
        <w:rPr>
          <w:rFonts w:hint="eastAsia" w:ascii="Times New Roman" w:hAnsi="Times New Roman" w:eastAsia="方正仿宋_GBK" w:cs="Times New Roman"/>
          <w:bCs/>
          <w:color w:val="auto"/>
          <w:kern w:val="0"/>
          <w:sz w:val="32"/>
          <w:szCs w:val="32"/>
          <w:highlight w:val="none"/>
          <w:lang w:val="en-US" w:eastAsia="zh-CN" w:bidi="ar-SA"/>
        </w:rPr>
        <w:t>1.浙江晟奥建设有限公司：建立了各岗位安全生产责任制，签订了安全生产责任书，制定了安全培训教育计划、应急演练计划，开展了应急演练，制定了本单位安全操作规程，落实了安全风险分级管控机制。2026年共开展隐患排查2次，共发现隐患15项，均已整改完毕。组织开展了火灾、高空，安保应急演练，驾驶员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highlight w:val="none"/>
          <w:lang w:val="en-US" w:eastAsia="zh-CN" w:bidi="ar-SA"/>
        </w:rPr>
        <w:t>进入场区时，对其口头进行安全告知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。</w:t>
      </w:r>
    </w:p>
    <w:p w14:paraId="606DDF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Cs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Cs/>
          <w:color w:val="auto"/>
          <w:kern w:val="0"/>
          <w:sz w:val="32"/>
          <w:szCs w:val="32"/>
          <w:highlight w:val="none"/>
          <w:lang w:val="en-US" w:eastAsia="zh-CN" w:bidi="ar-SA"/>
        </w:rPr>
        <w:t>2.新疆振华安泰工程项目管理有限公司：建立了项目监理组织机构，共有5名监理工程师。2026年对春和龙畔项目开展隐患排查2次，下发监理通知单24份，共发现30项隐患，均已整改完成。</w:t>
      </w:r>
    </w:p>
    <w:p w14:paraId="747F52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Cs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Cs/>
          <w:color w:val="auto"/>
          <w:kern w:val="0"/>
          <w:sz w:val="32"/>
          <w:szCs w:val="32"/>
          <w:highlight w:val="none"/>
          <w:lang w:val="en-US" w:eastAsia="zh-CN" w:bidi="ar-SA"/>
        </w:rPr>
        <w:t>3.米东区建设局（交通局）：</w:t>
      </w:r>
      <w:bookmarkStart w:id="13" w:name="_Toc18664"/>
      <w:r>
        <w:rPr>
          <w:rFonts w:hint="eastAsia" w:ascii="Times New Roman" w:hAnsi="Times New Roman" w:eastAsia="方正仿宋_GBK" w:cs="Times New Roman"/>
          <w:bCs/>
          <w:color w:val="auto"/>
          <w:kern w:val="0"/>
          <w:sz w:val="32"/>
          <w:szCs w:val="32"/>
          <w:highlight w:val="none"/>
          <w:lang w:val="en-US" w:eastAsia="zh-CN" w:bidi="ar-SA"/>
        </w:rPr>
        <w:t>截止2026年7月17日，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米东区建设局对春和龙畔建设项目共下达16份限期整改通知单，</w:t>
      </w:r>
      <w:r>
        <w:rPr>
          <w:rFonts w:hint="eastAsia" w:ascii="Times New Roman" w:hAnsi="Times New Roman" w:eastAsia="方正仿宋_GBK" w:cs="Times New Roman"/>
          <w:bCs/>
          <w:color w:val="auto"/>
          <w:kern w:val="0"/>
          <w:sz w:val="32"/>
          <w:szCs w:val="32"/>
          <w:highlight w:val="none"/>
          <w:lang w:val="en-US" w:eastAsia="zh-CN" w:bidi="ar-SA"/>
        </w:rPr>
        <w:t>共发现安全隐患104条，均已全部整改完毕。</w:t>
      </w:r>
    </w:p>
    <w:p w14:paraId="52DED7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4.新疆雁池联众新型建材有限公司：新疆雁池联众新型建材有限公司：建立了《全员安全生产责任制及考核管理制度》《罐车、泵车、外协车辆安全环保综合管理制度》《车辆交通安全及违章违纪奖惩管理制度》《车泵队岗位职责制度》《车泵队班前会管理制度》《车辆交通安全管理制度》等相关制度，并与驾驶员签订了安全生产目标责任书，明确了驾驶员岗位安全职责，2026年6月15日</w:t>
      </w:r>
      <w:r>
        <w:rPr>
          <w:rFonts w:hint="eastAsia" w:ascii="Times New Roman" w:hAnsi="Times New Roman" w:eastAsia="方正仿宋_GBK" w:cs="Times New Roman"/>
          <w:bCs/>
          <w:color w:val="auto"/>
          <w:kern w:val="0"/>
          <w:sz w:val="32"/>
          <w:szCs w:val="32"/>
          <w:highlight w:val="none"/>
          <w:lang w:val="en-US" w:eastAsia="zh-CN" w:bidi="ar-SA"/>
        </w:rPr>
        <w:t>驾驶员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接受了岗前三级安全生产教育和培训，培训内容包括本单位规章制度和驾驶车辆注意事项等；2026年7月6日</w:t>
      </w:r>
      <w:r>
        <w:rPr>
          <w:rFonts w:hint="eastAsia" w:ascii="Times New Roman" w:hAnsi="Times New Roman" w:eastAsia="方正仿宋_GBK" w:cs="Times New Roman"/>
          <w:bCs/>
          <w:color w:val="auto"/>
          <w:kern w:val="0"/>
          <w:sz w:val="32"/>
          <w:szCs w:val="32"/>
          <w:highlight w:val="none"/>
          <w:lang w:val="en-US" w:eastAsia="zh-CN" w:bidi="ar-SA"/>
        </w:rPr>
        <w:t>驾驶员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参加了安全教育培训，培训内容包括出车前绕车一周检查规范、行车中动态安全管控、现场模拟检查等内容，</w:t>
      </w:r>
      <w:r>
        <w:rPr>
          <w:rFonts w:hint="eastAsia" w:ascii="Times New Roman" w:hAnsi="Times New Roman" w:eastAsia="方正仿宋_GBK" w:cs="Times New Roman"/>
          <w:bCs/>
          <w:color w:val="auto"/>
          <w:kern w:val="0"/>
          <w:sz w:val="32"/>
          <w:szCs w:val="32"/>
          <w:highlight w:val="none"/>
          <w:lang w:val="en-US" w:eastAsia="zh-CN" w:bidi="ar-SA"/>
        </w:rPr>
        <w:t>驾驶员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入职至2026年7月17日参加了9次每日安全晨会。2026年以来，共开展隐患排查7次，共发现67条隐患，均已整改完毕。开展应急演练7次，包括火灾事故、机械伤害事故现场处置、车辆伤害等应急演练内容。</w:t>
      </w:r>
    </w:p>
    <w:p w14:paraId="0B1809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5.南路街道办事处：2026年以来，对春和龙畔项目工地开展安全教育培训3次，线上、线下安全宣传20次，查出隐患14条，均已整改完毕。</w:t>
      </w:r>
    </w:p>
    <w:p w14:paraId="0A574E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outlineLvl w:val="1"/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</w:pPr>
      <w:bookmarkStart w:id="14" w:name="_Toc1661348173"/>
      <w:r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楷体_GB2312" w:cs="Times New Roman"/>
          <w:bCs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  <w:t>）事故发生经过</w:t>
      </w:r>
      <w:bookmarkEnd w:id="10"/>
      <w:bookmarkEnd w:id="11"/>
      <w:bookmarkEnd w:id="12"/>
      <w:bookmarkEnd w:id="13"/>
      <w:bookmarkEnd w:id="14"/>
    </w:p>
    <w:p w14:paraId="2218393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bookmarkStart w:id="15" w:name="_Toc20966"/>
      <w:bookmarkStart w:id="16" w:name="_Toc27015"/>
      <w:bookmarkStart w:id="17" w:name="_Toc29517"/>
      <w:bookmarkStart w:id="18" w:name="_Toc3601"/>
      <w:bookmarkStart w:id="19" w:name="_Toc15056"/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2026年7月17日14时43分许，位于春和龙畔（一期）建设项目工地，新疆雁池联众新型建材有限公司商砼运输车（车牌新A211***）驾驶员进入施工大门，停车向材料员交进场作业票后，上车前绕车一周上车并鸣笛启动车辆行驶，此时死者前往饮水点接饮用水，正好行走至车辆右前方的车辆视线盲区，被驾驶的商砼运输车撞到并拖拽至施工区域外围围挡处，导致双腿被碾压致死。</w:t>
      </w:r>
    </w:p>
    <w:p w14:paraId="23A498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outlineLvl w:val="1"/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</w:pPr>
      <w:bookmarkStart w:id="20" w:name="_Toc450057043"/>
      <w:r>
        <w:rPr>
          <w:rFonts w:hint="eastAsia" w:ascii="Times New Roman" w:hAnsi="Times New Roman" w:eastAsia="楷体_GB2312" w:cs="Times New Roman"/>
          <w:bCs/>
          <w:sz w:val="32"/>
          <w:szCs w:val="32"/>
          <w:lang w:val="en-US" w:eastAsia="zh-CN"/>
        </w:rPr>
        <w:t>（五）</w:t>
      </w:r>
      <w:r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  <w:t>事故现场情况</w:t>
      </w:r>
      <w:bookmarkEnd w:id="15"/>
      <w:bookmarkEnd w:id="16"/>
      <w:bookmarkEnd w:id="17"/>
      <w:bookmarkEnd w:id="18"/>
      <w:bookmarkEnd w:id="19"/>
      <w:bookmarkEnd w:id="20"/>
    </w:p>
    <w:p w14:paraId="0F6BD71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1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.</w:t>
      </w: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事故现场位于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米东区会展大道7166号春和龙畔（一期）建设项目</w:t>
      </w: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，事故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发生位置：工地入口（见图1）</w:t>
      </w: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。</w:t>
      </w:r>
    </w:p>
    <w:p w14:paraId="12EB1B3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3" w:beforeLines="100" w:after="0" w:line="560" w:lineRule="exact"/>
        <w:jc w:val="center"/>
        <w:textAlignment w:val="auto"/>
        <w:rPr>
          <w:rFonts w:hint="eastAsia"/>
          <w:lang w:val="en-US" w:eastAsia="zh-CN"/>
        </w:rPr>
      </w:pPr>
      <w:r>
        <w:rPr>
          <w:rFonts w:hint="default" w:ascii="Times New Roman" w:hAnsi="Times New Roman" w:cs="Times New Roman"/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4403725</wp:posOffset>
                </wp:positionH>
                <wp:positionV relativeFrom="paragraph">
                  <wp:posOffset>485140</wp:posOffset>
                </wp:positionV>
                <wp:extent cx="1185545" cy="484505"/>
                <wp:effectExtent l="12700" t="12700" r="20955" b="386715"/>
                <wp:wrapNone/>
                <wp:docPr id="9" name="矩形标注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545" cy="484505"/>
                        </a:xfrm>
                        <a:prstGeom prst="wedgeRectCallout">
                          <a:avLst>
                            <a:gd name="adj1" fmla="val -47168"/>
                            <a:gd name="adj2" fmla="val 124431"/>
                          </a:avLst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D08B5E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color w:val="FFFFFF" w:themeColor="background1"/>
                                <w:highlight w:val="black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 w:themeColor="text1"/>
                                <w:highlight w:val="none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受伤人员被拖拽距离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1" type="#_x0000_t61" style="position:absolute;left:0pt;margin-left:346.75pt;margin-top:38.2pt;height:38.15pt;width:93.35pt;z-index:251662336;v-text-anchor:middle;mso-width-relative:page;mso-height-relative:page;" fillcolor="#FFFFFF [3212]" filled="t" stroked="t" coordsize="21600,21600" o:gfxdata="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G5wq0PbAAAACgEAAA8AAAAAAAAAAQAg&#10;AAAAIgAAAGRycy9kb3ducmV2LnhtbFBLAQIUABQAAAAIAIdO4kBZKaj7tgIAAG8FAAAOAAAAAAAA&#10;AAEAIAAAACoBAABkcnMvZTJvRG9jLnhtbFBLBQYAAAAABgAGAFkBAABSBgAAAAA=&#10;" adj="612,37677">
                <v:fill on="t" focussize="0,0"/>
                <v:stroke weight="2pt" color="#000000 [2404]" joinstyle="round"/>
                <v:imagedata o:title=""/>
                <o:lock v:ext="edit" aspectratio="f"/>
                <v:textbox>
                  <w:txbxContent>
                    <w:p w14:paraId="63D08B5E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color w:val="FFFFFF" w:themeColor="background1"/>
                          <w:highlight w:val="black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color w:val="000000" w:themeColor="text1"/>
                          <w:highlight w:val="none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受伤人员被拖拽距离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4398645</wp:posOffset>
                </wp:positionH>
                <wp:positionV relativeFrom="paragraph">
                  <wp:posOffset>1371600</wp:posOffset>
                </wp:positionV>
                <wp:extent cx="660400" cy="448945"/>
                <wp:effectExtent l="0" t="0" r="10160" b="8255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431155" y="2678430"/>
                          <a:ext cx="660400" cy="4489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46.35pt;margin-top:108pt;height:35.35pt;width:52pt;z-index:251664384;mso-width-relative:page;mso-height-relative:page;" filled="f" stroked="t" coordsize="21600,21600" o:gfxdata="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V20qC9cAAAALAQAADwAAAAAAAAAB&#10;ACAAAAAiAAAAZHJzL2Rvd25yZXYueG1sUEsBAhQAFAAAAAgAh07iQPSUKPkRAgAA8QMAAA4AAAAA&#10;AAAAAQAgAAAAJgEAAGRycy9lMm9Eb2MueG1sUEsFBgAAAAAGAAYAWQEAAKkFAAAAAA==&#10;">
                <v:fill on="f" focussize="0,0"/>
                <v:stroke weight="2pt" color="#C00000 [3204]" joinstyle="round" startarrow="open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70485</wp:posOffset>
            </wp:positionH>
            <wp:positionV relativeFrom="paragraph">
              <wp:posOffset>125095</wp:posOffset>
            </wp:positionV>
            <wp:extent cx="5530850" cy="3137535"/>
            <wp:effectExtent l="0" t="0" r="12700" b="5715"/>
            <wp:wrapTopAndBottom/>
            <wp:docPr id="4" name="图片 4" descr="d9c0fc61ec855d6cd69573cfa3c7a6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9c0fc61ec855d6cd69573cfa3c7a6ae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30850" cy="313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1" w:name="_Toc29359"/>
      <w:bookmarkStart w:id="22" w:name="_Toc8709"/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（图1）</w:t>
      </w:r>
    </w:p>
    <w:p w14:paraId="72CB5EEE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2.事故发生时，货车司机将死者拖拽数米。</w:t>
      </w:r>
    </w:p>
    <w:p w14:paraId="6BBC25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jc w:val="center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</w:p>
    <w:p w14:paraId="407822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jc w:val="center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cs="Times New Roman"/>
          <w:sz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190500</wp:posOffset>
            </wp:positionV>
            <wp:extent cx="5573395" cy="2572385"/>
            <wp:effectExtent l="0" t="0" r="8255" b="18415"/>
            <wp:wrapNone/>
            <wp:docPr id="1" name="图片 1" descr="59e51f8a54aba69d595fc88f5ecf07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9e51f8a54aba69d595fc88f5ecf07cb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7339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59D9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jc w:val="center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</w:p>
    <w:p w14:paraId="2D9476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jc w:val="center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cs="Times New Roman"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3049905</wp:posOffset>
                </wp:positionH>
                <wp:positionV relativeFrom="paragraph">
                  <wp:posOffset>304165</wp:posOffset>
                </wp:positionV>
                <wp:extent cx="1378585" cy="367030"/>
                <wp:effectExtent l="12700" t="12700" r="26035" b="290830"/>
                <wp:wrapNone/>
                <wp:docPr id="8" name="矩形标注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60470" y="6447790"/>
                          <a:ext cx="1378585" cy="367030"/>
                        </a:xfrm>
                        <a:prstGeom prst="wedgeRectCallout">
                          <a:avLst>
                            <a:gd name="adj1" fmla="val -47168"/>
                            <a:gd name="adj2" fmla="val 124431"/>
                          </a:avLst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F01F27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color w:val="FFFFFF" w:themeColor="background1"/>
                                <w:highlight w:val="black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 w:themeColor="text1"/>
                                <w:highlight w:val="none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受伤人员起始位置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1" type="#_x0000_t61" style="position:absolute;left:0pt;margin-left:240.15pt;margin-top:23.95pt;height:28.9pt;width:108.55pt;z-index:251660288;v-text-anchor:middle;mso-width-relative:page;mso-height-relative:page;" fillcolor="#FFFFFF [3212]" filled="t" stroked="t" coordsize="21600,21600" o:gfxdata="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" adj="612,37677">
                <v:fill on="t" focussize="0,0"/>
                <v:stroke weight="2pt" color="#000000 [2404]" joinstyle="round"/>
                <v:imagedata o:title=""/>
                <o:lock v:ext="edit" aspectratio="f"/>
                <v:textbox>
                  <w:txbxContent>
                    <w:p w14:paraId="56F01F27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color w:val="FFFFFF" w:themeColor="background1"/>
                          <w:highlight w:val="black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color w:val="000000" w:themeColor="text1"/>
                          <w:highlight w:val="none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受伤人员起始位置</w:t>
                      </w:r>
                    </w:p>
                  </w:txbxContent>
                </v:textbox>
              </v:shape>
            </w:pict>
          </mc:Fallback>
        </mc:AlternateContent>
      </w:r>
    </w:p>
    <w:p w14:paraId="519789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jc w:val="center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</w:p>
    <w:p w14:paraId="2D3FFD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jc w:val="center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cs="Times New Roman"/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497205</wp:posOffset>
                </wp:positionH>
                <wp:positionV relativeFrom="paragraph">
                  <wp:posOffset>133350</wp:posOffset>
                </wp:positionV>
                <wp:extent cx="1371600" cy="391795"/>
                <wp:effectExtent l="12700" t="12700" r="17780" b="311785"/>
                <wp:wrapNone/>
                <wp:docPr id="5" name="矩形标注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391795"/>
                        </a:xfrm>
                        <a:prstGeom prst="wedgeRectCallout">
                          <a:avLst>
                            <a:gd name="adj1" fmla="val -47168"/>
                            <a:gd name="adj2" fmla="val 124431"/>
                          </a:avLst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55E8A1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color w:val="FFFFFF" w:themeColor="background1"/>
                                <w:highlight w:val="black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 w:themeColor="text1"/>
                                <w:highlight w:val="none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受伤人员拖拽位置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1" type="#_x0000_t61" style="position:absolute;left:0pt;margin-left:39.15pt;margin-top:10.5pt;height:30.85pt;width:108pt;z-index:251663360;v-text-anchor:middle;mso-width-relative:page;mso-height-relative:page;" fillcolor="#FFFFFF [3212]" filled="t" stroked="t" coordsize="21600,21600" o:gfxdata="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" adj="612,37677">
                <v:fill on="t" focussize="0,0"/>
                <v:stroke weight="2pt" color="#000000 [2404]" joinstyle="round"/>
                <v:imagedata o:title=""/>
                <o:lock v:ext="edit" aspectratio="f"/>
                <v:textbox>
                  <w:txbxContent>
                    <w:p w14:paraId="6755E8A1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color w:val="FFFFFF" w:themeColor="background1"/>
                          <w:highlight w:val="black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color w:val="000000" w:themeColor="text1"/>
                          <w:highlight w:val="none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受伤人员拖拽位置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462915</wp:posOffset>
                </wp:positionH>
                <wp:positionV relativeFrom="paragraph">
                  <wp:posOffset>254000</wp:posOffset>
                </wp:positionV>
                <wp:extent cx="2601595" cy="694690"/>
                <wp:effectExtent l="0" t="29210" r="4445" b="38100"/>
                <wp:wrapNone/>
                <wp:docPr id="6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3858260" y="6819900"/>
                          <a:ext cx="2601595" cy="6946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36.45pt;margin-top:20pt;height:54.7pt;width:204.85pt;z-index:251665408;mso-width-relative:page;mso-height-relative:page;" filled="f" stroked="t" coordsize="21600,21600" o:gfxdata="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NwErxHXAAAACQEAAA8A&#10;AAAAAAAAAQAgAAAAIgAAAGRycy9kb3ducmV2LnhtbFBLAQIUABQAAAAIAIdO4kDJN8GrGAIAAPwD&#10;AAAOAAAAAAAAAAEAIAAAACYBAABkcnMvZTJvRG9jLnhtbFBLBQYAAAAABgAGAFkBAACwBQAAAAA=&#10;">
                <v:fill on="f" focussize="0,0"/>
                <v:stroke weight="2pt" color="#C00000 [3204]" joinstyle="round" startarrow="open" endarrow="open"/>
                <v:imagedata o:title=""/>
                <o:lock v:ext="edit" aspectratio="f"/>
              </v:shape>
            </w:pict>
          </mc:Fallback>
        </mc:AlternateContent>
      </w:r>
    </w:p>
    <w:p w14:paraId="71041C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jc w:val="center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</w:p>
    <w:p w14:paraId="5ED08F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jc w:val="center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</w:p>
    <w:p w14:paraId="08ECB0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jc w:val="center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</w:p>
    <w:p w14:paraId="2E9B12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jc w:val="center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（图2）</w:t>
      </w:r>
    </w:p>
    <w:p w14:paraId="6FB3AB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outlineLvl w:val="1"/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</w:pPr>
      <w:bookmarkStart w:id="23" w:name="_Toc742097195"/>
      <w:r>
        <w:rPr>
          <w:rFonts w:hint="eastAsia" w:ascii="Times New Roman" w:hAnsi="Times New Roman" w:eastAsia="楷体_GB2312" w:cs="Times New Roman"/>
          <w:bCs/>
          <w:sz w:val="32"/>
          <w:szCs w:val="32"/>
          <w:lang w:val="en-US" w:eastAsia="zh-CN"/>
        </w:rPr>
        <w:t>（六）</w:t>
      </w:r>
      <w:r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  <w:t>人员伤亡和直接经济损失情况</w:t>
      </w:r>
      <w:bookmarkEnd w:id="21"/>
      <w:bookmarkEnd w:id="23"/>
    </w:p>
    <w:p w14:paraId="0C1C5D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1.</w:t>
      </w: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事故造成1人</w:t>
      </w:r>
      <w:bookmarkEnd w:id="22"/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死亡</w:t>
      </w: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。</w:t>
      </w:r>
    </w:p>
    <w:p w14:paraId="5F287C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2.直接经济损失人民币230万余元，主要为赔偿费用等。</w:t>
      </w:r>
    </w:p>
    <w:p w14:paraId="13415B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outlineLvl w:val="0"/>
        <w:rPr>
          <w:rFonts w:hint="default" w:ascii="Times New Roman" w:hAnsi="Times New Roman" w:eastAsia="黑体" w:cs="Times New Roman"/>
          <w:bCs/>
          <w:kern w:val="0"/>
          <w:sz w:val="32"/>
          <w:szCs w:val="32"/>
          <w:lang w:val="en-US" w:eastAsia="zh-CN"/>
        </w:rPr>
      </w:pPr>
      <w:bookmarkStart w:id="24" w:name="_Toc1755490434"/>
      <w:bookmarkStart w:id="25" w:name="_Toc1162"/>
      <w:bookmarkStart w:id="26" w:name="_Toc24147"/>
      <w:bookmarkStart w:id="27" w:name="_Toc31022"/>
      <w:bookmarkStart w:id="28" w:name="_Toc21229"/>
      <w:r>
        <w:rPr>
          <w:rFonts w:hint="default" w:ascii="Times New Roman" w:hAnsi="Times New Roman" w:eastAsia="黑体" w:cs="Times New Roman"/>
          <w:bCs/>
          <w:kern w:val="0"/>
          <w:sz w:val="32"/>
          <w:szCs w:val="32"/>
          <w:lang w:val="en-US" w:eastAsia="zh-CN"/>
        </w:rPr>
        <w:t>二、事故应急救援和现场处置情况</w:t>
      </w:r>
      <w:bookmarkEnd w:id="24"/>
      <w:bookmarkEnd w:id="25"/>
    </w:p>
    <w:p w14:paraId="5C38DC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outlineLvl w:val="1"/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</w:pPr>
      <w:bookmarkStart w:id="29" w:name="_Toc1476183395"/>
      <w:bookmarkStart w:id="30" w:name="_Toc7491"/>
      <w:bookmarkStart w:id="31" w:name="_Toc15332"/>
      <w:r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  <w:t>（一）事故信息接报及响应情况</w:t>
      </w:r>
      <w:bookmarkEnd w:id="29"/>
      <w:bookmarkEnd w:id="30"/>
      <w:bookmarkEnd w:id="31"/>
    </w:p>
    <w:p w14:paraId="33BC1C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highlight w:val="none"/>
          <w:lang w:val="en-US" w:eastAsia="zh-CN" w:bidi="ar-SA"/>
        </w:rPr>
      </w:pPr>
      <w:bookmarkStart w:id="32" w:name="_Toc29325"/>
      <w:bookmarkStart w:id="33" w:name="_Toc14412"/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highlight w:val="none"/>
          <w:lang w:val="en-US" w:eastAsia="zh-CN" w:bidi="ar-SA"/>
        </w:rPr>
        <w:t>2026年7月17日15时17分，南路街道向米东区应急管理局报送事故信息，随后区应急管理局、建设局、南路街道办事处赶往事故现场，进行事故处置。</w:t>
      </w:r>
    </w:p>
    <w:p w14:paraId="327F0A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outlineLvl w:val="1"/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</w:pPr>
      <w:bookmarkStart w:id="34" w:name="_Toc1415496029"/>
      <w:r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  <w:t>（二）事故现场应急处置情况</w:t>
      </w:r>
      <w:bookmarkEnd w:id="32"/>
      <w:bookmarkEnd w:id="33"/>
      <w:bookmarkEnd w:id="34"/>
    </w:p>
    <w:p w14:paraId="35BD308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bookmarkStart w:id="35" w:name="_Toc21083"/>
      <w:bookmarkStart w:id="36" w:name="_Toc24608"/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事故发生后，现场作业人员立即拨打120，120急救车于15时05分到达现场将伤者送至新疆医科大学第一附属医院抢救，于16时55分因失血过多抢救无效死亡。</w:t>
      </w:r>
    </w:p>
    <w:p w14:paraId="51FC04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outlineLvl w:val="1"/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</w:pPr>
      <w:bookmarkStart w:id="37" w:name="_Toc1696352961"/>
      <w:r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  <w:t>（三）医疗救治和善后情况</w:t>
      </w:r>
      <w:bookmarkEnd w:id="35"/>
      <w:bookmarkEnd w:id="36"/>
      <w:bookmarkEnd w:id="37"/>
    </w:p>
    <w:p w14:paraId="33DC22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bookmarkStart w:id="38" w:name="_Toc22048"/>
      <w:bookmarkStart w:id="39" w:name="_Toc17452"/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2026年7月17日16时55分许，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highlight w:val="none"/>
          <w:lang w:val="en-US" w:eastAsia="zh-CN" w:bidi="ar-SA"/>
        </w:rPr>
        <w:t>死者在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新疆医科大学第一附属医院因失血过多抢救无效死亡。</w:t>
      </w:r>
    </w:p>
    <w:p w14:paraId="405170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outlineLvl w:val="1"/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</w:pPr>
      <w:bookmarkStart w:id="40" w:name="_Toc1680529044"/>
      <w:r>
        <w:rPr>
          <w:rFonts w:hint="default" w:ascii="Times New Roman" w:hAnsi="Times New Roman" w:eastAsia="楷体_GB2312" w:cs="Times New Roman"/>
          <w:bCs/>
          <w:sz w:val="32"/>
          <w:szCs w:val="32"/>
          <w:lang w:val="en-US" w:eastAsia="zh-CN"/>
        </w:rPr>
        <w:t>（四）事故应急处置评估</w:t>
      </w:r>
      <w:bookmarkEnd w:id="38"/>
      <w:bookmarkEnd w:id="39"/>
      <w:bookmarkEnd w:id="40"/>
    </w:p>
    <w:bookmarkEnd w:id="26"/>
    <w:bookmarkEnd w:id="27"/>
    <w:bookmarkEnd w:id="28"/>
    <w:p w14:paraId="783845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事故发生后，现场人员及时拨打120电话，各职能部门及时响应，妥善处置，做好善后安抚等工作，应急处置得当。</w:t>
      </w:r>
    </w:p>
    <w:p w14:paraId="009426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outlineLvl w:val="0"/>
        <w:rPr>
          <w:rFonts w:hint="default" w:ascii="Times New Roman" w:hAnsi="Times New Roman" w:eastAsia="黑体" w:cs="Times New Roman"/>
          <w:bCs/>
          <w:kern w:val="0"/>
          <w:sz w:val="32"/>
          <w:szCs w:val="32"/>
          <w:lang w:val="en-US" w:eastAsia="zh-CN"/>
        </w:rPr>
      </w:pPr>
      <w:bookmarkStart w:id="41" w:name="_Toc1911353636"/>
      <w:bookmarkStart w:id="42" w:name="_Toc11613"/>
      <w:r>
        <w:rPr>
          <w:rFonts w:hint="default" w:ascii="Times New Roman" w:hAnsi="Times New Roman" w:eastAsia="黑体" w:cs="Times New Roman"/>
          <w:bCs/>
          <w:kern w:val="0"/>
          <w:sz w:val="32"/>
          <w:szCs w:val="32"/>
          <w:lang w:val="en-US" w:eastAsia="zh-CN"/>
        </w:rPr>
        <w:t>三、事故原因分析</w:t>
      </w:r>
      <w:bookmarkEnd w:id="41"/>
      <w:bookmarkEnd w:id="42"/>
    </w:p>
    <w:p w14:paraId="25C909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bookmarkStart w:id="43" w:name="_Toc25330"/>
      <w:bookmarkStart w:id="44" w:name="_Toc28232"/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死者安全意识淡薄，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未观察周边环境，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eastAsia="zh-CN"/>
        </w:rPr>
        <w:t>进入商砼运输车视线盲区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对现场危险源辨识度不到位，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被商砼运输车撞倒致其死亡。</w:t>
      </w:r>
    </w:p>
    <w:bookmarkEnd w:id="43"/>
    <w:bookmarkEnd w:id="44"/>
    <w:p w14:paraId="4103F915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outlineLvl w:val="0"/>
        <w:rPr>
          <w:rFonts w:hint="default" w:ascii="Times New Roman" w:hAnsi="Times New Roman" w:eastAsia="黑体" w:cs="Times New Roman"/>
          <w:bCs/>
          <w:kern w:val="0"/>
          <w:sz w:val="32"/>
          <w:szCs w:val="32"/>
          <w:lang w:val="en-US" w:eastAsia="zh-CN"/>
        </w:rPr>
      </w:pPr>
      <w:bookmarkStart w:id="45" w:name="_Toc17727"/>
      <w:bookmarkStart w:id="46" w:name="_Toc237548336"/>
      <w:bookmarkStart w:id="47" w:name="_Toc22635"/>
      <w:r>
        <w:rPr>
          <w:rFonts w:hint="default" w:ascii="Times New Roman" w:hAnsi="Times New Roman" w:eastAsia="黑体" w:cs="Times New Roman"/>
          <w:bCs/>
          <w:kern w:val="0"/>
          <w:sz w:val="32"/>
          <w:szCs w:val="32"/>
          <w:lang w:val="en-US" w:eastAsia="zh-CN"/>
        </w:rPr>
        <w:t>有关责任单位存在的主要问题</w:t>
      </w:r>
      <w:bookmarkEnd w:id="45"/>
      <w:bookmarkEnd w:id="46"/>
    </w:p>
    <w:bookmarkEnd w:id="47"/>
    <w:p w14:paraId="60F83F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firstLine="640" w:firstLineChars="200"/>
        <w:jc w:val="both"/>
        <w:textAlignment w:val="auto"/>
        <w:outlineLvl w:val="1"/>
        <w:rPr>
          <w:rFonts w:hint="default" w:ascii="Times New Roman" w:hAnsi="Times New Roman" w:eastAsia="方正楷体_GBK" w:cs="Times New Roman"/>
          <w:sz w:val="32"/>
          <w:szCs w:val="32"/>
          <w:lang w:val="en-US" w:eastAsia="zh-CN"/>
        </w:rPr>
      </w:pPr>
      <w:bookmarkStart w:id="48" w:name="_Toc30687_WPSOffice_Level2"/>
      <w:bookmarkStart w:id="49" w:name="_Toc10802"/>
      <w:bookmarkStart w:id="50" w:name="_Toc1848548928"/>
      <w:bookmarkStart w:id="51" w:name="_Toc25264"/>
      <w:r>
        <w:rPr>
          <w:rFonts w:hint="default" w:ascii="Times New Roman" w:hAnsi="Times New Roman" w:eastAsia="方正楷体_GBK" w:cs="Times New Roman"/>
          <w:sz w:val="32"/>
          <w:szCs w:val="32"/>
          <w:lang w:val="en-US" w:eastAsia="zh-CN"/>
        </w:rPr>
        <w:t>（一）因在事故中死亡，免予追究责任人员</w:t>
      </w:r>
      <w:bookmarkEnd w:id="48"/>
      <w:bookmarkEnd w:id="49"/>
      <w:bookmarkEnd w:id="50"/>
    </w:p>
    <w:p w14:paraId="503100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highlight w:val="none"/>
          <w:lang w:val="en-US" w:eastAsia="zh-CN" w:bidi="ar-SA"/>
        </w:rPr>
        <w:t>死者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安全意识淡薄，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未观察周边环境，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eastAsia="zh-CN"/>
        </w:rPr>
        <w:t>进入商砼运输车视线盲区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对现场危险源辨识度不到位，</w:t>
      </w:r>
      <w:r>
        <w:rPr>
          <w:rFonts w:hint="eastAsia" w:ascii="Times New Roman" w:hAnsi="Times New Roman" w:eastAsia="方正仿宋_GBK" w:cs="Times New Roman"/>
          <w:bCs/>
          <w:color w:val="auto"/>
          <w:sz w:val="32"/>
          <w:szCs w:val="32"/>
          <w:lang w:val="en-US" w:eastAsia="zh-CN"/>
        </w:rPr>
        <w:t>被商砼运输车撞倒致其死亡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，鉴于其在事故中死亡，不再进行责任追究。</w:t>
      </w:r>
    </w:p>
    <w:bookmarkEnd w:id="51"/>
    <w:p w14:paraId="57A8DD2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outlineLvl w:val="1"/>
        <w:rPr>
          <w:rFonts w:hint="default" w:ascii="Times New Roman" w:hAnsi="Times New Roman" w:eastAsia="方正楷体_GBK" w:cs="Times New Roman"/>
          <w:sz w:val="32"/>
          <w:szCs w:val="32"/>
          <w:lang w:val="en-US" w:eastAsia="zh-CN"/>
        </w:rPr>
      </w:pPr>
      <w:bookmarkStart w:id="52" w:name="_Toc1265175902"/>
      <w:bookmarkStart w:id="53" w:name="_Toc25924"/>
      <w:bookmarkStart w:id="54" w:name="_Toc27506_WPSOffice_Level2"/>
      <w:bookmarkStart w:id="55" w:name="_Toc29152"/>
      <w:r>
        <w:rPr>
          <w:rFonts w:hint="default" w:ascii="Times New Roman" w:hAnsi="Times New Roman" w:eastAsia="方正楷体_GBK" w:cs="Times New Roman"/>
          <w:sz w:val="32"/>
          <w:szCs w:val="32"/>
          <w:lang w:val="en-US" w:eastAsia="zh-CN"/>
        </w:rPr>
        <w:t>（二）对事故相关单位的责任认定及处理建议</w:t>
      </w:r>
      <w:bookmarkEnd w:id="52"/>
      <w:bookmarkEnd w:id="53"/>
      <w:bookmarkEnd w:id="54"/>
    </w:p>
    <w:p w14:paraId="5239CF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新疆雁池联众新型建材有限公司：建立了《全员安全生产责任制及考核管理制度》《罐车、泵车、外协车辆安全环保综合管理制度》《车辆交通安全及违章违纪奖惩管理制度》《车泵队岗位职责制度》《车泵队班前会管理制度》《车辆交通安全管理制度》等相关制度，并与驾驶员签订了安全生产目标责任书，明确了驾驶员岗位安全职责，2026年6月15日驾驶员接受了岗前三级安全生产教育和培训，培训内容包括本单位规章制度和驾驶车辆注意事项等；2026年7月6日驾驶员参加了安全教育培训，培训内容包括出车前绕车一周检查规范、行车中动态安全管控、现场模拟检查等内容，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highlight w:val="none"/>
          <w:lang w:val="en-US" w:eastAsia="zh-CN" w:bidi="ar-SA"/>
        </w:rPr>
        <w:t>驾驶员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入职至2026年7月17日参加了9次每日安全晨会。2026年以来，共开展隐患排查7次，共发现67条隐患，均已整改完毕。开展应急演练7次，包括火灾事故、机械伤害事故现场处置、车辆伤害等应急演练内容。企业已</w:t>
      </w: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履行安全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生产</w:t>
      </w: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管理职责，建议不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进行行政</w:t>
      </w: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处罚。</w:t>
      </w:r>
    </w:p>
    <w:p w14:paraId="41D9DB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浙江晟奥建设有限公司：建立了《建筑工地安全生产》制度，与死者签订了安全责任目标书、从业人员安全风险告知书，2026年5月20日死者接受了岗前三级安全生产教育和培训。对死者完成了安全技术交底及安全教育培训，且在事故发生时，死者并未开展施工作业。施工单位尽到了相应的安全生产责任，</w:t>
      </w:r>
      <w:r>
        <w:rPr>
          <w:rFonts w:hint="eastAsia" w:eastAsia="方正仿宋_GBK" w:cs="Times New Roman"/>
          <w:kern w:val="2"/>
          <w:sz w:val="32"/>
          <w:szCs w:val="32"/>
          <w:lang w:val="en-US" w:eastAsia="zh-CN" w:bidi="ar-SA"/>
        </w:rPr>
        <w:t>企业已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履行安全</w:t>
      </w:r>
      <w:r>
        <w:rPr>
          <w:rFonts w:hint="eastAsia" w:eastAsia="方正仿宋_GBK" w:cs="Times New Roman"/>
          <w:kern w:val="2"/>
          <w:sz w:val="32"/>
          <w:szCs w:val="32"/>
          <w:lang w:val="en-US" w:eastAsia="zh-CN" w:bidi="ar-SA"/>
        </w:rPr>
        <w:t>生产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管理职责，建议不</w:t>
      </w:r>
      <w:r>
        <w:rPr>
          <w:rFonts w:hint="eastAsia" w:eastAsia="方正仿宋_GBK" w:cs="Times New Roman"/>
          <w:kern w:val="2"/>
          <w:sz w:val="32"/>
          <w:szCs w:val="32"/>
          <w:lang w:val="en-US" w:eastAsia="zh-CN" w:bidi="ar-SA"/>
        </w:rPr>
        <w:t>进行行政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>处罚。</w:t>
      </w:r>
    </w:p>
    <w:p w14:paraId="6E05F200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outlineLvl w:val="1"/>
        <w:rPr>
          <w:rFonts w:hint="default" w:ascii="Times New Roman" w:hAnsi="Times New Roman" w:eastAsia="方正楷体_GBK" w:cs="Times New Roman"/>
          <w:sz w:val="32"/>
          <w:szCs w:val="32"/>
          <w:lang w:val="en-US" w:eastAsia="zh-CN"/>
        </w:rPr>
      </w:pPr>
      <w:bookmarkStart w:id="56" w:name="_Toc888293030"/>
      <w:r>
        <w:rPr>
          <w:rFonts w:hint="default" w:ascii="Times New Roman" w:hAnsi="Times New Roman" w:eastAsia="方正楷体_GBK" w:cs="Times New Roman"/>
          <w:sz w:val="32"/>
          <w:szCs w:val="32"/>
          <w:lang w:val="en-US" w:eastAsia="zh-CN"/>
        </w:rPr>
        <w:t>对事故相关</w:t>
      </w:r>
      <w:r>
        <w:rPr>
          <w:rFonts w:hint="eastAsia" w:ascii="Times New Roman" w:hAnsi="Times New Roman" w:eastAsia="方正楷体_GBK" w:cs="Times New Roman"/>
          <w:sz w:val="32"/>
          <w:szCs w:val="32"/>
          <w:lang w:val="en-US" w:eastAsia="zh-CN"/>
        </w:rPr>
        <w:t>人员</w:t>
      </w:r>
      <w:r>
        <w:rPr>
          <w:rFonts w:hint="default" w:ascii="Times New Roman" w:hAnsi="Times New Roman" w:eastAsia="方正楷体_GBK" w:cs="Times New Roman"/>
          <w:sz w:val="32"/>
          <w:szCs w:val="32"/>
          <w:lang w:val="en-US" w:eastAsia="zh-CN"/>
        </w:rPr>
        <w:t>的责任认定及处理建议</w:t>
      </w:r>
      <w:bookmarkEnd w:id="56"/>
    </w:p>
    <w:p w14:paraId="02F4C9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车辆驾驶人员，行车前绕车一周观察并鸣笛示警起步，已按公司要求落实安全操作，建议由新疆雁池联众新型建材有限公司内部规章制度进行处理。</w:t>
      </w:r>
    </w:p>
    <w:p w14:paraId="53EDAF9B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after="0" w:line="560" w:lineRule="exact"/>
        <w:ind w:left="0" w:leftChars="0" w:firstLine="640" w:firstLineChars="200"/>
        <w:jc w:val="both"/>
        <w:textAlignment w:val="auto"/>
        <w:outlineLvl w:val="0"/>
        <w:rPr>
          <w:rFonts w:hint="eastAsia" w:ascii="Times New Roman" w:hAnsi="Times New Roman" w:eastAsia="黑体" w:cs="Times New Roman"/>
          <w:bCs/>
          <w:kern w:val="0"/>
          <w:sz w:val="32"/>
          <w:szCs w:val="32"/>
          <w:lang w:val="en-US" w:eastAsia="zh-CN"/>
        </w:rPr>
      </w:pPr>
      <w:bookmarkStart w:id="57" w:name="_Toc1548095623"/>
      <w:r>
        <w:rPr>
          <w:rFonts w:hint="eastAsia" w:ascii="Times New Roman" w:hAnsi="Times New Roman" w:eastAsia="黑体" w:cs="Times New Roman"/>
          <w:bCs/>
          <w:kern w:val="0"/>
          <w:sz w:val="32"/>
          <w:szCs w:val="32"/>
          <w:lang w:val="en-US" w:eastAsia="zh-CN"/>
        </w:rPr>
        <w:t>事故主要教训</w:t>
      </w:r>
      <w:bookmarkEnd w:id="57"/>
    </w:p>
    <w:p w14:paraId="5FB5AE43">
      <w:pPr>
        <w:pStyle w:val="1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leftChars="0" w:firstLine="64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作业人员安全意识淡薄，对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现场危险源辨识度不到位</w:t>
      </w:r>
      <w:r>
        <w:rPr>
          <w:rFonts w:hint="eastAsia" w:eastAsia="方正仿宋_GBK" w:cs="Times New Roman"/>
          <w:bCs/>
          <w:kern w:val="0"/>
          <w:sz w:val="32"/>
          <w:szCs w:val="32"/>
          <w:lang w:val="en-US" w:eastAsia="zh-CN" w:bidi="ar-SA"/>
        </w:rPr>
        <w:t>，自我防护和危险避险能力欠缺。</w:t>
      </w:r>
    </w:p>
    <w:p w14:paraId="1A5CB6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outlineLvl w:val="0"/>
        <w:rPr>
          <w:rFonts w:hint="default" w:ascii="Times New Roman" w:hAnsi="Times New Roman" w:eastAsia="黑体" w:cs="Times New Roman"/>
          <w:bCs/>
          <w:kern w:val="0"/>
          <w:sz w:val="32"/>
          <w:szCs w:val="32"/>
          <w:lang w:val="en-US" w:eastAsia="zh-CN"/>
        </w:rPr>
      </w:pPr>
      <w:bookmarkStart w:id="58" w:name="_Toc995266313"/>
      <w:r>
        <w:rPr>
          <w:rFonts w:hint="eastAsia" w:ascii="Times New Roman" w:hAnsi="Times New Roman" w:eastAsia="黑体" w:cs="Times New Roman"/>
          <w:bCs/>
          <w:kern w:val="0"/>
          <w:sz w:val="32"/>
          <w:szCs w:val="32"/>
          <w:lang w:val="en-US" w:eastAsia="zh-CN"/>
        </w:rPr>
        <w:t>六</w:t>
      </w:r>
      <w:r>
        <w:rPr>
          <w:rFonts w:hint="default" w:ascii="Times New Roman" w:hAnsi="Times New Roman" w:eastAsia="黑体" w:cs="Times New Roman"/>
          <w:bCs/>
          <w:kern w:val="0"/>
          <w:sz w:val="32"/>
          <w:szCs w:val="32"/>
          <w:lang w:val="en-US" w:eastAsia="zh-CN"/>
        </w:rPr>
        <w:t>、事故整改和防范措施</w:t>
      </w:r>
      <w:bookmarkEnd w:id="55"/>
      <w:bookmarkEnd w:id="58"/>
    </w:p>
    <w:p w14:paraId="22227F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（一）</w:t>
      </w:r>
      <w:r>
        <w:rPr>
          <w:rFonts w:hint="eastAsia" w:ascii="方正仿宋_GBK" w:hAnsi="方正仿宋_GBK" w:eastAsia="方正仿宋_GBK" w:cs="方正仿宋_GBK"/>
          <w:bCs/>
          <w:kern w:val="0"/>
          <w:sz w:val="32"/>
          <w:szCs w:val="32"/>
          <w:lang w:val="en-US" w:eastAsia="zh-CN" w:bidi="ar-SA"/>
        </w:rPr>
        <w:t>浙江晟奥建设有限公司要加强对入场的从业人员安全告知，在安全告知中强调施对车辆避让等相关内容，加强现场所有车辆安全管理工作。</w:t>
      </w:r>
    </w:p>
    <w:p w14:paraId="6BA85B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（二）新疆雁池联众新型建材有限公司要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定期对车辆驾驶人员进行安全驾驶</w:t>
      </w:r>
      <w:r>
        <w:rPr>
          <w:rFonts w:hint="eastAsia" w:eastAsia="方正仿宋_GBK" w:cs="Times New Roman"/>
          <w:bCs/>
          <w:kern w:val="0"/>
          <w:sz w:val="32"/>
          <w:szCs w:val="32"/>
          <w:lang w:val="en-US" w:eastAsia="zh-CN" w:bidi="ar-SA"/>
        </w:rPr>
        <w:t>和车辆规章制度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培训</w:t>
      </w:r>
      <w:r>
        <w:rPr>
          <w:rFonts w:hint="eastAsia" w:eastAsia="方正仿宋_GBK" w:cs="Times New Roman"/>
          <w:bCs/>
          <w:kern w:val="0"/>
          <w:sz w:val="32"/>
          <w:szCs w:val="32"/>
          <w:lang w:val="en-US" w:eastAsia="zh-CN" w:bidi="ar-SA"/>
        </w:rPr>
        <w:t>，提升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 w:bidi="ar-SA"/>
        </w:rPr>
        <w:t>车辆驾驶人员安全驾驶意识</w:t>
      </w:r>
      <w:r>
        <w:rPr>
          <w:rFonts w:hint="eastAsia" w:eastAsia="方正仿宋_GBK" w:cs="Times New Roman"/>
          <w:bCs/>
          <w:kern w:val="0"/>
          <w:sz w:val="32"/>
          <w:szCs w:val="32"/>
          <w:lang w:val="en-US" w:eastAsia="zh-CN" w:bidi="ar-SA"/>
        </w:rPr>
        <w:t>。</w:t>
      </w:r>
    </w:p>
    <w:p w14:paraId="7E2BA9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（三）区建设局（交通局）要认真汲取事故教训，落实行业监管责任，督促建设单位严格落实安全教育培训制度、安全告知义务，加强对施工单位的安全监管，发现违法行为要予以处罚。</w:t>
      </w:r>
    </w:p>
    <w:p w14:paraId="19258DC9"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/>
        <w:ind w:left="0" w:leftChars="0" w:firstLine="640" w:firstLineChars="200"/>
        <w:textAlignment w:val="auto"/>
        <w:rPr>
          <w:rFonts w:hint="default" w:eastAsia="方正仿宋_GBK" w:cs="Times New Roman"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  <w:t>（四）南路街道办事处</w:t>
      </w:r>
      <w:r>
        <w:rPr>
          <w:rFonts w:hint="default" w:eastAsia="方正仿宋_GBK" w:cs="Times New Roman"/>
          <w:bCs/>
          <w:kern w:val="0"/>
          <w:sz w:val="32"/>
          <w:szCs w:val="32"/>
          <w:lang w:val="en-US" w:eastAsia="zh-CN" w:bidi="ar-SA"/>
        </w:rPr>
        <w:t>应当广泛宣传</w:t>
      </w:r>
      <w:r>
        <w:rPr>
          <w:rFonts w:hint="eastAsia" w:eastAsia="方正仿宋_GBK" w:cs="Times New Roman"/>
          <w:bCs/>
          <w:kern w:val="0"/>
          <w:sz w:val="32"/>
          <w:szCs w:val="32"/>
          <w:lang w:val="en-US" w:eastAsia="zh-CN" w:bidi="ar-SA"/>
        </w:rPr>
        <w:t>车辆安全驾驶</w:t>
      </w:r>
      <w:r>
        <w:rPr>
          <w:rFonts w:hint="default" w:eastAsia="方正仿宋_GBK" w:cs="Times New Roman"/>
          <w:bCs/>
          <w:kern w:val="0"/>
          <w:sz w:val="32"/>
          <w:szCs w:val="32"/>
          <w:lang w:val="en-US" w:eastAsia="zh-CN" w:bidi="ar-SA"/>
        </w:rPr>
        <w:t>知识，提升辖区生产经营单位从业人员的安全意识。</w:t>
      </w:r>
    </w:p>
    <w:p w14:paraId="16A062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bCs/>
          <w:sz w:val="32"/>
          <w:szCs w:val="32"/>
          <w:lang w:val="en-US" w:eastAsia="zh-CN"/>
        </w:rPr>
      </w:pPr>
    </w:p>
    <w:p w14:paraId="485AEC20">
      <w:pPr>
        <w:pStyle w:val="13"/>
        <w:rPr>
          <w:rFonts w:hint="eastAsia"/>
          <w:lang w:val="en-US" w:eastAsia="zh-CN"/>
        </w:rPr>
      </w:pPr>
    </w:p>
    <w:p w14:paraId="151B3D41">
      <w:pPr>
        <w:bidi w:val="0"/>
        <w:rPr>
          <w:rFonts w:hint="default"/>
          <w:lang w:val="en-US" w:eastAsia="zh-CN"/>
        </w:rPr>
      </w:pPr>
    </w:p>
    <w:p w14:paraId="084415ED">
      <w:pPr>
        <w:bidi w:val="0"/>
        <w:rPr>
          <w:rFonts w:hint="default"/>
          <w:lang w:val="en-US" w:eastAsia="zh-CN"/>
        </w:rPr>
      </w:pPr>
    </w:p>
    <w:p w14:paraId="3FF610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 w:firstLine="640" w:firstLineChars="200"/>
        <w:jc w:val="both"/>
        <w:textAlignment w:val="auto"/>
        <w:rPr>
          <w:rFonts w:hint="default" w:ascii="方正仿宋_GBK" w:hAnsi="方正仿宋_GBK" w:eastAsia="方正仿宋_GBK" w:cs="方正仿宋_GBK"/>
          <w:bCs/>
          <w:sz w:val="32"/>
          <w:szCs w:val="32"/>
          <w:lang w:val="en-US" w:eastAsia="zh-CN"/>
        </w:rPr>
      </w:pPr>
    </w:p>
    <w:sectPr>
      <w:footerReference r:id="rId7" w:type="default"/>
      <w:pgSz w:w="11906" w:h="16838"/>
      <w:pgMar w:top="2098" w:right="1559" w:bottom="1984" w:left="1559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2359324-355A-4A54-8409-682D4D56E5BB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A67EA03D-03CA-4357-8E8D-A4564DD54816}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9F67AC81-1553-4167-8201-7E1684F9D12A}"/>
  </w:font>
  <w:font w:name="方正楷体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C4A2B255-25EC-42AF-A966-8E2CC5608007}"/>
  </w:font>
  <w:font w:name="方正舒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5" w:fontKey="{9317D646-93C1-47FE-99FB-C1B1FD6D8855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6" w:fontKey="{E15388AB-4259-4077-ABD9-4867F5E5AF25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7" w:fontKey="{B2118723-A9E7-4F1F-A227-F997D15138A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8" w:fontKey="{6FE8E917-778A-4815-A054-3CEAE6395D69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95EFC1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1086A0">
                          <w:pPr>
                            <w:pStyle w:val="8"/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745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81086A0">
                    <w:pPr>
                      <w:pStyle w:val="8"/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</w:rPr>
                    </w:pP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9031E0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6D57F29">
                          <w:pPr>
                            <w:pStyle w:val="8"/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848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6D57F29">
                    <w:pPr>
                      <w:pStyle w:val="8"/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</w:rPr>
                    </w:pP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50211C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1DAAF97">
                          <w:pPr>
                            <w:pStyle w:val="8"/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  <w:lang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4"/>
                              <w:szCs w:val="24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outside;mso-position-horizontal-relative:margin;mso-wrap-style:none;z-index:25166643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a+RuQ3AgAAcA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AGvkbkNwIAAHA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1DAAF97">
                    <w:pPr>
                      <w:pStyle w:val="8"/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  <w:lang w:eastAsia="zh-CN"/>
                      </w:rPr>
                    </w:pP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  <w:lang w:eastAsia="zh-CN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  <w:lang w:eastAsia="zh-CN"/>
                      </w:rPr>
                      <w:t>1</w: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  <w:lang w:eastAsia="zh-C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4"/>
                        <w:szCs w:val="24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E6F072A"/>
    <w:multiLevelType w:val="singleLevel"/>
    <w:tmpl w:val="DE6F072A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3D4CDA3"/>
    <w:multiLevelType w:val="singleLevel"/>
    <w:tmpl w:val="F3D4CDA3"/>
    <w:lvl w:ilvl="0" w:tentative="0">
      <w:start w:val="1"/>
      <w:numFmt w:val="decimal"/>
      <w:pStyle w:val="6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2">
    <w:nsid w:val="F797D2EC"/>
    <w:multiLevelType w:val="singleLevel"/>
    <w:tmpl w:val="F797D2EC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yZWE0NDdiZDU1YzAxN2M3OTJkZjUzODJmODExM2IifQ=="/>
  </w:docVars>
  <w:rsids>
    <w:rsidRoot w:val="00D31D50"/>
    <w:rsid w:val="00323B43"/>
    <w:rsid w:val="003D37D8"/>
    <w:rsid w:val="00426133"/>
    <w:rsid w:val="004358AB"/>
    <w:rsid w:val="008B7726"/>
    <w:rsid w:val="00D31D50"/>
    <w:rsid w:val="011941B1"/>
    <w:rsid w:val="01425D65"/>
    <w:rsid w:val="021029F6"/>
    <w:rsid w:val="02251150"/>
    <w:rsid w:val="022A1AA9"/>
    <w:rsid w:val="023303C9"/>
    <w:rsid w:val="03455F4E"/>
    <w:rsid w:val="03863ADF"/>
    <w:rsid w:val="04511D53"/>
    <w:rsid w:val="0469124B"/>
    <w:rsid w:val="0521388A"/>
    <w:rsid w:val="05593833"/>
    <w:rsid w:val="065B5A88"/>
    <w:rsid w:val="0743432A"/>
    <w:rsid w:val="074C4D63"/>
    <w:rsid w:val="07762300"/>
    <w:rsid w:val="08425EDF"/>
    <w:rsid w:val="087C0A29"/>
    <w:rsid w:val="09D870CE"/>
    <w:rsid w:val="0A0333B9"/>
    <w:rsid w:val="0A335A64"/>
    <w:rsid w:val="0A5B0F2D"/>
    <w:rsid w:val="0A670558"/>
    <w:rsid w:val="0A933A92"/>
    <w:rsid w:val="0AC87B62"/>
    <w:rsid w:val="0B7D7B5F"/>
    <w:rsid w:val="0BBC79F0"/>
    <w:rsid w:val="0BBD1B53"/>
    <w:rsid w:val="0BC53FB4"/>
    <w:rsid w:val="0BF21410"/>
    <w:rsid w:val="0CAE262A"/>
    <w:rsid w:val="0CC95493"/>
    <w:rsid w:val="0D5D5C42"/>
    <w:rsid w:val="0D663119"/>
    <w:rsid w:val="0E7E2314"/>
    <w:rsid w:val="0F7E4409"/>
    <w:rsid w:val="0F9A16CA"/>
    <w:rsid w:val="0FB32746"/>
    <w:rsid w:val="0FD61CDB"/>
    <w:rsid w:val="10024BEC"/>
    <w:rsid w:val="11640CA3"/>
    <w:rsid w:val="11754B9A"/>
    <w:rsid w:val="1191099B"/>
    <w:rsid w:val="12353631"/>
    <w:rsid w:val="12F9640D"/>
    <w:rsid w:val="13CE280D"/>
    <w:rsid w:val="13DE0C95"/>
    <w:rsid w:val="14B872A2"/>
    <w:rsid w:val="14CB430E"/>
    <w:rsid w:val="151627A4"/>
    <w:rsid w:val="154316E9"/>
    <w:rsid w:val="15A54611"/>
    <w:rsid w:val="16C642E2"/>
    <w:rsid w:val="17895673"/>
    <w:rsid w:val="17E92F76"/>
    <w:rsid w:val="18B34294"/>
    <w:rsid w:val="18F356AC"/>
    <w:rsid w:val="1A314D45"/>
    <w:rsid w:val="1A553411"/>
    <w:rsid w:val="1AC26E49"/>
    <w:rsid w:val="1B364FC5"/>
    <w:rsid w:val="1B724B8D"/>
    <w:rsid w:val="1B9D342C"/>
    <w:rsid w:val="1CF87497"/>
    <w:rsid w:val="1D1125A5"/>
    <w:rsid w:val="1D7D135C"/>
    <w:rsid w:val="1D9F2B7E"/>
    <w:rsid w:val="1DD71A40"/>
    <w:rsid w:val="1DDD6EE7"/>
    <w:rsid w:val="1E1B14F4"/>
    <w:rsid w:val="1E2376B8"/>
    <w:rsid w:val="1E9E35CF"/>
    <w:rsid w:val="1FA0111D"/>
    <w:rsid w:val="1FD45831"/>
    <w:rsid w:val="1FFFDB24"/>
    <w:rsid w:val="20152D4D"/>
    <w:rsid w:val="210B5E5D"/>
    <w:rsid w:val="212C68F7"/>
    <w:rsid w:val="21A91D86"/>
    <w:rsid w:val="21D31A0B"/>
    <w:rsid w:val="22190153"/>
    <w:rsid w:val="22D91B4D"/>
    <w:rsid w:val="22E45F44"/>
    <w:rsid w:val="22F30A66"/>
    <w:rsid w:val="235D2694"/>
    <w:rsid w:val="23B54577"/>
    <w:rsid w:val="23D8711C"/>
    <w:rsid w:val="23E03011"/>
    <w:rsid w:val="23E644BF"/>
    <w:rsid w:val="242D2F82"/>
    <w:rsid w:val="252F7F08"/>
    <w:rsid w:val="257A33DD"/>
    <w:rsid w:val="26101502"/>
    <w:rsid w:val="26301703"/>
    <w:rsid w:val="26312427"/>
    <w:rsid w:val="265F15C6"/>
    <w:rsid w:val="26665E8F"/>
    <w:rsid w:val="26AE2C75"/>
    <w:rsid w:val="26E45C12"/>
    <w:rsid w:val="27396FBB"/>
    <w:rsid w:val="274E3B17"/>
    <w:rsid w:val="2791259C"/>
    <w:rsid w:val="288602EB"/>
    <w:rsid w:val="289522DC"/>
    <w:rsid w:val="28B54172"/>
    <w:rsid w:val="28CD627E"/>
    <w:rsid w:val="28F925C5"/>
    <w:rsid w:val="29583C63"/>
    <w:rsid w:val="295A377A"/>
    <w:rsid w:val="2988337C"/>
    <w:rsid w:val="2999706A"/>
    <w:rsid w:val="2A170BA9"/>
    <w:rsid w:val="2A1C61F4"/>
    <w:rsid w:val="2A457141"/>
    <w:rsid w:val="2AB10703"/>
    <w:rsid w:val="2AB925A6"/>
    <w:rsid w:val="2ABF0732"/>
    <w:rsid w:val="2AE9757C"/>
    <w:rsid w:val="2B692014"/>
    <w:rsid w:val="2B9F4B67"/>
    <w:rsid w:val="2C1E78EF"/>
    <w:rsid w:val="2CC95AF1"/>
    <w:rsid w:val="2CFF4012"/>
    <w:rsid w:val="2D460A65"/>
    <w:rsid w:val="2D5F2735"/>
    <w:rsid w:val="2D731E23"/>
    <w:rsid w:val="2D991649"/>
    <w:rsid w:val="2DA53EE9"/>
    <w:rsid w:val="2DC01BA9"/>
    <w:rsid w:val="2E012BCF"/>
    <w:rsid w:val="2E1813EB"/>
    <w:rsid w:val="2E4C4263"/>
    <w:rsid w:val="2E90235E"/>
    <w:rsid w:val="2ED855DC"/>
    <w:rsid w:val="2EF97F3D"/>
    <w:rsid w:val="2F012479"/>
    <w:rsid w:val="2F3063B0"/>
    <w:rsid w:val="2F7E3368"/>
    <w:rsid w:val="2F9037FD"/>
    <w:rsid w:val="2FA02A2D"/>
    <w:rsid w:val="309E7958"/>
    <w:rsid w:val="31150C1C"/>
    <w:rsid w:val="31282451"/>
    <w:rsid w:val="3187714B"/>
    <w:rsid w:val="31B87F5A"/>
    <w:rsid w:val="31C97385"/>
    <w:rsid w:val="32961C59"/>
    <w:rsid w:val="32A60981"/>
    <w:rsid w:val="33B421B0"/>
    <w:rsid w:val="344C063B"/>
    <w:rsid w:val="345702F2"/>
    <w:rsid w:val="3511718E"/>
    <w:rsid w:val="35D74AA2"/>
    <w:rsid w:val="35E825E5"/>
    <w:rsid w:val="36F315D1"/>
    <w:rsid w:val="375174CA"/>
    <w:rsid w:val="377D76A5"/>
    <w:rsid w:val="37BA4D62"/>
    <w:rsid w:val="38800BCE"/>
    <w:rsid w:val="39B87363"/>
    <w:rsid w:val="39D32C64"/>
    <w:rsid w:val="39FE6225"/>
    <w:rsid w:val="3A52456F"/>
    <w:rsid w:val="3C7A4646"/>
    <w:rsid w:val="3D2F4D33"/>
    <w:rsid w:val="3D934D21"/>
    <w:rsid w:val="3D982B40"/>
    <w:rsid w:val="3EBF0024"/>
    <w:rsid w:val="3EFB32F9"/>
    <w:rsid w:val="3F670340"/>
    <w:rsid w:val="3F8D0A1C"/>
    <w:rsid w:val="3F8D481B"/>
    <w:rsid w:val="3FED4C7D"/>
    <w:rsid w:val="40A10D8F"/>
    <w:rsid w:val="41FF7556"/>
    <w:rsid w:val="424F183F"/>
    <w:rsid w:val="42563CD8"/>
    <w:rsid w:val="42C75BF2"/>
    <w:rsid w:val="42FE3DA9"/>
    <w:rsid w:val="44767610"/>
    <w:rsid w:val="45EB2FC3"/>
    <w:rsid w:val="463A1047"/>
    <w:rsid w:val="46C95B25"/>
    <w:rsid w:val="46EF55A4"/>
    <w:rsid w:val="473FC920"/>
    <w:rsid w:val="479E6FA7"/>
    <w:rsid w:val="480B6841"/>
    <w:rsid w:val="48A26C93"/>
    <w:rsid w:val="49CD3F23"/>
    <w:rsid w:val="4A712E70"/>
    <w:rsid w:val="4A753438"/>
    <w:rsid w:val="4AAF372E"/>
    <w:rsid w:val="4B3FD0A0"/>
    <w:rsid w:val="4B6C378C"/>
    <w:rsid w:val="4B8015C3"/>
    <w:rsid w:val="4BE1644A"/>
    <w:rsid w:val="4BE61418"/>
    <w:rsid w:val="4C23667A"/>
    <w:rsid w:val="4C6B006F"/>
    <w:rsid w:val="4CBD2724"/>
    <w:rsid w:val="4CCC7142"/>
    <w:rsid w:val="4CEA2948"/>
    <w:rsid w:val="4D0759AB"/>
    <w:rsid w:val="4D0B68F4"/>
    <w:rsid w:val="4D4F106A"/>
    <w:rsid w:val="4DE65204"/>
    <w:rsid w:val="4E057E10"/>
    <w:rsid w:val="4E0C1A7B"/>
    <w:rsid w:val="4E427358"/>
    <w:rsid w:val="4E4A5082"/>
    <w:rsid w:val="4EF84EA5"/>
    <w:rsid w:val="4F096734"/>
    <w:rsid w:val="50F43794"/>
    <w:rsid w:val="5103050C"/>
    <w:rsid w:val="515F2F26"/>
    <w:rsid w:val="520F2560"/>
    <w:rsid w:val="520F50C0"/>
    <w:rsid w:val="5228160F"/>
    <w:rsid w:val="5266163F"/>
    <w:rsid w:val="52695CE7"/>
    <w:rsid w:val="526A6404"/>
    <w:rsid w:val="527256FE"/>
    <w:rsid w:val="528B0439"/>
    <w:rsid w:val="52A93298"/>
    <w:rsid w:val="52D0326C"/>
    <w:rsid w:val="53764259"/>
    <w:rsid w:val="538752BB"/>
    <w:rsid w:val="53B105D6"/>
    <w:rsid w:val="53E52257"/>
    <w:rsid w:val="53F521BD"/>
    <w:rsid w:val="546D5D37"/>
    <w:rsid w:val="549239F0"/>
    <w:rsid w:val="549F21E3"/>
    <w:rsid w:val="54BF6E98"/>
    <w:rsid w:val="550C577D"/>
    <w:rsid w:val="559823FB"/>
    <w:rsid w:val="562710BD"/>
    <w:rsid w:val="56CF0A18"/>
    <w:rsid w:val="57473374"/>
    <w:rsid w:val="57BF7292"/>
    <w:rsid w:val="581A32CF"/>
    <w:rsid w:val="58210945"/>
    <w:rsid w:val="58CB483C"/>
    <w:rsid w:val="595F3762"/>
    <w:rsid w:val="59967ADE"/>
    <w:rsid w:val="5ABD594C"/>
    <w:rsid w:val="5AF17435"/>
    <w:rsid w:val="5BF85FBF"/>
    <w:rsid w:val="5C8B500E"/>
    <w:rsid w:val="5CBD1A19"/>
    <w:rsid w:val="5CE2756E"/>
    <w:rsid w:val="5E0038DD"/>
    <w:rsid w:val="5E130566"/>
    <w:rsid w:val="5E231B5D"/>
    <w:rsid w:val="5ECB68F1"/>
    <w:rsid w:val="5ED7038A"/>
    <w:rsid w:val="5EE522DB"/>
    <w:rsid w:val="5EF05EC6"/>
    <w:rsid w:val="5F637F61"/>
    <w:rsid w:val="60843A00"/>
    <w:rsid w:val="6183404F"/>
    <w:rsid w:val="61CC295C"/>
    <w:rsid w:val="61FA6391"/>
    <w:rsid w:val="628E2D62"/>
    <w:rsid w:val="62C96B22"/>
    <w:rsid w:val="63382F24"/>
    <w:rsid w:val="633A04D8"/>
    <w:rsid w:val="63857560"/>
    <w:rsid w:val="64552344"/>
    <w:rsid w:val="647F1910"/>
    <w:rsid w:val="649D0AAA"/>
    <w:rsid w:val="64CE0E71"/>
    <w:rsid w:val="6523167D"/>
    <w:rsid w:val="654B49B2"/>
    <w:rsid w:val="65547D54"/>
    <w:rsid w:val="65CE6593"/>
    <w:rsid w:val="66304FF1"/>
    <w:rsid w:val="6643416E"/>
    <w:rsid w:val="664E1619"/>
    <w:rsid w:val="66FB7A7A"/>
    <w:rsid w:val="67B2192C"/>
    <w:rsid w:val="67E378E9"/>
    <w:rsid w:val="683E284C"/>
    <w:rsid w:val="68470CF7"/>
    <w:rsid w:val="68F95B68"/>
    <w:rsid w:val="69281281"/>
    <w:rsid w:val="6979505C"/>
    <w:rsid w:val="69F81AD9"/>
    <w:rsid w:val="6A563346"/>
    <w:rsid w:val="6A97489F"/>
    <w:rsid w:val="6B1F3E9F"/>
    <w:rsid w:val="6B5B7C6C"/>
    <w:rsid w:val="6BE84079"/>
    <w:rsid w:val="6BF701B7"/>
    <w:rsid w:val="6CA94B35"/>
    <w:rsid w:val="6DBF3C8C"/>
    <w:rsid w:val="6DC32068"/>
    <w:rsid w:val="6E196C35"/>
    <w:rsid w:val="6E1C0F85"/>
    <w:rsid w:val="6E2C7E76"/>
    <w:rsid w:val="6EC33D48"/>
    <w:rsid w:val="6EC5333D"/>
    <w:rsid w:val="6FEBBCE1"/>
    <w:rsid w:val="704B561B"/>
    <w:rsid w:val="709D44EA"/>
    <w:rsid w:val="71066EA0"/>
    <w:rsid w:val="71352A9F"/>
    <w:rsid w:val="71372196"/>
    <w:rsid w:val="715A4330"/>
    <w:rsid w:val="71881FAB"/>
    <w:rsid w:val="71B72875"/>
    <w:rsid w:val="72070621"/>
    <w:rsid w:val="728141BC"/>
    <w:rsid w:val="72BF348D"/>
    <w:rsid w:val="72D53FF4"/>
    <w:rsid w:val="738F087F"/>
    <w:rsid w:val="74146D69"/>
    <w:rsid w:val="745E35E9"/>
    <w:rsid w:val="74924EB1"/>
    <w:rsid w:val="75980FA2"/>
    <w:rsid w:val="75A30E48"/>
    <w:rsid w:val="75F06371"/>
    <w:rsid w:val="75FE4E59"/>
    <w:rsid w:val="76111EBF"/>
    <w:rsid w:val="76165796"/>
    <w:rsid w:val="76462F4A"/>
    <w:rsid w:val="766522C1"/>
    <w:rsid w:val="768F7269"/>
    <w:rsid w:val="76AD7D0D"/>
    <w:rsid w:val="771D03CC"/>
    <w:rsid w:val="77482884"/>
    <w:rsid w:val="777D7419"/>
    <w:rsid w:val="7791331E"/>
    <w:rsid w:val="77B52BF4"/>
    <w:rsid w:val="77B77CAF"/>
    <w:rsid w:val="77BB8D1D"/>
    <w:rsid w:val="77F74E6E"/>
    <w:rsid w:val="79121791"/>
    <w:rsid w:val="795872A9"/>
    <w:rsid w:val="79A74924"/>
    <w:rsid w:val="7ADB027E"/>
    <w:rsid w:val="7B5C0141"/>
    <w:rsid w:val="7C081F3B"/>
    <w:rsid w:val="7CA4233D"/>
    <w:rsid w:val="7CF8574F"/>
    <w:rsid w:val="7D313800"/>
    <w:rsid w:val="7D3D3C88"/>
    <w:rsid w:val="7D432827"/>
    <w:rsid w:val="7D7809E9"/>
    <w:rsid w:val="7DB7D9CE"/>
    <w:rsid w:val="7DD84B2E"/>
    <w:rsid w:val="7E8933B3"/>
    <w:rsid w:val="7F034A45"/>
    <w:rsid w:val="7F274BD8"/>
    <w:rsid w:val="7F2C070C"/>
    <w:rsid w:val="7FBD040E"/>
    <w:rsid w:val="AFEEF574"/>
    <w:rsid w:val="B7FA5A7C"/>
    <w:rsid w:val="D5DB9557"/>
    <w:rsid w:val="DDEBC6D2"/>
    <w:rsid w:val="DE79C9C2"/>
    <w:rsid w:val="E275E5D4"/>
    <w:rsid w:val="E2D5DFBC"/>
    <w:rsid w:val="F3B9456B"/>
    <w:rsid w:val="F9F7516C"/>
    <w:rsid w:val="FDF67C7E"/>
    <w:rsid w:val="FEEFFC45"/>
    <w:rsid w:val="FEFD0009"/>
    <w:rsid w:val="FFEDD15D"/>
    <w:rsid w:val="FFFF9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qFormat="1" w:unhideWhenUsed="0" w:uiPriority="0" w:semiHidden="0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qFormat="1"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  <w:rPr>
      <w:rFonts w:ascii="Calibri" w:hAnsi="Calibri" w:eastAsia="宋体"/>
      <w:sz w:val="21"/>
      <w:szCs w:val="24"/>
    </w:rPr>
  </w:style>
  <w:style w:type="paragraph" w:styleId="3">
    <w:name w:val="Body Text"/>
    <w:basedOn w:val="1"/>
    <w:next w:val="1"/>
    <w:qFormat/>
    <w:uiPriority w:val="0"/>
    <w:rPr>
      <w:rFonts w:ascii="Calibri" w:hAnsi="Calibri" w:eastAsia="宋体" w:cs="Arial"/>
      <w:sz w:val="21"/>
    </w:rPr>
  </w:style>
  <w:style w:type="paragraph" w:styleId="4">
    <w:name w:val="Body Text Indent"/>
    <w:basedOn w:val="1"/>
    <w:next w:val="1"/>
    <w:unhideWhenUsed/>
    <w:qFormat/>
    <w:uiPriority w:val="99"/>
    <w:pPr>
      <w:spacing w:after="120"/>
      <w:ind w:left="420" w:leftChars="200"/>
    </w:pPr>
  </w:style>
  <w:style w:type="paragraph" w:styleId="5">
    <w:name w:val="Plain Text"/>
    <w:basedOn w:val="1"/>
    <w:next w:val="6"/>
    <w:qFormat/>
    <w:uiPriority w:val="0"/>
    <w:rPr>
      <w:rFonts w:ascii="宋体" w:hAnsi="Courier New" w:cs="黑体"/>
    </w:rPr>
  </w:style>
  <w:style w:type="paragraph" w:styleId="6">
    <w:name w:val="List Number 5"/>
    <w:basedOn w:val="1"/>
    <w:semiHidden/>
    <w:unhideWhenUsed/>
    <w:qFormat/>
    <w:uiPriority w:val="99"/>
    <w:pPr>
      <w:numPr>
        <w:ilvl w:val="0"/>
        <w:numId w:val="1"/>
      </w:numPr>
    </w:pPr>
  </w:style>
  <w:style w:type="paragraph" w:styleId="7">
    <w:name w:val="Body Text Indent 2"/>
    <w:next w:val="3"/>
    <w:qFormat/>
    <w:uiPriority w:val="0"/>
    <w:pPr>
      <w:widowControl w:val="0"/>
      <w:spacing w:after="120" w:line="480" w:lineRule="auto"/>
      <w:ind w:left="420" w:left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next w:val="8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toc 1"/>
    <w:basedOn w:val="1"/>
    <w:next w:val="1"/>
    <w:qFormat/>
    <w:uiPriority w:val="0"/>
  </w:style>
  <w:style w:type="paragraph" w:styleId="11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12">
    <w:name w:val="toc 2"/>
    <w:basedOn w:val="1"/>
    <w:next w:val="1"/>
    <w:qFormat/>
    <w:uiPriority w:val="0"/>
    <w:pPr>
      <w:ind w:left="420" w:leftChars="200"/>
    </w:pPr>
  </w:style>
  <w:style w:type="paragraph" w:styleId="13">
    <w:name w:val="Body Text First Indent 2"/>
    <w:basedOn w:val="4"/>
    <w:next w:val="5"/>
    <w:qFormat/>
    <w:uiPriority w:val="0"/>
    <w:pPr>
      <w:spacing w:line="560" w:lineRule="exact"/>
      <w:ind w:firstLine="420" w:firstLineChars="200"/>
    </w:pPr>
    <w:rPr>
      <w:rFonts w:ascii="Times New Roman" w:hAnsi="Times New Roman" w:eastAsia="仿宋" w:cs="Times New Roman"/>
      <w:sz w:val="32"/>
      <w:szCs w:val="22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17">
    <w:name w:val="Strong"/>
    <w:basedOn w:val="16"/>
    <w:qFormat/>
    <w:uiPriority w:val="22"/>
    <w:rPr>
      <w:b/>
    </w:rPr>
  </w:style>
  <w:style w:type="character" w:styleId="18">
    <w:name w:val="footnote reference"/>
    <w:basedOn w:val="16"/>
    <w:qFormat/>
    <w:uiPriority w:val="0"/>
    <w:rPr>
      <w:vertAlign w:val="superscript"/>
    </w:rPr>
  </w:style>
  <w:style w:type="paragraph" w:customStyle="1" w:styleId="19">
    <w:name w:val="Char Char Char"/>
    <w:basedOn w:val="1"/>
    <w:qFormat/>
    <w:uiPriority w:val="99"/>
    <w:rPr>
      <w:sz w:val="21"/>
      <w:szCs w:val="21"/>
    </w:rPr>
  </w:style>
  <w:style w:type="paragraph" w:customStyle="1" w:styleId="20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1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3642</Words>
  <Characters>3814</Characters>
  <Lines>1</Lines>
  <Paragraphs>1</Paragraphs>
  <TotalTime>8</TotalTime>
  <ScaleCrop>false</ScaleCrop>
  <LinksUpToDate>false</LinksUpToDate>
  <CharactersWithSpaces>3834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2008-09-17T01:20:00Z</dcterms:created>
  <dc:creator>Administrator</dc:creator>
  <cp:lastModifiedBy>Administrator</cp:lastModifiedBy>
  <cp:lastPrinted>2026-10-01T01:52:00Z</cp:lastPrinted>
  <dcterms:modified xsi:type="dcterms:W3CDTF">2026-10-19T03:52:16Z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88B6E9260AFA49ED9B377378905582FF_13</vt:lpwstr>
  </property>
  <property fmtid="{D5CDD505-2E9C-101B-9397-08002B2CF9AE}" pid="4" name="KSOTemplateDocerSaveRecord">
    <vt:lpwstr>eyJoZGlkIjoiYjBhYzZmNjUwZTk0ZDNmMzM2NTk1ZGQ1OGI1NTMzNTUiLCJ1c2VySWQiOiI1MDgxNTg3NTYifQ==</vt:lpwstr>
  </property>
</Properties>
</file>