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ind w:firstLine="177" w:firstLineChars="45"/>
        <w:jc w:val="center"/>
        <w:rPr>
          <w:rFonts w:ascii="方正小标宋_GBK" w:hAnsi="方正小标宋_GBK" w:eastAsia="方正小标宋_GBK" w:cs="方正小标宋_GBK"/>
          <w:w w:val="9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90"/>
          <w:sz w:val="44"/>
          <w:szCs w:val="44"/>
        </w:rPr>
        <w:t>重庆益康汽车</w:t>
      </w:r>
      <w:r>
        <w:rPr>
          <w:rFonts w:ascii="方正小标宋_GBK" w:hAnsi="方正小标宋_GBK" w:eastAsia="方正小标宋_GBK" w:cs="方正小标宋_GBK"/>
          <w:w w:val="90"/>
          <w:sz w:val="44"/>
          <w:szCs w:val="44"/>
        </w:rPr>
        <w:t>销售服务有限公司</w:t>
      </w:r>
    </w:p>
    <w:p>
      <w:pPr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“</w:t>
      </w:r>
      <w:r>
        <w:rPr>
          <w:rFonts w:ascii="方正小标宋_GBK" w:eastAsia="方正小标宋_GBK"/>
          <w:color w:val="000000"/>
          <w:sz w:val="44"/>
          <w:szCs w:val="44"/>
        </w:rPr>
        <w:t>7</w:t>
      </w:r>
      <w:r>
        <w:rPr>
          <w:rFonts w:hint="eastAsia" w:ascii="方正小标宋_GBK" w:eastAsia="方正小标宋_GBK"/>
          <w:color w:val="000000"/>
          <w:sz w:val="44"/>
          <w:szCs w:val="44"/>
        </w:rPr>
        <w:t>·</w:t>
      </w:r>
      <w:r>
        <w:rPr>
          <w:rFonts w:ascii="方正小标宋_GBK" w:eastAsia="方正小标宋_GBK"/>
          <w:color w:val="000000"/>
          <w:sz w:val="44"/>
          <w:szCs w:val="44"/>
        </w:rPr>
        <w:t>3</w:t>
      </w:r>
      <w:r>
        <w:rPr>
          <w:rFonts w:hint="eastAsia" w:ascii="方正小标宋_GBK" w:eastAsia="方正小标宋_GBK"/>
          <w:color w:val="000000"/>
          <w:sz w:val="44"/>
          <w:szCs w:val="44"/>
        </w:rPr>
        <w:t>”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道路运输一般事故调查报告</w:t>
      </w:r>
    </w:p>
    <w:p>
      <w:pPr>
        <w:pStyle w:val="2"/>
        <w:rPr>
          <w:rFonts w:hint="eastAsia"/>
        </w:rPr>
      </w:pP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eastAsia="华文仿宋"/>
          <w:color w:val="000000"/>
          <w:szCs w:val="32"/>
        </w:rPr>
        <w:t>2023</w:t>
      </w:r>
      <w:r>
        <w:rPr>
          <w:rFonts w:hint="eastAsia" w:ascii="华文仿宋" w:hAnsi="华文仿宋" w:eastAsia="华文仿宋" w:cs="华文仿宋"/>
          <w:color w:val="000000"/>
          <w:szCs w:val="32"/>
        </w:rPr>
        <w:t>年</w:t>
      </w:r>
      <w:r>
        <w:rPr>
          <w:rFonts w:eastAsia="华文仿宋"/>
          <w:color w:val="000000"/>
          <w:szCs w:val="32"/>
        </w:rPr>
        <w:t>7</w:t>
      </w:r>
      <w:r>
        <w:rPr>
          <w:rFonts w:hint="eastAsia" w:ascii="华文仿宋" w:hAnsi="华文仿宋" w:eastAsia="华文仿宋" w:cs="华文仿宋"/>
          <w:color w:val="000000"/>
          <w:szCs w:val="32"/>
        </w:rPr>
        <w:t>月</w:t>
      </w:r>
      <w:r>
        <w:rPr>
          <w:rFonts w:eastAsia="华文仿宋"/>
          <w:color w:val="000000"/>
          <w:szCs w:val="32"/>
        </w:rPr>
        <w:t>3</w:t>
      </w:r>
      <w:r>
        <w:rPr>
          <w:rFonts w:hint="eastAsia" w:ascii="华文仿宋" w:hAnsi="华文仿宋" w:eastAsia="华文仿宋" w:cs="华文仿宋"/>
          <w:color w:val="000000"/>
          <w:szCs w:val="32"/>
        </w:rPr>
        <w:t>日</w:t>
      </w:r>
      <w:r>
        <w:rPr>
          <w:rFonts w:eastAsia="华文仿宋"/>
          <w:color w:val="000000"/>
          <w:szCs w:val="32"/>
        </w:rPr>
        <w:t>5</w:t>
      </w:r>
      <w:r>
        <w:rPr>
          <w:rFonts w:hint="eastAsia" w:ascii="华文仿宋" w:hAnsi="华文仿宋" w:eastAsia="华文仿宋" w:cs="华文仿宋"/>
          <w:color w:val="000000"/>
          <w:szCs w:val="32"/>
        </w:rPr>
        <w:t>时</w:t>
      </w:r>
      <w:r>
        <w:rPr>
          <w:rFonts w:eastAsia="华文仿宋"/>
          <w:color w:val="000000"/>
          <w:szCs w:val="32"/>
        </w:rPr>
        <w:t>52</w:t>
      </w:r>
      <w:r>
        <w:rPr>
          <w:rFonts w:hint="eastAsia" w:ascii="华文仿宋" w:hAnsi="华文仿宋" w:eastAsia="华文仿宋" w:cs="华文仿宋"/>
          <w:color w:val="000000"/>
          <w:szCs w:val="32"/>
        </w:rPr>
        <w:t>分，在九龙坡区华美路华福</w:t>
      </w:r>
      <w:r>
        <w:rPr>
          <w:rFonts w:ascii="华文仿宋" w:hAnsi="华文仿宋" w:eastAsia="华文仿宋" w:cs="华文仿宋"/>
          <w:color w:val="000000"/>
          <w:szCs w:val="32"/>
        </w:rPr>
        <w:t>生活广场路段人行横道，</w:t>
      </w:r>
      <w:r>
        <w:rPr>
          <w:rFonts w:hint="eastAsia" w:ascii="华文仿宋" w:hAnsi="华文仿宋" w:eastAsia="华文仿宋" w:cs="华文仿宋"/>
          <w:color w:val="000000"/>
          <w:szCs w:val="32"/>
        </w:rPr>
        <w:t>发生一起道路运输一般事故，造成</w:t>
      </w:r>
      <w:r>
        <w:rPr>
          <w:rFonts w:eastAsia="华文仿宋"/>
          <w:color w:val="000000"/>
          <w:szCs w:val="32"/>
        </w:rPr>
        <w:t>1</w:t>
      </w:r>
      <w:r>
        <w:rPr>
          <w:rFonts w:hint="eastAsia" w:ascii="华文仿宋" w:hAnsi="华文仿宋" w:eastAsia="华文仿宋" w:cs="华文仿宋"/>
          <w:color w:val="000000"/>
          <w:szCs w:val="32"/>
        </w:rPr>
        <w:t>人死亡。</w:t>
      </w:r>
    </w:p>
    <w:p>
      <w:pPr>
        <w:snapToGrid w:val="0"/>
        <w:spacing w:line="600" w:lineRule="exact"/>
        <w:ind w:firstLine="632" w:firstLineChars="200"/>
        <w:jc w:val="left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根据《中华人民共和国安全生产法》、《中华人民共和国道路交通安全法》、《生产安全事故报告和调查处理条例》（国务院令第</w:t>
      </w:r>
      <w:r>
        <w:rPr>
          <w:rFonts w:eastAsia="华文仿宋"/>
          <w:color w:val="000000"/>
          <w:szCs w:val="32"/>
        </w:rPr>
        <w:t>493</w:t>
      </w:r>
      <w:r>
        <w:rPr>
          <w:rFonts w:hint="eastAsia" w:ascii="华文仿宋" w:hAnsi="华文仿宋" w:eastAsia="华文仿宋" w:cs="华文仿宋"/>
          <w:color w:val="000000"/>
          <w:szCs w:val="32"/>
        </w:rPr>
        <w:t>号）等有关法律法规之规定，受重庆市九龙坡区人民政府委托，成立了由区应急管理局任组长单位的重庆益康汽车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有限公司“</w:t>
      </w:r>
      <w:r>
        <w:rPr>
          <w:rFonts w:eastAsia="华文仿宋"/>
          <w:color w:val="000000"/>
          <w:szCs w:val="32"/>
        </w:rPr>
        <w:t>7</w:t>
      </w:r>
      <w:r>
        <w:rPr>
          <w:rFonts w:hint="eastAsia" w:eastAsia="华文仿宋"/>
          <w:color w:val="000000"/>
          <w:szCs w:val="32"/>
        </w:rPr>
        <w:t>·</w:t>
      </w:r>
      <w:r>
        <w:rPr>
          <w:rFonts w:eastAsia="华文仿宋"/>
          <w:color w:val="000000"/>
          <w:szCs w:val="32"/>
        </w:rPr>
        <w:t>3</w:t>
      </w:r>
      <w:r>
        <w:rPr>
          <w:rFonts w:ascii="华文仿宋" w:hAnsi="华文仿宋" w:eastAsia="华文仿宋" w:cs="华文仿宋"/>
          <w:color w:val="000000"/>
          <w:szCs w:val="32"/>
        </w:rPr>
        <w:t>”</w:t>
      </w:r>
      <w:r>
        <w:rPr>
          <w:rFonts w:hint="eastAsia" w:ascii="华文仿宋" w:hAnsi="华文仿宋" w:eastAsia="华文仿宋" w:cs="华文仿宋"/>
          <w:color w:val="000000"/>
          <w:szCs w:val="32"/>
        </w:rPr>
        <w:t>道路运输一般事故调查组，区公安分局、区总工会、区交巡警支队派员参加</w:t>
      </w:r>
      <w:r>
        <w:rPr>
          <w:rFonts w:hint="eastAsia" w:ascii="方正仿宋_GBK"/>
          <w:szCs w:val="32"/>
        </w:rPr>
        <w:t>，</w:t>
      </w:r>
      <w:r>
        <w:rPr>
          <w:rFonts w:hint="eastAsia" w:ascii="华文仿宋" w:hAnsi="华文仿宋" w:eastAsia="华文仿宋" w:cs="华文仿宋"/>
          <w:color w:val="000000"/>
          <w:szCs w:val="32"/>
        </w:rPr>
        <w:t>并邀请区纪委监委机关、区检察院、綦江区应急局派员参加，全面负责事故调查工作。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事故调查组坚持“科学严谨、依法依规、实事求是、注重实效”和“四不放过”的原则深入开展事故调查工作。通过现场勘验、查阅资料、调查取证，查明了事故发生的经过、原因、人员伤亡和直接经济损失，认定了事故性质和责任，提出了对有关责任人员和责任单位的处理建议，并针对事故暴露出的问题和教训，提出了事故防范措施建议。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调查认定，重庆益康汽车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有限公司“</w:t>
      </w:r>
      <w:r>
        <w:rPr>
          <w:rFonts w:eastAsia="华文仿宋"/>
          <w:color w:val="000000"/>
          <w:szCs w:val="32"/>
        </w:rPr>
        <w:t>7</w:t>
      </w:r>
      <w:r>
        <w:rPr>
          <w:rFonts w:hint="eastAsia" w:eastAsia="华文仿宋"/>
          <w:color w:val="000000"/>
          <w:szCs w:val="32"/>
        </w:rPr>
        <w:t>·</w:t>
      </w:r>
      <w:r>
        <w:rPr>
          <w:rFonts w:eastAsia="华文仿宋"/>
          <w:color w:val="000000"/>
          <w:szCs w:val="32"/>
        </w:rPr>
        <w:t>3</w:t>
      </w:r>
      <w:r>
        <w:rPr>
          <w:rFonts w:ascii="华文仿宋" w:hAnsi="华文仿宋" w:eastAsia="华文仿宋" w:cs="华文仿宋"/>
          <w:color w:val="000000"/>
          <w:szCs w:val="32"/>
        </w:rPr>
        <w:t>”</w:t>
      </w:r>
      <w:r>
        <w:rPr>
          <w:rFonts w:hint="eastAsia" w:ascii="华文仿宋" w:hAnsi="华文仿宋" w:eastAsia="华文仿宋" w:cs="华文仿宋"/>
          <w:color w:val="000000"/>
          <w:szCs w:val="32"/>
        </w:rPr>
        <w:t>道路运输事故是一起一般生产安全责任事故。</w:t>
      </w:r>
    </w:p>
    <w:p>
      <w:pPr>
        <w:spacing w:line="600" w:lineRule="exact"/>
        <w:ind w:firstLine="632" w:firstLineChars="200"/>
        <w:rPr>
          <w:rFonts w:ascii="方正黑体_GBK" w:hAnsi="黑体" w:eastAsia="方正黑体_GBK" w:cs="黑体"/>
          <w:color w:val="000000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一、基本情况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（一）事故车辆基本情况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车辆号牌：</w:t>
      </w:r>
      <w:r>
        <w:rPr>
          <w:rFonts w:hint="eastAsia" w:eastAsia="华文仿宋"/>
          <w:color w:val="000000"/>
          <w:szCs w:val="32"/>
          <w:lang w:eastAsia="zh-CN"/>
        </w:rPr>
        <w:t>渝A*****5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，小型轿车；车辆所有人：重庆益康汽车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有限公司；登记住所：重庆市沙坪坝区金桥路6号附3号；使用性质：预约出租客运；品牌型号：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东风牌SK******5</w:t>
      </w:r>
      <w:r>
        <w:rPr>
          <w:rFonts w:hint="eastAsia" w:ascii="华文仿宋" w:hAnsi="华文仿宋" w:eastAsia="华文仿宋" w:cs="华文仿宋"/>
          <w:color w:val="000000"/>
          <w:szCs w:val="32"/>
        </w:rPr>
        <w:t>；车辆识别代号：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LM************S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，发动机号：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KC******7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，检验有效期止：2023-12-31；中国平安财产保险股份有限公司承保机动车交通事故责任强制保险，保险单号：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118************57</w:t>
      </w: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。              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（二）事故车辆驾驶人基本情况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，男，土家族。户籍登记地址：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重庆市蔡江区******附1号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，身份证号：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510223***********5</w:t>
      </w:r>
      <w:r>
        <w:rPr>
          <w:rFonts w:hint="eastAsia" w:ascii="华文仿宋" w:hAnsi="华文仿宋" w:eastAsia="华文仿宋" w:cs="华文仿宋"/>
          <w:color w:val="000000"/>
          <w:szCs w:val="32"/>
        </w:rPr>
        <w:t>；持C1机动车驾驶证，驾驶证档案编号：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500******1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，初次领证日期：2017-11-14，有效期止：2023-11-14；联系电话：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136*******5</w:t>
      </w: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。                       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（三）事故道路及交通环境情况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现场位于重庆市九龙坡区华美路华福生活广场路段人行横道，道路走向为华福大道北段往二纵线方向，该路段设有人行横道，道路中间金属护栏隔离，交通标线控制，沥青路面，路面完好，干燥，黎明。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（四）</w:t>
      </w:r>
      <w:r>
        <w:rPr>
          <w:rFonts w:hint="eastAsia" w:ascii="方正楷体_GBK" w:hAnsi="华文楷体" w:eastAsia="方正楷体_GBK" w:cs="华文楷体"/>
          <w:bCs/>
          <w:szCs w:val="32"/>
        </w:rPr>
        <w:t>事故相关单位情况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有限公司，类型：</w:t>
      </w:r>
      <w:r>
        <w:rPr>
          <w:rFonts w:hint="eastAsia" w:ascii="华文仿宋" w:hAnsi="华文仿宋" w:eastAsia="华文仿宋" w:cs="华文仿宋"/>
          <w:szCs w:val="32"/>
        </w:rPr>
        <w:t>有限责任公司</w:t>
      </w:r>
      <w:r>
        <w:rPr>
          <w:rFonts w:hint="eastAsia" w:ascii="华文仿宋" w:hAnsi="华文仿宋" w:eastAsia="华文仿宋" w:cs="华文仿宋"/>
          <w:color w:val="000000"/>
          <w:szCs w:val="32"/>
        </w:rPr>
        <w:t>；营业场所：重庆市沙坪坝区享通</w:t>
      </w:r>
      <w:r>
        <w:rPr>
          <w:rFonts w:ascii="华文仿宋" w:hAnsi="华文仿宋" w:eastAsia="华文仿宋" w:cs="华文仿宋"/>
          <w:color w:val="000000"/>
          <w:szCs w:val="32"/>
        </w:rPr>
        <w:t>路</w:t>
      </w:r>
      <w:r>
        <w:rPr>
          <w:rFonts w:hint="eastAsia" w:ascii="华文仿宋" w:hAnsi="华文仿宋" w:eastAsia="华文仿宋" w:cs="华文仿宋"/>
          <w:color w:val="000000"/>
          <w:szCs w:val="32"/>
        </w:rPr>
        <w:t>35号；成立时间：</w:t>
      </w:r>
      <w:r>
        <w:rPr>
          <w:rFonts w:eastAsia="华文仿宋"/>
          <w:color w:val="000000"/>
          <w:szCs w:val="32"/>
        </w:rPr>
        <w:t>2023</w:t>
      </w:r>
      <w:r>
        <w:rPr>
          <w:rFonts w:hint="eastAsia" w:ascii="华文仿宋" w:hAnsi="华文仿宋" w:eastAsia="华文仿宋" w:cs="华文仿宋"/>
          <w:color w:val="000000"/>
          <w:szCs w:val="32"/>
        </w:rPr>
        <w:t>年</w:t>
      </w:r>
      <w:r>
        <w:rPr>
          <w:rFonts w:eastAsia="华文仿宋"/>
          <w:color w:val="000000"/>
          <w:szCs w:val="32"/>
        </w:rPr>
        <w:t>6</w:t>
      </w:r>
      <w:r>
        <w:rPr>
          <w:rFonts w:hint="eastAsia" w:ascii="华文仿宋" w:hAnsi="华文仿宋" w:eastAsia="华文仿宋" w:cs="华文仿宋"/>
          <w:color w:val="000000"/>
          <w:szCs w:val="32"/>
        </w:rPr>
        <w:t>月</w:t>
      </w:r>
      <w:r>
        <w:rPr>
          <w:rFonts w:eastAsia="华文仿宋"/>
          <w:color w:val="000000"/>
          <w:szCs w:val="32"/>
        </w:rPr>
        <w:t>15</w:t>
      </w:r>
      <w:r>
        <w:rPr>
          <w:rFonts w:hint="eastAsia" w:ascii="华文仿宋" w:hAnsi="华文仿宋" w:eastAsia="华文仿宋" w:cs="华文仿宋"/>
          <w:color w:val="000000"/>
          <w:szCs w:val="32"/>
        </w:rPr>
        <w:t>日；负责人：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陈某春</w:t>
      </w:r>
      <w:r>
        <w:rPr>
          <w:rFonts w:hint="eastAsia" w:ascii="华文仿宋" w:hAnsi="华文仿宋" w:eastAsia="华文仿宋" w:cs="华文仿宋"/>
          <w:color w:val="000000"/>
          <w:szCs w:val="32"/>
        </w:rPr>
        <w:t>；经营范围：批发、零售：汽车及配件；汽车信息咨询：汽车维修（须取得相关行政许可或审批后方可从事经营）；汽车租赁（须取得相关行政许可或审批后方可从事经营）；道路普通货运（须取得相关行政许可或审批后方可从事经营）；二手车经纪：二手车市场管理（除依法须经批准的项目外，凭营业执照依法自主开展经营活动）。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（五）其他情况</w:t>
      </w:r>
    </w:p>
    <w:p>
      <w:pPr>
        <w:spacing w:line="60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/>
          <w:szCs w:val="32"/>
        </w:rPr>
        <w:t>九龙坡区交巡警支队提供的《道路交通事故认定书》认为，驾驶人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驾驶机动车上道路行驶，行经人行横道，遇行人正在通过未停车让行</w:t>
      </w:r>
      <w:r>
        <w:rPr>
          <w:rFonts w:hint="eastAsia"/>
          <w:szCs w:val="32"/>
        </w:rPr>
        <w:t>，其行为违反了《中华人民共和国道路交通安全法》第四十七条第一款</w:t>
      </w:r>
      <w:r>
        <w:rPr>
          <w:vertAlign w:val="superscript"/>
        </w:rPr>
        <w:footnoteReference w:id="0"/>
      </w:r>
      <w:r>
        <w:rPr>
          <w:rFonts w:hint="eastAsia"/>
          <w:szCs w:val="32"/>
        </w:rPr>
        <w:t>的</w:t>
      </w:r>
      <w:r>
        <w:rPr>
          <w:szCs w:val="32"/>
        </w:rPr>
        <w:t>规定</w:t>
      </w:r>
      <w:r>
        <w:rPr>
          <w:rFonts w:hint="eastAsia"/>
          <w:szCs w:val="32"/>
        </w:rPr>
        <w:t>。</w:t>
      </w:r>
      <w:r>
        <w:rPr>
          <w:rFonts w:hint="eastAsia" w:ascii="华文仿宋" w:hAnsi="华文仿宋" w:eastAsia="华文仿宋" w:cs="华文仿宋"/>
          <w:color w:val="000000"/>
          <w:szCs w:val="32"/>
        </w:rPr>
        <w:t>行人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范某荣</w:t>
      </w:r>
      <w:r>
        <w:rPr>
          <w:rFonts w:hint="eastAsia" w:ascii="华文仿宋" w:hAnsi="华文仿宋" w:eastAsia="华文仿宋" w:cs="华文仿宋"/>
          <w:color w:val="000000"/>
          <w:szCs w:val="32"/>
        </w:rPr>
        <w:t>在此次事故中无过错，无违法行为。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承担</w:t>
      </w:r>
      <w:r>
        <w:rPr>
          <w:rFonts w:ascii="华文仿宋" w:hAnsi="华文仿宋" w:eastAsia="华文仿宋" w:cs="华文仿宋"/>
          <w:color w:val="000000"/>
          <w:szCs w:val="32"/>
        </w:rPr>
        <w:t>此次事故的</w:t>
      </w:r>
      <w:r>
        <w:rPr>
          <w:rFonts w:hint="eastAsia" w:ascii="华文仿宋" w:hAnsi="华文仿宋" w:eastAsia="华文仿宋" w:cs="华文仿宋"/>
          <w:color w:val="000000"/>
          <w:szCs w:val="32"/>
        </w:rPr>
        <w:t>全部责任，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范某荣</w:t>
      </w:r>
      <w:r>
        <w:rPr>
          <w:rFonts w:hint="eastAsia" w:ascii="华文仿宋" w:hAnsi="华文仿宋" w:eastAsia="华文仿宋" w:cs="华文仿宋"/>
          <w:color w:val="000000"/>
          <w:szCs w:val="32"/>
        </w:rPr>
        <w:t>不承担</w:t>
      </w:r>
      <w:r>
        <w:rPr>
          <w:rFonts w:ascii="华文仿宋" w:hAnsi="华文仿宋" w:eastAsia="华文仿宋" w:cs="华文仿宋"/>
          <w:color w:val="000000"/>
          <w:szCs w:val="32"/>
        </w:rPr>
        <w:t>此次事故</w:t>
      </w:r>
      <w:r>
        <w:rPr>
          <w:rFonts w:hint="eastAsia" w:ascii="华文仿宋" w:hAnsi="华文仿宋" w:eastAsia="华文仿宋" w:cs="华文仿宋"/>
          <w:color w:val="000000"/>
          <w:szCs w:val="32"/>
        </w:rPr>
        <w:t>责任。</w:t>
      </w:r>
    </w:p>
    <w:p>
      <w:pPr>
        <w:spacing w:line="600" w:lineRule="exact"/>
        <w:ind w:firstLine="632" w:firstLineChars="200"/>
        <w:rPr>
          <w:rFonts w:ascii="方正黑体_GBK" w:hAnsi="黑体" w:eastAsia="方正黑体_GBK" w:cs="黑体"/>
          <w:color w:val="000000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二、事故发生经过与伤亡人员等情况</w:t>
      </w:r>
    </w:p>
    <w:p>
      <w:pPr>
        <w:spacing w:line="60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（一）事故发生经过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eastAsia="华文仿宋"/>
          <w:color w:val="000000"/>
          <w:szCs w:val="32"/>
        </w:rPr>
        <w:t>2023</w:t>
      </w:r>
      <w:r>
        <w:rPr>
          <w:rFonts w:hint="eastAsia" w:ascii="华文仿宋" w:hAnsi="华文仿宋" w:eastAsia="华文仿宋" w:cs="华文仿宋"/>
          <w:color w:val="000000"/>
          <w:szCs w:val="32"/>
        </w:rPr>
        <w:t>年</w:t>
      </w:r>
      <w:r>
        <w:rPr>
          <w:rFonts w:eastAsia="华文仿宋"/>
          <w:color w:val="000000"/>
          <w:szCs w:val="32"/>
        </w:rPr>
        <w:t>7</w:t>
      </w:r>
      <w:r>
        <w:rPr>
          <w:rFonts w:hint="eastAsia" w:ascii="华文仿宋" w:hAnsi="华文仿宋" w:eastAsia="华文仿宋" w:cs="华文仿宋"/>
          <w:color w:val="000000"/>
          <w:szCs w:val="32"/>
        </w:rPr>
        <w:t>月</w:t>
      </w:r>
      <w:r>
        <w:rPr>
          <w:rFonts w:eastAsia="华文仿宋"/>
          <w:color w:val="000000"/>
          <w:szCs w:val="32"/>
        </w:rPr>
        <w:t>3</w:t>
      </w:r>
      <w:r>
        <w:rPr>
          <w:rFonts w:hint="eastAsia" w:ascii="华文仿宋" w:hAnsi="华文仿宋" w:eastAsia="华文仿宋" w:cs="华文仿宋"/>
          <w:color w:val="000000"/>
          <w:szCs w:val="32"/>
        </w:rPr>
        <w:t>日</w:t>
      </w:r>
      <w:r>
        <w:rPr>
          <w:rFonts w:eastAsia="华文仿宋"/>
          <w:color w:val="000000"/>
          <w:szCs w:val="32"/>
        </w:rPr>
        <w:t>5</w:t>
      </w:r>
      <w:r>
        <w:rPr>
          <w:rFonts w:hint="eastAsia" w:ascii="华文仿宋" w:hAnsi="华文仿宋" w:eastAsia="华文仿宋" w:cs="华文仿宋"/>
          <w:color w:val="000000"/>
          <w:szCs w:val="32"/>
        </w:rPr>
        <w:t>时</w:t>
      </w:r>
      <w:r>
        <w:rPr>
          <w:rFonts w:eastAsia="华文仿宋"/>
          <w:color w:val="000000"/>
          <w:szCs w:val="32"/>
        </w:rPr>
        <w:t>52</w:t>
      </w:r>
      <w:r>
        <w:rPr>
          <w:rFonts w:hint="eastAsia" w:ascii="华文仿宋" w:hAnsi="华文仿宋" w:eastAsia="华文仿宋" w:cs="华文仿宋"/>
          <w:color w:val="000000"/>
          <w:szCs w:val="32"/>
        </w:rPr>
        <w:t>分，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驾驶</w:t>
      </w:r>
      <w:r>
        <w:rPr>
          <w:rFonts w:hint="eastAsia" w:eastAsia="华文仿宋"/>
          <w:color w:val="000000"/>
          <w:szCs w:val="32"/>
          <w:lang w:eastAsia="zh-CN"/>
        </w:rPr>
        <w:t>渝A*****5</w:t>
      </w:r>
      <w:r>
        <w:rPr>
          <w:rFonts w:hint="eastAsia" w:eastAsia="华文仿宋"/>
          <w:color w:val="000000"/>
          <w:szCs w:val="32"/>
        </w:rPr>
        <w:t>小型轿车</w:t>
      </w:r>
      <w:r>
        <w:rPr>
          <w:rFonts w:eastAsia="华文仿宋"/>
          <w:color w:val="000000"/>
          <w:szCs w:val="32"/>
        </w:rPr>
        <w:t>，</w:t>
      </w:r>
      <w:r>
        <w:rPr>
          <w:rFonts w:hint="eastAsia" w:eastAsia="华文仿宋"/>
          <w:color w:val="000000"/>
          <w:szCs w:val="32"/>
        </w:rPr>
        <w:t>由</w:t>
      </w:r>
      <w:r>
        <w:rPr>
          <w:rFonts w:eastAsia="华文仿宋"/>
          <w:color w:val="000000"/>
          <w:szCs w:val="32"/>
        </w:rPr>
        <w:t>华福大道北段沿华美路行驶至华美路华福生活广场路段人行横道时</w:t>
      </w:r>
      <w:r>
        <w:rPr>
          <w:rFonts w:hint="eastAsia" w:eastAsia="华文仿宋"/>
          <w:color w:val="000000"/>
          <w:szCs w:val="32"/>
        </w:rPr>
        <w:t>，</w:t>
      </w:r>
      <w:r>
        <w:rPr>
          <w:rFonts w:eastAsia="华文仿宋"/>
          <w:color w:val="000000"/>
          <w:szCs w:val="32"/>
        </w:rPr>
        <w:t>与车</w:t>
      </w:r>
      <w:r>
        <w:rPr>
          <w:rFonts w:hint="eastAsia" w:eastAsia="华文仿宋"/>
          <w:color w:val="000000"/>
          <w:szCs w:val="32"/>
        </w:rPr>
        <w:t>行</w:t>
      </w:r>
      <w:r>
        <w:rPr>
          <w:rFonts w:eastAsia="华文仿宋"/>
          <w:color w:val="000000"/>
          <w:szCs w:val="32"/>
        </w:rPr>
        <w:t>方向从左至右通过人行横道的行人</w:t>
      </w:r>
      <w:r>
        <w:rPr>
          <w:rFonts w:hint="eastAsia" w:eastAsia="华文仿宋"/>
          <w:color w:val="000000"/>
          <w:szCs w:val="32"/>
          <w:lang w:eastAsia="zh-CN"/>
        </w:rPr>
        <w:t>范某荣</w:t>
      </w:r>
      <w:r>
        <w:rPr>
          <w:rFonts w:eastAsia="华文仿宋"/>
          <w:color w:val="000000"/>
          <w:szCs w:val="32"/>
        </w:rPr>
        <w:t>相撞，致</w:t>
      </w:r>
      <w:r>
        <w:rPr>
          <w:rFonts w:hint="eastAsia" w:eastAsia="华文仿宋"/>
          <w:color w:val="000000"/>
          <w:szCs w:val="32"/>
          <w:lang w:eastAsia="zh-CN"/>
        </w:rPr>
        <w:t>范某荣</w:t>
      </w:r>
      <w:r>
        <w:rPr>
          <w:rFonts w:eastAsia="华文仿宋"/>
          <w:color w:val="000000"/>
          <w:szCs w:val="32"/>
        </w:rPr>
        <w:t>受伤，后</w:t>
      </w:r>
      <w:r>
        <w:rPr>
          <w:rFonts w:hint="eastAsia" w:eastAsia="华文仿宋"/>
          <w:color w:val="000000"/>
          <w:szCs w:val="32"/>
        </w:rPr>
        <w:t>经</w:t>
      </w:r>
      <w:r>
        <w:rPr>
          <w:rFonts w:eastAsia="华文仿宋"/>
          <w:color w:val="000000"/>
          <w:szCs w:val="32"/>
        </w:rPr>
        <w:t>医院抢救无效死亡。</w:t>
      </w: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                 </w:t>
      </w:r>
    </w:p>
    <w:p>
      <w:pPr>
        <w:spacing w:line="56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（二）事故应急救援情况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事故发生后，九龙坡区公安交巡警支队等部门赶赴现场，组织指挥现场救援及开展善后处理工作，同时开展事故调查。</w:t>
      </w:r>
    </w:p>
    <w:p>
      <w:pPr>
        <w:spacing w:line="56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（三）善后处理情况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事故发生后，事故相关单位及时协调赔偿事宜，全力善后。目前，</w:t>
      </w:r>
      <w:r>
        <w:rPr>
          <w:rFonts w:ascii="华文仿宋" w:hAnsi="华文仿宋" w:eastAsia="华文仿宋" w:cs="华文仿宋"/>
          <w:color w:val="000000"/>
          <w:szCs w:val="32"/>
        </w:rPr>
        <w:t>善</w:t>
      </w:r>
      <w:r>
        <w:rPr>
          <w:rFonts w:ascii="华文仿宋" w:hAnsi="华文仿宋" w:eastAsia="华文仿宋" w:cs="华文仿宋"/>
          <w:szCs w:val="32"/>
        </w:rPr>
        <w:t>后工作已经结</w:t>
      </w:r>
      <w:r>
        <w:rPr>
          <w:rFonts w:ascii="华文仿宋" w:hAnsi="华文仿宋" w:eastAsia="华文仿宋" w:cs="华文仿宋"/>
          <w:color w:val="000000"/>
          <w:szCs w:val="32"/>
        </w:rPr>
        <w:t>束。</w:t>
      </w:r>
    </w:p>
    <w:p>
      <w:pPr>
        <w:spacing w:line="56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（四）事故造成的人员伤亡</w:t>
      </w:r>
    </w:p>
    <w:p>
      <w:pPr>
        <w:spacing w:line="600" w:lineRule="exact"/>
        <w:ind w:firstLine="632" w:firstLineChars="200"/>
        <w:rPr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>本次事故造成</w:t>
      </w:r>
      <w:r>
        <w:rPr>
          <w:rFonts w:eastAsia="华文仿宋"/>
          <w:color w:val="000000"/>
          <w:szCs w:val="32"/>
        </w:rPr>
        <w:t>1</w:t>
      </w:r>
      <w:r>
        <w:rPr>
          <w:rFonts w:hint="eastAsia" w:ascii="华文仿宋" w:hAnsi="华文仿宋" w:eastAsia="华文仿宋" w:cs="华文仿宋"/>
          <w:color w:val="000000"/>
          <w:szCs w:val="32"/>
        </w:rPr>
        <w:t>人死亡（死者：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范某荣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，男，汉族，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重庆市九龙坡区******5-2</w:t>
      </w:r>
      <w:r>
        <w:rPr>
          <w:rFonts w:hint="eastAsia" w:ascii="华文仿宋" w:hAnsi="华文仿宋" w:eastAsia="华文仿宋" w:cs="华文仿宋"/>
          <w:color w:val="000000"/>
          <w:szCs w:val="32"/>
        </w:rPr>
        <w:t>，身份证号码：</w:t>
      </w:r>
      <w:bookmarkStart w:id="0" w:name="_GoBack"/>
      <w:bookmarkEnd w:id="0"/>
      <w:r>
        <w:rPr>
          <w:rFonts w:hint="eastAsia" w:eastAsia="华文仿宋"/>
          <w:color w:val="000000"/>
          <w:szCs w:val="32"/>
          <w:lang w:eastAsia="zh-CN"/>
        </w:rPr>
        <w:t>510213***********2</w:t>
      </w:r>
      <w:r>
        <w:rPr>
          <w:rFonts w:hint="eastAsia" w:ascii="华文仿宋" w:hAnsi="华文仿宋" w:eastAsia="华文仿宋" w:cs="华文仿宋"/>
          <w:color w:val="000000"/>
          <w:szCs w:val="32"/>
        </w:rPr>
        <w:t>）。</w:t>
      </w:r>
    </w:p>
    <w:p>
      <w:pPr>
        <w:spacing w:line="560" w:lineRule="exact"/>
        <w:ind w:firstLine="632" w:firstLineChars="200"/>
        <w:rPr>
          <w:rFonts w:ascii="方正黑体_GBK" w:hAnsi="黑体" w:eastAsia="方正黑体_GBK" w:cs="黑体"/>
          <w:color w:val="000000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三、事故原因、性质、等级、种类</w:t>
      </w:r>
    </w:p>
    <w:p>
      <w:pPr>
        <w:spacing w:line="56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（一）直接原因</w:t>
      </w:r>
    </w:p>
    <w:p>
      <w:pPr>
        <w:pStyle w:val="2"/>
        <w:ind w:firstLine="632" w:firstLineChars="200"/>
        <w:rPr>
          <w:rFonts w:ascii="华文仿宋" w:hAnsi="华文仿宋" w:eastAsia="华文仿宋" w:cs="华文仿宋"/>
          <w:kern w:val="2"/>
          <w:sz w:val="32"/>
          <w:szCs w:val="32"/>
        </w:rPr>
      </w:pPr>
      <w:r>
        <w:rPr>
          <w:rFonts w:hint="eastAsia" w:ascii="华文仿宋" w:hAnsi="华文仿宋" w:eastAsia="华文仿宋" w:cs="华文仿宋"/>
          <w:kern w:val="2"/>
          <w:sz w:val="32"/>
          <w:szCs w:val="32"/>
        </w:rPr>
        <w:t>行人</w:t>
      </w:r>
      <w:r>
        <w:rPr>
          <w:rFonts w:hint="eastAsia" w:ascii="华文仿宋" w:hAnsi="华文仿宋" w:eastAsia="华文仿宋" w:cs="华文仿宋"/>
          <w:kern w:val="2"/>
          <w:sz w:val="32"/>
          <w:szCs w:val="32"/>
          <w:lang w:eastAsia="zh-CN"/>
        </w:rPr>
        <w:t>范某荣</w:t>
      </w:r>
      <w:r>
        <w:rPr>
          <w:rFonts w:hint="eastAsia" w:ascii="华文仿宋" w:hAnsi="华文仿宋" w:eastAsia="华文仿宋" w:cs="华文仿宋"/>
          <w:kern w:val="2"/>
          <w:sz w:val="32"/>
          <w:szCs w:val="32"/>
        </w:rPr>
        <w:t>与</w:t>
      </w:r>
      <w:r>
        <w:rPr>
          <w:rFonts w:hint="eastAsia" w:ascii="华文仿宋" w:hAnsi="华文仿宋" w:eastAsia="华文仿宋" w:cs="华文仿宋"/>
          <w:kern w:val="2"/>
          <w:sz w:val="32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kern w:val="2"/>
          <w:sz w:val="32"/>
          <w:szCs w:val="32"/>
        </w:rPr>
        <w:t>驾驶的小型轿车相撞，当场死亡</w:t>
      </w:r>
      <w:r>
        <w:rPr>
          <w:rFonts w:ascii="华文仿宋" w:hAnsi="华文仿宋" w:eastAsia="华文仿宋" w:cs="华文仿宋"/>
          <w:kern w:val="2"/>
          <w:sz w:val="32"/>
          <w:szCs w:val="32"/>
        </w:rPr>
        <w:t>。</w:t>
      </w:r>
    </w:p>
    <w:p>
      <w:pPr>
        <w:spacing w:line="560" w:lineRule="exact"/>
        <w:ind w:firstLine="632" w:firstLineChars="200"/>
        <w:rPr>
          <w:rFonts w:ascii="方正楷体_GBK" w:hAnsi="华文楷体" w:eastAsia="方正楷体_GBK" w:cs="华文楷体"/>
          <w:bCs/>
          <w:color w:val="000000"/>
          <w:szCs w:val="32"/>
        </w:rPr>
      </w:pPr>
      <w:r>
        <w:rPr>
          <w:rFonts w:hint="eastAsia" w:ascii="方正楷体_GBK" w:hAnsi="华文楷体" w:eastAsia="方正楷体_GBK" w:cs="华文楷体"/>
          <w:bCs/>
          <w:color w:val="000000"/>
          <w:szCs w:val="32"/>
        </w:rPr>
        <w:t>（二）间接原因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eastAsia="华文仿宋"/>
          <w:color w:val="000000"/>
          <w:szCs w:val="32"/>
        </w:rPr>
        <w:t>1</w:t>
      </w:r>
      <w:r>
        <w:rPr>
          <w:rFonts w:hint="eastAsia" w:eastAsia="华文仿宋"/>
          <w:color w:val="000000"/>
          <w:szCs w:val="32"/>
        </w:rPr>
        <w:t>.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驾驶机动车上道路行驶，行经人行横道，遇行人正在通过未停车让行，</w:t>
      </w:r>
      <w:r>
        <w:rPr>
          <w:rFonts w:ascii="华文仿宋" w:hAnsi="华文仿宋" w:eastAsia="华文仿宋" w:cs="华文仿宋"/>
          <w:color w:val="000000"/>
          <w:szCs w:val="32"/>
        </w:rPr>
        <w:t>造成</w:t>
      </w:r>
      <w:r>
        <w:rPr>
          <w:rFonts w:hint="eastAsia" w:ascii="华文仿宋" w:hAnsi="华文仿宋" w:eastAsia="华文仿宋" w:cs="华文仿宋"/>
          <w:color w:val="000000"/>
          <w:szCs w:val="32"/>
        </w:rPr>
        <w:t>事故发生。</w:t>
      </w:r>
    </w:p>
    <w:p>
      <w:pPr>
        <w:spacing w:line="560" w:lineRule="exact"/>
        <w:ind w:firstLine="632" w:firstLineChars="200"/>
        <w:rPr>
          <w:rFonts w:eastAsia="华文仿宋"/>
          <w:color w:val="000000"/>
          <w:szCs w:val="32"/>
        </w:rPr>
      </w:pPr>
      <w:r>
        <w:rPr>
          <w:rFonts w:eastAsia="华文仿宋"/>
          <w:color w:val="000000"/>
          <w:szCs w:val="32"/>
        </w:rPr>
        <w:t>2</w:t>
      </w:r>
      <w:r>
        <w:rPr>
          <w:rFonts w:hint="eastAsia" w:eastAsia="华文仿宋"/>
          <w:color w:val="000000"/>
          <w:szCs w:val="32"/>
        </w:rPr>
        <w:t>．</w:t>
      </w:r>
      <w:r>
        <w:rPr>
          <w:rFonts w:hint="eastAsia" w:ascii="华文仿宋" w:hAnsi="华文仿宋" w:eastAsia="华文仿宋" w:cs="华文仿宋"/>
          <w:color w:val="000000"/>
          <w:szCs w:val="32"/>
        </w:rPr>
        <w:t>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</w:t>
      </w:r>
      <w:r>
        <w:rPr>
          <w:rFonts w:eastAsia="华文仿宋"/>
          <w:color w:val="000000"/>
          <w:szCs w:val="32"/>
        </w:rPr>
        <w:t>，安全管理、教育培训不到位，驾驶员未做到遵章守规、安全驾驶、文明驾驶，造成事故</w:t>
      </w:r>
      <w:r>
        <w:rPr>
          <w:rFonts w:hint="eastAsia" w:eastAsia="华文仿宋"/>
          <w:color w:val="000000"/>
          <w:szCs w:val="32"/>
        </w:rPr>
        <w:t>发生</w:t>
      </w:r>
      <w:r>
        <w:rPr>
          <w:rFonts w:eastAsia="华文仿宋"/>
          <w:color w:val="000000"/>
          <w:szCs w:val="32"/>
        </w:rPr>
        <w:t>。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b/>
          <w:bCs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（三）事故性质：</w:t>
      </w:r>
      <w:r>
        <w:rPr>
          <w:rFonts w:hint="eastAsia" w:ascii="华文仿宋" w:hAnsi="华文仿宋" w:eastAsia="华文仿宋" w:cs="华文仿宋"/>
          <w:color w:val="000000"/>
          <w:szCs w:val="32"/>
        </w:rPr>
        <w:t>生产安全责任事故。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（四）事故等级：</w:t>
      </w:r>
      <w:r>
        <w:rPr>
          <w:rFonts w:hint="eastAsia" w:ascii="华文仿宋" w:hAnsi="华文仿宋" w:eastAsia="华文仿宋" w:cs="华文仿宋"/>
          <w:color w:val="000000"/>
          <w:szCs w:val="32"/>
        </w:rPr>
        <w:t>一般事故。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（五）事故种类：</w:t>
      </w:r>
      <w:r>
        <w:rPr>
          <w:rFonts w:hint="eastAsia" w:ascii="华文仿宋" w:hAnsi="华文仿宋" w:eastAsia="华文仿宋" w:cs="华文仿宋"/>
          <w:color w:val="000000"/>
          <w:szCs w:val="32"/>
        </w:rPr>
        <w:t>道路运输事故。</w:t>
      </w:r>
    </w:p>
    <w:p>
      <w:pPr>
        <w:spacing w:line="560" w:lineRule="exact"/>
        <w:ind w:firstLine="632" w:firstLineChars="200"/>
        <w:rPr>
          <w:rFonts w:ascii="方正黑体_GBK" w:hAnsi="黑体" w:eastAsia="方正黑体_GBK" w:cs="黑体"/>
          <w:color w:val="000000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四、事故责任认定与处理建议</w:t>
      </w:r>
    </w:p>
    <w:p>
      <w:pPr>
        <w:spacing w:line="56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（一）</w:t>
      </w:r>
      <w:r>
        <w:rPr>
          <w:rFonts w:hint="eastAsia" w:ascii="华文仿宋" w:hAnsi="华文仿宋" w:eastAsia="华文仿宋" w:cs="华文仿宋"/>
          <w:color w:val="000000"/>
          <w:szCs w:val="32"/>
          <w:lang w:eastAsia="zh-CN"/>
        </w:rPr>
        <w:t>杜某彬</w:t>
      </w:r>
      <w:r>
        <w:rPr>
          <w:rFonts w:hint="eastAsia" w:ascii="华文仿宋" w:hAnsi="华文仿宋" w:eastAsia="华文仿宋" w:cs="华文仿宋"/>
          <w:color w:val="000000"/>
          <w:szCs w:val="32"/>
        </w:rPr>
        <w:t>未依法履行法定义务，其行为违反了</w:t>
      </w:r>
      <w:r>
        <w:rPr>
          <w:rFonts w:hint="eastAsia"/>
          <w:szCs w:val="32"/>
        </w:rPr>
        <w:t>《中华人民共和国道路交通安全法》第四十七条第一款</w:t>
      </w:r>
      <w:r>
        <w:rPr>
          <w:vertAlign w:val="superscript"/>
        </w:rPr>
        <w:footnoteReference w:id="1"/>
      </w:r>
      <w:r>
        <w:rPr>
          <w:rFonts w:hint="eastAsia"/>
          <w:szCs w:val="32"/>
        </w:rPr>
        <w:t>之规定，承担此次事故全部责任，建议由公安机关依法处理。</w:t>
      </w:r>
    </w:p>
    <w:p>
      <w:pPr>
        <w:spacing w:line="560" w:lineRule="exact"/>
        <w:ind w:firstLine="632" w:firstLineChars="200"/>
        <w:rPr>
          <w:szCs w:val="32"/>
        </w:rPr>
      </w:pPr>
      <w:r>
        <w:rPr>
          <w:rFonts w:hint="eastAsia"/>
          <w:szCs w:val="32"/>
        </w:rPr>
        <w:t>（二）重庆益康汽车</w:t>
      </w:r>
      <w:r>
        <w:rPr>
          <w:szCs w:val="32"/>
        </w:rPr>
        <w:t>销售服务</w:t>
      </w:r>
      <w:r>
        <w:rPr>
          <w:rFonts w:hint="eastAsia"/>
          <w:szCs w:val="32"/>
        </w:rPr>
        <w:t>有限公司，作为</w:t>
      </w:r>
      <w:r>
        <w:rPr>
          <w:szCs w:val="32"/>
        </w:rPr>
        <w:t>生产经营单位，安全管理</w:t>
      </w:r>
      <w:r>
        <w:rPr>
          <w:rFonts w:hint="eastAsia"/>
          <w:szCs w:val="32"/>
        </w:rPr>
        <w:t>、</w:t>
      </w:r>
      <w:r>
        <w:rPr>
          <w:szCs w:val="32"/>
        </w:rPr>
        <w:t>教育培训不到位，驾驶员未做到遵章守规、安全驾驶、文明驾驶，造成事故</w:t>
      </w:r>
      <w:r>
        <w:rPr>
          <w:rFonts w:hint="eastAsia"/>
          <w:szCs w:val="32"/>
        </w:rPr>
        <w:t>发生，建议</w:t>
      </w:r>
      <w:r>
        <w:rPr>
          <w:szCs w:val="32"/>
        </w:rPr>
        <w:t>由</w:t>
      </w:r>
      <w:r>
        <w:rPr>
          <w:rFonts w:hint="eastAsia"/>
          <w:szCs w:val="32"/>
        </w:rPr>
        <w:t>沙坪坝区运管部门依法处理。</w:t>
      </w:r>
    </w:p>
    <w:p>
      <w:pPr>
        <w:spacing w:line="560" w:lineRule="exact"/>
        <w:ind w:firstLine="632" w:firstLineChars="200"/>
        <w:rPr>
          <w:rFonts w:eastAsia="方正黑体_GBK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五、相关部门履职情况</w:t>
      </w:r>
      <w:r>
        <w:rPr>
          <w:rFonts w:hint="eastAsia" w:ascii="方正黑体_GBK" w:eastAsia="方正黑体_GBK"/>
          <w:szCs w:val="32"/>
        </w:rPr>
        <w:t>及处理建议</w:t>
      </w:r>
    </w:p>
    <w:p>
      <w:pPr>
        <w:spacing w:line="560" w:lineRule="exact"/>
        <w:ind w:firstLine="632" w:firstLineChars="200"/>
        <w:rPr>
          <w:rFonts w:ascii="方正楷体_GBK" w:eastAsia="方正楷体_GBK"/>
          <w:szCs w:val="32"/>
        </w:rPr>
      </w:pPr>
      <w:r>
        <w:rPr>
          <w:rFonts w:hint="eastAsia" w:ascii="方正楷体_GBK" w:eastAsia="方正楷体_GBK"/>
          <w:szCs w:val="32"/>
        </w:rPr>
        <w:t>（一）政府职能单位履职情况</w:t>
      </w:r>
    </w:p>
    <w:p>
      <w:pPr>
        <w:adjustRightInd w:val="0"/>
        <w:snapToGrid w:val="0"/>
        <w:spacing w:line="600" w:lineRule="exact"/>
        <w:ind w:firstLine="632" w:firstLineChars="200"/>
        <w:jc w:val="left"/>
        <w:rPr>
          <w:rFonts w:cs="宋体"/>
          <w:color w:val="000000"/>
          <w:kern w:val="0"/>
          <w:szCs w:val="32"/>
        </w:rPr>
      </w:pPr>
      <w:r>
        <w:rPr>
          <w:rFonts w:hint="eastAsia" w:cs="宋体"/>
          <w:color w:val="000000"/>
          <w:kern w:val="0"/>
          <w:szCs w:val="32"/>
        </w:rPr>
        <w:t>九龙坡区交巡警</w:t>
      </w:r>
      <w:r>
        <w:rPr>
          <w:rFonts w:cs="宋体"/>
          <w:color w:val="000000"/>
          <w:kern w:val="0"/>
          <w:szCs w:val="32"/>
        </w:rPr>
        <w:t>支队</w:t>
      </w:r>
      <w:r>
        <w:rPr>
          <w:rFonts w:hint="eastAsia" w:cs="宋体"/>
          <w:color w:val="000000"/>
          <w:kern w:val="0"/>
          <w:szCs w:val="32"/>
        </w:rPr>
        <w:t>：</w:t>
      </w:r>
      <w:r>
        <w:rPr>
          <w:rFonts w:cs="宋体"/>
          <w:color w:val="000000"/>
          <w:kern w:val="0"/>
          <w:szCs w:val="32"/>
        </w:rPr>
        <w:t>2023年7月，着重开展"减量控大"暨"飙车炸街"重点交通违法查处工作；针对两三轮摩托车、电动车交通事故，开展"事故高发"重点违法查处调度整治工作；加强雨期汛期灾害防范及道路交通安全工作；第31届世界大学生夏季运动会交通安保工作；道路交通安全源头管理工作；暴雨天气风险防范应对积水路段疏堵保畅工作；强化道路沿线地质灾害隐患路段通行安全工作；开展西彭地区摩托车电动车突出违法调度整治行动等一系列工作。召开安全生产会议一次，安全生产检查2次，事故研判2次。查处各类交通违法行为86606件，其</w:t>
      </w:r>
      <w:r>
        <w:rPr>
          <w:rFonts w:hint="eastAsia" w:cs="宋体"/>
          <w:color w:val="000000"/>
          <w:kern w:val="0"/>
          <w:szCs w:val="32"/>
        </w:rPr>
        <w:t>中查获酒驾、醉驾</w:t>
      </w:r>
      <w:r>
        <w:rPr>
          <w:rFonts w:cs="宋体"/>
          <w:color w:val="000000"/>
          <w:kern w:val="0"/>
          <w:szCs w:val="32"/>
        </w:rPr>
        <w:t>150起；移送起诉29起、刑事拘留1人、行政拘留13人。</w:t>
      </w:r>
      <w:r>
        <w:rPr>
          <w:rFonts w:hint="eastAsia" w:cs="宋体"/>
          <w:color w:val="000000"/>
          <w:kern w:val="0"/>
          <w:szCs w:val="32"/>
        </w:rPr>
        <w:t>中梁山大队：7 月份根据支队统一部署、结合"减量控大"、文明城区创建工作、货车、摩托车、酒驾专项整治工作开展各类交通秩序整治工作，查处：酒驾醉驾18起，货车闯禁10起，货车超载62起，货车非法改装、故意遮挡号牌等30余起，乱停违法行为4000余起，机动车不避让行人10起。同时，大队结合"减量控大"工作，通过"美丽乡村行"、"一老一小"、"一盔一带"、"知危险、会避险"在中梁山街道、华岩镇广泛开展交通安全宣传，进学校宣传 1 次、进农村宣传6 次，走访企业、工地10次。并在辖区通过户外LED显示屏展播交通安全宣传视频，悬挂宣传横幅20副，发放宣传资料2000份。</w:t>
      </w:r>
    </w:p>
    <w:p>
      <w:pPr>
        <w:spacing w:line="560" w:lineRule="exact"/>
        <w:ind w:firstLine="632" w:firstLineChars="200"/>
        <w:rPr>
          <w:rFonts w:cs="宋体"/>
          <w:color w:val="000000"/>
          <w:kern w:val="0"/>
          <w:szCs w:val="32"/>
        </w:rPr>
      </w:pPr>
      <w:r>
        <w:rPr>
          <w:rFonts w:hint="eastAsia" w:cs="宋体"/>
          <w:kern w:val="0"/>
          <w:szCs w:val="32"/>
        </w:rPr>
        <w:t>沙坪坝区</w:t>
      </w:r>
      <w:r>
        <w:rPr>
          <w:rFonts w:cs="宋体"/>
          <w:kern w:val="0"/>
          <w:szCs w:val="32"/>
        </w:rPr>
        <w:t>交通局</w:t>
      </w:r>
      <w:r>
        <w:rPr>
          <w:rFonts w:hint="eastAsia" w:cs="宋体"/>
          <w:kern w:val="0"/>
          <w:szCs w:val="32"/>
        </w:rPr>
        <w:t>：</w:t>
      </w:r>
      <w:r>
        <w:rPr>
          <w:rFonts w:hint="eastAsia" w:ascii="方正仿宋_GBK" w:hAnsi="方正仿宋_GBK" w:cs="方正仿宋_GBK"/>
          <w:szCs w:val="32"/>
        </w:rPr>
        <w:t>重庆益康汽车销售服务有限公司没有办理道路运输经营许可证，</w:t>
      </w:r>
      <w:r>
        <w:rPr>
          <w:rFonts w:hint="eastAsia" w:cs="宋体"/>
          <w:kern w:val="0"/>
          <w:szCs w:val="32"/>
        </w:rPr>
        <w:t>沙坪坝区</w:t>
      </w:r>
      <w:r>
        <w:rPr>
          <w:rFonts w:cs="宋体"/>
          <w:kern w:val="0"/>
          <w:szCs w:val="32"/>
        </w:rPr>
        <w:t>交通局服务中心</w:t>
      </w:r>
      <w:r>
        <w:rPr>
          <w:rFonts w:hint="eastAsia" w:ascii="方正仿宋_GBK" w:hAnsi="方正仿宋_GBK" w:cs="方正仿宋_GBK"/>
          <w:szCs w:val="32"/>
        </w:rPr>
        <w:t>对其无法定监管职责。</w:t>
      </w:r>
    </w:p>
    <w:p>
      <w:pPr>
        <w:spacing w:line="560" w:lineRule="exact"/>
        <w:ind w:firstLine="632" w:firstLineChars="200"/>
        <w:rPr>
          <w:rFonts w:ascii="方正楷体_GBK" w:eastAsia="方正楷体_GBK"/>
          <w:szCs w:val="32"/>
        </w:rPr>
      </w:pPr>
      <w:r>
        <w:rPr>
          <w:rFonts w:hint="eastAsia" w:ascii="方正楷体_GBK" w:eastAsia="方正楷体_GBK"/>
          <w:szCs w:val="32"/>
        </w:rPr>
        <w:t>（二）处理意见</w:t>
      </w:r>
    </w:p>
    <w:p>
      <w:pPr>
        <w:spacing w:line="560" w:lineRule="exact"/>
        <w:ind w:firstLine="632" w:firstLineChars="200"/>
        <w:rPr>
          <w:rFonts w:cs="宋体"/>
          <w:color w:val="000000"/>
          <w:kern w:val="0"/>
          <w:szCs w:val="32"/>
        </w:rPr>
      </w:pPr>
      <w:r>
        <w:rPr>
          <w:rFonts w:hint="eastAsia" w:cs="宋体"/>
          <w:color w:val="000000"/>
          <w:kern w:val="0"/>
          <w:szCs w:val="32"/>
        </w:rPr>
        <w:t>在本次事故调查中，</w:t>
      </w:r>
      <w:r>
        <w:rPr>
          <w:rFonts w:ascii="方正仿宋_GBK"/>
          <w:szCs w:val="32"/>
        </w:rPr>
        <w:t>未发现</w:t>
      </w:r>
      <w:r>
        <w:rPr>
          <w:rFonts w:hint="eastAsia" w:ascii="方正仿宋_GBK"/>
          <w:szCs w:val="32"/>
        </w:rPr>
        <w:t>区</w:t>
      </w:r>
      <w:r>
        <w:rPr>
          <w:rFonts w:hint="eastAsia" w:cs="宋体"/>
          <w:color w:val="000000"/>
          <w:kern w:val="0"/>
          <w:szCs w:val="32"/>
        </w:rPr>
        <w:t>九龙坡区交巡警</w:t>
      </w:r>
      <w:r>
        <w:rPr>
          <w:rFonts w:cs="宋体"/>
          <w:color w:val="000000"/>
          <w:kern w:val="0"/>
          <w:szCs w:val="32"/>
        </w:rPr>
        <w:t>支队相关</w:t>
      </w:r>
      <w:r>
        <w:rPr>
          <w:rFonts w:hint="eastAsia" w:cs="宋体"/>
          <w:color w:val="000000"/>
          <w:kern w:val="0"/>
          <w:szCs w:val="32"/>
        </w:rPr>
        <w:t>监管</w:t>
      </w:r>
      <w:r>
        <w:rPr>
          <w:rFonts w:ascii="方正仿宋_GBK"/>
          <w:szCs w:val="32"/>
        </w:rPr>
        <w:t>人员存在</w:t>
      </w:r>
      <w:r>
        <w:rPr>
          <w:rFonts w:hint="eastAsia" w:ascii="方正仿宋_GBK"/>
          <w:szCs w:val="32"/>
        </w:rPr>
        <w:t>履职不到位的</w:t>
      </w:r>
      <w:r>
        <w:rPr>
          <w:rFonts w:ascii="方正仿宋_GBK"/>
          <w:szCs w:val="32"/>
        </w:rPr>
        <w:t>问题。</w:t>
      </w:r>
    </w:p>
    <w:p>
      <w:pPr>
        <w:spacing w:line="560" w:lineRule="exact"/>
        <w:ind w:firstLine="632" w:firstLineChars="200"/>
        <w:rPr>
          <w:rFonts w:ascii="方正黑体_GBK" w:hAnsi="黑体" w:eastAsia="方正黑体_GBK" w:cs="黑体"/>
          <w:szCs w:val="32"/>
        </w:rPr>
      </w:pPr>
      <w:r>
        <w:rPr>
          <w:rFonts w:hint="eastAsia" w:ascii="方正黑体_GBK" w:hAnsi="黑体" w:eastAsia="方正黑体_GBK" w:cs="黑体"/>
          <w:color w:val="000000"/>
          <w:szCs w:val="32"/>
        </w:rPr>
        <w:t>六、防范措施建议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（一）</w:t>
      </w:r>
      <w:r>
        <w:rPr>
          <w:rFonts w:hint="eastAsia" w:ascii="华文仿宋" w:hAnsi="华文仿宋" w:eastAsia="华文仿宋" w:cs="华文仿宋"/>
          <w:color w:val="000000"/>
          <w:szCs w:val="32"/>
        </w:rPr>
        <w:t>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有限公司应深刻吸取本次事故的教训，加强车辆的管理，加强</w:t>
      </w:r>
      <w:r>
        <w:rPr>
          <w:rFonts w:ascii="华文仿宋" w:hAnsi="华文仿宋" w:eastAsia="华文仿宋" w:cs="华文仿宋"/>
          <w:color w:val="000000"/>
          <w:szCs w:val="32"/>
        </w:rPr>
        <w:t>驾驶员的筛选，</w:t>
      </w:r>
      <w:r>
        <w:rPr>
          <w:rFonts w:hint="eastAsia" w:ascii="华文仿宋" w:hAnsi="华文仿宋" w:eastAsia="华文仿宋" w:cs="华文仿宋"/>
          <w:color w:val="000000"/>
          <w:szCs w:val="32"/>
        </w:rPr>
        <w:t>加大对员工安全教育培训力度，督促从业人员严格执行本单位的安全生产规章制度和安全操作规程，采取技术和管理措施及时发现并消除事故隐患。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（二）</w:t>
      </w:r>
      <w:r>
        <w:rPr>
          <w:rFonts w:hint="eastAsia" w:ascii="华文仿宋" w:hAnsi="华文仿宋" w:eastAsia="华文仿宋" w:cs="华文仿宋"/>
          <w:color w:val="000000"/>
          <w:szCs w:val="32"/>
        </w:rPr>
        <w:t>加强事故预防，从源头上控制事故，交通运输管理部门加大对辖区内运输企业的监督管理，督促道路运输企业严格遵守和执行安全生产法律法规。</w:t>
      </w: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方正楷体_GBK" w:hAnsi="华文仿宋" w:eastAsia="方正楷体_GBK" w:cs="华文仿宋"/>
          <w:bCs/>
          <w:color w:val="000000"/>
          <w:szCs w:val="32"/>
        </w:rPr>
        <w:t>（三）</w:t>
      </w: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强化道路巡查检查，遏制事故发生，公安交警部门加强路面管控力度，严格落实定点检查和巡查制度，严厉打击非法违法、违规违章行为，遏制事故发生。 </w:t>
      </w:r>
    </w:p>
    <w:p>
      <w:pPr>
        <w:spacing w:line="560" w:lineRule="exact"/>
        <w:rPr>
          <w:rFonts w:ascii="华文仿宋" w:hAnsi="华文仿宋" w:eastAsia="华文仿宋" w:cs="华文仿宋"/>
          <w:color w:val="000000"/>
          <w:szCs w:val="32"/>
        </w:rPr>
      </w:pPr>
    </w:p>
    <w:p>
      <w:pPr>
        <w:spacing w:line="560" w:lineRule="exact"/>
        <w:ind w:firstLine="632" w:firstLineChars="200"/>
        <w:rPr>
          <w:rFonts w:ascii="华文仿宋" w:hAnsi="华文仿宋" w:eastAsia="华文仿宋" w:cs="华文仿宋"/>
          <w:color w:val="000000"/>
          <w:szCs w:val="32"/>
        </w:rPr>
      </w:pPr>
    </w:p>
    <w:p>
      <w:pPr>
        <w:spacing w:line="560" w:lineRule="exact"/>
        <w:jc w:val="center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                        重庆益康汽车</w:t>
      </w:r>
      <w:r>
        <w:rPr>
          <w:rFonts w:ascii="华文仿宋" w:hAnsi="华文仿宋" w:eastAsia="华文仿宋" w:cs="华文仿宋"/>
          <w:color w:val="000000"/>
          <w:szCs w:val="32"/>
        </w:rPr>
        <w:t>销售服务</w:t>
      </w:r>
      <w:r>
        <w:rPr>
          <w:rFonts w:hint="eastAsia" w:ascii="华文仿宋" w:hAnsi="华文仿宋" w:eastAsia="华文仿宋" w:cs="华文仿宋"/>
          <w:color w:val="000000"/>
          <w:szCs w:val="32"/>
        </w:rPr>
        <w:t>有限公司</w:t>
      </w:r>
    </w:p>
    <w:p>
      <w:pPr>
        <w:spacing w:line="560" w:lineRule="exact"/>
        <w:jc w:val="center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                    </w:t>
      </w:r>
      <w:r>
        <w:rPr>
          <w:rFonts w:ascii="华文仿宋" w:hAnsi="华文仿宋" w:eastAsia="华文仿宋" w:cs="华文仿宋"/>
          <w:color w:val="000000"/>
          <w:szCs w:val="32"/>
        </w:rPr>
        <w:t xml:space="preserve">   </w:t>
      </w:r>
      <w:r>
        <w:rPr>
          <w:rFonts w:hint="eastAsia" w:ascii="华文仿宋" w:hAnsi="华文仿宋" w:eastAsia="华文仿宋" w:cs="华文仿宋"/>
          <w:color w:val="000000"/>
          <w:szCs w:val="32"/>
        </w:rPr>
        <w:t>“</w:t>
      </w:r>
      <w:r>
        <w:rPr>
          <w:rFonts w:ascii="华文仿宋" w:hAnsi="华文仿宋" w:eastAsia="华文仿宋" w:cs="华文仿宋"/>
          <w:color w:val="000000"/>
          <w:szCs w:val="32"/>
        </w:rPr>
        <w:t>7</w:t>
      </w:r>
      <w:r>
        <w:rPr>
          <w:rFonts w:hint="eastAsia" w:ascii="华文仿宋" w:hAnsi="华文仿宋" w:eastAsia="华文仿宋" w:cs="华文仿宋"/>
          <w:color w:val="000000"/>
          <w:szCs w:val="32"/>
        </w:rPr>
        <w:t>·</w:t>
      </w:r>
      <w:r>
        <w:rPr>
          <w:rFonts w:ascii="华文仿宋" w:hAnsi="华文仿宋" w:eastAsia="华文仿宋" w:cs="华文仿宋"/>
          <w:color w:val="000000"/>
          <w:szCs w:val="32"/>
        </w:rPr>
        <w:t>3”</w:t>
      </w:r>
      <w:r>
        <w:rPr>
          <w:rFonts w:hint="eastAsia" w:ascii="华文仿宋" w:hAnsi="华文仿宋" w:eastAsia="华文仿宋" w:cs="华文仿宋"/>
          <w:color w:val="000000"/>
          <w:szCs w:val="32"/>
        </w:rPr>
        <w:t>道路运输一般事故调查组</w:t>
      </w:r>
    </w:p>
    <w:p>
      <w:pPr>
        <w:spacing w:line="560" w:lineRule="exact"/>
        <w:rPr>
          <w:rFonts w:ascii="华文仿宋" w:hAnsi="华文仿宋" w:eastAsia="华文仿宋" w:cs="华文仿宋"/>
          <w:color w:val="000000"/>
          <w:szCs w:val="32"/>
        </w:rPr>
      </w:pPr>
      <w:r>
        <w:rPr>
          <w:rFonts w:hint="eastAsia" w:ascii="华文仿宋" w:hAnsi="华文仿宋" w:eastAsia="华文仿宋" w:cs="华文仿宋"/>
          <w:color w:val="000000"/>
          <w:szCs w:val="32"/>
        </w:rPr>
        <w:t xml:space="preserve">                                </w:t>
      </w:r>
      <w:r>
        <w:rPr>
          <w:rFonts w:eastAsia="华文仿宋"/>
          <w:szCs w:val="32"/>
        </w:rPr>
        <w:t>2023</w:t>
      </w:r>
      <w:r>
        <w:rPr>
          <w:rFonts w:hint="eastAsia" w:ascii="华文仿宋" w:hAnsi="华文仿宋" w:eastAsia="华文仿宋" w:cs="华文仿宋"/>
          <w:color w:val="000000"/>
          <w:szCs w:val="32"/>
        </w:rPr>
        <w:t>年</w:t>
      </w:r>
      <w:r>
        <w:rPr>
          <w:rFonts w:eastAsia="华文仿宋"/>
          <w:szCs w:val="32"/>
        </w:rPr>
        <w:t>12</w:t>
      </w:r>
      <w:r>
        <w:rPr>
          <w:rFonts w:hint="eastAsia" w:ascii="华文仿宋" w:hAnsi="华文仿宋" w:eastAsia="华文仿宋" w:cs="华文仿宋"/>
          <w:color w:val="000000"/>
          <w:szCs w:val="32"/>
        </w:rPr>
        <w:t>月</w:t>
      </w:r>
      <w:r>
        <w:rPr>
          <w:rFonts w:eastAsia="华文仿宋"/>
          <w:szCs w:val="32"/>
        </w:rPr>
        <w:t>12</w:t>
      </w:r>
      <w:r>
        <w:rPr>
          <w:rFonts w:hint="eastAsia" w:ascii="华文仿宋" w:hAnsi="华文仿宋" w:eastAsia="华文仿宋" w:cs="华文仿宋"/>
          <w:color w:val="000000"/>
          <w:szCs w:val="32"/>
        </w:rPr>
        <w:t>日</w:t>
      </w:r>
    </w:p>
    <w:sectPr>
      <w:headerReference r:id="rId4" w:type="first"/>
      <w:footerReference r:id="rId7" w:type="first"/>
      <w:footerReference r:id="rId5" w:type="default"/>
      <w:footerReference r:id="rId6" w:type="even"/>
      <w:footnotePr>
        <w:numFmt w:val="decimalEnclosedCircleChinese"/>
        <w:numRestart w:val="eachPage"/>
      </w:footnotePr>
      <w:pgSz w:w="11907" w:h="16840"/>
      <w:pgMar w:top="2098" w:right="1531" w:bottom="1985" w:left="1531" w:header="851" w:footer="1474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7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6"/>
      <w:wordWrap w:val="0"/>
      <w:ind w:right="320" w:rightChars="100"/>
      <w:jc w:val="right"/>
      <w:rPr>
        <w:rFonts w:ascii="宋体" w:hAnsi="宋体" w:eastAsia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>
      <w:pPr>
        <w:pStyle w:val="8"/>
      </w:pPr>
      <w:r>
        <w:rPr>
          <w:rFonts w:hint="eastAsia"/>
        </w:rPr>
        <w:footnoteRef/>
      </w:r>
      <w:r>
        <w:rPr>
          <w:rFonts w:hint="eastAsia"/>
        </w:rPr>
        <w:t xml:space="preserve"> 《中华人民共和国道路交通安全法》第四十七条第一款：</w:t>
      </w:r>
      <w:r>
        <w:rPr>
          <w:rFonts w:hint="eastAsia" w:ascii="华文仿宋" w:hAnsi="华文仿宋" w:eastAsia="华文仿宋" w:cs="华文仿宋"/>
          <w:color w:val="000000"/>
          <w:szCs w:val="32"/>
        </w:rPr>
        <w:t>机动车行经人行横道时，应当减速行驶；遇行人正在通过人行横道，应当停车让行。</w:t>
      </w:r>
    </w:p>
  </w:footnote>
  <w:footnote w:id="1">
    <w:p>
      <w:pPr>
        <w:pStyle w:val="8"/>
      </w:pPr>
      <w:r>
        <w:rPr>
          <w:rFonts w:hint="eastAsia"/>
        </w:rPr>
        <w:footnoteRef/>
      </w:r>
      <w:r>
        <w:rPr>
          <w:rFonts w:hint="eastAsia"/>
        </w:rPr>
        <w:t xml:space="preserve"> 《中华人民共和国道路交通安全法》第四十七条第一款：</w:t>
      </w:r>
      <w:r>
        <w:rPr>
          <w:rFonts w:hint="eastAsia" w:ascii="华文仿宋" w:hAnsi="华文仿宋" w:eastAsia="华文仿宋" w:cs="华文仿宋"/>
          <w:color w:val="000000"/>
          <w:szCs w:val="32"/>
        </w:rPr>
        <w:t>机动车行经人行横道时，应当减速行驶；遇行人正在通过人行横道，应当停车让行。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numFmt w:val="decimalEnclosedCircleChinese"/>
    <w:numRestart w:val="eachPage"/>
    <w:footnote w:id="4"/>
    <w:footnote w:id="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YzA1MTdmMjI3OTlhMThlNTBjZGM1Njk0YjA5OTIifQ=="/>
  </w:docVars>
  <w:rsids>
    <w:rsidRoot w:val="2BFD1CA1"/>
    <w:rsid w:val="00032D5D"/>
    <w:rsid w:val="000E05AB"/>
    <w:rsid w:val="0015633A"/>
    <w:rsid w:val="00180620"/>
    <w:rsid w:val="00190243"/>
    <w:rsid w:val="001949ED"/>
    <w:rsid w:val="001A612F"/>
    <w:rsid w:val="001B5928"/>
    <w:rsid w:val="001E6855"/>
    <w:rsid w:val="00212373"/>
    <w:rsid w:val="00252250"/>
    <w:rsid w:val="00262E59"/>
    <w:rsid w:val="00272AAA"/>
    <w:rsid w:val="00273AD4"/>
    <w:rsid w:val="002A0801"/>
    <w:rsid w:val="002F65EC"/>
    <w:rsid w:val="0030206A"/>
    <w:rsid w:val="00323757"/>
    <w:rsid w:val="00325B4E"/>
    <w:rsid w:val="00380BF5"/>
    <w:rsid w:val="00381B10"/>
    <w:rsid w:val="003854E9"/>
    <w:rsid w:val="003A38BA"/>
    <w:rsid w:val="003C4A87"/>
    <w:rsid w:val="003D617F"/>
    <w:rsid w:val="003D71FC"/>
    <w:rsid w:val="003E2D6D"/>
    <w:rsid w:val="003E7BF4"/>
    <w:rsid w:val="003F33AF"/>
    <w:rsid w:val="00427339"/>
    <w:rsid w:val="0045776C"/>
    <w:rsid w:val="004A2C00"/>
    <w:rsid w:val="004E39BE"/>
    <w:rsid w:val="004F1D4A"/>
    <w:rsid w:val="004F7FEB"/>
    <w:rsid w:val="005122BA"/>
    <w:rsid w:val="00517BCB"/>
    <w:rsid w:val="00527894"/>
    <w:rsid w:val="005319D0"/>
    <w:rsid w:val="00597100"/>
    <w:rsid w:val="005A5E1A"/>
    <w:rsid w:val="005C5192"/>
    <w:rsid w:val="005D0B48"/>
    <w:rsid w:val="005D54BA"/>
    <w:rsid w:val="006222B6"/>
    <w:rsid w:val="00624D09"/>
    <w:rsid w:val="00681F81"/>
    <w:rsid w:val="00687AE4"/>
    <w:rsid w:val="00694582"/>
    <w:rsid w:val="00697F18"/>
    <w:rsid w:val="006B38CB"/>
    <w:rsid w:val="006B5FBE"/>
    <w:rsid w:val="006E2CDD"/>
    <w:rsid w:val="00703620"/>
    <w:rsid w:val="0070684C"/>
    <w:rsid w:val="007207EC"/>
    <w:rsid w:val="00764180"/>
    <w:rsid w:val="0079294F"/>
    <w:rsid w:val="007A486D"/>
    <w:rsid w:val="007A4A76"/>
    <w:rsid w:val="007D1296"/>
    <w:rsid w:val="00800DA6"/>
    <w:rsid w:val="00805E8A"/>
    <w:rsid w:val="0083727E"/>
    <w:rsid w:val="00867B1B"/>
    <w:rsid w:val="00897D5A"/>
    <w:rsid w:val="008A053F"/>
    <w:rsid w:val="008A4FD7"/>
    <w:rsid w:val="008A7D25"/>
    <w:rsid w:val="008B36AF"/>
    <w:rsid w:val="008D3FB9"/>
    <w:rsid w:val="008F56F8"/>
    <w:rsid w:val="009179FE"/>
    <w:rsid w:val="0094141A"/>
    <w:rsid w:val="00941930"/>
    <w:rsid w:val="00994595"/>
    <w:rsid w:val="009C0D9F"/>
    <w:rsid w:val="009C5B12"/>
    <w:rsid w:val="00A232DC"/>
    <w:rsid w:val="00A24EB2"/>
    <w:rsid w:val="00A44463"/>
    <w:rsid w:val="00A76CC6"/>
    <w:rsid w:val="00A778C0"/>
    <w:rsid w:val="00A91CD6"/>
    <w:rsid w:val="00AA2A24"/>
    <w:rsid w:val="00AC2792"/>
    <w:rsid w:val="00AC683C"/>
    <w:rsid w:val="00AF0EEA"/>
    <w:rsid w:val="00B10337"/>
    <w:rsid w:val="00B214BB"/>
    <w:rsid w:val="00B27CE7"/>
    <w:rsid w:val="00B3177C"/>
    <w:rsid w:val="00B35B29"/>
    <w:rsid w:val="00B45AF8"/>
    <w:rsid w:val="00B5504E"/>
    <w:rsid w:val="00B5798F"/>
    <w:rsid w:val="00B67938"/>
    <w:rsid w:val="00B94FEC"/>
    <w:rsid w:val="00BA3930"/>
    <w:rsid w:val="00C43F67"/>
    <w:rsid w:val="00C50D7D"/>
    <w:rsid w:val="00C55E51"/>
    <w:rsid w:val="00C57902"/>
    <w:rsid w:val="00C64971"/>
    <w:rsid w:val="00C80E04"/>
    <w:rsid w:val="00CA27DF"/>
    <w:rsid w:val="00CF0BCE"/>
    <w:rsid w:val="00D20023"/>
    <w:rsid w:val="00D56FCF"/>
    <w:rsid w:val="00D8580B"/>
    <w:rsid w:val="00D97E16"/>
    <w:rsid w:val="00DD7E6A"/>
    <w:rsid w:val="00E017FF"/>
    <w:rsid w:val="00E01BCB"/>
    <w:rsid w:val="00E14B83"/>
    <w:rsid w:val="00E21279"/>
    <w:rsid w:val="00E32D85"/>
    <w:rsid w:val="00E771F0"/>
    <w:rsid w:val="00E80370"/>
    <w:rsid w:val="00E86B3A"/>
    <w:rsid w:val="00EE30D8"/>
    <w:rsid w:val="00EF7392"/>
    <w:rsid w:val="00F71BC1"/>
    <w:rsid w:val="00F7358A"/>
    <w:rsid w:val="00F73F4C"/>
    <w:rsid w:val="00F85D1D"/>
    <w:rsid w:val="00F87B5F"/>
    <w:rsid w:val="00FC0F4F"/>
    <w:rsid w:val="00FC22FD"/>
    <w:rsid w:val="00FD0344"/>
    <w:rsid w:val="02064297"/>
    <w:rsid w:val="02814E75"/>
    <w:rsid w:val="02AD361F"/>
    <w:rsid w:val="07027132"/>
    <w:rsid w:val="07100621"/>
    <w:rsid w:val="08AE0DF3"/>
    <w:rsid w:val="0BB2614A"/>
    <w:rsid w:val="0F056591"/>
    <w:rsid w:val="0F21201C"/>
    <w:rsid w:val="0F7D4F7E"/>
    <w:rsid w:val="120E372E"/>
    <w:rsid w:val="13113A17"/>
    <w:rsid w:val="149254D6"/>
    <w:rsid w:val="15BE3579"/>
    <w:rsid w:val="15F41199"/>
    <w:rsid w:val="17075C10"/>
    <w:rsid w:val="1BA23AE5"/>
    <w:rsid w:val="1C9E2B81"/>
    <w:rsid w:val="1CA47F29"/>
    <w:rsid w:val="1D077FB1"/>
    <w:rsid w:val="1DD261D8"/>
    <w:rsid w:val="1F4B4494"/>
    <w:rsid w:val="21056E74"/>
    <w:rsid w:val="212A381F"/>
    <w:rsid w:val="23F23130"/>
    <w:rsid w:val="242E1C8E"/>
    <w:rsid w:val="25942909"/>
    <w:rsid w:val="25B03067"/>
    <w:rsid w:val="261E38D2"/>
    <w:rsid w:val="26E95FC6"/>
    <w:rsid w:val="27914A0E"/>
    <w:rsid w:val="28C52BC1"/>
    <w:rsid w:val="2BFD1CA1"/>
    <w:rsid w:val="2D331BD7"/>
    <w:rsid w:val="2E0B15BB"/>
    <w:rsid w:val="2ECD6C74"/>
    <w:rsid w:val="2F7F3019"/>
    <w:rsid w:val="31097063"/>
    <w:rsid w:val="329419BF"/>
    <w:rsid w:val="37773C20"/>
    <w:rsid w:val="3C9607AD"/>
    <w:rsid w:val="3CD52CEB"/>
    <w:rsid w:val="3D251A29"/>
    <w:rsid w:val="3D736A12"/>
    <w:rsid w:val="3FC714BD"/>
    <w:rsid w:val="3FF40EE0"/>
    <w:rsid w:val="45014DE4"/>
    <w:rsid w:val="465855A7"/>
    <w:rsid w:val="48244469"/>
    <w:rsid w:val="4B3519D1"/>
    <w:rsid w:val="4C4A581D"/>
    <w:rsid w:val="4CAA1D57"/>
    <w:rsid w:val="4EEF0C94"/>
    <w:rsid w:val="4F2D6C3F"/>
    <w:rsid w:val="50586C83"/>
    <w:rsid w:val="522B58DB"/>
    <w:rsid w:val="53844F57"/>
    <w:rsid w:val="5B6065F6"/>
    <w:rsid w:val="5E2C6C63"/>
    <w:rsid w:val="5EEC62E0"/>
    <w:rsid w:val="5EF37781"/>
    <w:rsid w:val="60E94981"/>
    <w:rsid w:val="667A0F34"/>
    <w:rsid w:val="68694610"/>
    <w:rsid w:val="68D423D1"/>
    <w:rsid w:val="6A2423FB"/>
    <w:rsid w:val="6AFC3AB5"/>
    <w:rsid w:val="6B3B6738"/>
    <w:rsid w:val="6C8E0AE9"/>
    <w:rsid w:val="6DE81617"/>
    <w:rsid w:val="6F850E95"/>
    <w:rsid w:val="6F8C7562"/>
    <w:rsid w:val="6FAF4FFE"/>
    <w:rsid w:val="70291255"/>
    <w:rsid w:val="71313269"/>
    <w:rsid w:val="714E0847"/>
    <w:rsid w:val="73243F55"/>
    <w:rsid w:val="7347064A"/>
    <w:rsid w:val="7419513C"/>
    <w:rsid w:val="755A4C5A"/>
    <w:rsid w:val="75E8264E"/>
    <w:rsid w:val="75F55735"/>
    <w:rsid w:val="76E4587C"/>
    <w:rsid w:val="78450BF6"/>
    <w:rsid w:val="78795334"/>
    <w:rsid w:val="79366790"/>
    <w:rsid w:val="7A420D69"/>
    <w:rsid w:val="7A5275FA"/>
    <w:rsid w:val="7BB068BD"/>
    <w:rsid w:val="7BC041D6"/>
    <w:rsid w:val="7BC13464"/>
    <w:rsid w:val="7CE3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link w:val="15"/>
    <w:autoRedefine/>
    <w:unhideWhenUsed/>
    <w:qFormat/>
    <w:uiPriority w:val="99"/>
    <w:pPr>
      <w:spacing w:after="120"/>
    </w:pPr>
    <w:rPr>
      <w:rFonts w:ascii="Calibri" w:hAnsi="Calibri" w:eastAsia="宋体"/>
      <w:sz w:val="21"/>
      <w:szCs w:val="24"/>
    </w:rPr>
  </w:style>
  <w:style w:type="paragraph" w:styleId="4">
    <w:name w:val="Plain Text"/>
    <w:basedOn w:val="1"/>
    <w:qFormat/>
    <w:uiPriority w:val="0"/>
    <w:pPr>
      <w:spacing w:line="600" w:lineRule="exact"/>
    </w:pPr>
    <w:rPr>
      <w:rFonts w:ascii="宋体" w:hAnsi="Courier New" w:eastAsia="宋体"/>
      <w:kern w:val="0"/>
      <w:sz w:val="20"/>
    </w:r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footnote text"/>
    <w:basedOn w:val="1"/>
    <w:next w:val="9"/>
    <w:link w:val="16"/>
    <w:autoRedefine/>
    <w:qFormat/>
    <w:uiPriority w:val="0"/>
    <w:pPr>
      <w:snapToGrid w:val="0"/>
    </w:pPr>
    <w:rPr>
      <w:rFonts w:ascii="Calibri" w:hAnsi="Calibri"/>
      <w:sz w:val="18"/>
      <w:szCs w:val="18"/>
    </w:rPr>
  </w:style>
  <w:style w:type="paragraph" w:customStyle="1" w:styleId="9">
    <w:name w:val="Char Char1 Char Char1 Char Char"/>
    <w:basedOn w:val="1"/>
    <w:autoRedefine/>
    <w:qFormat/>
    <w:uiPriority w:val="0"/>
    <w:rPr>
      <w:rFonts w:eastAsia="宋体"/>
      <w:sz w:val="21"/>
    </w:r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character" w:styleId="13">
    <w:name w:val="footnote reference"/>
    <w:basedOn w:val="11"/>
    <w:autoRedefine/>
    <w:qFormat/>
    <w:uiPriority w:val="0"/>
    <w:rPr>
      <w:rFonts w:ascii="Verdana" w:hAnsi="Verdana" w:eastAsia="仿宋_GB2312" w:cs="Times New Roman"/>
      <w:kern w:val="0"/>
      <w:sz w:val="24"/>
      <w:szCs w:val="32"/>
      <w:vertAlign w:val="superscript"/>
      <w:lang w:eastAsia="en-US" w:bidi="ar-SA"/>
    </w:rPr>
  </w:style>
  <w:style w:type="character" w:customStyle="1" w:styleId="14">
    <w:name w:val="页脚 字符"/>
    <w:link w:val="6"/>
    <w:autoRedefine/>
    <w:qFormat/>
    <w:uiPriority w:val="99"/>
    <w:rPr>
      <w:rFonts w:eastAsia="方正仿宋_GBK"/>
      <w:kern w:val="2"/>
      <w:sz w:val="18"/>
    </w:rPr>
  </w:style>
  <w:style w:type="character" w:customStyle="1" w:styleId="15">
    <w:name w:val="正文文本 字符"/>
    <w:basedOn w:val="11"/>
    <w:link w:val="3"/>
    <w:autoRedefine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6">
    <w:name w:val="脚注文本 字符"/>
    <w:link w:val="8"/>
    <w:autoRedefine/>
    <w:qFormat/>
    <w:uiPriority w:val="0"/>
    <w:rPr>
      <w:rFonts w:ascii="Calibri" w:hAnsi="Calibri" w:eastAsia="方正仿宋_GBK"/>
      <w:kern w:val="2"/>
      <w:sz w:val="18"/>
      <w:szCs w:val="18"/>
    </w:rPr>
  </w:style>
  <w:style w:type="character" w:customStyle="1" w:styleId="17">
    <w:name w:val="批注框文本 字符"/>
    <w:basedOn w:val="11"/>
    <w:link w:val="5"/>
    <w:autoRedefine/>
    <w:qFormat/>
    <w:uiPriority w:val="0"/>
    <w:rPr>
      <w:rFonts w:eastAsia="方正仿宋_GBK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482</Words>
  <Characters>2750</Characters>
  <Lines>22</Lines>
  <Paragraphs>6</Paragraphs>
  <TotalTime>119</TotalTime>
  <ScaleCrop>false</ScaleCrop>
  <LinksUpToDate>false</LinksUpToDate>
  <CharactersWithSpaces>3226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2023-09-20T02:09:00Z</dcterms:created>
  <dc:creator>jt.s</dc:creator>
  <cp:lastModifiedBy>Administrator</cp:lastModifiedBy>
  <cp:lastPrinted>2023-10-16T01:22:00Z</cp:lastPrinted>
  <dcterms:modified xsi:type="dcterms:W3CDTF">2023-12-29T02:05:47Z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SaveFontToCloudKey">
    <vt:lpwstr>799583874_cloud</vt:lpwstr>
  </property>
  <property fmtid="{D5CDD505-2E9C-101B-9397-08002B2CF9AE}" pid="4" name="ICV">
    <vt:lpwstr>93E10A89F27E486D98AA65371ADD5C17_13</vt:lpwstr>
  </property>
</Properties>
</file>