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36" w:line="268" w:lineRule="auto"/>
        <w:ind w:left="1127" w:right="1102" w:firstLine="472"/>
        <w:rPr>
          <w:rFonts w:ascii="黑体" w:hAnsi="黑体" w:eastAsia="黑体" w:cs="黑体"/>
          <w:sz w:val="43"/>
          <w:szCs w:val="43"/>
        </w:rPr>
      </w:pPr>
      <w:r>
        <w:rPr>
          <w:rFonts w:ascii="黑体" w:hAnsi="黑体" w:eastAsia="黑体" w:cs="黑体"/>
          <w:spacing w:val="5"/>
          <w:sz w:val="43"/>
          <w:szCs w:val="43"/>
        </w:rPr>
        <w:t>涪陵区锋池钢结构制品经营部</w:t>
      </w:r>
      <w:r>
        <w:rPr>
          <w:rFonts w:eastAsia="Arial"/>
          <w:spacing w:val="14"/>
          <w:sz w:val="43"/>
          <w:szCs w:val="43"/>
        </w:rPr>
        <w:t>“5</w:t>
      </w:r>
      <w:r>
        <w:rPr>
          <w:rFonts w:ascii="仿宋" w:hAnsi="仿宋" w:eastAsia="仿宋" w:cs="仿宋"/>
          <w:spacing w:val="14"/>
          <w:sz w:val="43"/>
          <w:szCs w:val="43"/>
        </w:rPr>
        <w:t>·</w:t>
      </w:r>
      <w:r>
        <w:rPr>
          <w:rFonts w:eastAsia="Arial"/>
          <w:spacing w:val="14"/>
          <w:sz w:val="43"/>
          <w:szCs w:val="43"/>
        </w:rPr>
        <w:t>7”</w:t>
      </w:r>
      <w:r>
        <w:rPr>
          <w:rFonts w:ascii="黑体" w:hAnsi="黑体" w:eastAsia="黑体" w:cs="黑体"/>
          <w:spacing w:val="14"/>
          <w:sz w:val="43"/>
          <w:szCs w:val="43"/>
        </w:rPr>
        <w:t>一般高处坠落事故调查报告</w:t>
      </w:r>
    </w:p>
    <w:p>
      <w:pPr>
        <w:spacing w:line="259" w:lineRule="auto"/>
      </w:pPr>
    </w:p>
    <w:p>
      <w:pPr>
        <w:spacing w:line="259" w:lineRule="auto"/>
      </w:pPr>
    </w:p>
    <w:p>
      <w:pPr>
        <w:spacing w:before="101" w:line="354" w:lineRule="auto"/>
        <w:ind w:left="14" w:right="148" w:firstLine="63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5"/>
          <w:sz w:val="31"/>
          <w:szCs w:val="31"/>
        </w:rPr>
        <w:t>2022年5月7日，涪陵区锋池钢结构制品经营部在重庆市涪</w:t>
      </w:r>
      <w:r>
        <w:rPr>
          <w:rFonts w:ascii="黑体" w:hAnsi="黑体" w:eastAsia="黑体" w:cs="黑体"/>
          <w:spacing w:val="5"/>
          <w:sz w:val="31"/>
          <w:szCs w:val="31"/>
        </w:rPr>
        <w:t>陵区大业建材有限公司的生产基地厂区修缮彩钢蓬时发生一起高</w:t>
      </w:r>
      <w:r>
        <w:rPr>
          <w:rFonts w:ascii="黑体" w:hAnsi="黑体" w:eastAsia="黑体" w:cs="黑体"/>
          <w:spacing w:val="-15"/>
          <w:sz w:val="31"/>
          <w:szCs w:val="31"/>
        </w:rPr>
        <w:t>处坠落事故，造成1人死亡，直接经济损失123万元。</w:t>
      </w:r>
    </w:p>
    <w:p>
      <w:pPr>
        <w:spacing w:before="7" w:line="353" w:lineRule="auto"/>
        <w:ind w:firstLine="675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10"/>
          <w:sz w:val="31"/>
          <w:szCs w:val="31"/>
        </w:rPr>
        <w:t>接到事故报告后，按照《安全生产法》《生产安全事故报告</w:t>
      </w:r>
      <w:r>
        <w:rPr>
          <w:rFonts w:ascii="黑体" w:hAnsi="黑体" w:eastAsia="黑体" w:cs="黑体"/>
          <w:spacing w:val="-7"/>
          <w:sz w:val="31"/>
          <w:szCs w:val="31"/>
        </w:rPr>
        <w:t>和调查处理条例》（国务院令第493号）和《重庆市安全生产条</w:t>
      </w:r>
      <w:r>
        <w:rPr>
          <w:rFonts w:ascii="黑体" w:hAnsi="黑体" w:eastAsia="黑体" w:cs="黑体"/>
          <w:spacing w:val="-12"/>
          <w:sz w:val="31"/>
          <w:szCs w:val="31"/>
        </w:rPr>
        <w:t>例》等法律法规的规定，区政府授权区应急局牵头，成立了由区</w:t>
      </w:r>
      <w:r>
        <w:rPr>
          <w:rFonts w:ascii="黑体" w:hAnsi="黑体" w:eastAsia="黑体" w:cs="黑体"/>
          <w:spacing w:val="-3"/>
          <w:sz w:val="31"/>
          <w:szCs w:val="31"/>
        </w:rPr>
        <w:t>应急局、区公安局、区总工会等部门参加的事故调查组，并邀请</w:t>
      </w:r>
      <w:r>
        <w:rPr>
          <w:rFonts w:ascii="黑体" w:hAnsi="黑体" w:eastAsia="黑体" w:cs="黑体"/>
          <w:spacing w:val="-2"/>
          <w:sz w:val="31"/>
          <w:szCs w:val="31"/>
        </w:rPr>
        <w:t>区纪委监委和区检察院派人列席事故调查会议。事故调查组按照</w:t>
      </w:r>
      <w:r>
        <w:rPr>
          <w:rFonts w:ascii="黑体" w:hAnsi="黑体" w:eastAsia="黑体" w:cs="黑体"/>
          <w:spacing w:val="9"/>
          <w:sz w:val="31"/>
          <w:szCs w:val="31"/>
        </w:rPr>
        <w:t>“科学严谨、依法依规、实事求是、注重实效”和“四不放过”</w:t>
      </w:r>
      <w:r>
        <w:rPr>
          <w:rFonts w:ascii="黑体" w:hAnsi="黑体" w:eastAsia="黑体" w:cs="黑体"/>
          <w:spacing w:val="-11"/>
          <w:sz w:val="31"/>
          <w:szCs w:val="31"/>
        </w:rPr>
        <w:t>的原则，经过调查和综合分析，查明了事故发生的经过、应急处置、发生原因、直接经济损失情况，认定了事故性质和责任，提</w:t>
      </w:r>
      <w:r>
        <w:rPr>
          <w:rFonts w:ascii="黑体" w:hAnsi="黑体" w:eastAsia="黑体" w:cs="黑体"/>
          <w:spacing w:val="6"/>
          <w:sz w:val="31"/>
          <w:szCs w:val="31"/>
        </w:rPr>
        <w:t>出了对责任单位和相关责任人员的处理意见及事故防范整改措施</w:t>
      </w:r>
      <w:r>
        <w:rPr>
          <w:rFonts w:ascii="黑体" w:hAnsi="黑体" w:eastAsia="黑体" w:cs="黑体"/>
          <w:spacing w:val="5"/>
          <w:sz w:val="31"/>
          <w:szCs w:val="31"/>
        </w:rPr>
        <w:t>建议。现将事故调查情况报告如下：</w:t>
      </w:r>
    </w:p>
    <w:p>
      <w:pPr>
        <w:spacing w:line="242" w:lineRule="auto"/>
        <w:ind w:firstLine="648"/>
        <w:rPr>
          <w:rFonts w:ascii="方正黑体_GBK" w:hAnsi="方正黑体_GBK" w:eastAsia="方正黑体_GBK" w:cs="方正黑体_GBK"/>
          <w:sz w:val="31"/>
          <w:szCs w:val="31"/>
        </w:rPr>
      </w:pPr>
      <w:r>
        <w:rPr>
          <w:rFonts w:ascii="方正黑体_GBK" w:hAnsi="方正黑体_GBK" w:eastAsia="方正黑体_GBK" w:cs="方正黑体_GBK"/>
          <w:spacing w:val="3"/>
          <w:sz w:val="31"/>
          <w:szCs w:val="31"/>
        </w:rPr>
        <w:t>一、基本情况</w:t>
      </w:r>
    </w:p>
    <w:p>
      <w:pPr>
        <w:spacing w:before="138"/>
        <w:ind w:firstLine="618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10"/>
          <w:sz w:val="31"/>
          <w:szCs w:val="31"/>
        </w:rPr>
        <w:t>（一）工程概况。</w:t>
      </w:r>
    </w:p>
    <w:p>
      <w:pPr>
        <w:spacing w:before="185" w:line="360" w:lineRule="auto"/>
        <w:ind w:left="21" w:right="78" w:firstLine="636"/>
      </w:pPr>
      <w:r>
        <w:rPr>
          <w:rFonts w:ascii="黑体" w:hAnsi="黑体" w:eastAsia="黑体" w:cs="黑体"/>
          <w:spacing w:val="5"/>
          <w:sz w:val="31"/>
          <w:szCs w:val="31"/>
        </w:rPr>
        <w:t>重庆市涪陵区大业建材有限公司与涪陵区锋池钢结构制品</w:t>
      </w:r>
      <w:r>
        <w:rPr>
          <w:rFonts w:ascii="黑体" w:hAnsi="黑体" w:eastAsia="黑体" w:cs="黑体"/>
          <w:spacing w:val="-10"/>
          <w:sz w:val="31"/>
          <w:szCs w:val="31"/>
        </w:rPr>
        <w:t>经营部于2022年2月25日签订《大业矿山零星彩钢单价合同》，</w:t>
      </w:r>
      <w:r>
        <w:rPr>
          <w:rFonts w:ascii="黑体" w:hAnsi="黑体" w:eastAsia="黑体" w:cs="黑体"/>
          <w:spacing w:val="3"/>
          <w:sz w:val="31"/>
          <w:szCs w:val="31"/>
        </w:rPr>
        <w:t>由涪陵区锋池钢结构制品经营部为重庆市涪陵区大业建材有限公</w:t>
      </w:r>
      <w:r>
        <w:rPr>
          <w:rFonts w:ascii="黑体" w:hAnsi="黑体" w:eastAsia="黑体" w:cs="黑体"/>
          <w:spacing w:val="5"/>
          <w:sz w:val="31"/>
          <w:szCs w:val="31"/>
        </w:rPr>
        <w:t>司的生产基地厂区零星彩钢蓬制作、安装等部分用工项目提供劳</w:t>
      </w:r>
      <w:r>
        <w:rPr>
          <w:rFonts w:ascii="黑体" w:hAnsi="黑体" w:eastAsia="黑体" w:cs="黑体"/>
          <w:spacing w:val="-7"/>
          <w:w w:val="98"/>
          <w:sz w:val="31"/>
          <w:szCs w:val="31"/>
        </w:rPr>
        <w:t>务，采取包工不包料的承包方式，约定彩钢蓬单价为26元/m</w:t>
      </w:r>
      <w:r>
        <w:rPr>
          <w:rFonts w:ascii="黑体" w:hAnsi="黑体" w:eastAsia="黑体" w:cs="黑体"/>
          <w:spacing w:val="-7"/>
          <w:w w:val="98"/>
          <w:position w:val="16"/>
          <w:sz w:val="16"/>
          <w:szCs w:val="16"/>
        </w:rPr>
        <w:t>2</w:t>
      </w:r>
      <w:r>
        <w:rPr>
          <w:rFonts w:ascii="黑体" w:hAnsi="黑体" w:eastAsia="黑体" w:cs="黑体"/>
          <w:spacing w:val="-7"/>
          <w:w w:val="98"/>
          <w:sz w:val="31"/>
          <w:szCs w:val="31"/>
        </w:rPr>
        <w:t>。</w:t>
      </w:r>
      <w:r>
        <w:rPr>
          <w:rFonts w:ascii="黑体" w:hAnsi="黑体" w:eastAsia="黑体" w:cs="黑体"/>
          <w:spacing w:val="-15"/>
          <w:sz w:val="31"/>
          <w:szCs w:val="31"/>
        </w:rPr>
        <w:t>同时，两公司于2022年2月27日签订《合同方安全协议书》。</w:t>
      </w:r>
    </w:p>
    <w:p>
      <w:pPr>
        <w:spacing w:line="241" w:lineRule="auto"/>
        <w:ind w:firstLine="613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5"/>
          <w:sz w:val="31"/>
          <w:szCs w:val="31"/>
        </w:rPr>
        <w:t>（二）事故单位基本情况。</w:t>
      </w:r>
    </w:p>
    <w:p>
      <w:pPr>
        <w:spacing w:before="178" w:line="354" w:lineRule="auto"/>
        <w:ind w:left="12" w:right="63" w:firstLine="65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5"/>
          <w:sz w:val="31"/>
          <w:szCs w:val="31"/>
        </w:rPr>
        <w:t>1.重庆市涪陵区大业建材有限公司（发包方</w:t>
      </w:r>
      <w:r>
        <w:rPr>
          <w:rFonts w:ascii="黑体" w:hAnsi="黑体" w:eastAsia="黑体" w:cs="黑体"/>
          <w:spacing w:val="-79"/>
          <w:sz w:val="31"/>
          <w:szCs w:val="31"/>
        </w:rPr>
        <w:t>），</w:t>
      </w:r>
      <w:r>
        <w:rPr>
          <w:rFonts w:ascii="黑体" w:hAnsi="黑体" w:eastAsia="黑体" w:cs="黑体"/>
          <w:spacing w:val="-5"/>
          <w:sz w:val="31"/>
          <w:szCs w:val="31"/>
        </w:rPr>
        <w:t>类型：有限</w:t>
      </w:r>
      <w:r>
        <w:rPr>
          <w:rFonts w:ascii="黑体" w:hAnsi="黑体" w:eastAsia="黑体" w:cs="黑体"/>
          <w:spacing w:val="4"/>
          <w:sz w:val="31"/>
          <w:szCs w:val="31"/>
        </w:rPr>
        <w:t>责任公司，统一社会信用代码：91500102305146502P，法定代表</w:t>
      </w:r>
      <w:r>
        <w:rPr>
          <w:rFonts w:ascii="黑体" w:hAnsi="黑体" w:eastAsia="黑体" w:cs="黑体"/>
          <w:spacing w:val="-7"/>
          <w:sz w:val="31"/>
          <w:szCs w:val="31"/>
        </w:rPr>
        <w:t>人：蒲程历，住所：重庆市涪陵区实验路38号荔枝街道办事处</w:t>
      </w:r>
      <w:r>
        <w:rPr>
          <w:rFonts w:ascii="黑体" w:hAnsi="黑体" w:eastAsia="黑体" w:cs="黑体"/>
          <w:spacing w:val="-15"/>
          <w:w w:val="97"/>
          <w:sz w:val="31"/>
          <w:szCs w:val="31"/>
        </w:rPr>
        <w:t>办公楼6楼，注册资本：贰仟万元整，成立日期：2014年8月</w:t>
      </w:r>
      <w:r>
        <w:rPr>
          <w:rFonts w:ascii="黑体" w:hAnsi="黑体" w:eastAsia="黑体" w:cs="黑体"/>
          <w:spacing w:val="-5"/>
          <w:sz w:val="31"/>
          <w:szCs w:val="31"/>
        </w:rPr>
        <w:t>15日，营业期限：2014年8月15日至永久，经营范围：许可项</w:t>
      </w:r>
      <w:r>
        <w:rPr>
          <w:rFonts w:ascii="黑体" w:hAnsi="黑体" w:eastAsia="黑体" w:cs="黑体"/>
          <w:spacing w:val="-13"/>
          <w:sz w:val="31"/>
          <w:szCs w:val="31"/>
        </w:rPr>
        <w:t>目（露天开采：水泥用石灰岩；道路运输</w:t>
      </w:r>
      <w:r>
        <w:rPr>
          <w:rFonts w:ascii="黑体" w:hAnsi="黑体" w:eastAsia="黑体" w:cs="黑体"/>
          <w:spacing w:val="-73"/>
          <w:sz w:val="31"/>
          <w:szCs w:val="31"/>
        </w:rPr>
        <w:t>），</w:t>
      </w:r>
      <w:r>
        <w:rPr>
          <w:rFonts w:ascii="黑体" w:hAnsi="黑体" w:eastAsia="黑体" w:cs="黑体"/>
          <w:spacing w:val="-13"/>
          <w:sz w:val="31"/>
          <w:szCs w:val="31"/>
        </w:rPr>
        <w:t>一般项目（预拌商品</w:t>
      </w:r>
      <w:r>
        <w:rPr>
          <w:rFonts w:ascii="黑体" w:hAnsi="黑体" w:eastAsia="黑体" w:cs="黑体"/>
          <w:spacing w:val="-10"/>
          <w:sz w:val="31"/>
          <w:szCs w:val="31"/>
        </w:rPr>
        <w:t>混凝土专业承包叁级；生产、销售：石粉、机制砂、石子、矿粉</w:t>
      </w:r>
      <w:r>
        <w:rPr>
          <w:rFonts w:ascii="黑体" w:hAnsi="黑体" w:eastAsia="黑体" w:cs="黑体"/>
          <w:spacing w:val="-28"/>
          <w:w w:val="92"/>
          <w:sz w:val="31"/>
          <w:szCs w:val="31"/>
        </w:rPr>
        <w:t>等）。</w:t>
      </w:r>
    </w:p>
    <w:p>
      <w:pPr>
        <w:spacing w:line="239" w:lineRule="auto"/>
        <w:ind w:firstLine="64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z w:val="31"/>
          <w:szCs w:val="31"/>
        </w:rPr>
        <w:t>2.涪陵区锋池钢结构制品经营部（承包方</w:t>
      </w:r>
      <w:r>
        <w:rPr>
          <w:rFonts w:ascii="黑体" w:hAnsi="黑体" w:eastAsia="黑体" w:cs="黑体"/>
          <w:spacing w:val="-87"/>
          <w:sz w:val="31"/>
          <w:szCs w:val="31"/>
        </w:rPr>
        <w:t>），</w:t>
      </w:r>
      <w:r>
        <w:rPr>
          <w:rFonts w:ascii="黑体" w:hAnsi="黑体" w:eastAsia="黑体" w:cs="黑体"/>
          <w:sz w:val="31"/>
          <w:szCs w:val="31"/>
        </w:rPr>
        <w:t>类型：个体工商</w:t>
      </w:r>
    </w:p>
    <w:p>
      <w:pPr>
        <w:spacing w:before="193" w:line="353" w:lineRule="auto"/>
        <w:ind w:left="10" w:firstLine="17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3"/>
          <w:sz w:val="31"/>
          <w:szCs w:val="31"/>
        </w:rPr>
        <w:t>户，统一社会信用代码：92500102MA5YADLG14，经营者：陶安峰，</w:t>
      </w:r>
      <w:r>
        <w:rPr>
          <w:rFonts w:ascii="黑体" w:hAnsi="黑体" w:eastAsia="黑体" w:cs="黑体"/>
          <w:spacing w:val="-4"/>
          <w:sz w:val="31"/>
          <w:szCs w:val="31"/>
        </w:rPr>
        <w:t>经营场所：重庆市涪陵区顺江大道25号之江名苑15幢负2-7，</w:t>
      </w:r>
      <w:r>
        <w:rPr>
          <w:rFonts w:ascii="黑体" w:hAnsi="黑体" w:eastAsia="黑体" w:cs="黑体"/>
          <w:spacing w:val="-14"/>
          <w:w w:val="94"/>
          <w:sz w:val="31"/>
          <w:szCs w:val="31"/>
        </w:rPr>
        <w:t>组成形式：个人经营，注册日期：2014年6月9日，经营范围：</w:t>
      </w:r>
      <w:r>
        <w:rPr>
          <w:rFonts w:ascii="黑体" w:hAnsi="黑体" w:eastAsia="黑体" w:cs="黑体"/>
          <w:spacing w:val="-4"/>
          <w:sz w:val="31"/>
          <w:szCs w:val="31"/>
        </w:rPr>
        <w:t>销售：塑钢门窗、卷帘门、防盗网、栏杆、彩钢蓬、活动板房。</w:t>
      </w:r>
    </w:p>
    <w:p>
      <w:pPr>
        <w:spacing w:before="1" w:line="241" w:lineRule="auto"/>
        <w:ind w:firstLine="641"/>
        <w:rPr>
          <w:rFonts w:ascii="方正黑体_GBK" w:hAnsi="方正黑体_GBK" w:eastAsia="方正黑体_GBK" w:cs="方正黑体_GBK"/>
          <w:sz w:val="31"/>
          <w:szCs w:val="31"/>
        </w:rPr>
      </w:pPr>
      <w:r>
        <w:rPr>
          <w:rFonts w:ascii="方正黑体_GBK" w:hAnsi="方正黑体_GBK" w:eastAsia="方正黑体_GBK" w:cs="方正黑体_GBK"/>
          <w:spacing w:val="4"/>
          <w:sz w:val="31"/>
          <w:szCs w:val="31"/>
        </w:rPr>
        <w:t>二、事故发生经过及应急处置情况</w:t>
      </w:r>
    </w:p>
    <w:p>
      <w:pPr>
        <w:spacing w:before="137"/>
        <w:ind w:firstLine="613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7"/>
          <w:sz w:val="31"/>
          <w:szCs w:val="31"/>
        </w:rPr>
        <w:t>（一）事故发生经过。</w:t>
      </w:r>
    </w:p>
    <w:p>
      <w:pPr>
        <w:spacing w:before="186" w:line="239" w:lineRule="auto"/>
        <w:ind w:firstLine="641"/>
      </w:pPr>
      <w:r>
        <w:rPr>
          <w:rFonts w:ascii="黑体" w:hAnsi="黑体" w:eastAsia="黑体" w:cs="黑体"/>
          <w:spacing w:val="-14"/>
          <w:sz w:val="31"/>
          <w:szCs w:val="31"/>
        </w:rPr>
        <w:t>2022年5月7日10时5分许，涪陵区锋池钢结构制品经营</w:t>
      </w:r>
      <w:r>
        <w:rPr>
          <w:rFonts w:ascii="黑体" w:hAnsi="黑体" w:eastAsia="黑体" w:cs="黑体"/>
          <w:spacing w:val="5"/>
          <w:sz w:val="31"/>
          <w:szCs w:val="31"/>
        </w:rPr>
        <w:t>部的工人陈亘彬、胡宗禄在重庆市涪陵区大业建材有限公司生产</w:t>
      </w:r>
      <w:r>
        <w:rPr>
          <w:rFonts w:ascii="黑体" w:hAnsi="黑体" w:eastAsia="黑体" w:cs="黑体"/>
          <w:spacing w:val="-3"/>
          <w:sz w:val="31"/>
          <w:szCs w:val="31"/>
        </w:rPr>
        <w:t>基地厂区11号料仓修缮彩钢蓬，陈亘彬脚踩在雨水槽（距离地</w:t>
      </w:r>
      <w:r>
        <w:rPr>
          <w:rFonts w:ascii="黑体" w:hAnsi="黑体" w:eastAsia="黑体" w:cs="黑体"/>
          <w:spacing w:val="-2"/>
          <w:sz w:val="31"/>
          <w:szCs w:val="31"/>
        </w:rPr>
        <w:t>面8米左右）上准备给电钻通电时，突然雨水槽垮塌，陈亘彬跌</w:t>
      </w:r>
      <w:r>
        <w:rPr>
          <w:rFonts w:ascii="黑体" w:hAnsi="黑体" w:eastAsia="黑体" w:cs="黑体"/>
          <w:spacing w:val="2"/>
          <w:sz w:val="31"/>
          <w:szCs w:val="31"/>
        </w:rPr>
        <w:t>落料仓受伤。</w:t>
      </w:r>
    </w:p>
    <w:p>
      <w:pPr>
        <w:spacing w:before="1" w:line="241" w:lineRule="auto"/>
        <w:ind w:firstLine="605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6"/>
          <w:sz w:val="31"/>
          <w:szCs w:val="31"/>
        </w:rPr>
        <w:t>（二）应急处置情况。</w:t>
      </w:r>
    </w:p>
    <w:p>
      <w:pPr>
        <w:spacing w:before="180" w:line="353" w:lineRule="auto"/>
        <w:ind w:left="6" w:firstLine="789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1"/>
          <w:sz w:val="31"/>
          <w:szCs w:val="31"/>
        </w:rPr>
        <w:t>事故发生后，涪陵区锋池钢结构制品经营部陶安峰立即拨打</w:t>
      </w:r>
      <w:r>
        <w:rPr>
          <w:rFonts w:ascii="黑体" w:hAnsi="黑体" w:eastAsia="黑体" w:cs="黑体"/>
          <w:spacing w:val="5"/>
          <w:sz w:val="31"/>
          <w:szCs w:val="31"/>
        </w:rPr>
        <w:t>急救电话120，并向重庆市涪陵区大业建材有限公司汇报事故情</w:t>
      </w:r>
      <w:r>
        <w:rPr>
          <w:rFonts w:ascii="黑体" w:hAnsi="黑体" w:eastAsia="黑体" w:cs="黑体"/>
          <w:spacing w:val="-3"/>
          <w:sz w:val="31"/>
          <w:szCs w:val="31"/>
        </w:rPr>
        <w:t>况，10点50分许，重庆大学附属涪陵医院的医护人员赶到现场，</w:t>
      </w:r>
      <w:r>
        <w:rPr>
          <w:rFonts w:ascii="黑体" w:hAnsi="黑体" w:eastAsia="黑体" w:cs="黑体"/>
          <w:spacing w:val="3"/>
          <w:sz w:val="31"/>
          <w:szCs w:val="31"/>
        </w:rPr>
        <w:t>陈亘彬经抢救无效死亡。</w:t>
      </w:r>
    </w:p>
    <w:p>
      <w:pPr>
        <w:spacing w:line="242" w:lineRule="auto"/>
        <w:ind w:firstLine="638"/>
        <w:rPr>
          <w:rFonts w:ascii="方正黑体_GBK" w:hAnsi="方正黑体_GBK" w:eastAsia="方正黑体_GBK" w:cs="方正黑体_GBK"/>
          <w:sz w:val="31"/>
          <w:szCs w:val="31"/>
        </w:rPr>
      </w:pPr>
      <w:r>
        <w:rPr>
          <w:rFonts w:ascii="方正黑体_GBK" w:hAnsi="方正黑体_GBK" w:eastAsia="方正黑体_GBK" w:cs="方正黑体_GBK"/>
          <w:spacing w:val="4"/>
          <w:sz w:val="31"/>
          <w:szCs w:val="31"/>
        </w:rPr>
        <w:t>三、人员伤亡和直接经济损失情况</w:t>
      </w:r>
    </w:p>
    <w:p>
      <w:pPr>
        <w:spacing w:before="130" w:line="354" w:lineRule="auto"/>
        <w:ind w:left="6" w:right="274" w:firstLine="633"/>
        <w:jc w:val="both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15"/>
          <w:w w:val="96"/>
          <w:sz w:val="31"/>
          <w:szCs w:val="31"/>
        </w:rPr>
        <w:t>事故造成1人死亡。死者陈亘彬，男，49岁，身份证号：</w:t>
      </w:r>
      <w:r>
        <w:rPr>
          <w:rFonts w:ascii="黑体" w:hAnsi="黑体" w:eastAsia="黑体" w:cs="黑体"/>
          <w:spacing w:val="3"/>
          <w:sz w:val="31"/>
          <w:szCs w:val="31"/>
        </w:rPr>
        <w:t>5123</w:t>
      </w:r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19"/>
          <w:szCs w:val="19"/>
        </w:rPr>
        <w:t>******</w:t>
      </w:r>
      <w:r>
        <w:rPr>
          <w:rFonts w:ascii="黑体" w:hAnsi="黑体" w:eastAsia="黑体" w:cs="黑体"/>
          <w:spacing w:val="3"/>
          <w:sz w:val="31"/>
          <w:szCs w:val="31"/>
        </w:rPr>
        <w:t>81730，身份证住址：重庆市涪陵区</w:t>
      </w:r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19"/>
          <w:szCs w:val="19"/>
        </w:rPr>
        <w:t>******</w:t>
      </w:r>
      <w:r>
        <w:rPr>
          <w:rFonts w:ascii="黑体" w:hAnsi="黑体" w:eastAsia="黑体" w:cs="黑体"/>
          <w:spacing w:val="3"/>
          <w:sz w:val="31"/>
          <w:szCs w:val="31"/>
        </w:rPr>
        <w:t>2</w:t>
      </w:r>
      <w:r>
        <w:rPr>
          <w:rFonts w:ascii="黑体" w:hAnsi="黑体" w:eastAsia="黑体" w:cs="黑体"/>
          <w:spacing w:val="-7"/>
          <w:sz w:val="31"/>
          <w:szCs w:val="31"/>
        </w:rPr>
        <w:t>组，生前系涪陵区锋池钢结构制品经营部临时工。</w:t>
      </w:r>
    </w:p>
    <w:p>
      <w:pPr>
        <w:spacing w:line="416" w:lineRule="exact"/>
        <w:ind w:firstLine="639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2"/>
          <w:position w:val="1"/>
          <w:sz w:val="31"/>
          <w:szCs w:val="31"/>
        </w:rPr>
        <w:t>事故造成直接经济损失123万元。</w:t>
      </w:r>
    </w:p>
    <w:p>
      <w:pPr>
        <w:spacing w:before="174" w:line="242" w:lineRule="auto"/>
        <w:ind w:firstLine="652"/>
        <w:rPr>
          <w:rFonts w:ascii="方正黑体_GBK" w:hAnsi="方正黑体_GBK" w:eastAsia="方正黑体_GBK" w:cs="方正黑体_GBK"/>
          <w:sz w:val="31"/>
          <w:szCs w:val="31"/>
        </w:rPr>
      </w:pPr>
      <w:r>
        <w:rPr>
          <w:rFonts w:ascii="方正黑体_GBK" w:hAnsi="方正黑体_GBK" w:eastAsia="方正黑体_GBK" w:cs="方正黑体_GBK"/>
          <w:spacing w:val="2"/>
          <w:sz w:val="31"/>
          <w:szCs w:val="31"/>
        </w:rPr>
        <w:t>四、事故原因及性质</w:t>
      </w:r>
      <w:bookmarkStart w:id="0" w:name="_GoBack"/>
      <w:bookmarkEnd w:id="0"/>
    </w:p>
    <w:p>
      <w:pPr>
        <w:spacing w:before="137" w:line="242" w:lineRule="auto"/>
        <w:ind w:firstLine="605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10"/>
          <w:sz w:val="31"/>
          <w:szCs w:val="31"/>
        </w:rPr>
        <w:t>（一）事故原因。</w:t>
      </w:r>
    </w:p>
    <w:p>
      <w:pPr>
        <w:spacing w:before="183" w:line="417" w:lineRule="exact"/>
        <w:ind w:firstLine="657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7"/>
          <w:position w:val="1"/>
          <w:sz w:val="31"/>
          <w:szCs w:val="31"/>
        </w:rPr>
        <w:t>1.直接原因。</w:t>
      </w:r>
    </w:p>
    <w:p>
      <w:pPr>
        <w:spacing w:before="176" w:line="354" w:lineRule="auto"/>
        <w:ind w:left="1" w:right="97" w:firstLine="663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4"/>
          <w:sz w:val="31"/>
          <w:szCs w:val="31"/>
        </w:rPr>
        <w:t>陈亘彬安全意识淡薄，作业中未正确佩戴使用安全带，且作</w:t>
      </w:r>
      <w:r>
        <w:rPr>
          <w:rFonts w:ascii="黑体" w:hAnsi="黑体" w:eastAsia="黑体" w:cs="黑体"/>
          <w:spacing w:val="-5"/>
          <w:sz w:val="31"/>
          <w:szCs w:val="31"/>
        </w:rPr>
        <w:t>业时脚踩雨水槽（距离地面8米左右</w:t>
      </w:r>
      <w:r>
        <w:rPr>
          <w:rFonts w:ascii="黑体" w:hAnsi="黑体" w:eastAsia="黑体" w:cs="黑体"/>
          <w:spacing w:val="-110"/>
          <w:w w:val="78"/>
          <w:sz w:val="31"/>
          <w:szCs w:val="31"/>
        </w:rPr>
        <w:t>），</w:t>
      </w:r>
      <w:r>
        <w:rPr>
          <w:rFonts w:ascii="黑体" w:hAnsi="黑体" w:eastAsia="黑体" w:cs="黑体"/>
          <w:spacing w:val="-5"/>
          <w:sz w:val="31"/>
          <w:szCs w:val="31"/>
        </w:rPr>
        <w:t>致雨水槽垮塌，从雨水</w:t>
      </w:r>
      <w:r>
        <w:rPr>
          <w:rFonts w:ascii="黑体" w:hAnsi="黑体" w:eastAsia="黑体" w:cs="黑体"/>
          <w:spacing w:val="4"/>
          <w:sz w:val="31"/>
          <w:szCs w:val="31"/>
        </w:rPr>
        <w:t>槽高处坠落死亡是事故的直接原因。</w:t>
      </w:r>
    </w:p>
    <w:p>
      <w:pPr>
        <w:spacing w:line="417" w:lineRule="exact"/>
        <w:ind w:firstLine="633"/>
        <w:rPr>
          <w:rFonts w:hint="eastAsia" w:ascii="黑体" w:hAnsi="黑体" w:cs="黑体"/>
          <w:sz w:val="31"/>
          <w:szCs w:val="31"/>
        </w:rPr>
      </w:pPr>
      <w:r>
        <w:rPr>
          <w:rFonts w:ascii="黑体" w:hAnsi="黑体" w:eastAsia="黑体" w:cs="黑体"/>
          <w:spacing w:val="-10"/>
          <w:position w:val="1"/>
          <w:sz w:val="31"/>
          <w:szCs w:val="31"/>
        </w:rPr>
        <w:t>2.间接原因。</w:t>
      </w:r>
    </w:p>
    <w:p>
      <w:pPr>
        <w:spacing w:before="101" w:line="354" w:lineRule="auto"/>
        <w:ind w:left="18" w:right="3" w:firstLine="647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1"/>
          <w:sz w:val="31"/>
          <w:szCs w:val="31"/>
        </w:rPr>
        <w:t>涪陵区锋池钢结构制品经营部（个体工商户</w:t>
      </w:r>
      <w:r>
        <w:rPr>
          <w:rFonts w:ascii="黑体" w:hAnsi="黑体" w:eastAsia="黑体" w:cs="黑体"/>
          <w:spacing w:val="-107"/>
          <w:sz w:val="31"/>
          <w:szCs w:val="31"/>
        </w:rPr>
        <w:t>），</w:t>
      </w:r>
      <w:r>
        <w:rPr>
          <w:rFonts w:ascii="黑体" w:hAnsi="黑体" w:eastAsia="黑体" w:cs="黑体"/>
          <w:spacing w:val="1"/>
          <w:sz w:val="31"/>
          <w:szCs w:val="31"/>
        </w:rPr>
        <w:t>安全生产意识</w:t>
      </w:r>
      <w:r>
        <w:rPr>
          <w:rFonts w:ascii="黑体" w:hAnsi="黑体" w:eastAsia="黑体" w:cs="黑体"/>
          <w:spacing w:val="-11"/>
          <w:sz w:val="31"/>
          <w:szCs w:val="31"/>
        </w:rPr>
        <w:t>淡薄，安全生产主体责任未落实，未组织制定并实施安全生产教育和培训计划，对现场作业工人未开展安全生产教育和培训，未建立安全风险分级管控制度，风险研判不到位，未研判出雨水槽</w:t>
      </w:r>
      <w:r>
        <w:rPr>
          <w:rFonts w:ascii="黑体" w:hAnsi="黑体" w:eastAsia="黑体" w:cs="黑体"/>
          <w:spacing w:val="-6"/>
          <w:sz w:val="31"/>
          <w:szCs w:val="31"/>
        </w:rPr>
        <w:t>上作业存在坠落的风险，未及时消除事故隐患。</w:t>
      </w:r>
    </w:p>
    <w:p>
      <w:pPr>
        <w:spacing w:before="4" w:line="354" w:lineRule="auto"/>
        <w:ind w:left="19" w:firstLine="64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4"/>
          <w:sz w:val="31"/>
          <w:szCs w:val="31"/>
        </w:rPr>
        <w:t>重庆市涪陵区大业建材有限公司作为项目业主单位，未对劳</w:t>
      </w:r>
      <w:r>
        <w:rPr>
          <w:rFonts w:ascii="黑体" w:hAnsi="黑体" w:eastAsia="黑体" w:cs="黑体"/>
          <w:spacing w:val="5"/>
          <w:sz w:val="31"/>
          <w:szCs w:val="31"/>
        </w:rPr>
        <w:t>务分包单位涪陵区锋池钢结构制品经营部的现场作业人员进行技</w:t>
      </w:r>
      <w:r>
        <w:rPr>
          <w:rFonts w:ascii="黑体" w:hAnsi="黑体" w:eastAsia="黑体" w:cs="黑体"/>
          <w:spacing w:val="-11"/>
          <w:sz w:val="31"/>
          <w:szCs w:val="31"/>
        </w:rPr>
        <w:t>术交底，对修复彩钢蓬的作业情况安全监管不到位，未及时发现</w:t>
      </w:r>
      <w:r>
        <w:rPr>
          <w:rFonts w:ascii="黑体" w:hAnsi="黑体" w:eastAsia="黑体" w:cs="黑体"/>
          <w:spacing w:val="4"/>
          <w:sz w:val="31"/>
          <w:szCs w:val="31"/>
        </w:rPr>
        <w:t>作业人员的作业行为存在事故隐患并消除。</w:t>
      </w:r>
    </w:p>
    <w:p>
      <w:pPr>
        <w:spacing w:line="241" w:lineRule="auto"/>
        <w:ind w:firstLine="62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10"/>
          <w:sz w:val="31"/>
          <w:szCs w:val="31"/>
        </w:rPr>
        <w:t>（二）事故性质。</w:t>
      </w:r>
    </w:p>
    <w:p>
      <w:pPr>
        <w:spacing w:before="185" w:line="352" w:lineRule="auto"/>
        <w:ind w:left="20" w:right="2" w:firstLine="629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5"/>
          <w:sz w:val="31"/>
          <w:szCs w:val="31"/>
        </w:rPr>
        <w:t>根据事故原因分析，调查组认定此次事故是一起生产安全责</w:t>
      </w:r>
      <w:r>
        <w:rPr>
          <w:rFonts w:ascii="黑体" w:hAnsi="黑体" w:eastAsia="黑体" w:cs="黑体"/>
          <w:sz w:val="31"/>
          <w:szCs w:val="31"/>
        </w:rPr>
        <w:t>任事故。</w:t>
      </w:r>
    </w:p>
    <w:p>
      <w:pPr>
        <w:spacing w:line="470" w:lineRule="exact"/>
        <w:ind w:firstLine="648"/>
        <w:rPr>
          <w:rFonts w:ascii="方正黑体_GBK" w:hAnsi="方正黑体_GBK" w:eastAsia="方正黑体_GBK" w:cs="方正黑体_GBK"/>
          <w:sz w:val="31"/>
          <w:szCs w:val="31"/>
        </w:rPr>
      </w:pPr>
      <w:r>
        <w:rPr>
          <w:rFonts w:ascii="方正黑体_GBK" w:hAnsi="方正黑体_GBK" w:eastAsia="方正黑体_GBK" w:cs="方正黑体_GBK"/>
          <w:spacing w:val="5"/>
          <w:position w:val="3"/>
          <w:sz w:val="31"/>
          <w:szCs w:val="31"/>
        </w:rPr>
        <w:t>五、对责任单位和责任人的处理意见</w:t>
      </w:r>
    </w:p>
    <w:p>
      <w:pPr>
        <w:spacing w:before="137"/>
        <w:ind w:firstLine="62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3"/>
          <w:sz w:val="31"/>
          <w:szCs w:val="31"/>
        </w:rPr>
        <w:t>（一）对责任单位的处理意见。</w:t>
      </w:r>
    </w:p>
    <w:p>
      <w:pPr>
        <w:spacing w:before="192" w:line="357" w:lineRule="auto"/>
        <w:ind w:left="25" w:right="3" w:firstLine="639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4"/>
          <w:sz w:val="31"/>
          <w:szCs w:val="31"/>
        </w:rPr>
        <w:t>涪陵区锋池钢结构制品经营部，作为生产经营单位，未组织</w:t>
      </w:r>
      <w:r>
        <w:rPr>
          <w:rFonts w:ascii="黑体" w:hAnsi="黑体" w:eastAsia="黑体" w:cs="黑体"/>
          <w:spacing w:val="-3"/>
          <w:sz w:val="31"/>
          <w:szCs w:val="31"/>
        </w:rPr>
        <w:t>制定并实施安全生产教育和培训计划，未建立安全风险分级管控</w:t>
      </w:r>
    </w:p>
    <w:p>
      <w:pPr>
        <w:spacing w:line="239" w:lineRule="auto"/>
        <w:ind w:firstLine="25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11"/>
          <w:sz w:val="31"/>
          <w:szCs w:val="31"/>
        </w:rPr>
        <w:t>制度，未及时消除事故隐患，违反了《安全生产法》第二十八条</w:t>
      </w:r>
    </w:p>
    <w:p>
      <w:pPr>
        <w:spacing w:before="171" w:line="225" w:lineRule="auto"/>
        <w:ind w:firstLine="32"/>
        <w:rPr>
          <w:rFonts w:hint="eastAsia" w:ascii="黑体" w:hAnsi="黑体" w:cs="黑体"/>
          <w:sz w:val="31"/>
          <w:szCs w:val="31"/>
        </w:rPr>
      </w:pPr>
      <w:r>
        <w:rPr>
          <w:rFonts w:ascii="黑体" w:hAnsi="黑体" w:eastAsia="黑体" w:cs="黑体"/>
          <w:spacing w:val="-5"/>
          <w:sz w:val="31"/>
          <w:szCs w:val="31"/>
        </w:rPr>
        <w:t>第一款、第四十一条第一款和第二款的规定，对本次事故负有</w:t>
      </w:r>
      <w:r>
        <w:rPr>
          <w:rFonts w:ascii="黑体" w:hAnsi="黑体" w:eastAsia="黑体" w:cs="黑体"/>
          <w:spacing w:val="-3"/>
          <w:sz w:val="31"/>
          <w:szCs w:val="31"/>
        </w:rPr>
        <w:t>责任，建议由区应急局按照《安全生产法》第一百一十四条第一</w:t>
      </w:r>
      <w:r>
        <w:rPr>
          <w:rFonts w:ascii="黑体" w:hAnsi="黑体" w:eastAsia="黑体" w:cs="黑体"/>
          <w:spacing w:val="-1"/>
          <w:sz w:val="31"/>
          <w:szCs w:val="31"/>
        </w:rPr>
        <w:t>项的规定予以调查处理。</w:t>
      </w:r>
    </w:p>
    <w:p>
      <w:pPr>
        <w:spacing w:before="7" w:line="351" w:lineRule="auto"/>
        <w:ind w:left="18" w:right="40" w:firstLine="643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17"/>
          <w:sz w:val="31"/>
          <w:szCs w:val="31"/>
        </w:rPr>
        <w:t>重庆市涪陵区大业建材有限公司，作为项目业主单位，未对涪陵</w:t>
      </w:r>
      <w:r>
        <w:rPr>
          <w:rFonts w:ascii="黑体" w:hAnsi="黑体" w:eastAsia="黑体" w:cs="黑体"/>
          <w:spacing w:val="-23"/>
          <w:sz w:val="31"/>
          <w:szCs w:val="31"/>
        </w:rPr>
        <w:t>区锋池钢结构制品经营部现场作业人员进行安全技术交底，未对彩钢</w:t>
      </w:r>
      <w:r>
        <w:rPr>
          <w:rFonts w:ascii="黑体" w:hAnsi="黑体" w:eastAsia="黑体" w:cs="黑体"/>
          <w:spacing w:val="-30"/>
          <w:sz w:val="31"/>
          <w:szCs w:val="31"/>
        </w:rPr>
        <w:t>蓬修复作业开展安全检查，未及时发现并消除事故隐患，违反了《安</w:t>
      </w:r>
      <w:r>
        <w:rPr>
          <w:rFonts w:ascii="黑体" w:hAnsi="黑体" w:eastAsia="黑体" w:cs="黑体"/>
          <w:spacing w:val="-16"/>
          <w:w w:val="99"/>
          <w:sz w:val="31"/>
          <w:szCs w:val="31"/>
        </w:rPr>
        <w:t>全生产法》第四十一条第二款、第四十四条第一款、第四十九条第</w:t>
      </w:r>
      <w:r>
        <w:rPr>
          <w:rFonts w:ascii="黑体" w:hAnsi="黑体" w:eastAsia="黑体" w:cs="黑体"/>
          <w:spacing w:val="-15"/>
          <w:w w:val="98"/>
          <w:sz w:val="31"/>
          <w:szCs w:val="31"/>
        </w:rPr>
        <w:t>二款的规定，对事故发生负有责任，建议由区应急局按照《安全生产</w:t>
      </w:r>
      <w:r>
        <w:rPr>
          <w:rFonts w:ascii="黑体" w:hAnsi="黑体" w:eastAsia="黑体" w:cs="黑体"/>
          <w:spacing w:val="-16"/>
          <w:w w:val="99"/>
          <w:sz w:val="31"/>
          <w:szCs w:val="31"/>
        </w:rPr>
        <w:t>法》第一百一十四条第一项的规定予以调查处理。</w:t>
      </w:r>
    </w:p>
    <w:p>
      <w:pPr>
        <w:spacing w:before="1" w:line="239" w:lineRule="auto"/>
        <w:ind w:firstLine="62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4"/>
          <w:sz w:val="31"/>
          <w:szCs w:val="31"/>
        </w:rPr>
        <w:t>（二）对责任人的处理意见。</w:t>
      </w:r>
    </w:p>
    <w:p>
      <w:pPr>
        <w:spacing w:before="184" w:line="595" w:lineRule="exact"/>
        <w:ind w:firstLine="67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14"/>
          <w:position w:val="19"/>
          <w:sz w:val="31"/>
          <w:szCs w:val="31"/>
        </w:rPr>
        <w:t>1.陈</w:t>
      </w:r>
      <w:r>
        <w:rPr>
          <w:rFonts w:hint="eastAsia" w:ascii="黑体" w:hAnsi="黑体" w:cs="黑体"/>
          <w:spacing w:val="-14"/>
          <w:position w:val="19"/>
          <w:sz w:val="31"/>
          <w:szCs w:val="31"/>
        </w:rPr>
        <w:t>某某</w:t>
      </w:r>
      <w:r>
        <w:rPr>
          <w:rFonts w:ascii="黑体" w:hAnsi="黑体" w:eastAsia="黑体" w:cs="黑体"/>
          <w:spacing w:val="-14"/>
          <w:position w:val="19"/>
          <w:sz w:val="31"/>
          <w:szCs w:val="31"/>
        </w:rPr>
        <w:t>，系涪陵区锋池钢结构制品经营部临时工，修缮彩</w:t>
      </w:r>
    </w:p>
    <w:p>
      <w:pPr>
        <w:spacing w:before="1" w:line="239" w:lineRule="auto"/>
        <w:ind w:firstLine="2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11"/>
          <w:sz w:val="31"/>
          <w:szCs w:val="31"/>
        </w:rPr>
        <w:t>钢蓬作业，未取得高处作业许可证，就擅自登高修复彩钢蓬，未</w:t>
      </w:r>
    </w:p>
    <w:p>
      <w:pPr>
        <w:spacing w:before="162" w:line="422" w:lineRule="exact"/>
        <w:ind w:firstLine="29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1"/>
          <w:sz w:val="31"/>
          <w:szCs w:val="31"/>
        </w:rPr>
        <w:t>正确佩戴使用安全带，违反《安全生产法》第三十条第一款和第</w:t>
      </w:r>
    </w:p>
    <w:p>
      <w:pPr>
        <w:spacing w:before="101" w:line="363" w:lineRule="auto"/>
        <w:ind w:left="18" w:firstLine="9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10"/>
          <w:sz w:val="31"/>
          <w:szCs w:val="31"/>
        </w:rPr>
        <w:t>五十七条的规定，对本次事故负有责任，鉴于其已在事故中死亡，</w:t>
      </w:r>
      <w:r>
        <w:rPr>
          <w:rFonts w:ascii="黑体" w:hAnsi="黑体" w:eastAsia="黑体" w:cs="黑体"/>
          <w:spacing w:val="3"/>
          <w:sz w:val="31"/>
          <w:szCs w:val="31"/>
        </w:rPr>
        <w:t>建议免于责任追究。</w:t>
      </w:r>
    </w:p>
    <w:p>
      <w:pPr>
        <w:spacing w:line="356" w:lineRule="auto"/>
        <w:ind w:left="19" w:firstLine="631"/>
        <w:jc w:val="both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3"/>
          <w:sz w:val="31"/>
          <w:szCs w:val="31"/>
        </w:rPr>
        <w:t>2</w:t>
      </w:r>
      <w:r>
        <w:rPr>
          <w:rFonts w:hint="eastAsia" w:ascii="黑体" w:hAnsi="黑体" w:cs="黑体"/>
          <w:spacing w:val="-3"/>
          <w:sz w:val="31"/>
          <w:szCs w:val="31"/>
        </w:rPr>
        <w:t>.</w:t>
      </w:r>
      <w:r>
        <w:rPr>
          <w:rFonts w:ascii="黑体" w:hAnsi="黑体" w:eastAsia="黑体" w:cs="黑体"/>
          <w:spacing w:val="-3"/>
          <w:sz w:val="31"/>
          <w:szCs w:val="31"/>
        </w:rPr>
        <w:t>杨</w:t>
      </w:r>
      <w:r>
        <w:rPr>
          <w:rFonts w:hint="eastAsia" w:ascii="黑体" w:hAnsi="黑体" w:cs="黑体"/>
          <w:spacing w:val="-3"/>
          <w:sz w:val="31"/>
          <w:szCs w:val="31"/>
        </w:rPr>
        <w:t>某某</w:t>
      </w:r>
      <w:r>
        <w:rPr>
          <w:rFonts w:ascii="黑体" w:hAnsi="黑体" w:eastAsia="黑体" w:cs="黑体"/>
          <w:spacing w:val="-3"/>
          <w:sz w:val="31"/>
          <w:szCs w:val="31"/>
        </w:rPr>
        <w:t>，重庆市涪陵区大业建材有限公司生产管理部副部长，</w:t>
      </w:r>
      <w:r>
        <w:rPr>
          <w:rFonts w:ascii="黑体" w:hAnsi="黑体" w:eastAsia="黑体" w:cs="黑体"/>
          <w:spacing w:val="-11"/>
          <w:sz w:val="31"/>
          <w:szCs w:val="31"/>
        </w:rPr>
        <w:t>安全监管不到位，未按《大业矿山零星彩钢单价合同》规定，对</w:t>
      </w:r>
      <w:r>
        <w:rPr>
          <w:rFonts w:ascii="黑体" w:hAnsi="黑体" w:eastAsia="黑体" w:cs="黑体"/>
          <w:spacing w:val="-3"/>
          <w:sz w:val="31"/>
          <w:szCs w:val="31"/>
        </w:rPr>
        <w:t>涪陵区锋池钢结构制品经营部工人开展技术交底；未按《作业许</w:t>
      </w:r>
      <w:r>
        <w:rPr>
          <w:rFonts w:ascii="黑体" w:hAnsi="黑体" w:eastAsia="黑体" w:cs="黑体"/>
          <w:spacing w:val="-11"/>
          <w:sz w:val="31"/>
          <w:szCs w:val="31"/>
        </w:rPr>
        <w:t>可管理制度》规定，督促现场作业工人遵守制度，现场作业工人</w:t>
      </w:r>
      <w:r>
        <w:rPr>
          <w:rFonts w:ascii="黑体" w:hAnsi="黑体" w:eastAsia="黑体" w:cs="黑体"/>
          <w:spacing w:val="-3"/>
          <w:sz w:val="31"/>
          <w:szCs w:val="31"/>
        </w:rPr>
        <w:t>未取得高处作业许可证就开展作业，违反了《重庆市安全生产条</w:t>
      </w:r>
      <w:r>
        <w:rPr>
          <w:rFonts w:ascii="黑体" w:hAnsi="黑体" w:eastAsia="黑体" w:cs="黑体"/>
          <w:spacing w:val="-2"/>
          <w:sz w:val="31"/>
          <w:szCs w:val="31"/>
        </w:rPr>
        <w:t>例》第五十八条第三项的规定，对事故的发生负有责任，建议由区应急局依照《重庆市安全生产条例》第五十八条第三项的规定</w:t>
      </w:r>
      <w:r>
        <w:rPr>
          <w:rFonts w:ascii="黑体" w:hAnsi="黑体" w:eastAsia="黑体" w:cs="黑体"/>
          <w:spacing w:val="2"/>
          <w:sz w:val="31"/>
          <w:szCs w:val="31"/>
        </w:rPr>
        <w:t>予以调查处罚。</w:t>
      </w:r>
    </w:p>
    <w:p>
      <w:pPr>
        <w:spacing w:line="414" w:lineRule="exact"/>
        <w:ind w:firstLine="46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2"/>
          <w:position w:val="1"/>
          <w:sz w:val="31"/>
          <w:szCs w:val="31"/>
        </w:rPr>
        <w:t>（三）对行业主管部门的处理意见。</w:t>
      </w:r>
    </w:p>
    <w:p>
      <w:pPr>
        <w:spacing w:before="187" w:line="357" w:lineRule="auto"/>
        <w:ind w:left="26" w:right="91" w:firstLine="616"/>
        <w:jc w:val="both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5"/>
          <w:sz w:val="31"/>
          <w:szCs w:val="31"/>
        </w:rPr>
        <w:t>该事故单位的行业主管部门是区应急管理局，具体负责监管</w:t>
      </w:r>
      <w:r>
        <w:rPr>
          <w:rFonts w:ascii="黑体" w:hAnsi="黑体" w:eastAsia="黑体" w:cs="黑体"/>
          <w:spacing w:val="-5"/>
          <w:sz w:val="31"/>
          <w:szCs w:val="31"/>
        </w:rPr>
        <w:t>职责的是工贸科，该局全年围绕“从根本消除事故隐患”指示，</w:t>
      </w:r>
      <w:r>
        <w:rPr>
          <w:rFonts w:ascii="黑体" w:hAnsi="黑体" w:eastAsia="黑体" w:cs="黑体"/>
          <w:spacing w:val="-4"/>
          <w:sz w:val="31"/>
          <w:szCs w:val="31"/>
        </w:rPr>
        <w:t>深化安全生产专项整治三年行动，以大排查大整治大执法为工作</w:t>
      </w:r>
      <w:r>
        <w:rPr>
          <w:rFonts w:ascii="黑体" w:hAnsi="黑体" w:eastAsia="黑体" w:cs="黑体"/>
          <w:spacing w:val="-3"/>
          <w:sz w:val="31"/>
          <w:szCs w:val="31"/>
        </w:rPr>
        <w:t>主线开展安全监督管理工作，每年安全检查、指导服务工贸企业</w:t>
      </w:r>
      <w:r>
        <w:rPr>
          <w:rFonts w:ascii="黑体" w:hAnsi="黑体" w:eastAsia="黑体" w:cs="黑体"/>
          <w:spacing w:val="3"/>
          <w:sz w:val="31"/>
          <w:szCs w:val="31"/>
        </w:rPr>
        <w:t>100余家次。2022年重庆市涪陵区大业建材有限公司虽然未纳入</w:t>
      </w:r>
      <w:r>
        <w:rPr>
          <w:rFonts w:ascii="黑体" w:hAnsi="黑体" w:eastAsia="黑体" w:cs="黑体"/>
          <w:spacing w:val="1"/>
          <w:sz w:val="31"/>
          <w:szCs w:val="31"/>
        </w:rPr>
        <w:t>2022年的科室执法计划，但是通过微信工作群及时向企业传达安</w:t>
      </w:r>
      <w:r>
        <w:rPr>
          <w:rFonts w:ascii="黑体" w:hAnsi="黑体" w:eastAsia="黑体" w:cs="黑体"/>
          <w:spacing w:val="-3"/>
          <w:sz w:val="31"/>
          <w:szCs w:val="31"/>
        </w:rPr>
        <w:t>全生产管理要求，及工贸行业安全生产监管要点。区应急管理局及相关人员已依法履行了法定监管职责，建议不予追究责任。</w:t>
      </w:r>
    </w:p>
    <w:p>
      <w:pPr>
        <w:spacing w:line="239" w:lineRule="auto"/>
        <w:ind w:firstLine="62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2"/>
          <w:sz w:val="31"/>
          <w:szCs w:val="31"/>
        </w:rPr>
        <w:t>（四）对属地监管单位的处理意见。</w:t>
      </w:r>
    </w:p>
    <w:p>
      <w:pPr>
        <w:spacing w:before="181" w:line="351" w:lineRule="auto"/>
        <w:ind w:left="18" w:right="5" w:firstLine="62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3"/>
          <w:sz w:val="31"/>
          <w:szCs w:val="31"/>
        </w:rPr>
        <w:t>该事故单位的属地监管单位是百胜镇人民政府，履行日常行</w:t>
      </w:r>
      <w:r>
        <w:rPr>
          <w:rFonts w:ascii="黑体" w:hAnsi="黑体" w:eastAsia="黑体" w:cs="黑体"/>
          <w:spacing w:val="2"/>
          <w:sz w:val="31"/>
          <w:szCs w:val="31"/>
        </w:rPr>
        <w:t>业监管责任部门是百胜镇综合行政执法大队。按照《百胜镇2022</w:t>
      </w:r>
      <w:r>
        <w:rPr>
          <w:rFonts w:ascii="黑体" w:hAnsi="黑体" w:eastAsia="黑体" w:cs="黑体"/>
          <w:spacing w:val="-2"/>
          <w:sz w:val="31"/>
          <w:szCs w:val="31"/>
        </w:rPr>
        <w:t>年度安全生产监管执法计划》规定，辖区内非煤矿山企业每月检</w:t>
      </w:r>
      <w:r>
        <w:rPr>
          <w:rFonts w:ascii="黑体" w:hAnsi="黑体" w:eastAsia="黑体" w:cs="黑体"/>
          <w:spacing w:val="-12"/>
          <w:sz w:val="31"/>
          <w:szCs w:val="31"/>
        </w:rPr>
        <w:t>查1次。经查，2022年1月4日，百胜镇人民政府与重庆市涪</w:t>
      </w:r>
      <w:r>
        <w:rPr>
          <w:rFonts w:ascii="黑体" w:hAnsi="黑体" w:eastAsia="黑体" w:cs="黑体"/>
          <w:spacing w:val="2"/>
          <w:sz w:val="31"/>
          <w:szCs w:val="31"/>
        </w:rPr>
        <w:t>陵区大业建材有限公司签订《2022年非煤矿山安全生产工作责任</w:t>
      </w:r>
      <w:r>
        <w:rPr>
          <w:rFonts w:ascii="黑体" w:hAnsi="黑体" w:eastAsia="黑体" w:cs="黑体"/>
          <w:spacing w:val="-5"/>
          <w:sz w:val="31"/>
          <w:szCs w:val="31"/>
        </w:rPr>
        <w:t>书》，从今年起，百胜镇综合行政执法大队对重庆市涪陵区大业建</w:t>
      </w:r>
      <w:r>
        <w:rPr>
          <w:rFonts w:ascii="黑体" w:hAnsi="黑体" w:eastAsia="黑体" w:cs="黑体"/>
          <w:sz w:val="31"/>
          <w:szCs w:val="31"/>
        </w:rPr>
        <w:t>材有限公司开展安全生产执法检查12次，下达责令限期指令书4</w:t>
      </w:r>
      <w:r>
        <w:rPr>
          <w:rFonts w:ascii="黑体" w:hAnsi="黑体" w:eastAsia="黑体" w:cs="黑体"/>
          <w:spacing w:val="4"/>
          <w:sz w:val="31"/>
          <w:szCs w:val="31"/>
        </w:rPr>
        <w:t>份、复查意见书4份，督促企业及时落实隐患整改。百胜镇人民</w:t>
      </w:r>
      <w:r>
        <w:rPr>
          <w:rFonts w:ascii="黑体" w:hAnsi="黑体" w:eastAsia="黑体" w:cs="黑体"/>
          <w:spacing w:val="-2"/>
          <w:sz w:val="31"/>
          <w:szCs w:val="31"/>
        </w:rPr>
        <w:t>政府及相关人员已依法履行了法定监管职责，建议不予追究责任。</w:t>
      </w:r>
    </w:p>
    <w:p>
      <w:pPr>
        <w:spacing w:line="468" w:lineRule="exact"/>
        <w:ind w:firstLine="650"/>
        <w:rPr>
          <w:rFonts w:ascii="方正黑体_GBK" w:hAnsi="方正黑体_GBK" w:eastAsia="方正黑体_GBK" w:cs="方正黑体_GBK"/>
          <w:sz w:val="31"/>
          <w:szCs w:val="31"/>
        </w:rPr>
      </w:pPr>
      <w:r>
        <w:rPr>
          <w:rFonts w:ascii="方正黑体_GBK" w:hAnsi="方正黑体_GBK" w:eastAsia="方正黑体_GBK" w:cs="方正黑体_GBK"/>
          <w:spacing w:val="4"/>
          <w:position w:val="3"/>
          <w:sz w:val="31"/>
          <w:szCs w:val="31"/>
        </w:rPr>
        <w:t>六、防范措施及整改建议</w:t>
      </w:r>
    </w:p>
    <w:p>
      <w:pPr>
        <w:spacing w:before="123" w:line="357" w:lineRule="auto"/>
        <w:ind w:left="23" w:firstLine="599"/>
        <w:rPr>
          <w:rFonts w:hint="eastAsia" w:ascii="黑体" w:hAnsi="黑体" w:cs="黑体"/>
          <w:sz w:val="31"/>
          <w:szCs w:val="31"/>
        </w:rPr>
      </w:pPr>
      <w:r>
        <w:rPr>
          <w:rFonts w:ascii="黑体" w:hAnsi="黑体" w:eastAsia="黑体" w:cs="黑体"/>
          <w:spacing w:val="-1"/>
          <w:sz w:val="31"/>
          <w:szCs w:val="31"/>
        </w:rPr>
        <w:t>（一）涪陵区锋池钢结构制品经营部要按照“四不放过”原</w:t>
      </w:r>
      <w:r>
        <w:rPr>
          <w:rFonts w:ascii="黑体" w:hAnsi="黑体" w:eastAsia="黑体" w:cs="黑体"/>
          <w:spacing w:val="-18"/>
          <w:sz w:val="31"/>
          <w:szCs w:val="31"/>
        </w:rPr>
        <w:t>则，对此次事故发生的原因、责任进行剖析，从中汲取教训，举</w:t>
      </w:r>
      <w:r>
        <w:rPr>
          <w:rFonts w:ascii="黑体" w:hAnsi="黑体" w:eastAsia="黑体" w:cs="黑体"/>
          <w:spacing w:val="-19"/>
          <w:sz w:val="31"/>
          <w:szCs w:val="31"/>
        </w:rPr>
        <w:t>一反三，强化安全生产主体责任落实；要完善企业制度建设，建</w:t>
      </w:r>
      <w:r>
        <w:rPr>
          <w:rFonts w:ascii="黑体" w:hAnsi="黑体" w:eastAsia="黑体" w:cs="黑体"/>
          <w:spacing w:val="-2"/>
          <w:sz w:val="31"/>
          <w:szCs w:val="31"/>
        </w:rPr>
        <w:t>立安全生产规章制度和操作规程，制定安全生产教育和培训计划，</w:t>
      </w:r>
      <w:r>
        <w:rPr>
          <w:rFonts w:ascii="黑体" w:hAnsi="黑体" w:eastAsia="黑体" w:cs="黑体"/>
          <w:spacing w:val="-10"/>
          <w:sz w:val="31"/>
          <w:szCs w:val="31"/>
        </w:rPr>
        <w:t>即便是聘请的临时工，公司也应该严格遵循制度规定，对其进行安全生产培训和教育；要建立安全风险分级管控制度，每次项目开工前严格开展风险研判工作，减少事故发生风险，及时消除事</w:t>
      </w:r>
      <w:r>
        <w:rPr>
          <w:rFonts w:ascii="黑体" w:hAnsi="黑体" w:eastAsia="黑体" w:cs="黑体"/>
          <w:spacing w:val="-1"/>
          <w:sz w:val="31"/>
          <w:szCs w:val="31"/>
        </w:rPr>
        <w:t>故隐患。</w:t>
      </w:r>
    </w:p>
    <w:p>
      <w:pPr>
        <w:spacing w:before="101" w:line="354" w:lineRule="auto"/>
        <w:ind w:left="13" w:firstLine="599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1"/>
          <w:sz w:val="31"/>
          <w:szCs w:val="31"/>
        </w:rPr>
        <w:t>（二）重庆市涪陵区大业建材有限公司应加强对外包业务的</w:t>
      </w:r>
      <w:r>
        <w:rPr>
          <w:rFonts w:ascii="黑体" w:hAnsi="黑体" w:eastAsia="黑体" w:cs="黑体"/>
          <w:spacing w:val="-10"/>
          <w:sz w:val="31"/>
          <w:szCs w:val="31"/>
        </w:rPr>
        <w:t>安全生产工作统一协调、管理，定期开展安全检查，对安全问题或者事故隐患，及时整改并消除。</w:t>
      </w:r>
    </w:p>
    <w:p>
      <w:pPr>
        <w:spacing w:before="2" w:line="357" w:lineRule="auto"/>
        <w:ind w:left="11" w:firstLine="60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z w:val="31"/>
          <w:szCs w:val="31"/>
        </w:rPr>
        <w:t>（三）区应急管理局和百胜镇人民政府要严格履行行业主管</w:t>
      </w:r>
      <w:r>
        <w:rPr>
          <w:rFonts w:ascii="黑体" w:hAnsi="黑体" w:eastAsia="黑体" w:cs="黑体"/>
          <w:spacing w:val="-10"/>
          <w:sz w:val="31"/>
          <w:szCs w:val="31"/>
        </w:rPr>
        <w:t>和属地监管责任，加强对企业的安全监管，督促企业落实安全生</w:t>
      </w:r>
      <w:r>
        <w:rPr>
          <w:rFonts w:ascii="黑体" w:hAnsi="黑体" w:eastAsia="黑体" w:cs="黑体"/>
          <w:spacing w:val="-15"/>
          <w:sz w:val="31"/>
          <w:szCs w:val="31"/>
        </w:rPr>
        <w:t>产主体责任，加大监管力度，杜绝类似事故的发生。</w:t>
      </w:r>
    </w:p>
    <w:p>
      <w:pPr>
        <w:spacing w:line="375" w:lineRule="auto"/>
      </w:pPr>
    </w:p>
    <w:p>
      <w:pPr>
        <w:spacing w:line="375" w:lineRule="auto"/>
      </w:pPr>
    </w:p>
    <w:p>
      <w:pPr>
        <w:spacing w:line="375" w:lineRule="auto"/>
      </w:pPr>
    </w:p>
    <w:p>
      <w:pPr>
        <w:spacing w:line="375" w:lineRule="auto"/>
      </w:pPr>
    </w:p>
    <w:p>
      <w:pPr>
        <w:spacing w:line="375" w:lineRule="auto"/>
      </w:pPr>
    </w:p>
    <w:p>
      <w:pPr>
        <w:spacing w:before="101" w:line="333" w:lineRule="auto"/>
        <w:ind w:left="16" w:right="35" w:firstLine="648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10"/>
          <w:sz w:val="31"/>
          <w:szCs w:val="31"/>
        </w:rPr>
        <w:t>附件：涪陵区锋池钢结构制品经营部“5·7”一般高处坠落</w:t>
      </w:r>
      <w:r>
        <w:rPr>
          <w:rFonts w:ascii="黑体" w:hAnsi="黑体" w:eastAsia="黑体" w:cs="黑体"/>
          <w:spacing w:val="3"/>
          <w:sz w:val="31"/>
          <w:szCs w:val="31"/>
        </w:rPr>
        <w:t>事故调查组成员名单</w:t>
      </w:r>
    </w:p>
    <w:p>
      <w:pPr>
        <w:spacing w:line="250" w:lineRule="auto"/>
      </w:pPr>
    </w:p>
    <w:p>
      <w:pPr>
        <w:spacing w:line="251" w:lineRule="auto"/>
      </w:pPr>
    </w:p>
    <w:p>
      <w:pPr>
        <w:spacing w:line="251" w:lineRule="auto"/>
      </w:pPr>
    </w:p>
    <w:p>
      <w:pPr>
        <w:spacing w:line="251" w:lineRule="auto"/>
      </w:pPr>
    </w:p>
    <w:p>
      <w:pPr>
        <w:spacing w:line="251" w:lineRule="auto"/>
      </w:pPr>
    </w:p>
    <w:p>
      <w:pPr>
        <w:spacing w:line="251" w:lineRule="auto"/>
      </w:pPr>
    </w:p>
    <w:p>
      <w:pPr>
        <w:spacing w:line="251" w:lineRule="auto"/>
      </w:pPr>
    </w:p>
    <w:p>
      <w:pPr>
        <w:spacing w:line="251" w:lineRule="auto"/>
      </w:pPr>
    </w:p>
    <w:p>
      <w:pPr>
        <w:spacing w:before="101" w:line="322" w:lineRule="auto"/>
        <w:ind w:left="2994" w:right="1142" w:firstLine="503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3"/>
          <w:sz w:val="31"/>
          <w:szCs w:val="31"/>
        </w:rPr>
        <w:t>涪陵区锋池钢结构制品经营部</w:t>
      </w:r>
      <w:r>
        <w:rPr>
          <w:rFonts w:ascii="黑体" w:hAnsi="黑体" w:eastAsia="黑体" w:cs="黑体"/>
          <w:spacing w:val="-4"/>
          <w:sz w:val="31"/>
          <w:szCs w:val="31"/>
        </w:rPr>
        <w:t>“5·7”一般高处坠落事故调查组</w:t>
      </w:r>
    </w:p>
    <w:p>
      <w:pPr>
        <w:spacing w:line="418" w:lineRule="exact"/>
        <w:ind w:firstLine="4272"/>
        <w:rPr>
          <w:rFonts w:hint="eastAsia" w:ascii="黑体" w:hAnsi="黑体" w:cs="黑体"/>
          <w:sz w:val="31"/>
          <w:szCs w:val="31"/>
        </w:rPr>
        <w:sectPr>
          <w:footerReference r:id="rId3" w:type="default"/>
          <w:pgSz w:w="11906" w:h="16838"/>
          <w:pgMar w:top="1431" w:right="1436" w:bottom="1827" w:left="1597" w:header="0" w:footer="1614" w:gutter="0"/>
          <w:cols w:space="720" w:num="1"/>
        </w:sectPr>
      </w:pPr>
      <w:r>
        <w:rPr>
          <w:rFonts w:ascii="黑体" w:hAnsi="黑体" w:eastAsia="黑体" w:cs="黑体"/>
          <w:spacing w:val="-9"/>
          <w:position w:val="1"/>
          <w:sz w:val="31"/>
          <w:szCs w:val="31"/>
        </w:rPr>
        <w:t>2022年7月22日</w:t>
      </w:r>
    </w:p>
    <w:p>
      <w:pPr>
        <w:spacing w:line="353" w:lineRule="auto"/>
      </w:pPr>
    </w:p>
    <w:p>
      <w:pPr>
        <w:spacing w:before="116" w:line="471" w:lineRule="exact"/>
        <w:ind w:firstLine="146"/>
        <w:rPr>
          <w:rFonts w:ascii="微软雅黑" w:hAnsi="微软雅黑" w:eastAsia="微软雅黑" w:cs="方正黑体_GBK"/>
          <w:b/>
          <w:sz w:val="24"/>
          <w:szCs w:val="24"/>
        </w:rPr>
      </w:pPr>
      <w:r>
        <w:rPr>
          <w:rFonts w:ascii="微软雅黑" w:hAnsi="微软雅黑" w:eastAsia="微软雅黑" w:cs="方正黑体_GBK"/>
          <w:b/>
          <w:spacing w:val="-9"/>
          <w:position w:val="3"/>
          <w:sz w:val="24"/>
          <w:szCs w:val="24"/>
        </w:rPr>
        <w:t>附件</w:t>
      </w:r>
    </w:p>
    <w:p>
      <w:pPr>
        <w:spacing w:before="116" w:line="471" w:lineRule="exact"/>
        <w:jc w:val="center"/>
        <w:rPr>
          <w:rFonts w:ascii="微软雅黑" w:hAnsi="微软雅黑" w:eastAsia="微软雅黑" w:cs="方正黑体_GBK"/>
          <w:sz w:val="24"/>
          <w:szCs w:val="24"/>
        </w:rPr>
      </w:pPr>
      <w:r>
        <w:rPr>
          <w:rFonts w:ascii="微软雅黑" w:hAnsi="微软雅黑" w:eastAsia="微软雅黑" w:cs="黑体"/>
          <w:b/>
          <w:spacing w:val="5"/>
          <w:sz w:val="24"/>
          <w:szCs w:val="24"/>
        </w:rPr>
        <w:t>涪陵区锋池钢结构制品经营部</w:t>
      </w:r>
      <w:r>
        <w:rPr>
          <w:rFonts w:ascii="微软雅黑" w:hAnsi="微软雅黑" w:eastAsia="微软雅黑"/>
          <w:b/>
          <w:spacing w:val="29"/>
          <w:w w:val="138"/>
          <w:sz w:val="24"/>
          <w:szCs w:val="24"/>
        </w:rPr>
        <w:t>“5·7”</w:t>
      </w:r>
      <w:r>
        <w:rPr>
          <w:rFonts w:ascii="微软雅黑" w:hAnsi="微软雅黑" w:eastAsia="微软雅黑" w:cs="黑体"/>
          <w:b/>
          <w:spacing w:val="5"/>
          <w:sz w:val="24"/>
          <w:szCs w:val="24"/>
        </w:rPr>
        <w:t>一般高处坠落事故</w:t>
      </w:r>
    </w:p>
    <w:p>
      <w:pPr>
        <w:spacing w:before="140" w:line="247" w:lineRule="auto"/>
        <w:ind w:right="934"/>
        <w:jc w:val="center"/>
        <w:rPr>
          <w:rFonts w:ascii="微软雅黑" w:hAnsi="微软雅黑" w:eastAsia="微软雅黑" w:cs="黑体"/>
          <w:b/>
          <w:sz w:val="24"/>
          <w:szCs w:val="24"/>
        </w:rPr>
      </w:pPr>
      <w:r>
        <w:rPr>
          <w:rFonts w:ascii="微软雅黑" w:hAnsi="微软雅黑" w:eastAsia="微软雅黑" w:cs="黑体"/>
          <w:b/>
          <w:spacing w:val="5"/>
          <w:sz w:val="24"/>
          <w:szCs w:val="24"/>
        </w:rPr>
        <w:t>调查组成员名单</w:t>
      </w:r>
    </w:p>
    <w:p>
      <w:pPr>
        <w:rPr>
          <w:rFonts w:ascii="微软雅黑" w:hAnsi="微软雅黑" w:eastAsia="微软雅黑"/>
          <w:sz w:val="24"/>
          <w:szCs w:val="24"/>
        </w:rPr>
      </w:pPr>
    </w:p>
    <w:p>
      <w:pPr>
        <w:spacing w:line="191" w:lineRule="exact"/>
        <w:rPr>
          <w:rFonts w:ascii="微软雅黑" w:hAnsi="微软雅黑" w:eastAsia="微软雅黑"/>
          <w:sz w:val="24"/>
          <w:szCs w:val="24"/>
        </w:rPr>
      </w:pPr>
    </w:p>
    <w:tbl>
      <w:tblPr>
        <w:tblStyle w:val="7"/>
        <w:tblW w:w="932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19"/>
        <w:gridCol w:w="2436"/>
        <w:gridCol w:w="1842"/>
        <w:gridCol w:w="1275"/>
        <w:gridCol w:w="1274"/>
        <w:gridCol w:w="1280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9" w:hRule="atLeast"/>
        </w:trPr>
        <w:tc>
          <w:tcPr>
            <w:tcW w:w="1219" w:type="dxa"/>
            <w:vMerge w:val="restart"/>
            <w:tcBorders>
              <w:bottom w:val="nil"/>
            </w:tcBorders>
          </w:tcPr>
          <w:p>
            <w:pPr>
              <w:spacing w:line="258" w:lineRule="auto"/>
              <w:rPr>
                <w:rFonts w:ascii="微软雅黑" w:hAnsi="微软雅黑" w:eastAsia="微软雅黑"/>
                <w:b/>
                <w:sz w:val="24"/>
                <w:szCs w:val="24"/>
              </w:rPr>
            </w:pPr>
          </w:p>
          <w:p>
            <w:pPr>
              <w:spacing w:line="258" w:lineRule="auto"/>
              <w:rPr>
                <w:rFonts w:ascii="微软雅黑" w:hAnsi="微软雅黑" w:eastAsia="微软雅黑"/>
                <w:b/>
                <w:sz w:val="24"/>
                <w:szCs w:val="24"/>
              </w:rPr>
            </w:pPr>
          </w:p>
          <w:p>
            <w:pPr>
              <w:spacing w:before="100" w:line="228" w:lineRule="auto"/>
              <w:ind w:firstLine="121"/>
              <w:rPr>
                <w:rFonts w:ascii="微软雅黑" w:hAnsi="微软雅黑" w:eastAsia="微软雅黑" w:cs="黑体"/>
                <w:b/>
                <w:sz w:val="24"/>
                <w:szCs w:val="24"/>
              </w:rPr>
            </w:pPr>
            <w:r>
              <w:rPr>
                <w:rFonts w:ascii="微软雅黑" w:hAnsi="微软雅黑" w:eastAsia="微软雅黑" w:cs="黑体"/>
                <w:b/>
                <w:spacing w:val="-2"/>
                <w:sz w:val="24"/>
                <w:szCs w:val="24"/>
              </w:rPr>
              <w:t>姓名</w:t>
            </w:r>
          </w:p>
        </w:tc>
        <w:tc>
          <w:tcPr>
            <w:tcW w:w="2436" w:type="dxa"/>
            <w:vMerge w:val="restart"/>
            <w:tcBorders>
              <w:bottom w:val="nil"/>
            </w:tcBorders>
          </w:tcPr>
          <w:p>
            <w:pPr>
              <w:spacing w:line="258" w:lineRule="auto"/>
              <w:rPr>
                <w:rFonts w:ascii="微软雅黑" w:hAnsi="微软雅黑" w:eastAsia="微软雅黑"/>
                <w:b/>
                <w:sz w:val="24"/>
                <w:szCs w:val="24"/>
              </w:rPr>
            </w:pPr>
          </w:p>
          <w:p>
            <w:pPr>
              <w:spacing w:line="258" w:lineRule="auto"/>
              <w:rPr>
                <w:rFonts w:ascii="微软雅黑" w:hAnsi="微软雅黑" w:eastAsia="微软雅黑"/>
                <w:b/>
                <w:sz w:val="24"/>
                <w:szCs w:val="24"/>
              </w:rPr>
            </w:pPr>
          </w:p>
          <w:p>
            <w:pPr>
              <w:spacing w:before="101" w:line="227" w:lineRule="auto"/>
              <w:ind w:firstLine="597"/>
              <w:rPr>
                <w:rFonts w:ascii="微软雅黑" w:hAnsi="微软雅黑" w:eastAsia="微软雅黑" w:cs="黑体"/>
                <w:b/>
                <w:sz w:val="24"/>
                <w:szCs w:val="24"/>
              </w:rPr>
            </w:pPr>
            <w:r>
              <w:rPr>
                <w:rFonts w:ascii="微软雅黑" w:hAnsi="微软雅黑" w:eastAsia="微软雅黑" w:cs="黑体"/>
                <w:b/>
                <w:spacing w:val="3"/>
                <w:sz w:val="24"/>
                <w:szCs w:val="24"/>
              </w:rPr>
              <w:t>工作单位</w:t>
            </w:r>
          </w:p>
        </w:tc>
        <w:tc>
          <w:tcPr>
            <w:tcW w:w="1842" w:type="dxa"/>
            <w:vMerge w:val="restart"/>
            <w:tcBorders>
              <w:bottom w:val="nil"/>
            </w:tcBorders>
          </w:tcPr>
          <w:p>
            <w:pPr>
              <w:spacing w:line="258" w:lineRule="auto"/>
              <w:rPr>
                <w:rFonts w:ascii="微软雅黑" w:hAnsi="微软雅黑" w:eastAsia="微软雅黑"/>
                <w:b/>
                <w:sz w:val="24"/>
                <w:szCs w:val="24"/>
              </w:rPr>
            </w:pPr>
          </w:p>
          <w:p>
            <w:pPr>
              <w:spacing w:line="259" w:lineRule="auto"/>
              <w:rPr>
                <w:rFonts w:ascii="微软雅黑" w:hAnsi="微软雅黑" w:eastAsia="微软雅黑"/>
                <w:b/>
                <w:sz w:val="24"/>
                <w:szCs w:val="24"/>
              </w:rPr>
            </w:pPr>
          </w:p>
          <w:p>
            <w:pPr>
              <w:spacing w:before="100" w:line="226" w:lineRule="auto"/>
              <w:ind w:firstLine="457"/>
              <w:rPr>
                <w:rFonts w:ascii="微软雅黑" w:hAnsi="微软雅黑" w:eastAsia="微软雅黑" w:cs="黑体"/>
                <w:b/>
                <w:sz w:val="24"/>
                <w:szCs w:val="24"/>
              </w:rPr>
            </w:pPr>
            <w:r>
              <w:rPr>
                <w:rFonts w:ascii="微软雅黑" w:hAnsi="微软雅黑" w:eastAsia="微软雅黑" w:cs="黑体"/>
                <w:b/>
                <w:spacing w:val="-2"/>
                <w:sz w:val="24"/>
                <w:szCs w:val="24"/>
              </w:rPr>
              <w:t>职务</w:t>
            </w:r>
          </w:p>
        </w:tc>
        <w:tc>
          <w:tcPr>
            <w:tcW w:w="1275" w:type="dxa"/>
            <w:vMerge w:val="restart"/>
            <w:tcBorders>
              <w:bottom w:val="nil"/>
            </w:tcBorders>
          </w:tcPr>
          <w:p>
            <w:pPr>
              <w:spacing w:line="306" w:lineRule="auto"/>
              <w:rPr>
                <w:rFonts w:ascii="微软雅黑" w:hAnsi="微软雅黑" w:eastAsia="微软雅黑"/>
                <w:b/>
                <w:sz w:val="24"/>
                <w:szCs w:val="24"/>
              </w:rPr>
            </w:pPr>
          </w:p>
          <w:p>
            <w:pPr>
              <w:spacing w:before="101" w:line="298" w:lineRule="auto"/>
              <w:ind w:left="120" w:leftChars="57" w:right="214"/>
              <w:rPr>
                <w:rFonts w:ascii="微软雅黑" w:hAnsi="微软雅黑" w:eastAsia="微软雅黑" w:cs="黑体"/>
                <w:b/>
                <w:sz w:val="24"/>
                <w:szCs w:val="24"/>
              </w:rPr>
            </w:pPr>
            <w:r>
              <w:rPr>
                <w:rFonts w:ascii="微软雅黑" w:hAnsi="微软雅黑" w:eastAsia="微软雅黑" w:cs="黑体"/>
                <w:b/>
                <w:spacing w:val="1"/>
                <w:sz w:val="24"/>
                <w:szCs w:val="24"/>
              </w:rPr>
              <w:t>调查组</w:t>
            </w:r>
            <w:r>
              <w:rPr>
                <w:rFonts w:ascii="微软雅黑" w:hAnsi="微软雅黑" w:eastAsia="微软雅黑" w:cs="黑体"/>
                <w:b/>
                <w:spacing w:val="-6"/>
                <w:sz w:val="24"/>
                <w:szCs w:val="24"/>
              </w:rPr>
              <w:t>职</w:t>
            </w:r>
            <w:r>
              <w:rPr>
                <w:rFonts w:hint="eastAsia" w:ascii="微软雅黑" w:hAnsi="微软雅黑" w:eastAsia="微软雅黑" w:cs="黑体"/>
                <w:b/>
                <w:spacing w:val="-6"/>
                <w:sz w:val="24"/>
                <w:szCs w:val="24"/>
              </w:rPr>
              <w:t xml:space="preserve">    </w:t>
            </w:r>
            <w:r>
              <w:rPr>
                <w:rFonts w:ascii="微软雅黑" w:hAnsi="微软雅黑" w:eastAsia="微软雅黑" w:cs="黑体"/>
                <w:b/>
                <w:spacing w:val="-6"/>
                <w:sz w:val="24"/>
                <w:szCs w:val="24"/>
              </w:rPr>
              <w:t>务</w:t>
            </w:r>
          </w:p>
        </w:tc>
        <w:tc>
          <w:tcPr>
            <w:tcW w:w="2554" w:type="dxa"/>
            <w:gridSpan w:val="2"/>
          </w:tcPr>
          <w:p>
            <w:pPr>
              <w:spacing w:before="114" w:line="480" w:lineRule="exact"/>
              <w:ind w:firstLine="753"/>
              <w:rPr>
                <w:rFonts w:ascii="微软雅黑" w:hAnsi="微软雅黑" w:eastAsia="微软雅黑" w:cs="黑体"/>
                <w:b/>
                <w:sz w:val="24"/>
                <w:szCs w:val="24"/>
              </w:rPr>
            </w:pPr>
            <w:r>
              <w:rPr>
                <w:rFonts w:ascii="微软雅黑" w:hAnsi="微软雅黑" w:eastAsia="微软雅黑" w:cs="黑体"/>
                <w:b/>
                <w:spacing w:val="1"/>
                <w:position w:val="11"/>
                <w:sz w:val="24"/>
                <w:szCs w:val="24"/>
              </w:rPr>
              <w:t>调查组</w:t>
            </w:r>
          </w:p>
          <w:p>
            <w:pPr>
              <w:spacing w:line="223" w:lineRule="auto"/>
              <w:ind w:firstLine="589"/>
              <w:rPr>
                <w:rFonts w:ascii="微软雅黑" w:hAnsi="微软雅黑" w:eastAsia="微软雅黑" w:cs="黑体"/>
                <w:b/>
                <w:sz w:val="24"/>
                <w:szCs w:val="24"/>
              </w:rPr>
            </w:pPr>
            <w:r>
              <w:rPr>
                <w:rFonts w:ascii="微软雅黑" w:hAnsi="微软雅黑" w:eastAsia="微软雅黑" w:cs="黑体"/>
                <w:b/>
                <w:spacing w:val="4"/>
                <w:sz w:val="24"/>
                <w:szCs w:val="24"/>
              </w:rPr>
              <w:t>成员签字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</w:trPr>
        <w:tc>
          <w:tcPr>
            <w:tcW w:w="1219" w:type="dxa"/>
            <w:vMerge w:val="continue"/>
            <w:tcBorders>
              <w:top w:val="nil"/>
            </w:tcBorders>
          </w:tcPr>
          <w:p>
            <w:pPr>
              <w:rPr>
                <w:rFonts w:ascii="微软雅黑" w:hAnsi="微软雅黑" w:eastAsia="微软雅黑"/>
                <w:b/>
                <w:sz w:val="24"/>
                <w:szCs w:val="24"/>
              </w:rPr>
            </w:pPr>
          </w:p>
        </w:tc>
        <w:tc>
          <w:tcPr>
            <w:tcW w:w="2436" w:type="dxa"/>
            <w:vMerge w:val="continue"/>
            <w:tcBorders>
              <w:top w:val="nil"/>
            </w:tcBorders>
          </w:tcPr>
          <w:p>
            <w:pPr>
              <w:rPr>
                <w:rFonts w:ascii="微软雅黑" w:hAnsi="微软雅黑" w:eastAsia="微软雅黑"/>
                <w:b/>
                <w:sz w:val="24"/>
                <w:szCs w:val="24"/>
              </w:rPr>
            </w:pPr>
          </w:p>
        </w:tc>
        <w:tc>
          <w:tcPr>
            <w:tcW w:w="1842" w:type="dxa"/>
            <w:vMerge w:val="continue"/>
            <w:tcBorders>
              <w:top w:val="nil"/>
            </w:tcBorders>
          </w:tcPr>
          <w:p>
            <w:pPr>
              <w:rPr>
                <w:rFonts w:ascii="微软雅黑" w:hAnsi="微软雅黑" w:eastAsia="微软雅黑"/>
                <w:b/>
                <w:sz w:val="24"/>
                <w:szCs w:val="24"/>
              </w:rPr>
            </w:pPr>
          </w:p>
        </w:tc>
        <w:tc>
          <w:tcPr>
            <w:tcW w:w="1275" w:type="dxa"/>
            <w:vMerge w:val="continue"/>
            <w:tcBorders>
              <w:top w:val="nil"/>
            </w:tcBorders>
          </w:tcPr>
          <w:p>
            <w:pPr>
              <w:rPr>
                <w:rFonts w:ascii="微软雅黑" w:hAnsi="微软雅黑" w:eastAsia="微软雅黑"/>
                <w:b/>
                <w:sz w:val="24"/>
                <w:szCs w:val="24"/>
              </w:rPr>
            </w:pPr>
          </w:p>
        </w:tc>
        <w:tc>
          <w:tcPr>
            <w:tcW w:w="1274" w:type="dxa"/>
          </w:tcPr>
          <w:p>
            <w:pPr>
              <w:spacing w:before="132" w:line="228" w:lineRule="auto"/>
              <w:ind w:firstLine="193"/>
              <w:rPr>
                <w:rFonts w:ascii="微软雅黑" w:hAnsi="微软雅黑" w:eastAsia="微软雅黑" w:cs="黑体"/>
                <w:b/>
                <w:sz w:val="24"/>
                <w:szCs w:val="24"/>
              </w:rPr>
            </w:pPr>
            <w:r>
              <w:rPr>
                <w:rFonts w:ascii="微软雅黑" w:hAnsi="微软雅黑" w:eastAsia="微软雅黑" w:cs="黑体"/>
                <w:b/>
                <w:spacing w:val="-10"/>
                <w:sz w:val="24"/>
                <w:szCs w:val="24"/>
              </w:rPr>
              <w:t>同意</w:t>
            </w:r>
          </w:p>
        </w:tc>
        <w:tc>
          <w:tcPr>
            <w:tcW w:w="1280" w:type="dxa"/>
          </w:tcPr>
          <w:p>
            <w:pPr>
              <w:spacing w:before="132" w:line="228" w:lineRule="auto"/>
              <w:ind w:firstLine="123"/>
              <w:rPr>
                <w:rFonts w:ascii="微软雅黑" w:hAnsi="微软雅黑" w:eastAsia="微软雅黑" w:cs="黑体"/>
                <w:b/>
                <w:sz w:val="24"/>
                <w:szCs w:val="24"/>
              </w:rPr>
            </w:pPr>
            <w:r>
              <w:rPr>
                <w:rFonts w:ascii="微软雅黑" w:hAnsi="微软雅黑" w:eastAsia="微软雅黑" w:cs="黑体"/>
                <w:b/>
                <w:spacing w:val="1"/>
                <w:sz w:val="24"/>
                <w:szCs w:val="24"/>
              </w:rPr>
              <w:t>不同意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</w:trPr>
        <w:tc>
          <w:tcPr>
            <w:tcW w:w="1219" w:type="dxa"/>
          </w:tcPr>
          <w:p>
            <w:pPr>
              <w:spacing w:before="120" w:line="391" w:lineRule="exact"/>
              <w:ind w:firstLine="128"/>
              <w:rPr>
                <w:rFonts w:ascii="微软雅黑" w:hAnsi="微软雅黑" w:eastAsia="微软雅黑" w:cs="黑体"/>
                <w:sz w:val="24"/>
                <w:szCs w:val="24"/>
              </w:rPr>
            </w:pPr>
            <w:r>
              <w:rPr>
                <w:rFonts w:ascii="微软雅黑" w:hAnsi="微软雅黑" w:eastAsia="微软雅黑" w:cs="黑体"/>
                <w:spacing w:val="-5"/>
                <w:position w:val="1"/>
                <w:sz w:val="24"/>
                <w:szCs w:val="24"/>
              </w:rPr>
              <w:t>袁闯</w:t>
            </w:r>
          </w:p>
        </w:tc>
        <w:tc>
          <w:tcPr>
            <w:tcW w:w="2436" w:type="dxa"/>
          </w:tcPr>
          <w:p>
            <w:pPr>
              <w:spacing w:before="120" w:line="393" w:lineRule="exact"/>
              <w:ind w:firstLine="681"/>
              <w:rPr>
                <w:rFonts w:ascii="微软雅黑" w:hAnsi="微软雅黑" w:eastAsia="微软雅黑" w:cs="黑体"/>
                <w:sz w:val="24"/>
                <w:szCs w:val="24"/>
              </w:rPr>
            </w:pPr>
            <w:r>
              <w:rPr>
                <w:rFonts w:ascii="微软雅黑" w:hAnsi="微软雅黑" w:eastAsia="微软雅黑" w:cs="黑体"/>
                <w:spacing w:val="-8"/>
                <w:position w:val="1"/>
                <w:sz w:val="24"/>
                <w:szCs w:val="24"/>
              </w:rPr>
              <w:t>区应急局</w:t>
            </w:r>
          </w:p>
        </w:tc>
        <w:tc>
          <w:tcPr>
            <w:tcW w:w="1842" w:type="dxa"/>
          </w:tcPr>
          <w:p>
            <w:pPr>
              <w:spacing w:before="120" w:line="395" w:lineRule="exact"/>
              <w:ind w:firstLine="498"/>
              <w:rPr>
                <w:rFonts w:ascii="微软雅黑" w:hAnsi="微软雅黑" w:eastAsia="微软雅黑" w:cs="黑体"/>
                <w:sz w:val="24"/>
                <w:szCs w:val="24"/>
              </w:rPr>
            </w:pPr>
            <w:r>
              <w:rPr>
                <w:rFonts w:ascii="微软雅黑" w:hAnsi="微软雅黑" w:eastAsia="微软雅黑" w:cs="黑体"/>
                <w:spacing w:val="-7"/>
                <w:position w:val="2"/>
                <w:sz w:val="24"/>
                <w:szCs w:val="24"/>
              </w:rPr>
              <w:t>局长</w:t>
            </w:r>
          </w:p>
        </w:tc>
        <w:tc>
          <w:tcPr>
            <w:tcW w:w="1275" w:type="dxa"/>
          </w:tcPr>
          <w:p>
            <w:pPr>
              <w:spacing w:before="142" w:line="207" w:lineRule="auto"/>
              <w:ind w:firstLine="218"/>
              <w:rPr>
                <w:rFonts w:ascii="微软雅黑" w:hAnsi="微软雅黑" w:eastAsia="微软雅黑" w:cs="黑体"/>
                <w:sz w:val="24"/>
                <w:szCs w:val="24"/>
              </w:rPr>
            </w:pPr>
            <w:r>
              <w:rPr>
                <w:rFonts w:ascii="微软雅黑" w:hAnsi="微软雅黑" w:eastAsia="微软雅黑" w:cs="黑体"/>
                <w:spacing w:val="-8"/>
                <w:sz w:val="24"/>
                <w:szCs w:val="24"/>
              </w:rPr>
              <w:t>组长</w:t>
            </w:r>
          </w:p>
        </w:tc>
        <w:tc>
          <w:tcPr>
            <w:tcW w:w="1274" w:type="dxa"/>
          </w:tcPr>
          <w:p>
            <w:pPr>
              <w:spacing w:before="120" w:line="391" w:lineRule="exact"/>
              <w:ind w:firstLine="126"/>
              <w:rPr>
                <w:rFonts w:ascii="微软雅黑" w:hAnsi="微软雅黑" w:eastAsia="微软雅黑" w:cs="黑体"/>
                <w:sz w:val="24"/>
                <w:szCs w:val="24"/>
              </w:rPr>
            </w:pPr>
            <w:r>
              <w:rPr>
                <w:rFonts w:ascii="微软雅黑" w:hAnsi="微软雅黑" w:eastAsia="微软雅黑" w:cs="黑体"/>
                <w:spacing w:val="-5"/>
                <w:position w:val="1"/>
                <w:sz w:val="24"/>
                <w:szCs w:val="24"/>
              </w:rPr>
              <w:t>袁闯</w:t>
            </w:r>
          </w:p>
        </w:tc>
        <w:tc>
          <w:tcPr>
            <w:tcW w:w="1280" w:type="dxa"/>
          </w:tcPr>
          <w:p>
            <w:pPr>
              <w:rPr>
                <w:rFonts w:ascii="微软雅黑" w:hAnsi="微软雅黑" w:eastAsia="微软雅黑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</w:trPr>
        <w:tc>
          <w:tcPr>
            <w:tcW w:w="1219" w:type="dxa"/>
          </w:tcPr>
          <w:p>
            <w:pPr>
              <w:spacing w:before="120" w:line="393" w:lineRule="exact"/>
              <w:ind w:firstLine="125"/>
              <w:rPr>
                <w:rFonts w:ascii="微软雅黑" w:hAnsi="微软雅黑" w:eastAsia="微软雅黑" w:cs="黑体"/>
                <w:sz w:val="24"/>
                <w:szCs w:val="24"/>
              </w:rPr>
            </w:pPr>
            <w:r>
              <w:rPr>
                <w:rFonts w:ascii="微软雅黑" w:hAnsi="微软雅黑" w:eastAsia="微软雅黑" w:cs="黑体"/>
                <w:spacing w:val="-4"/>
                <w:position w:val="1"/>
                <w:sz w:val="24"/>
                <w:szCs w:val="24"/>
              </w:rPr>
              <w:t>周斌</w:t>
            </w:r>
          </w:p>
        </w:tc>
        <w:tc>
          <w:tcPr>
            <w:tcW w:w="2436" w:type="dxa"/>
          </w:tcPr>
          <w:p>
            <w:pPr>
              <w:spacing w:before="120" w:line="388" w:lineRule="exact"/>
              <w:ind w:firstLine="237"/>
              <w:rPr>
                <w:rFonts w:ascii="微软雅黑" w:hAnsi="微软雅黑" w:eastAsia="微软雅黑" w:cs="黑体"/>
                <w:sz w:val="24"/>
                <w:szCs w:val="24"/>
              </w:rPr>
            </w:pPr>
            <w:r>
              <w:rPr>
                <w:rFonts w:ascii="微软雅黑" w:hAnsi="微软雅黑" w:eastAsia="微软雅黑" w:cs="黑体"/>
                <w:spacing w:val="-2"/>
                <w:position w:val="1"/>
                <w:sz w:val="24"/>
                <w:szCs w:val="24"/>
              </w:rPr>
              <w:t>区应急执法支队</w:t>
            </w:r>
          </w:p>
        </w:tc>
        <w:tc>
          <w:tcPr>
            <w:tcW w:w="1842" w:type="dxa"/>
          </w:tcPr>
          <w:p>
            <w:pPr>
              <w:spacing w:before="120" w:line="393" w:lineRule="exact"/>
              <w:ind w:firstLine="499"/>
              <w:rPr>
                <w:rFonts w:ascii="微软雅黑" w:hAnsi="微软雅黑" w:eastAsia="微软雅黑" w:cs="黑体"/>
                <w:sz w:val="24"/>
                <w:szCs w:val="24"/>
              </w:rPr>
            </w:pPr>
            <w:r>
              <w:rPr>
                <w:rFonts w:ascii="微软雅黑" w:hAnsi="微软雅黑" w:eastAsia="微软雅黑" w:cs="黑体"/>
                <w:spacing w:val="-1"/>
                <w:position w:val="2"/>
                <w:sz w:val="24"/>
                <w:szCs w:val="24"/>
              </w:rPr>
              <w:t>支队长</w:t>
            </w:r>
          </w:p>
        </w:tc>
        <w:tc>
          <w:tcPr>
            <w:tcW w:w="1275" w:type="dxa"/>
          </w:tcPr>
          <w:p>
            <w:pPr>
              <w:spacing w:before="120" w:line="393" w:lineRule="exact"/>
              <w:ind w:firstLine="229"/>
              <w:rPr>
                <w:rFonts w:ascii="微软雅黑" w:hAnsi="微软雅黑" w:eastAsia="微软雅黑" w:cs="黑体"/>
                <w:sz w:val="24"/>
                <w:szCs w:val="24"/>
              </w:rPr>
            </w:pPr>
            <w:r>
              <w:rPr>
                <w:rFonts w:ascii="微软雅黑" w:hAnsi="微软雅黑" w:eastAsia="微软雅黑" w:cs="黑体"/>
                <w:spacing w:val="-5"/>
                <w:position w:val="1"/>
                <w:sz w:val="24"/>
                <w:szCs w:val="24"/>
              </w:rPr>
              <w:t>副组长</w:t>
            </w:r>
          </w:p>
        </w:tc>
        <w:tc>
          <w:tcPr>
            <w:tcW w:w="1274" w:type="dxa"/>
          </w:tcPr>
          <w:p>
            <w:pPr>
              <w:spacing w:before="120" w:line="393" w:lineRule="exact"/>
              <w:ind w:firstLine="123"/>
              <w:rPr>
                <w:rFonts w:ascii="微软雅黑" w:hAnsi="微软雅黑" w:eastAsia="微软雅黑" w:cs="黑体"/>
                <w:sz w:val="24"/>
                <w:szCs w:val="24"/>
              </w:rPr>
            </w:pPr>
            <w:r>
              <w:rPr>
                <w:rFonts w:ascii="微软雅黑" w:hAnsi="微软雅黑" w:eastAsia="微软雅黑" w:cs="黑体"/>
                <w:spacing w:val="-4"/>
                <w:position w:val="1"/>
                <w:sz w:val="24"/>
                <w:szCs w:val="24"/>
              </w:rPr>
              <w:t>周斌</w:t>
            </w:r>
          </w:p>
        </w:tc>
        <w:tc>
          <w:tcPr>
            <w:tcW w:w="1280" w:type="dxa"/>
          </w:tcPr>
          <w:p>
            <w:pPr>
              <w:rPr>
                <w:rFonts w:ascii="微软雅黑" w:hAnsi="微软雅黑" w:eastAsia="微软雅黑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</w:trPr>
        <w:tc>
          <w:tcPr>
            <w:tcW w:w="1219" w:type="dxa"/>
          </w:tcPr>
          <w:p>
            <w:pPr>
              <w:spacing w:before="122" w:line="394" w:lineRule="exact"/>
              <w:ind w:firstLine="148"/>
              <w:rPr>
                <w:rFonts w:ascii="微软雅黑" w:hAnsi="微软雅黑" w:eastAsia="微软雅黑" w:cs="黑体"/>
                <w:sz w:val="24"/>
                <w:szCs w:val="24"/>
              </w:rPr>
            </w:pPr>
            <w:r>
              <w:rPr>
                <w:rFonts w:ascii="微软雅黑" w:hAnsi="微软雅黑" w:eastAsia="微软雅黑" w:cs="黑体"/>
                <w:spacing w:val="-6"/>
                <w:position w:val="1"/>
                <w:sz w:val="24"/>
                <w:szCs w:val="24"/>
              </w:rPr>
              <w:t>熊青云</w:t>
            </w:r>
          </w:p>
        </w:tc>
        <w:tc>
          <w:tcPr>
            <w:tcW w:w="2436" w:type="dxa"/>
          </w:tcPr>
          <w:p>
            <w:pPr>
              <w:spacing w:before="122" w:line="388" w:lineRule="exact"/>
              <w:ind w:firstLine="237"/>
              <w:rPr>
                <w:rFonts w:ascii="微软雅黑" w:hAnsi="微软雅黑" w:eastAsia="微软雅黑" w:cs="黑体"/>
                <w:sz w:val="24"/>
                <w:szCs w:val="24"/>
              </w:rPr>
            </w:pPr>
            <w:r>
              <w:rPr>
                <w:rFonts w:ascii="微软雅黑" w:hAnsi="微软雅黑" w:eastAsia="微软雅黑" w:cs="黑体"/>
                <w:spacing w:val="-2"/>
                <w:position w:val="1"/>
                <w:sz w:val="24"/>
                <w:szCs w:val="24"/>
              </w:rPr>
              <w:t>区应急执法支队</w:t>
            </w:r>
          </w:p>
        </w:tc>
        <w:tc>
          <w:tcPr>
            <w:tcW w:w="1842" w:type="dxa"/>
          </w:tcPr>
          <w:p>
            <w:pPr>
              <w:spacing w:before="122" w:line="392" w:lineRule="exact"/>
              <w:ind w:firstLine="493"/>
              <w:rPr>
                <w:rFonts w:ascii="微软雅黑" w:hAnsi="微软雅黑" w:eastAsia="微软雅黑" w:cs="黑体"/>
                <w:sz w:val="24"/>
                <w:szCs w:val="24"/>
              </w:rPr>
            </w:pPr>
            <w:r>
              <w:rPr>
                <w:rFonts w:ascii="微软雅黑" w:hAnsi="微软雅黑" w:eastAsia="微软雅黑" w:cs="黑体"/>
                <w:spacing w:val="-4"/>
                <w:position w:val="1"/>
                <w:sz w:val="24"/>
                <w:szCs w:val="24"/>
              </w:rPr>
              <w:t>政委</w:t>
            </w:r>
          </w:p>
        </w:tc>
        <w:tc>
          <w:tcPr>
            <w:tcW w:w="1275" w:type="dxa"/>
          </w:tcPr>
          <w:p>
            <w:pPr>
              <w:spacing w:before="122" w:line="394" w:lineRule="exact"/>
              <w:ind w:firstLine="229"/>
              <w:rPr>
                <w:rFonts w:ascii="微软雅黑" w:hAnsi="微软雅黑" w:eastAsia="微软雅黑" w:cs="黑体"/>
                <w:sz w:val="24"/>
                <w:szCs w:val="24"/>
              </w:rPr>
            </w:pPr>
            <w:r>
              <w:rPr>
                <w:rFonts w:ascii="微软雅黑" w:hAnsi="微软雅黑" w:eastAsia="微软雅黑" w:cs="黑体"/>
                <w:spacing w:val="-5"/>
                <w:position w:val="1"/>
                <w:sz w:val="24"/>
                <w:szCs w:val="24"/>
              </w:rPr>
              <w:t>副组长</w:t>
            </w:r>
          </w:p>
        </w:tc>
        <w:tc>
          <w:tcPr>
            <w:tcW w:w="1274" w:type="dxa"/>
          </w:tcPr>
          <w:p>
            <w:pPr>
              <w:spacing w:before="122" w:line="394" w:lineRule="exact"/>
              <w:ind w:firstLine="146"/>
              <w:rPr>
                <w:rFonts w:ascii="微软雅黑" w:hAnsi="微软雅黑" w:eastAsia="微软雅黑" w:cs="黑体"/>
                <w:sz w:val="24"/>
                <w:szCs w:val="24"/>
              </w:rPr>
            </w:pPr>
            <w:r>
              <w:rPr>
                <w:rFonts w:ascii="微软雅黑" w:hAnsi="微软雅黑" w:eastAsia="微软雅黑" w:cs="黑体"/>
                <w:spacing w:val="-6"/>
                <w:position w:val="1"/>
                <w:sz w:val="24"/>
                <w:szCs w:val="24"/>
              </w:rPr>
              <w:t>熊青云</w:t>
            </w:r>
          </w:p>
        </w:tc>
        <w:tc>
          <w:tcPr>
            <w:tcW w:w="1280" w:type="dxa"/>
          </w:tcPr>
          <w:p>
            <w:pPr>
              <w:rPr>
                <w:rFonts w:ascii="微软雅黑" w:hAnsi="微软雅黑" w:eastAsia="微软雅黑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</w:trPr>
        <w:tc>
          <w:tcPr>
            <w:tcW w:w="1219" w:type="dxa"/>
          </w:tcPr>
          <w:p>
            <w:pPr>
              <w:spacing w:before="121" w:line="391" w:lineRule="exact"/>
              <w:ind w:firstLine="129"/>
              <w:rPr>
                <w:rFonts w:ascii="微软雅黑" w:hAnsi="微软雅黑" w:eastAsia="微软雅黑" w:cs="黑体"/>
                <w:sz w:val="24"/>
                <w:szCs w:val="24"/>
              </w:rPr>
            </w:pPr>
            <w:r>
              <w:rPr>
                <w:rFonts w:ascii="微软雅黑" w:hAnsi="微软雅黑" w:eastAsia="微软雅黑" w:cs="黑体"/>
                <w:position w:val="1"/>
                <w:sz w:val="24"/>
                <w:szCs w:val="24"/>
              </w:rPr>
              <w:t>孙剑桥</w:t>
            </w:r>
          </w:p>
        </w:tc>
        <w:tc>
          <w:tcPr>
            <w:tcW w:w="2436" w:type="dxa"/>
          </w:tcPr>
          <w:p>
            <w:pPr>
              <w:spacing w:before="121" w:line="394" w:lineRule="exact"/>
              <w:ind w:firstLine="681"/>
              <w:rPr>
                <w:rFonts w:ascii="微软雅黑" w:hAnsi="微软雅黑" w:eastAsia="微软雅黑" w:cs="黑体"/>
                <w:sz w:val="24"/>
                <w:szCs w:val="24"/>
              </w:rPr>
            </w:pPr>
            <w:r>
              <w:rPr>
                <w:rFonts w:ascii="微软雅黑" w:hAnsi="微软雅黑" w:eastAsia="微软雅黑" w:cs="黑体"/>
                <w:spacing w:val="-8"/>
                <w:position w:val="1"/>
                <w:sz w:val="24"/>
                <w:szCs w:val="24"/>
              </w:rPr>
              <w:t>区公安局</w:t>
            </w:r>
          </w:p>
        </w:tc>
        <w:tc>
          <w:tcPr>
            <w:tcW w:w="1842" w:type="dxa"/>
          </w:tcPr>
          <w:p>
            <w:pPr>
              <w:spacing w:before="121" w:line="392" w:lineRule="exact"/>
              <w:ind w:firstLine="501"/>
              <w:rPr>
                <w:rFonts w:ascii="微软雅黑" w:hAnsi="微软雅黑" w:eastAsia="微软雅黑" w:cs="黑体"/>
                <w:sz w:val="24"/>
                <w:szCs w:val="24"/>
              </w:rPr>
            </w:pPr>
            <w:r>
              <w:rPr>
                <w:rFonts w:ascii="微软雅黑" w:hAnsi="微软雅黑" w:eastAsia="微软雅黑" w:cs="黑体"/>
                <w:spacing w:val="-8"/>
                <w:position w:val="1"/>
                <w:sz w:val="24"/>
                <w:szCs w:val="24"/>
              </w:rPr>
              <w:t>干警</w:t>
            </w:r>
          </w:p>
        </w:tc>
        <w:tc>
          <w:tcPr>
            <w:tcW w:w="1275" w:type="dxa"/>
          </w:tcPr>
          <w:p>
            <w:pPr>
              <w:spacing w:before="121" w:line="390" w:lineRule="exact"/>
              <w:ind w:firstLine="217"/>
              <w:rPr>
                <w:rFonts w:ascii="微软雅黑" w:hAnsi="微软雅黑" w:eastAsia="微软雅黑" w:cs="黑体"/>
                <w:sz w:val="24"/>
                <w:szCs w:val="24"/>
              </w:rPr>
            </w:pPr>
            <w:r>
              <w:rPr>
                <w:rFonts w:ascii="微软雅黑" w:hAnsi="微软雅黑" w:eastAsia="微软雅黑" w:cs="黑体"/>
                <w:spacing w:val="-7"/>
                <w:position w:val="1"/>
                <w:sz w:val="24"/>
                <w:szCs w:val="24"/>
              </w:rPr>
              <w:t>成员</w:t>
            </w:r>
          </w:p>
        </w:tc>
        <w:tc>
          <w:tcPr>
            <w:tcW w:w="1274" w:type="dxa"/>
          </w:tcPr>
          <w:p>
            <w:pPr>
              <w:spacing w:before="121" w:line="391" w:lineRule="exact"/>
              <w:ind w:firstLine="127"/>
              <w:rPr>
                <w:rFonts w:ascii="微软雅黑" w:hAnsi="微软雅黑" w:eastAsia="微软雅黑" w:cs="黑体"/>
                <w:sz w:val="24"/>
                <w:szCs w:val="24"/>
              </w:rPr>
            </w:pPr>
            <w:r>
              <w:rPr>
                <w:rFonts w:ascii="微软雅黑" w:hAnsi="微软雅黑" w:eastAsia="微软雅黑" w:cs="黑体"/>
                <w:position w:val="1"/>
                <w:sz w:val="24"/>
                <w:szCs w:val="24"/>
              </w:rPr>
              <w:t>孙剑桥</w:t>
            </w:r>
          </w:p>
        </w:tc>
        <w:tc>
          <w:tcPr>
            <w:tcW w:w="1280" w:type="dxa"/>
          </w:tcPr>
          <w:p>
            <w:pPr>
              <w:rPr>
                <w:rFonts w:ascii="微软雅黑" w:hAnsi="微软雅黑" w:eastAsia="微软雅黑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</w:trPr>
        <w:tc>
          <w:tcPr>
            <w:tcW w:w="1219" w:type="dxa"/>
          </w:tcPr>
          <w:p>
            <w:pPr>
              <w:spacing w:before="124" w:line="393" w:lineRule="exact"/>
              <w:ind w:firstLine="131"/>
              <w:rPr>
                <w:rFonts w:ascii="微软雅黑" w:hAnsi="微软雅黑" w:eastAsia="微软雅黑" w:cs="黑体"/>
                <w:sz w:val="24"/>
                <w:szCs w:val="24"/>
              </w:rPr>
            </w:pPr>
            <w:r>
              <w:rPr>
                <w:rFonts w:ascii="微软雅黑" w:hAnsi="微软雅黑" w:eastAsia="微软雅黑" w:cs="黑体"/>
                <w:spacing w:val="-7"/>
                <w:position w:val="1"/>
                <w:sz w:val="24"/>
                <w:szCs w:val="24"/>
              </w:rPr>
              <w:t>朱江</w:t>
            </w:r>
          </w:p>
        </w:tc>
        <w:tc>
          <w:tcPr>
            <w:tcW w:w="2436" w:type="dxa"/>
          </w:tcPr>
          <w:p>
            <w:pPr>
              <w:spacing w:before="124" w:line="392" w:lineRule="exact"/>
              <w:ind w:firstLine="681"/>
              <w:rPr>
                <w:rFonts w:ascii="微软雅黑" w:hAnsi="微软雅黑" w:eastAsia="微软雅黑" w:cs="黑体"/>
                <w:sz w:val="24"/>
                <w:szCs w:val="24"/>
              </w:rPr>
            </w:pPr>
            <w:r>
              <w:rPr>
                <w:rFonts w:ascii="微软雅黑" w:hAnsi="微软雅黑" w:eastAsia="微软雅黑" w:cs="黑体"/>
                <w:spacing w:val="-8"/>
                <w:position w:val="1"/>
                <w:sz w:val="24"/>
                <w:szCs w:val="24"/>
              </w:rPr>
              <w:t>区总工会</w:t>
            </w:r>
          </w:p>
        </w:tc>
        <w:tc>
          <w:tcPr>
            <w:tcW w:w="1842" w:type="dxa"/>
          </w:tcPr>
          <w:p>
            <w:pPr>
              <w:spacing w:before="124" w:line="390" w:lineRule="exact"/>
              <w:ind w:firstLine="501"/>
              <w:rPr>
                <w:rFonts w:ascii="微软雅黑" w:hAnsi="微软雅黑" w:eastAsia="微软雅黑" w:cs="黑体"/>
                <w:sz w:val="24"/>
                <w:szCs w:val="24"/>
              </w:rPr>
            </w:pPr>
            <w:r>
              <w:rPr>
                <w:rFonts w:ascii="微软雅黑" w:hAnsi="微软雅黑" w:eastAsia="微软雅黑" w:cs="黑体"/>
                <w:spacing w:val="-8"/>
                <w:position w:val="2"/>
                <w:sz w:val="24"/>
                <w:szCs w:val="24"/>
              </w:rPr>
              <w:t>职员</w:t>
            </w:r>
          </w:p>
        </w:tc>
        <w:tc>
          <w:tcPr>
            <w:tcW w:w="1275" w:type="dxa"/>
          </w:tcPr>
          <w:p>
            <w:pPr>
              <w:spacing w:before="124" w:line="390" w:lineRule="exact"/>
              <w:ind w:firstLine="217"/>
              <w:rPr>
                <w:rFonts w:ascii="微软雅黑" w:hAnsi="微软雅黑" w:eastAsia="微软雅黑" w:cs="黑体"/>
                <w:sz w:val="24"/>
                <w:szCs w:val="24"/>
              </w:rPr>
            </w:pPr>
            <w:r>
              <w:rPr>
                <w:rFonts w:ascii="微软雅黑" w:hAnsi="微软雅黑" w:eastAsia="微软雅黑" w:cs="黑体"/>
                <w:spacing w:val="-7"/>
                <w:position w:val="1"/>
                <w:sz w:val="24"/>
                <w:szCs w:val="24"/>
              </w:rPr>
              <w:t>成员</w:t>
            </w:r>
          </w:p>
        </w:tc>
        <w:tc>
          <w:tcPr>
            <w:tcW w:w="1274" w:type="dxa"/>
          </w:tcPr>
          <w:p>
            <w:pPr>
              <w:spacing w:before="124" w:line="393" w:lineRule="exact"/>
              <w:ind w:firstLine="130"/>
              <w:rPr>
                <w:rFonts w:ascii="微软雅黑" w:hAnsi="微软雅黑" w:eastAsia="微软雅黑" w:cs="黑体"/>
                <w:sz w:val="24"/>
                <w:szCs w:val="24"/>
              </w:rPr>
            </w:pPr>
            <w:r>
              <w:rPr>
                <w:rFonts w:ascii="微软雅黑" w:hAnsi="微软雅黑" w:eastAsia="微软雅黑" w:cs="黑体"/>
                <w:spacing w:val="-7"/>
                <w:position w:val="1"/>
                <w:sz w:val="24"/>
                <w:szCs w:val="24"/>
              </w:rPr>
              <w:t>朱江</w:t>
            </w:r>
          </w:p>
        </w:tc>
        <w:tc>
          <w:tcPr>
            <w:tcW w:w="1280" w:type="dxa"/>
          </w:tcPr>
          <w:p>
            <w:pPr>
              <w:rPr>
                <w:rFonts w:ascii="微软雅黑" w:hAnsi="微软雅黑" w:eastAsia="微软雅黑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</w:trPr>
        <w:tc>
          <w:tcPr>
            <w:tcW w:w="1219" w:type="dxa"/>
          </w:tcPr>
          <w:p>
            <w:pPr>
              <w:spacing w:before="123" w:line="392" w:lineRule="exact"/>
              <w:ind w:firstLine="125"/>
              <w:rPr>
                <w:rFonts w:ascii="微软雅黑" w:hAnsi="微软雅黑" w:eastAsia="微软雅黑" w:cs="黑体"/>
                <w:sz w:val="24"/>
                <w:szCs w:val="24"/>
              </w:rPr>
            </w:pPr>
            <w:r>
              <w:rPr>
                <w:rFonts w:ascii="微软雅黑" w:hAnsi="微软雅黑" w:eastAsia="微软雅黑" w:cs="黑体"/>
                <w:spacing w:val="2"/>
                <w:position w:val="1"/>
                <w:sz w:val="24"/>
                <w:szCs w:val="24"/>
              </w:rPr>
              <w:t>余永梅</w:t>
            </w:r>
          </w:p>
        </w:tc>
        <w:tc>
          <w:tcPr>
            <w:tcW w:w="2436" w:type="dxa"/>
          </w:tcPr>
          <w:p>
            <w:pPr>
              <w:spacing w:before="123" w:line="393" w:lineRule="exact"/>
              <w:ind w:firstLine="681"/>
              <w:rPr>
                <w:rFonts w:ascii="微软雅黑" w:hAnsi="微软雅黑" w:eastAsia="微软雅黑" w:cs="黑体"/>
                <w:sz w:val="24"/>
                <w:szCs w:val="24"/>
              </w:rPr>
            </w:pPr>
            <w:r>
              <w:rPr>
                <w:rFonts w:ascii="微软雅黑" w:hAnsi="微软雅黑" w:eastAsia="微软雅黑" w:cs="黑体"/>
                <w:spacing w:val="-8"/>
                <w:position w:val="1"/>
                <w:sz w:val="24"/>
                <w:szCs w:val="24"/>
              </w:rPr>
              <w:t>区应急局</w:t>
            </w:r>
          </w:p>
        </w:tc>
        <w:tc>
          <w:tcPr>
            <w:tcW w:w="1842" w:type="dxa"/>
          </w:tcPr>
          <w:p>
            <w:pPr>
              <w:spacing w:before="123" w:line="390" w:lineRule="exact"/>
              <w:ind w:firstLine="357"/>
              <w:rPr>
                <w:rFonts w:ascii="微软雅黑" w:hAnsi="微软雅黑" w:eastAsia="微软雅黑" w:cs="黑体"/>
                <w:sz w:val="24"/>
                <w:szCs w:val="24"/>
              </w:rPr>
            </w:pPr>
            <w:r>
              <w:rPr>
                <w:rFonts w:ascii="微软雅黑" w:hAnsi="微软雅黑" w:eastAsia="微软雅黑" w:cs="黑体"/>
                <w:spacing w:val="-1"/>
                <w:position w:val="1"/>
                <w:sz w:val="24"/>
                <w:szCs w:val="24"/>
              </w:rPr>
              <w:t>主任科员</w:t>
            </w:r>
          </w:p>
        </w:tc>
        <w:tc>
          <w:tcPr>
            <w:tcW w:w="1275" w:type="dxa"/>
          </w:tcPr>
          <w:p>
            <w:pPr>
              <w:spacing w:before="123" w:line="390" w:lineRule="exact"/>
              <w:ind w:firstLine="217"/>
              <w:rPr>
                <w:rFonts w:ascii="微软雅黑" w:hAnsi="微软雅黑" w:eastAsia="微软雅黑" w:cs="黑体"/>
                <w:sz w:val="24"/>
                <w:szCs w:val="24"/>
              </w:rPr>
            </w:pPr>
            <w:r>
              <w:rPr>
                <w:rFonts w:ascii="微软雅黑" w:hAnsi="微软雅黑" w:eastAsia="微软雅黑" w:cs="黑体"/>
                <w:spacing w:val="-7"/>
                <w:position w:val="1"/>
                <w:sz w:val="24"/>
                <w:szCs w:val="24"/>
              </w:rPr>
              <w:t>成员</w:t>
            </w:r>
          </w:p>
        </w:tc>
        <w:tc>
          <w:tcPr>
            <w:tcW w:w="1274" w:type="dxa"/>
          </w:tcPr>
          <w:p>
            <w:pPr>
              <w:spacing w:before="123" w:line="390" w:lineRule="exact"/>
              <w:ind w:firstLine="146"/>
              <w:rPr>
                <w:rFonts w:ascii="微软雅黑" w:hAnsi="微软雅黑" w:eastAsia="微软雅黑" w:cs="黑体"/>
                <w:sz w:val="24"/>
                <w:szCs w:val="24"/>
              </w:rPr>
            </w:pPr>
            <w:r>
              <w:rPr>
                <w:rFonts w:ascii="微软雅黑" w:hAnsi="微软雅黑" w:eastAsia="微软雅黑" w:cs="黑体"/>
                <w:spacing w:val="-15"/>
                <w:position w:val="1"/>
                <w:sz w:val="24"/>
                <w:szCs w:val="24"/>
              </w:rPr>
              <w:t>熊鹰</w:t>
            </w:r>
          </w:p>
        </w:tc>
        <w:tc>
          <w:tcPr>
            <w:tcW w:w="1280" w:type="dxa"/>
          </w:tcPr>
          <w:p>
            <w:pPr>
              <w:rPr>
                <w:rFonts w:ascii="微软雅黑" w:hAnsi="微软雅黑" w:eastAsia="微软雅黑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</w:trPr>
        <w:tc>
          <w:tcPr>
            <w:tcW w:w="1219" w:type="dxa"/>
          </w:tcPr>
          <w:p>
            <w:pPr>
              <w:spacing w:before="122" w:line="394" w:lineRule="exact"/>
              <w:ind w:firstLine="126"/>
              <w:rPr>
                <w:rFonts w:ascii="微软雅黑" w:hAnsi="微软雅黑" w:eastAsia="微软雅黑" w:cs="黑体"/>
                <w:sz w:val="24"/>
                <w:szCs w:val="24"/>
              </w:rPr>
            </w:pPr>
            <w:r>
              <w:rPr>
                <w:rFonts w:ascii="微软雅黑" w:hAnsi="微软雅黑" w:eastAsia="微软雅黑" w:cs="黑体"/>
                <w:spacing w:val="-4"/>
                <w:position w:val="1"/>
                <w:sz w:val="24"/>
                <w:szCs w:val="24"/>
              </w:rPr>
              <w:t>桂松</w:t>
            </w:r>
          </w:p>
        </w:tc>
        <w:tc>
          <w:tcPr>
            <w:tcW w:w="2436" w:type="dxa"/>
          </w:tcPr>
          <w:p>
            <w:pPr>
              <w:spacing w:before="122" w:line="387" w:lineRule="exact"/>
              <w:ind w:firstLine="237"/>
              <w:rPr>
                <w:rFonts w:ascii="微软雅黑" w:hAnsi="微软雅黑" w:eastAsia="微软雅黑" w:cs="黑体"/>
                <w:sz w:val="24"/>
                <w:szCs w:val="24"/>
              </w:rPr>
            </w:pPr>
            <w:r>
              <w:rPr>
                <w:rFonts w:ascii="微软雅黑" w:hAnsi="微软雅黑" w:eastAsia="微软雅黑" w:cs="黑体"/>
                <w:spacing w:val="-2"/>
                <w:position w:val="1"/>
                <w:sz w:val="24"/>
                <w:szCs w:val="24"/>
              </w:rPr>
              <w:t>区应急执法支队</w:t>
            </w:r>
          </w:p>
        </w:tc>
        <w:tc>
          <w:tcPr>
            <w:tcW w:w="1842" w:type="dxa"/>
          </w:tcPr>
          <w:p>
            <w:pPr>
              <w:spacing w:before="122" w:line="390" w:lineRule="exact"/>
              <w:ind w:firstLine="506"/>
              <w:rPr>
                <w:rFonts w:ascii="微软雅黑" w:hAnsi="微软雅黑" w:eastAsia="微软雅黑" w:cs="黑体"/>
                <w:sz w:val="24"/>
                <w:szCs w:val="24"/>
              </w:rPr>
            </w:pPr>
            <w:r>
              <w:rPr>
                <w:rFonts w:ascii="微软雅黑" w:hAnsi="微软雅黑" w:eastAsia="微软雅黑" w:cs="黑体"/>
                <w:spacing w:val="-11"/>
                <w:position w:val="1"/>
                <w:sz w:val="24"/>
                <w:szCs w:val="24"/>
              </w:rPr>
              <w:t>主办</w:t>
            </w:r>
          </w:p>
        </w:tc>
        <w:tc>
          <w:tcPr>
            <w:tcW w:w="1275" w:type="dxa"/>
          </w:tcPr>
          <w:p>
            <w:pPr>
              <w:spacing w:before="122" w:line="390" w:lineRule="exact"/>
              <w:ind w:firstLine="217"/>
              <w:rPr>
                <w:rFonts w:ascii="微软雅黑" w:hAnsi="微软雅黑" w:eastAsia="微软雅黑" w:cs="黑体"/>
                <w:sz w:val="24"/>
                <w:szCs w:val="24"/>
              </w:rPr>
            </w:pPr>
            <w:r>
              <w:rPr>
                <w:rFonts w:ascii="微软雅黑" w:hAnsi="微软雅黑" w:eastAsia="微软雅黑" w:cs="黑体"/>
                <w:spacing w:val="-7"/>
                <w:position w:val="1"/>
                <w:sz w:val="24"/>
                <w:szCs w:val="24"/>
              </w:rPr>
              <w:t>成员</w:t>
            </w:r>
          </w:p>
        </w:tc>
        <w:tc>
          <w:tcPr>
            <w:tcW w:w="1274" w:type="dxa"/>
          </w:tcPr>
          <w:p>
            <w:pPr>
              <w:spacing w:before="122" w:line="394" w:lineRule="exact"/>
              <w:ind w:firstLine="124"/>
              <w:rPr>
                <w:rFonts w:ascii="微软雅黑" w:hAnsi="微软雅黑" w:eastAsia="微软雅黑" w:cs="黑体"/>
                <w:sz w:val="24"/>
                <w:szCs w:val="24"/>
              </w:rPr>
            </w:pPr>
            <w:r>
              <w:rPr>
                <w:rFonts w:ascii="微软雅黑" w:hAnsi="微软雅黑" w:eastAsia="微软雅黑" w:cs="黑体"/>
                <w:spacing w:val="-4"/>
                <w:position w:val="1"/>
                <w:sz w:val="24"/>
                <w:szCs w:val="24"/>
              </w:rPr>
              <w:t>桂松</w:t>
            </w:r>
          </w:p>
        </w:tc>
        <w:tc>
          <w:tcPr>
            <w:tcW w:w="1280" w:type="dxa"/>
          </w:tcPr>
          <w:p>
            <w:pPr>
              <w:rPr>
                <w:rFonts w:ascii="微软雅黑" w:hAnsi="微软雅黑" w:eastAsia="微软雅黑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</w:trPr>
        <w:tc>
          <w:tcPr>
            <w:tcW w:w="1219" w:type="dxa"/>
          </w:tcPr>
          <w:p>
            <w:pPr>
              <w:spacing w:before="123" w:line="392" w:lineRule="exact"/>
              <w:ind w:firstLine="123"/>
              <w:rPr>
                <w:rFonts w:ascii="微软雅黑" w:hAnsi="微软雅黑" w:eastAsia="微软雅黑" w:cs="黑体"/>
                <w:sz w:val="24"/>
                <w:szCs w:val="24"/>
              </w:rPr>
            </w:pPr>
            <w:r>
              <w:rPr>
                <w:rFonts w:ascii="微软雅黑" w:hAnsi="微软雅黑" w:eastAsia="微软雅黑" w:cs="黑体"/>
                <w:spacing w:val="-3"/>
                <w:position w:val="1"/>
                <w:sz w:val="24"/>
                <w:szCs w:val="24"/>
              </w:rPr>
              <w:t>秦皓</w:t>
            </w:r>
          </w:p>
        </w:tc>
        <w:tc>
          <w:tcPr>
            <w:tcW w:w="2436" w:type="dxa"/>
          </w:tcPr>
          <w:p>
            <w:pPr>
              <w:spacing w:before="128" w:line="387" w:lineRule="exact"/>
              <w:ind w:firstLine="237"/>
              <w:rPr>
                <w:rFonts w:ascii="微软雅黑" w:hAnsi="微软雅黑" w:eastAsia="微软雅黑" w:cs="黑体"/>
                <w:sz w:val="24"/>
                <w:szCs w:val="24"/>
              </w:rPr>
            </w:pPr>
            <w:r>
              <w:rPr>
                <w:rFonts w:ascii="微软雅黑" w:hAnsi="微软雅黑" w:eastAsia="微软雅黑" w:cs="黑体"/>
                <w:spacing w:val="-2"/>
                <w:position w:val="1"/>
                <w:sz w:val="24"/>
                <w:szCs w:val="24"/>
              </w:rPr>
              <w:t>区应急执法支队</w:t>
            </w:r>
          </w:p>
        </w:tc>
        <w:tc>
          <w:tcPr>
            <w:tcW w:w="1842" w:type="dxa"/>
          </w:tcPr>
          <w:p>
            <w:pPr>
              <w:spacing w:before="123" w:line="390" w:lineRule="exact"/>
              <w:ind w:firstLine="506"/>
              <w:rPr>
                <w:rFonts w:ascii="微软雅黑" w:hAnsi="微软雅黑" w:eastAsia="微软雅黑" w:cs="黑体"/>
                <w:sz w:val="24"/>
                <w:szCs w:val="24"/>
              </w:rPr>
            </w:pPr>
            <w:r>
              <w:rPr>
                <w:rFonts w:ascii="微软雅黑" w:hAnsi="微软雅黑" w:eastAsia="微软雅黑" w:cs="黑体"/>
                <w:spacing w:val="-11"/>
                <w:position w:val="1"/>
                <w:sz w:val="24"/>
                <w:szCs w:val="24"/>
              </w:rPr>
              <w:t>主办</w:t>
            </w:r>
          </w:p>
        </w:tc>
        <w:tc>
          <w:tcPr>
            <w:tcW w:w="1275" w:type="dxa"/>
          </w:tcPr>
          <w:p>
            <w:pPr>
              <w:spacing w:before="123" w:line="390" w:lineRule="exact"/>
              <w:ind w:firstLine="217"/>
              <w:rPr>
                <w:rFonts w:ascii="微软雅黑" w:hAnsi="微软雅黑" w:eastAsia="微软雅黑" w:cs="黑体"/>
                <w:sz w:val="24"/>
                <w:szCs w:val="24"/>
              </w:rPr>
            </w:pPr>
            <w:r>
              <w:rPr>
                <w:rFonts w:ascii="微软雅黑" w:hAnsi="微软雅黑" w:eastAsia="微软雅黑" w:cs="黑体"/>
                <w:spacing w:val="-7"/>
                <w:position w:val="1"/>
                <w:sz w:val="24"/>
                <w:szCs w:val="24"/>
              </w:rPr>
              <w:t>成员</w:t>
            </w:r>
          </w:p>
        </w:tc>
        <w:tc>
          <w:tcPr>
            <w:tcW w:w="1274" w:type="dxa"/>
          </w:tcPr>
          <w:p>
            <w:pPr>
              <w:spacing w:before="123" w:line="392" w:lineRule="exact"/>
              <w:ind w:firstLine="122"/>
              <w:rPr>
                <w:rFonts w:ascii="微软雅黑" w:hAnsi="微软雅黑" w:eastAsia="微软雅黑" w:cs="黑体"/>
                <w:sz w:val="24"/>
                <w:szCs w:val="24"/>
              </w:rPr>
            </w:pPr>
            <w:r>
              <w:rPr>
                <w:rFonts w:ascii="微软雅黑" w:hAnsi="微软雅黑" w:eastAsia="微软雅黑" w:cs="黑体"/>
                <w:spacing w:val="-3"/>
                <w:position w:val="1"/>
                <w:sz w:val="24"/>
                <w:szCs w:val="24"/>
              </w:rPr>
              <w:t>秦皓</w:t>
            </w:r>
          </w:p>
        </w:tc>
        <w:tc>
          <w:tcPr>
            <w:tcW w:w="1280" w:type="dxa"/>
          </w:tcPr>
          <w:p>
            <w:pPr>
              <w:rPr>
                <w:rFonts w:ascii="微软雅黑" w:hAnsi="微软雅黑" w:eastAsia="微软雅黑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4" w:hRule="atLeast"/>
        </w:trPr>
        <w:tc>
          <w:tcPr>
            <w:tcW w:w="1219" w:type="dxa"/>
          </w:tcPr>
          <w:p>
            <w:pPr>
              <w:spacing w:before="123" w:line="391" w:lineRule="exact"/>
              <w:ind w:firstLine="128"/>
              <w:rPr>
                <w:rFonts w:ascii="微软雅黑" w:hAnsi="微软雅黑" w:eastAsia="微软雅黑" w:cs="黑体"/>
                <w:sz w:val="24"/>
                <w:szCs w:val="24"/>
              </w:rPr>
            </w:pPr>
            <w:r>
              <w:rPr>
                <w:rFonts w:ascii="微软雅黑" w:hAnsi="微软雅黑" w:eastAsia="微软雅黑" w:cs="黑体"/>
                <w:spacing w:val="-5"/>
                <w:position w:val="1"/>
                <w:sz w:val="24"/>
                <w:szCs w:val="24"/>
              </w:rPr>
              <w:t>蒋波</w:t>
            </w:r>
          </w:p>
        </w:tc>
        <w:tc>
          <w:tcPr>
            <w:tcW w:w="2436" w:type="dxa"/>
          </w:tcPr>
          <w:p>
            <w:pPr>
              <w:spacing w:before="130" w:line="388" w:lineRule="exact"/>
              <w:ind w:firstLine="237"/>
              <w:rPr>
                <w:rFonts w:ascii="微软雅黑" w:hAnsi="微软雅黑" w:eastAsia="微软雅黑" w:cs="黑体"/>
                <w:sz w:val="24"/>
                <w:szCs w:val="24"/>
              </w:rPr>
            </w:pPr>
            <w:r>
              <w:rPr>
                <w:rFonts w:ascii="微软雅黑" w:hAnsi="微软雅黑" w:eastAsia="微软雅黑" w:cs="黑体"/>
                <w:spacing w:val="-2"/>
                <w:position w:val="1"/>
                <w:sz w:val="24"/>
                <w:szCs w:val="24"/>
              </w:rPr>
              <w:t>区应急执法支队</w:t>
            </w:r>
          </w:p>
        </w:tc>
        <w:tc>
          <w:tcPr>
            <w:tcW w:w="1842" w:type="dxa"/>
          </w:tcPr>
          <w:p>
            <w:pPr>
              <w:spacing w:before="123" w:line="393" w:lineRule="exact"/>
              <w:ind w:firstLine="502"/>
              <w:rPr>
                <w:rFonts w:ascii="微软雅黑" w:hAnsi="微软雅黑" w:eastAsia="微软雅黑" w:cs="黑体"/>
                <w:sz w:val="24"/>
                <w:szCs w:val="24"/>
              </w:rPr>
            </w:pPr>
            <w:r>
              <w:rPr>
                <w:rFonts w:ascii="微软雅黑" w:hAnsi="微软雅黑" w:eastAsia="微软雅黑" w:cs="黑体"/>
                <w:spacing w:val="-2"/>
                <w:position w:val="2"/>
                <w:sz w:val="24"/>
                <w:szCs w:val="24"/>
              </w:rPr>
              <w:t>大队长</w:t>
            </w:r>
          </w:p>
        </w:tc>
        <w:tc>
          <w:tcPr>
            <w:tcW w:w="1275" w:type="dxa"/>
          </w:tcPr>
          <w:p>
            <w:pPr>
              <w:spacing w:before="123" w:line="390" w:lineRule="exact"/>
              <w:ind w:firstLine="217"/>
              <w:rPr>
                <w:rFonts w:ascii="微软雅黑" w:hAnsi="微软雅黑" w:eastAsia="微软雅黑" w:cs="黑体"/>
                <w:sz w:val="24"/>
                <w:szCs w:val="24"/>
              </w:rPr>
            </w:pPr>
            <w:r>
              <w:rPr>
                <w:rFonts w:ascii="微软雅黑" w:hAnsi="微软雅黑" w:eastAsia="微软雅黑" w:cs="黑体"/>
                <w:spacing w:val="-7"/>
                <w:position w:val="1"/>
                <w:sz w:val="24"/>
                <w:szCs w:val="24"/>
              </w:rPr>
              <w:t>成员</w:t>
            </w:r>
          </w:p>
        </w:tc>
        <w:tc>
          <w:tcPr>
            <w:tcW w:w="1274" w:type="dxa"/>
          </w:tcPr>
          <w:p>
            <w:pPr>
              <w:spacing w:before="123" w:line="391" w:lineRule="exact"/>
              <w:ind w:firstLine="126"/>
              <w:rPr>
                <w:rFonts w:ascii="微软雅黑" w:hAnsi="微软雅黑" w:eastAsia="微软雅黑" w:cs="黑体"/>
                <w:sz w:val="24"/>
                <w:szCs w:val="24"/>
              </w:rPr>
            </w:pPr>
            <w:r>
              <w:rPr>
                <w:rFonts w:ascii="微软雅黑" w:hAnsi="微软雅黑" w:eastAsia="微软雅黑" w:cs="黑体"/>
                <w:spacing w:val="-5"/>
                <w:position w:val="1"/>
                <w:sz w:val="24"/>
                <w:szCs w:val="24"/>
              </w:rPr>
              <w:t>蒋波</w:t>
            </w:r>
          </w:p>
        </w:tc>
        <w:tc>
          <w:tcPr>
            <w:tcW w:w="1280" w:type="dxa"/>
          </w:tcPr>
          <w:p>
            <w:pPr>
              <w:rPr>
                <w:rFonts w:ascii="微软雅黑" w:hAnsi="微软雅黑" w:eastAsia="微软雅黑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</w:trPr>
        <w:tc>
          <w:tcPr>
            <w:tcW w:w="1219" w:type="dxa"/>
          </w:tcPr>
          <w:p>
            <w:pPr>
              <w:spacing w:before="125" w:line="394" w:lineRule="exact"/>
              <w:ind w:firstLine="134"/>
              <w:rPr>
                <w:rFonts w:ascii="微软雅黑" w:hAnsi="微软雅黑" w:eastAsia="微软雅黑" w:cs="黑体"/>
                <w:sz w:val="24"/>
                <w:szCs w:val="24"/>
              </w:rPr>
            </w:pPr>
            <w:r>
              <w:rPr>
                <w:rFonts w:ascii="微软雅黑" w:hAnsi="微软雅黑" w:eastAsia="微软雅黑" w:cs="黑体"/>
                <w:spacing w:val="-8"/>
                <w:position w:val="1"/>
                <w:sz w:val="24"/>
                <w:szCs w:val="24"/>
              </w:rPr>
              <w:t>尹倩</w:t>
            </w:r>
          </w:p>
        </w:tc>
        <w:tc>
          <w:tcPr>
            <w:tcW w:w="2436" w:type="dxa"/>
          </w:tcPr>
          <w:p>
            <w:pPr>
              <w:spacing w:before="125" w:line="387" w:lineRule="exact"/>
              <w:ind w:firstLine="160"/>
              <w:rPr>
                <w:rFonts w:ascii="微软雅黑" w:hAnsi="微软雅黑" w:eastAsia="微软雅黑" w:cs="黑体"/>
                <w:sz w:val="24"/>
                <w:szCs w:val="24"/>
              </w:rPr>
            </w:pPr>
            <w:r>
              <w:rPr>
                <w:rFonts w:ascii="微软雅黑" w:hAnsi="微软雅黑" w:eastAsia="微软雅黑" w:cs="黑体"/>
                <w:spacing w:val="-2"/>
                <w:position w:val="1"/>
                <w:sz w:val="24"/>
                <w:szCs w:val="24"/>
              </w:rPr>
              <w:t>区应急执法支队</w:t>
            </w:r>
          </w:p>
        </w:tc>
        <w:tc>
          <w:tcPr>
            <w:tcW w:w="1842" w:type="dxa"/>
          </w:tcPr>
          <w:p>
            <w:pPr>
              <w:spacing w:before="125" w:line="387" w:lineRule="exact"/>
              <w:ind w:firstLine="493"/>
              <w:rPr>
                <w:rFonts w:ascii="微软雅黑" w:hAnsi="微软雅黑" w:eastAsia="微软雅黑" w:cs="黑体"/>
                <w:sz w:val="24"/>
                <w:szCs w:val="24"/>
              </w:rPr>
            </w:pPr>
            <w:r>
              <w:rPr>
                <w:rFonts w:ascii="微软雅黑" w:hAnsi="微软雅黑" w:eastAsia="微软雅黑" w:cs="黑体"/>
                <w:spacing w:val="1"/>
                <w:position w:val="1"/>
                <w:sz w:val="24"/>
                <w:szCs w:val="24"/>
              </w:rPr>
              <w:t>执法员</w:t>
            </w:r>
          </w:p>
        </w:tc>
        <w:tc>
          <w:tcPr>
            <w:tcW w:w="1275" w:type="dxa"/>
          </w:tcPr>
          <w:p>
            <w:pPr>
              <w:spacing w:before="125" w:line="389" w:lineRule="exact"/>
              <w:ind w:firstLine="217"/>
              <w:rPr>
                <w:rFonts w:ascii="微软雅黑" w:hAnsi="微软雅黑" w:eastAsia="微软雅黑" w:cs="黑体"/>
                <w:sz w:val="24"/>
                <w:szCs w:val="24"/>
              </w:rPr>
            </w:pPr>
            <w:r>
              <w:rPr>
                <w:rFonts w:ascii="微软雅黑" w:hAnsi="微软雅黑" w:eastAsia="微软雅黑" w:cs="黑体"/>
                <w:spacing w:val="-7"/>
                <w:position w:val="1"/>
                <w:sz w:val="24"/>
                <w:szCs w:val="24"/>
              </w:rPr>
              <w:t>成员</w:t>
            </w:r>
          </w:p>
        </w:tc>
        <w:tc>
          <w:tcPr>
            <w:tcW w:w="1274" w:type="dxa"/>
          </w:tcPr>
          <w:p>
            <w:pPr>
              <w:spacing w:before="125" w:line="394" w:lineRule="exact"/>
              <w:ind w:firstLine="132"/>
              <w:rPr>
                <w:rFonts w:ascii="微软雅黑" w:hAnsi="微软雅黑" w:eastAsia="微软雅黑" w:cs="黑体"/>
                <w:sz w:val="24"/>
                <w:szCs w:val="24"/>
              </w:rPr>
            </w:pPr>
            <w:r>
              <w:rPr>
                <w:rFonts w:ascii="微软雅黑" w:hAnsi="微软雅黑" w:eastAsia="微软雅黑" w:cs="黑体"/>
                <w:spacing w:val="-8"/>
                <w:position w:val="1"/>
                <w:sz w:val="24"/>
                <w:szCs w:val="24"/>
              </w:rPr>
              <w:t>尹倩</w:t>
            </w:r>
          </w:p>
        </w:tc>
        <w:tc>
          <w:tcPr>
            <w:tcW w:w="1280" w:type="dxa"/>
          </w:tcPr>
          <w:p>
            <w:pPr>
              <w:rPr>
                <w:rFonts w:ascii="微软雅黑" w:hAnsi="微软雅黑" w:eastAsia="微软雅黑"/>
                <w:sz w:val="24"/>
                <w:szCs w:val="24"/>
              </w:rPr>
            </w:pPr>
          </w:p>
        </w:tc>
      </w:tr>
    </w:tbl>
    <w:p/>
    <w:p>
      <w:pPr>
        <w:sectPr>
          <w:footerReference r:id="rId4" w:type="default"/>
          <w:pgSz w:w="11906" w:h="16838"/>
          <w:pgMar w:top="1431" w:right="1098" w:bottom="1827" w:left="1475" w:header="0" w:footer="1614" w:gutter="0"/>
          <w:cols w:space="720" w:num="1"/>
        </w:sectPr>
      </w:pPr>
    </w:p>
    <w:p>
      <w:pPr>
        <w:spacing w:line="244" w:lineRule="auto"/>
      </w:pPr>
      <w:r>
        <w:drawing>
          <wp:anchor distT="0" distB="0" distL="0" distR="0" simplePos="0" relativeHeight="251659264" behindDoc="0" locked="0" layoutInCell="0" allowOverlap="1">
            <wp:simplePos x="0" y="0"/>
            <wp:positionH relativeFrom="page">
              <wp:posOffset>1007745</wp:posOffset>
            </wp:positionH>
            <wp:positionV relativeFrom="page">
              <wp:posOffset>8684895</wp:posOffset>
            </wp:positionV>
            <wp:extent cx="5615940" cy="6350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5847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0" allowOverlap="1">
            <wp:simplePos x="0" y="0"/>
            <wp:positionH relativeFrom="page">
              <wp:posOffset>1007745</wp:posOffset>
            </wp:positionH>
            <wp:positionV relativeFrom="page">
              <wp:posOffset>9058910</wp:posOffset>
            </wp:positionV>
            <wp:extent cx="5615940" cy="6350"/>
            <wp:effectExtent l="0" t="0" r="0" b="0"/>
            <wp:wrapNone/>
            <wp:docPr id="5" name="I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 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15847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4" w:lineRule="auto"/>
      </w:pPr>
    </w:p>
    <w:p>
      <w:pPr>
        <w:spacing w:line="244" w:lineRule="auto"/>
      </w:pPr>
    </w:p>
    <w:p>
      <w:pPr>
        <w:spacing w:line="244" w:lineRule="auto"/>
      </w:pPr>
    </w:p>
    <w:p>
      <w:pPr>
        <w:spacing w:line="244" w:lineRule="auto"/>
      </w:pPr>
    </w:p>
    <w:p>
      <w:pPr>
        <w:spacing w:line="244" w:lineRule="auto"/>
      </w:pPr>
    </w:p>
    <w:p>
      <w:pPr>
        <w:spacing w:line="244" w:lineRule="auto"/>
      </w:pPr>
    </w:p>
    <w:p>
      <w:pPr>
        <w:spacing w:line="244" w:lineRule="auto"/>
      </w:pPr>
    </w:p>
    <w:p>
      <w:pPr>
        <w:spacing w:line="244" w:lineRule="auto"/>
      </w:pPr>
    </w:p>
    <w:p>
      <w:pPr>
        <w:spacing w:line="244" w:lineRule="auto"/>
      </w:pPr>
    </w:p>
    <w:p>
      <w:pPr>
        <w:spacing w:line="244" w:lineRule="auto"/>
      </w:pPr>
    </w:p>
    <w:p>
      <w:pPr>
        <w:spacing w:line="244" w:lineRule="auto"/>
      </w:pPr>
    </w:p>
    <w:p>
      <w:pPr>
        <w:spacing w:line="244" w:lineRule="auto"/>
      </w:pPr>
    </w:p>
    <w:p>
      <w:pPr>
        <w:spacing w:line="244" w:lineRule="auto"/>
      </w:pPr>
    </w:p>
    <w:p>
      <w:pPr>
        <w:spacing w:line="244" w:lineRule="auto"/>
      </w:pPr>
    </w:p>
    <w:p>
      <w:pPr>
        <w:spacing w:line="244" w:lineRule="auto"/>
      </w:pPr>
    </w:p>
    <w:p>
      <w:pPr>
        <w:spacing w:line="244" w:lineRule="auto"/>
      </w:pPr>
    </w:p>
    <w:p>
      <w:pPr>
        <w:spacing w:line="244" w:lineRule="auto"/>
      </w:pPr>
    </w:p>
    <w:p>
      <w:pPr>
        <w:spacing w:line="244" w:lineRule="auto"/>
      </w:pPr>
    </w:p>
    <w:p>
      <w:pPr>
        <w:spacing w:line="244" w:lineRule="auto"/>
      </w:pPr>
    </w:p>
    <w:p>
      <w:pPr>
        <w:spacing w:line="244" w:lineRule="auto"/>
      </w:pPr>
    </w:p>
    <w:p>
      <w:pPr>
        <w:spacing w:line="244" w:lineRule="auto"/>
      </w:pPr>
    </w:p>
    <w:p>
      <w:pPr>
        <w:spacing w:line="244" w:lineRule="auto"/>
      </w:pPr>
    </w:p>
    <w:p>
      <w:pPr>
        <w:spacing w:line="244" w:lineRule="auto"/>
      </w:pPr>
    </w:p>
    <w:p>
      <w:pPr>
        <w:spacing w:line="244" w:lineRule="auto"/>
      </w:pPr>
    </w:p>
    <w:p>
      <w:pPr>
        <w:spacing w:line="244" w:lineRule="auto"/>
      </w:pPr>
    </w:p>
    <w:p>
      <w:pPr>
        <w:spacing w:line="244" w:lineRule="auto"/>
      </w:pPr>
    </w:p>
    <w:p>
      <w:pPr>
        <w:spacing w:line="244" w:lineRule="auto"/>
      </w:pPr>
    </w:p>
    <w:p>
      <w:pPr>
        <w:spacing w:line="244" w:lineRule="auto"/>
      </w:pPr>
    </w:p>
    <w:p>
      <w:pPr>
        <w:spacing w:line="244" w:lineRule="auto"/>
      </w:pPr>
    </w:p>
    <w:p>
      <w:pPr>
        <w:spacing w:line="245" w:lineRule="auto"/>
      </w:pPr>
    </w:p>
    <w:p>
      <w:pPr>
        <w:spacing w:line="245" w:lineRule="auto"/>
      </w:pPr>
    </w:p>
    <w:p>
      <w:pPr>
        <w:spacing w:line="245" w:lineRule="auto"/>
      </w:pPr>
    </w:p>
    <w:p>
      <w:pPr>
        <w:spacing w:line="245" w:lineRule="auto"/>
      </w:pPr>
    </w:p>
    <w:p>
      <w:pPr>
        <w:spacing w:line="245" w:lineRule="auto"/>
      </w:pPr>
    </w:p>
    <w:p>
      <w:pPr>
        <w:spacing w:line="245" w:lineRule="auto"/>
      </w:pPr>
    </w:p>
    <w:p>
      <w:pPr>
        <w:spacing w:line="245" w:lineRule="auto"/>
      </w:pPr>
    </w:p>
    <w:p>
      <w:pPr>
        <w:spacing w:line="245" w:lineRule="auto"/>
      </w:pPr>
    </w:p>
    <w:p>
      <w:pPr>
        <w:spacing w:line="245" w:lineRule="auto"/>
      </w:pPr>
    </w:p>
    <w:p>
      <w:pPr>
        <w:spacing w:line="245" w:lineRule="auto"/>
      </w:pPr>
    </w:p>
    <w:p>
      <w:pPr>
        <w:spacing w:line="245" w:lineRule="auto"/>
      </w:pPr>
    </w:p>
    <w:p>
      <w:pPr>
        <w:spacing w:line="245" w:lineRule="auto"/>
      </w:pPr>
    </w:p>
    <w:p>
      <w:pPr>
        <w:spacing w:line="245" w:lineRule="auto"/>
      </w:pPr>
    </w:p>
    <w:p>
      <w:pPr>
        <w:spacing w:line="245" w:lineRule="auto"/>
      </w:pPr>
    </w:p>
    <w:p>
      <w:pPr>
        <w:spacing w:line="245" w:lineRule="auto"/>
      </w:pPr>
    </w:p>
    <w:p>
      <w:pPr>
        <w:spacing w:line="245" w:lineRule="auto"/>
      </w:pPr>
    </w:p>
    <w:p>
      <w:pPr>
        <w:spacing w:line="245" w:lineRule="auto"/>
      </w:pPr>
    </w:p>
    <w:p>
      <w:pPr>
        <w:spacing w:line="245" w:lineRule="auto"/>
      </w:pPr>
    </w:p>
    <w:p>
      <w:pPr>
        <w:spacing w:line="245" w:lineRule="auto"/>
      </w:pPr>
    </w:p>
    <w:p>
      <w:pPr>
        <w:spacing w:line="245" w:lineRule="auto"/>
      </w:pPr>
    </w:p>
    <w:p>
      <w:pPr>
        <w:spacing w:before="91" w:line="242" w:lineRule="auto"/>
        <w:ind w:firstLine="303"/>
        <w:rPr>
          <w:rFonts w:ascii="黑体" w:hAnsi="黑体" w:eastAsia="黑体" w:cs="黑体"/>
          <w:sz w:val="28"/>
          <w:szCs w:val="28"/>
        </w:rPr>
      </w:pPr>
      <w:r>
        <w:rPr>
          <w:rFonts w:ascii="黑体" w:hAnsi="黑体" w:eastAsia="黑体" w:cs="黑体"/>
          <w:spacing w:val="-9"/>
          <w:sz w:val="28"/>
          <w:szCs w:val="28"/>
        </w:rPr>
        <w:t>重庆市涪陵区应急管理局办公室</w:t>
      </w:r>
      <w:r>
        <w:rPr>
          <w:rFonts w:ascii="Times New Roman" w:hAnsi="Times New Roman" w:eastAsia="Times New Roman" w:cs="Times New Roman"/>
          <w:spacing w:val="-9"/>
          <w:sz w:val="28"/>
          <w:szCs w:val="28"/>
        </w:rPr>
        <w:t>2022</w:t>
      </w:r>
      <w:r>
        <w:rPr>
          <w:rFonts w:ascii="黑体" w:hAnsi="黑体" w:eastAsia="黑体" w:cs="黑体"/>
          <w:spacing w:val="-9"/>
          <w:sz w:val="28"/>
          <w:szCs w:val="28"/>
        </w:rPr>
        <w:t>年</w:t>
      </w:r>
      <w:r>
        <w:rPr>
          <w:rFonts w:ascii="Times New Roman" w:hAnsi="Times New Roman" w:eastAsia="Times New Roman" w:cs="Times New Roman"/>
          <w:spacing w:val="-9"/>
          <w:sz w:val="28"/>
          <w:szCs w:val="28"/>
        </w:rPr>
        <w:t>7</w:t>
      </w:r>
      <w:r>
        <w:rPr>
          <w:rFonts w:ascii="黑体" w:hAnsi="黑体" w:eastAsia="黑体" w:cs="黑体"/>
          <w:spacing w:val="-9"/>
          <w:sz w:val="28"/>
          <w:szCs w:val="28"/>
        </w:rPr>
        <w:t>月</w:t>
      </w:r>
      <w:r>
        <w:rPr>
          <w:rFonts w:ascii="Times New Roman" w:hAnsi="Times New Roman" w:eastAsia="Times New Roman" w:cs="Times New Roman"/>
          <w:spacing w:val="-9"/>
          <w:sz w:val="28"/>
          <w:szCs w:val="28"/>
        </w:rPr>
        <w:t>27</w:t>
      </w:r>
      <w:r>
        <w:rPr>
          <w:rFonts w:ascii="黑体" w:hAnsi="黑体" w:eastAsia="黑体" w:cs="黑体"/>
          <w:spacing w:val="-9"/>
          <w:sz w:val="28"/>
          <w:szCs w:val="28"/>
        </w:rPr>
        <w:t>日印发</w:t>
      </w:r>
    </w:p>
    <w:sectPr>
      <w:footerReference r:id="rId5" w:type="default"/>
      <w:pgSz w:w="11906" w:h="16838"/>
      <w:pgMar w:top="1431" w:right="1473" w:bottom="1827" w:left="1587" w:header="0" w:footer="1614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roman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roma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12" w:lineRule="exact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2"/>
        <w:position w:val="-3"/>
        <w:sz w:val="28"/>
        <w:szCs w:val="28"/>
      </w:rPr>
      <w:t>—</w:t>
    </w:r>
    <w:r>
      <w:rPr>
        <w:rFonts w:ascii="黑体" w:hAnsi="黑体" w:eastAsia="黑体" w:cs="黑体"/>
        <w:spacing w:val="-2"/>
        <w:position w:val="-3"/>
        <w:sz w:val="28"/>
        <w:szCs w:val="28"/>
      </w:rPr>
      <w:t>10</w:t>
    </w:r>
    <w:r>
      <w:rPr>
        <w:rFonts w:ascii="宋体" w:hAnsi="宋体" w:eastAsia="宋体" w:cs="宋体"/>
        <w:spacing w:val="-2"/>
        <w:position w:val="-3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12" w:lineRule="exact"/>
      <w:ind w:firstLine="8044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8"/>
        <w:position w:val="-4"/>
        <w:sz w:val="28"/>
        <w:szCs w:val="28"/>
      </w:rPr>
      <w:t>—</w:t>
    </w:r>
    <w:r>
      <w:rPr>
        <w:rFonts w:ascii="黑体" w:hAnsi="黑体" w:eastAsia="黑体" w:cs="黑体"/>
        <w:spacing w:val="8"/>
        <w:position w:val="-4"/>
        <w:sz w:val="28"/>
        <w:szCs w:val="28"/>
      </w:rPr>
      <w:t>11</w:t>
    </w:r>
    <w:r>
      <w:rPr>
        <w:rFonts w:ascii="宋体" w:hAnsi="宋体" w:eastAsia="宋体" w:cs="宋体"/>
        <w:spacing w:val="8"/>
        <w:position w:val="-4"/>
        <w:sz w:val="28"/>
        <w:szCs w:val="28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212" w:lineRule="exact"/>
      <w:ind w:firstLine="9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2"/>
        <w:position w:val="-4"/>
        <w:sz w:val="28"/>
        <w:szCs w:val="28"/>
      </w:rPr>
      <w:t>—</w:t>
    </w:r>
    <w:r>
      <w:rPr>
        <w:rFonts w:ascii="黑体" w:hAnsi="黑体" w:eastAsia="黑体" w:cs="黑体"/>
        <w:spacing w:val="-2"/>
        <w:position w:val="-4"/>
        <w:sz w:val="28"/>
        <w:szCs w:val="28"/>
      </w:rPr>
      <w:t>12</w:t>
    </w:r>
    <w:r>
      <w:rPr>
        <w:rFonts w:ascii="宋体" w:hAnsi="宋体" w:eastAsia="宋体" w:cs="宋体"/>
        <w:spacing w:val="-2"/>
        <w:position w:val="-4"/>
        <w:sz w:val="28"/>
        <w:szCs w:val="28"/>
      </w:rPr>
      <w:t>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displayBackgroundShape w:val="1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TEzN2U0MmQ3NDcxOGFjM2NiOGFhNTQzZDU4NzliMTcifQ=="/>
  </w:docVars>
  <w:rsids>
    <w:rsidRoot w:val="004F698B"/>
    <w:rsid w:val="00217113"/>
    <w:rsid w:val="003907B6"/>
    <w:rsid w:val="004F56C6"/>
    <w:rsid w:val="004F698B"/>
    <w:rsid w:val="006B534F"/>
    <w:rsid w:val="00EB3D4B"/>
    <w:rsid w:val="73604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cs="Arial" w:eastAsiaTheme="minorEastAsia"/>
      <w:snapToGrid w:val="0"/>
      <w:color w:val="000000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10"/>
    <w:semiHidden/>
    <w:unhideWhenUsed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8">
    <w:name w:val="批注框文本 Char"/>
    <w:basedOn w:val="6"/>
    <w:link w:val="2"/>
    <w:semiHidden/>
    <w:uiPriority w:val="99"/>
    <w:rPr>
      <w:sz w:val="18"/>
      <w:szCs w:val="18"/>
    </w:rPr>
  </w:style>
  <w:style w:type="character" w:customStyle="1" w:styleId="9">
    <w:name w:val="页眉 Char"/>
    <w:basedOn w:val="6"/>
    <w:link w:val="4"/>
    <w:semiHidden/>
    <w:uiPriority w:val="99"/>
    <w:rPr>
      <w:sz w:val="18"/>
      <w:szCs w:val="18"/>
    </w:rPr>
  </w:style>
  <w:style w:type="character" w:customStyle="1" w:styleId="10">
    <w:name w:val="页脚 Char"/>
    <w:basedOn w:val="6"/>
    <w:link w:val="3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9</Pages>
  <Words>3415</Words>
  <Characters>3546</Characters>
  <Lines>26</Lines>
  <Paragraphs>7</Paragraphs>
  <TotalTime>23</TotalTime>
  <ScaleCrop>false</ScaleCrop>
  <LinksUpToDate>false</LinksUpToDate>
  <CharactersWithSpaces>3550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2022-10-17T16:07:00Z</dcterms:created>
  <dc:creator>尹倩</dc:creator>
  <cp:lastModifiedBy>ASUS</cp:lastModifiedBy>
  <dcterms:modified xsi:type="dcterms:W3CDTF">2022-10-20T01:13:47Z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wqlLaW5nc29mdCBQREYgdG8gV1BTIDcw</vt:lpwstr>
  </property>
  <property fmtid="{D5CDD505-2E9C-101B-9397-08002B2CF9AE}" pid="3" name="Created">
    <vt:filetime>2022-10-17T16:08:14Z</vt:filetime>
  </property>
  <property fmtid="{D5CDD505-2E9C-101B-9397-08002B2CF9AE}" pid="4" name="KSOProductBuildVer">
    <vt:lpwstr>2052-11.1.0.12313</vt:lpwstr>
  </property>
  <property fmtid="{D5CDD505-2E9C-101B-9397-08002B2CF9AE}" pid="5" name="ICV">
    <vt:lpwstr>2EF37683C5324287B8044373C74A46A8</vt:lpwstr>
  </property>
</Properties>
</file>