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2E65F5">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rPr>
          <w:rFonts w:hint="eastAsia" w:ascii="方正小标宋简体" w:hAnsi="方正小标宋简体" w:eastAsia="方正小标宋简体" w:cs="方正小标宋简体"/>
          <w:b w:val="0"/>
          <w:bCs/>
          <w:sz w:val="44"/>
          <w:szCs w:val="44"/>
          <w:lang w:eastAsia="zh-CN"/>
        </w:rPr>
      </w:pPr>
      <w:r>
        <w:rPr>
          <w:rFonts w:hint="eastAsia" w:ascii="方正小标宋简体" w:hAnsi="方正小标宋简体" w:eastAsia="方正小标宋简体" w:cs="方正小标宋简体"/>
          <w:b w:val="0"/>
          <w:bCs/>
          <w:sz w:val="44"/>
          <w:szCs w:val="44"/>
          <w:lang w:eastAsia="zh-CN"/>
        </w:rPr>
        <w:t>鼎湖</w:t>
      </w:r>
      <w:r>
        <w:rPr>
          <w:rFonts w:hint="eastAsia" w:ascii="方正小标宋简体" w:hAnsi="方正小标宋简体" w:eastAsia="方正小标宋简体" w:cs="方正小标宋简体"/>
          <w:b w:val="0"/>
          <w:bCs/>
          <w:sz w:val="44"/>
          <w:szCs w:val="44"/>
          <w:lang w:val="en-US" w:eastAsia="zh-CN"/>
        </w:rPr>
        <w:t>永安</w:t>
      </w:r>
      <w:r>
        <w:rPr>
          <w:rFonts w:hint="eastAsia" w:ascii="方正小标宋简体" w:hAnsi="方正小标宋简体" w:eastAsia="方正小标宋简体" w:cs="方正小标宋简体"/>
          <w:b w:val="0"/>
          <w:bCs/>
          <w:sz w:val="44"/>
          <w:szCs w:val="44"/>
          <w:lang w:eastAsia="zh-CN"/>
        </w:rPr>
        <w:t>广东新大明铝业有限公司</w:t>
      </w:r>
    </w:p>
    <w:p w14:paraId="3A938512">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lang w:eastAsia="zh-CN"/>
        </w:rPr>
        <w:t>“</w:t>
      </w:r>
      <w:r>
        <w:rPr>
          <w:rFonts w:hint="eastAsia" w:ascii="方正小标宋简体" w:hAnsi="方正小标宋简体" w:eastAsia="方正小标宋简体" w:cs="方正小标宋简体"/>
          <w:b w:val="0"/>
          <w:bCs/>
          <w:sz w:val="44"/>
          <w:szCs w:val="44"/>
          <w:lang w:val="en-US" w:eastAsia="zh-CN"/>
        </w:rPr>
        <w:t>4·9</w:t>
      </w:r>
      <w:r>
        <w:rPr>
          <w:rFonts w:hint="eastAsia" w:ascii="方正小标宋简体" w:hAnsi="方正小标宋简体" w:eastAsia="方正小标宋简体" w:cs="方正小标宋简体"/>
          <w:b w:val="0"/>
          <w:bCs/>
          <w:sz w:val="44"/>
          <w:szCs w:val="44"/>
          <w:lang w:eastAsia="zh-CN"/>
        </w:rPr>
        <w:t>”</w:t>
      </w:r>
      <w:r>
        <w:rPr>
          <w:rFonts w:hint="eastAsia" w:ascii="方正小标宋简体" w:hAnsi="方正小标宋简体" w:eastAsia="方正小标宋简体" w:cs="方正小标宋简体"/>
          <w:b w:val="0"/>
          <w:bCs/>
          <w:sz w:val="44"/>
          <w:szCs w:val="44"/>
          <w:lang w:val="en-US" w:eastAsia="zh-CN"/>
        </w:rPr>
        <w:t>一般</w:t>
      </w:r>
      <w:r>
        <w:rPr>
          <w:rFonts w:hint="eastAsia" w:ascii="方正小标宋简体" w:hAnsi="方正小标宋简体" w:eastAsia="方正小标宋简体" w:cs="方正小标宋简体"/>
          <w:b w:val="0"/>
          <w:bCs/>
          <w:sz w:val="44"/>
          <w:szCs w:val="44"/>
          <w:lang w:eastAsia="zh-CN"/>
        </w:rPr>
        <w:t>高处坠落事故调查报</w:t>
      </w:r>
      <w:r>
        <w:rPr>
          <w:rFonts w:hint="eastAsia" w:ascii="方正小标宋简体" w:hAnsi="方正小标宋简体" w:eastAsia="方正小标宋简体" w:cs="方正小标宋简体"/>
          <w:b w:val="0"/>
          <w:bCs/>
          <w:sz w:val="44"/>
          <w:szCs w:val="44"/>
        </w:rPr>
        <w:t>告</w:t>
      </w:r>
    </w:p>
    <w:p w14:paraId="49FA8338">
      <w:pPr>
        <w:keepNext w:val="0"/>
        <w:keepLines w:val="0"/>
        <w:pageBreakBefore w:val="0"/>
        <w:widowControl w:val="0"/>
        <w:kinsoku/>
        <w:wordWrap/>
        <w:overflowPunct/>
        <w:topLinePunct w:val="0"/>
        <w:autoSpaceDN/>
        <w:bidi w:val="0"/>
        <w:spacing w:line="560" w:lineRule="exact"/>
        <w:ind w:left="0" w:leftChars="0" w:right="0" w:rightChars="0"/>
        <w:jc w:val="center"/>
        <w:textAlignment w:val="auto"/>
        <w:rPr>
          <w:rFonts w:hint="eastAsia" w:ascii="宋体" w:hAnsi="宋体" w:eastAsia="宋体"/>
          <w:b/>
          <w:sz w:val="44"/>
          <w:szCs w:val="44"/>
          <w:lang w:eastAsia="zh-CN"/>
        </w:rPr>
      </w:pPr>
    </w:p>
    <w:p w14:paraId="1B6C88E3">
      <w:pPr>
        <w:keepNext w:val="0"/>
        <w:keepLines w:val="0"/>
        <w:pageBreakBefore w:val="0"/>
        <w:widowControl w:val="0"/>
        <w:kinsoku/>
        <w:wordWrap/>
        <w:overflowPunct/>
        <w:topLinePunct w:val="0"/>
        <w:autoSpaceDN/>
        <w:bidi w:val="0"/>
        <w:adjustRightInd/>
        <w:snapToGrid/>
        <w:spacing w:line="560" w:lineRule="exact"/>
        <w:ind w:left="0" w:leftChars="0" w:right="0" w:rightChars="0" w:firstLine="640" w:firstLineChars="200"/>
        <w:textAlignment w:val="auto"/>
        <w:rPr>
          <w:rFonts w:hint="eastAsia" w:ascii="仿宋_GB2312" w:hAnsi="宋体" w:eastAsia="仿宋_GB2312"/>
          <w:sz w:val="32"/>
          <w:szCs w:val="32"/>
        </w:rPr>
      </w:pPr>
      <w:r>
        <w:rPr>
          <w:rFonts w:hint="eastAsia" w:ascii="仿宋_GB2312" w:hAnsi="宋体" w:eastAsia="仿宋_GB2312"/>
          <w:sz w:val="32"/>
          <w:szCs w:val="32"/>
          <w:lang w:val="en-US" w:eastAsia="zh-CN"/>
        </w:rPr>
        <w:t>2023年4月9日下午3时30分许，广东新大明铝业有限公司熔铸车间发生一起高处坠落事故，事故造成肇庆宏诚建设工程有限公司一名正在熔铸车间12轴顶棚石棉瓦面进行维护修缮的从业人员吴某宏抢救无效死亡。</w:t>
      </w:r>
    </w:p>
    <w:p w14:paraId="146356C0">
      <w:pPr>
        <w:keepNext w:val="0"/>
        <w:keepLines w:val="0"/>
        <w:pageBreakBefore w:val="0"/>
        <w:widowControl w:val="0"/>
        <w:kinsoku/>
        <w:wordWrap/>
        <w:overflowPunct/>
        <w:topLinePunct w:val="0"/>
        <w:autoSpaceDN/>
        <w:bidi w:val="0"/>
        <w:adjustRightInd/>
        <w:snapToGrid/>
        <w:spacing w:line="560" w:lineRule="exact"/>
        <w:ind w:left="0" w:leftChars="0" w:right="0" w:rightChars="0" w:firstLine="640" w:firstLineChars="200"/>
        <w:textAlignment w:val="auto"/>
        <w:rPr>
          <w:rFonts w:hint="eastAsia" w:ascii="仿宋_GB2312" w:hAnsi="宋体" w:eastAsia="仿宋_GB2312"/>
          <w:sz w:val="32"/>
          <w:szCs w:val="32"/>
          <w:lang w:eastAsia="zh-CN"/>
        </w:rPr>
      </w:pPr>
      <w:r>
        <w:rPr>
          <w:rFonts w:hint="eastAsia" w:ascii="仿宋_GB2312" w:hAnsi="宋体" w:eastAsia="仿宋_GB2312"/>
          <w:sz w:val="32"/>
          <w:szCs w:val="32"/>
        </w:rPr>
        <w:t>事故发生后，</w:t>
      </w:r>
      <w:r>
        <w:rPr>
          <w:rFonts w:hint="eastAsia" w:ascii="仿宋_GB2312" w:hAnsi="宋体" w:eastAsia="仿宋_GB2312"/>
          <w:sz w:val="32"/>
          <w:szCs w:val="32"/>
          <w:lang w:val="en-US" w:eastAsia="zh-CN"/>
        </w:rPr>
        <w:t>根据</w:t>
      </w:r>
      <w:r>
        <w:rPr>
          <w:rFonts w:hint="eastAsia" w:ascii="仿宋_GB2312" w:hAnsi="宋体" w:eastAsia="仿宋_GB2312"/>
          <w:sz w:val="32"/>
          <w:szCs w:val="32"/>
        </w:rPr>
        <w:t>《生产安全事故报告和调查处理条例》（国务院令第493号）</w:t>
      </w:r>
      <w:r>
        <w:rPr>
          <w:rFonts w:hint="eastAsia" w:ascii="仿宋_GB2312" w:hAnsi="宋体" w:eastAsia="仿宋_GB2312"/>
          <w:sz w:val="32"/>
          <w:szCs w:val="32"/>
          <w:lang w:eastAsia="zh-CN"/>
        </w:rPr>
        <w:t>等有关法律法规</w:t>
      </w:r>
      <w:r>
        <w:rPr>
          <w:rFonts w:hint="eastAsia" w:ascii="仿宋_GB2312" w:hAnsi="宋体" w:eastAsia="仿宋_GB2312"/>
          <w:sz w:val="32"/>
          <w:szCs w:val="32"/>
        </w:rPr>
        <w:t>规定，</w:t>
      </w:r>
      <w:r>
        <w:rPr>
          <w:rFonts w:hint="eastAsia" w:ascii="仿宋_GB2312" w:hAnsi="宋体" w:eastAsia="仿宋_GB2312"/>
          <w:sz w:val="32"/>
          <w:szCs w:val="32"/>
          <w:lang w:val="en-US" w:eastAsia="zh-CN"/>
        </w:rPr>
        <w:t>经肇庆市鼎湖区人民政府批准，</w:t>
      </w:r>
      <w:r>
        <w:rPr>
          <w:rFonts w:hint="eastAsia" w:ascii="仿宋_GB2312" w:hAnsi="宋体" w:eastAsia="仿宋_GB2312"/>
          <w:sz w:val="32"/>
          <w:szCs w:val="32"/>
        </w:rPr>
        <w:t>成立</w:t>
      </w:r>
      <w:r>
        <w:rPr>
          <w:rFonts w:hint="eastAsia" w:ascii="仿宋_GB2312" w:hAnsi="宋体" w:eastAsia="仿宋_GB2312"/>
          <w:sz w:val="32"/>
          <w:szCs w:val="32"/>
          <w:lang w:eastAsia="zh-CN"/>
        </w:rPr>
        <w:t>了由鼎湖区应急管理局牵头，</w:t>
      </w:r>
      <w:r>
        <w:rPr>
          <w:rFonts w:hint="eastAsia" w:ascii="仿宋_GB2312" w:hAnsi="宋体" w:eastAsia="仿宋_GB2312"/>
          <w:sz w:val="32"/>
          <w:szCs w:val="32"/>
          <w:lang w:val="en-US" w:eastAsia="zh-CN"/>
        </w:rPr>
        <w:t>区</w:t>
      </w:r>
      <w:r>
        <w:rPr>
          <w:rFonts w:hint="eastAsia" w:ascii="仿宋_GB2312" w:hAnsi="宋体" w:eastAsia="仿宋_GB2312"/>
          <w:sz w:val="32"/>
          <w:szCs w:val="32"/>
          <w:lang w:eastAsia="zh-CN"/>
        </w:rPr>
        <w:t>公安</w:t>
      </w:r>
      <w:r>
        <w:rPr>
          <w:rFonts w:hint="eastAsia" w:ascii="仿宋_GB2312" w:hAnsi="宋体" w:eastAsia="仿宋_GB2312"/>
          <w:sz w:val="32"/>
          <w:szCs w:val="32"/>
          <w:lang w:val="en-US" w:eastAsia="zh-CN"/>
        </w:rPr>
        <w:t>分</w:t>
      </w:r>
      <w:r>
        <w:rPr>
          <w:rFonts w:hint="eastAsia" w:ascii="仿宋_GB2312" w:hAnsi="宋体" w:eastAsia="仿宋_GB2312"/>
          <w:sz w:val="32"/>
          <w:szCs w:val="32"/>
          <w:lang w:eastAsia="zh-CN"/>
        </w:rPr>
        <w:t>局、</w:t>
      </w:r>
      <w:r>
        <w:rPr>
          <w:rFonts w:hint="eastAsia" w:ascii="仿宋_GB2312" w:hAnsi="宋体" w:eastAsia="仿宋_GB2312"/>
          <w:sz w:val="32"/>
          <w:szCs w:val="32"/>
          <w:lang w:val="en-US" w:eastAsia="zh-CN"/>
        </w:rPr>
        <w:t>区</w:t>
      </w:r>
      <w:r>
        <w:rPr>
          <w:rFonts w:hint="eastAsia" w:ascii="仿宋_GB2312" w:hAnsi="宋体" w:eastAsia="仿宋_GB2312"/>
          <w:sz w:val="32"/>
          <w:szCs w:val="32"/>
          <w:lang w:eastAsia="zh-CN"/>
        </w:rPr>
        <w:t>住建局、区人社局、区总工会、</w:t>
      </w:r>
      <w:r>
        <w:rPr>
          <w:rFonts w:hint="eastAsia" w:ascii="仿宋_GB2312" w:hAnsi="宋体" w:eastAsia="仿宋_GB2312"/>
          <w:sz w:val="32"/>
          <w:szCs w:val="32"/>
          <w:lang w:val="en-US" w:eastAsia="zh-CN"/>
        </w:rPr>
        <w:t>区司法局</w:t>
      </w:r>
      <w:r>
        <w:rPr>
          <w:rFonts w:hint="eastAsia" w:ascii="仿宋_GB2312" w:hAnsi="宋体" w:eastAsia="仿宋_GB2312"/>
          <w:sz w:val="32"/>
          <w:szCs w:val="32"/>
          <w:lang w:eastAsia="zh-CN"/>
        </w:rPr>
        <w:t>和永安镇人民政府为成员单位组成的鼎湖</w:t>
      </w:r>
      <w:r>
        <w:rPr>
          <w:rFonts w:hint="eastAsia" w:ascii="仿宋_GB2312" w:hAnsi="宋体" w:eastAsia="仿宋_GB2312"/>
          <w:sz w:val="32"/>
          <w:szCs w:val="32"/>
        </w:rPr>
        <w:t>区“</w:t>
      </w:r>
      <w:r>
        <w:rPr>
          <w:rFonts w:hint="eastAsia" w:ascii="仿宋_GB2312" w:hAnsi="宋体" w:eastAsia="仿宋_GB2312"/>
          <w:sz w:val="32"/>
          <w:szCs w:val="32"/>
          <w:lang w:val="en-US" w:eastAsia="zh-CN"/>
        </w:rPr>
        <w:t>4</w:t>
      </w:r>
      <w:r>
        <w:rPr>
          <w:rFonts w:hint="eastAsia" w:ascii="仿宋_GB2312" w:hAnsi="宋体" w:eastAsia="仿宋_GB2312"/>
          <w:sz w:val="32"/>
          <w:szCs w:val="32"/>
        </w:rPr>
        <w:t>·</w:t>
      </w:r>
      <w:r>
        <w:rPr>
          <w:rFonts w:hint="eastAsia" w:ascii="仿宋_GB2312" w:hAnsi="宋体" w:eastAsia="仿宋_GB2312"/>
          <w:sz w:val="32"/>
          <w:szCs w:val="32"/>
          <w:lang w:val="en-US" w:eastAsia="zh-CN"/>
        </w:rPr>
        <w:t>9</w:t>
      </w:r>
      <w:r>
        <w:rPr>
          <w:rFonts w:hint="eastAsia" w:ascii="仿宋_GB2312" w:hAnsi="宋体" w:eastAsia="仿宋_GB2312"/>
          <w:sz w:val="32"/>
          <w:szCs w:val="32"/>
        </w:rPr>
        <w:t>”</w:t>
      </w:r>
      <w:r>
        <w:rPr>
          <w:rFonts w:hint="eastAsia" w:ascii="仿宋_GB2312" w:hAnsi="宋体" w:eastAsia="仿宋_GB2312"/>
          <w:sz w:val="32"/>
          <w:szCs w:val="32"/>
          <w:lang w:eastAsia="zh-CN"/>
        </w:rPr>
        <w:t>高处坠落</w:t>
      </w:r>
      <w:r>
        <w:rPr>
          <w:rFonts w:hint="eastAsia" w:ascii="仿宋_GB2312" w:hAnsi="宋体" w:eastAsia="仿宋_GB2312"/>
          <w:sz w:val="32"/>
          <w:szCs w:val="32"/>
        </w:rPr>
        <w:t>事故调查组</w:t>
      </w:r>
      <w:r>
        <w:rPr>
          <w:rFonts w:hint="eastAsia" w:ascii="仿宋_GB2312" w:hAnsi="宋体" w:eastAsia="仿宋_GB2312"/>
          <w:sz w:val="32"/>
          <w:szCs w:val="32"/>
          <w:lang w:eastAsia="zh-CN"/>
        </w:rPr>
        <w:t>（以下简称事故调查组），开展事故调查工作，</w:t>
      </w:r>
      <w:r>
        <w:rPr>
          <w:rFonts w:hint="eastAsia" w:ascii="仿宋_GB2312" w:hAnsi="宋体" w:eastAsia="仿宋_GB2312"/>
          <w:sz w:val="32"/>
          <w:szCs w:val="32"/>
          <w:lang w:val="en-US" w:eastAsia="zh-CN"/>
        </w:rPr>
        <w:t>并邀请区纪委监委派员参与</w:t>
      </w:r>
      <w:r>
        <w:rPr>
          <w:rFonts w:hint="eastAsia" w:ascii="仿宋_GB2312" w:hAnsi="宋体" w:eastAsia="仿宋_GB2312"/>
          <w:sz w:val="32"/>
          <w:szCs w:val="32"/>
          <w:lang w:eastAsia="zh-CN"/>
        </w:rPr>
        <w:t>。根据调查需要，组织了安全工程、</w:t>
      </w:r>
      <w:r>
        <w:rPr>
          <w:rFonts w:hint="eastAsia" w:ascii="仿宋_GB2312" w:hAnsi="仿宋_GB2312" w:eastAsia="仿宋_GB2312" w:cs="仿宋_GB2312"/>
          <w:sz w:val="32"/>
          <w:szCs w:val="32"/>
          <w:highlight w:val="none"/>
          <w:lang w:val="en-US" w:eastAsia="zh-CN"/>
        </w:rPr>
        <w:t>工程检测、工程设计</w:t>
      </w:r>
      <w:r>
        <w:rPr>
          <w:rFonts w:hint="eastAsia" w:ascii="仿宋_GB2312" w:hAnsi="宋体" w:eastAsia="仿宋_GB2312"/>
          <w:sz w:val="32"/>
          <w:szCs w:val="32"/>
          <w:lang w:eastAsia="zh-CN"/>
        </w:rPr>
        <w:t>等领域共计</w:t>
      </w:r>
      <w:r>
        <w:rPr>
          <w:rFonts w:hint="eastAsia" w:ascii="仿宋_GB2312" w:hAnsi="宋体" w:eastAsia="仿宋_GB2312"/>
          <w:sz w:val="32"/>
          <w:szCs w:val="32"/>
          <w:lang w:val="en-US" w:eastAsia="zh-CN"/>
        </w:rPr>
        <w:t>3</w:t>
      </w:r>
      <w:r>
        <w:rPr>
          <w:rFonts w:hint="eastAsia" w:ascii="仿宋_GB2312" w:hAnsi="宋体" w:eastAsia="仿宋_GB2312"/>
          <w:sz w:val="32"/>
          <w:szCs w:val="32"/>
          <w:lang w:eastAsia="zh-CN"/>
        </w:rPr>
        <w:t>名专家成立专家组提供技术支撑服务。</w:t>
      </w:r>
    </w:p>
    <w:p w14:paraId="209C2DF8">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宋体" w:eastAsia="仿宋_GB2312"/>
          <w:sz w:val="32"/>
          <w:szCs w:val="32"/>
        </w:rPr>
      </w:pPr>
      <w:r>
        <w:rPr>
          <w:rFonts w:hint="eastAsia" w:ascii="仿宋_GB2312" w:hAnsi="宋体" w:eastAsia="仿宋_GB2312"/>
          <w:sz w:val="32"/>
          <w:szCs w:val="32"/>
        </w:rPr>
        <w:t>事故调查组</w:t>
      </w:r>
      <w:r>
        <w:rPr>
          <w:rFonts w:hint="eastAsia" w:ascii="仿宋_GB2312" w:hAnsi="宋体" w:eastAsia="仿宋_GB2312"/>
          <w:sz w:val="32"/>
          <w:szCs w:val="32"/>
          <w:lang w:eastAsia="zh-CN"/>
        </w:rPr>
        <w:t>按照</w:t>
      </w:r>
      <w:r>
        <w:rPr>
          <w:rFonts w:hint="eastAsia" w:ascii="仿宋_GB2312" w:hAnsi="宋体" w:eastAsia="仿宋_GB2312"/>
          <w:sz w:val="32"/>
          <w:szCs w:val="32"/>
        </w:rPr>
        <w:t>“四不放过”</w:t>
      </w:r>
      <w:r>
        <w:rPr>
          <w:rFonts w:hint="eastAsia" w:ascii="仿宋_GB2312" w:hAnsi="宋体" w:eastAsia="仿宋_GB2312"/>
          <w:sz w:val="32"/>
          <w:szCs w:val="32"/>
          <w:lang w:eastAsia="zh-CN"/>
        </w:rPr>
        <w:t>和</w:t>
      </w:r>
      <w:r>
        <w:rPr>
          <w:rFonts w:hint="eastAsia" w:ascii="仿宋_GB2312" w:hAnsi="宋体" w:eastAsia="仿宋_GB2312"/>
          <w:sz w:val="32"/>
          <w:szCs w:val="32"/>
        </w:rPr>
        <w:t>“科学严谨、依法依规、实事求是、注重实效”</w:t>
      </w:r>
      <w:r>
        <w:rPr>
          <w:rFonts w:hint="eastAsia" w:ascii="仿宋_GB2312" w:hAnsi="宋体" w:eastAsia="仿宋_GB2312"/>
          <w:sz w:val="32"/>
          <w:szCs w:val="32"/>
          <w:lang w:eastAsia="zh-CN"/>
        </w:rPr>
        <w:t>的</w:t>
      </w:r>
      <w:r>
        <w:rPr>
          <w:rFonts w:hint="eastAsia" w:ascii="仿宋_GB2312" w:hAnsi="宋体" w:eastAsia="仿宋_GB2312"/>
          <w:sz w:val="32"/>
          <w:szCs w:val="32"/>
        </w:rPr>
        <w:t>原则，</w:t>
      </w:r>
      <w:r>
        <w:rPr>
          <w:rFonts w:hint="eastAsia" w:ascii="仿宋_GB2312" w:hAnsi="宋体" w:eastAsia="仿宋_GB2312"/>
          <w:sz w:val="32"/>
          <w:szCs w:val="32"/>
          <w:lang w:eastAsia="zh-CN"/>
        </w:rPr>
        <w:t>通过</w:t>
      </w:r>
      <w:r>
        <w:rPr>
          <w:rFonts w:hint="eastAsia" w:ascii="仿宋_GB2312" w:hAnsi="宋体" w:eastAsia="仿宋_GB2312"/>
          <w:sz w:val="32"/>
          <w:szCs w:val="32"/>
        </w:rPr>
        <w:t>现场</w:t>
      </w:r>
      <w:r>
        <w:rPr>
          <w:rFonts w:hint="eastAsia" w:ascii="仿宋_GB2312" w:hAnsi="宋体" w:eastAsia="仿宋_GB2312"/>
          <w:sz w:val="32"/>
          <w:szCs w:val="32"/>
          <w:lang w:eastAsia="zh-CN"/>
        </w:rPr>
        <w:t>勘</w:t>
      </w:r>
      <w:r>
        <w:rPr>
          <w:rFonts w:hint="eastAsia" w:ascii="仿宋_GB2312" w:hAnsi="宋体" w:eastAsia="仿宋_GB2312"/>
          <w:sz w:val="32"/>
          <w:szCs w:val="32"/>
        </w:rPr>
        <w:t>查、</w:t>
      </w:r>
      <w:r>
        <w:rPr>
          <w:rFonts w:hint="eastAsia" w:ascii="仿宋_GB2312" w:hAnsi="宋体" w:eastAsia="仿宋_GB2312"/>
          <w:sz w:val="32"/>
          <w:szCs w:val="32"/>
          <w:lang w:eastAsia="zh-CN"/>
        </w:rPr>
        <w:t>调查</w:t>
      </w:r>
      <w:r>
        <w:rPr>
          <w:rFonts w:hint="eastAsia" w:ascii="仿宋_GB2312" w:hAnsi="宋体" w:eastAsia="仿宋_GB2312"/>
          <w:sz w:val="32"/>
          <w:szCs w:val="32"/>
        </w:rPr>
        <w:t>询问、</w:t>
      </w:r>
      <w:r>
        <w:rPr>
          <w:rFonts w:hint="eastAsia" w:ascii="仿宋_GB2312" w:hAnsi="宋体" w:eastAsia="仿宋_GB2312"/>
          <w:sz w:val="32"/>
          <w:szCs w:val="32"/>
          <w:lang w:eastAsia="zh-CN"/>
        </w:rPr>
        <w:t>调查取证、技术鉴定、专家论证、</w:t>
      </w:r>
      <w:r>
        <w:rPr>
          <w:rFonts w:hint="eastAsia" w:ascii="仿宋_GB2312" w:hAnsi="宋体" w:eastAsia="仿宋_GB2312"/>
          <w:sz w:val="32"/>
          <w:szCs w:val="32"/>
        </w:rPr>
        <w:t>综合分析，查明了事故发生的经过、原因</w:t>
      </w:r>
      <w:r>
        <w:rPr>
          <w:rFonts w:hint="eastAsia" w:ascii="仿宋_GB2312" w:hAnsi="宋体" w:eastAsia="仿宋_GB2312"/>
          <w:sz w:val="32"/>
          <w:szCs w:val="32"/>
          <w:lang w:eastAsia="zh-CN"/>
        </w:rPr>
        <w:t>、</w:t>
      </w:r>
      <w:r>
        <w:rPr>
          <w:rFonts w:hint="eastAsia" w:ascii="仿宋_GB2312" w:hAnsi="宋体" w:eastAsia="仿宋_GB2312"/>
          <w:sz w:val="32"/>
          <w:szCs w:val="32"/>
        </w:rPr>
        <w:t>人员伤亡和直接经济损失情况</w:t>
      </w:r>
      <w:r>
        <w:rPr>
          <w:rFonts w:hint="eastAsia" w:ascii="仿宋_GB2312" w:hAnsi="宋体" w:eastAsia="仿宋_GB2312"/>
          <w:sz w:val="32"/>
          <w:szCs w:val="32"/>
          <w:lang w:eastAsia="zh-CN"/>
        </w:rPr>
        <w:t>，</w:t>
      </w:r>
      <w:r>
        <w:rPr>
          <w:rFonts w:hint="eastAsia" w:ascii="仿宋_GB2312" w:hAnsi="宋体" w:eastAsia="仿宋_GB2312"/>
          <w:sz w:val="32"/>
          <w:szCs w:val="32"/>
        </w:rPr>
        <w:t>认定了事故性质和责任，</w:t>
      </w:r>
      <w:r>
        <w:rPr>
          <w:rFonts w:hint="eastAsia" w:ascii="仿宋_GB2312" w:hAnsi="宋体" w:eastAsia="仿宋_GB2312"/>
          <w:sz w:val="32"/>
          <w:szCs w:val="32"/>
          <w:lang w:eastAsia="zh-CN"/>
        </w:rPr>
        <w:t>总结了经验教训，</w:t>
      </w:r>
      <w:r>
        <w:rPr>
          <w:rFonts w:hint="eastAsia" w:ascii="仿宋_GB2312" w:hAnsi="宋体" w:eastAsia="仿宋_GB2312"/>
          <w:sz w:val="32"/>
          <w:szCs w:val="32"/>
        </w:rPr>
        <w:t>提出了</w:t>
      </w:r>
      <w:r>
        <w:rPr>
          <w:rFonts w:hint="eastAsia" w:ascii="仿宋_GB2312" w:hAnsi="宋体" w:eastAsia="仿宋_GB2312"/>
          <w:sz w:val="32"/>
          <w:szCs w:val="32"/>
          <w:lang w:eastAsia="zh-CN"/>
        </w:rPr>
        <w:t>事故防范和整改措施</w:t>
      </w:r>
      <w:r>
        <w:rPr>
          <w:rFonts w:hint="eastAsia" w:ascii="仿宋_GB2312" w:hAnsi="宋体" w:eastAsia="仿宋_GB2312"/>
          <w:sz w:val="32"/>
          <w:szCs w:val="32"/>
        </w:rPr>
        <w:t>建议</w:t>
      </w:r>
      <w:r>
        <w:rPr>
          <w:rFonts w:hint="eastAsia" w:ascii="仿宋_GB2312" w:hAnsi="宋体" w:eastAsia="仿宋_GB2312"/>
          <w:sz w:val="32"/>
          <w:szCs w:val="32"/>
          <w:lang w:eastAsia="zh-CN"/>
        </w:rPr>
        <w:t>。</w:t>
      </w:r>
      <w:r>
        <w:rPr>
          <w:rFonts w:hint="eastAsia" w:ascii="仿宋_GB2312" w:hAnsi="仿宋_GB2312" w:eastAsia="仿宋_GB2312" w:cs="仿宋_GB2312"/>
          <w:b/>
          <w:bCs/>
          <w:sz w:val="32"/>
          <w:szCs w:val="32"/>
          <w:lang w:val="en-US" w:eastAsia="zh-CN"/>
        </w:rPr>
        <w:t>经调查认定，该起事故</w:t>
      </w:r>
      <w:r>
        <w:rPr>
          <w:rFonts w:hint="eastAsia" w:ascii="仿宋_GB2312" w:hAnsi="仿宋_GB2312" w:eastAsia="仿宋_GB2312" w:cs="仿宋_GB2312"/>
          <w:b/>
          <w:bCs/>
          <w:sz w:val="32"/>
          <w:szCs w:val="32"/>
        </w:rPr>
        <w:t>是一起</w:t>
      </w:r>
      <w:r>
        <w:rPr>
          <w:rFonts w:hint="eastAsia" w:ascii="仿宋_GB2312" w:hAnsi="仿宋_GB2312" w:eastAsia="仿宋_GB2312" w:cs="仿宋_GB2312"/>
          <w:b/>
          <w:bCs/>
          <w:sz w:val="32"/>
          <w:szCs w:val="32"/>
          <w:lang w:val="en-US" w:eastAsia="zh-CN"/>
        </w:rPr>
        <w:t>因</w:t>
      </w:r>
      <w:r>
        <w:rPr>
          <w:rFonts w:hint="eastAsia" w:ascii="仿宋_GB2312" w:hAnsi="仿宋_GB2312" w:eastAsia="仿宋_GB2312" w:cs="仿宋_GB2312"/>
          <w:b/>
          <w:bCs/>
          <w:sz w:val="32"/>
          <w:szCs w:val="32"/>
        </w:rPr>
        <w:t>从业人员</w:t>
      </w:r>
      <w:r>
        <w:rPr>
          <w:rFonts w:hint="eastAsia" w:ascii="仿宋_GB2312" w:hAnsi="仿宋_GB2312" w:eastAsia="仿宋_GB2312" w:cs="仿宋_GB2312"/>
          <w:b/>
          <w:bCs/>
          <w:sz w:val="32"/>
          <w:szCs w:val="32"/>
          <w:lang w:eastAsia="zh-CN"/>
        </w:rPr>
        <w:t>安全意识淡薄，无证上岗，违规冒险作业，</w:t>
      </w:r>
      <w:r>
        <w:rPr>
          <w:rFonts w:hint="eastAsia" w:ascii="仿宋_GB2312" w:hAnsi="仿宋_GB2312" w:eastAsia="仿宋_GB2312" w:cs="仿宋_GB2312"/>
          <w:b/>
          <w:bCs/>
          <w:sz w:val="32"/>
          <w:szCs w:val="32"/>
          <w:lang w:val="en-US" w:eastAsia="zh-CN"/>
        </w:rPr>
        <w:t>宏诚公司</w:t>
      </w:r>
      <w:r>
        <w:rPr>
          <w:rFonts w:hint="eastAsia" w:ascii="仿宋_GB2312" w:hAnsi="仿宋_GB2312" w:eastAsia="仿宋_GB2312" w:cs="仿宋_GB2312"/>
          <w:b/>
          <w:bCs/>
          <w:sz w:val="32"/>
          <w:szCs w:val="32"/>
          <w:lang w:eastAsia="zh-CN"/>
        </w:rPr>
        <w:t>未有效落实安全生产主体责任</w:t>
      </w:r>
      <w:r>
        <w:rPr>
          <w:rFonts w:hint="eastAsia" w:ascii="仿宋_GB2312" w:hAnsi="仿宋_GB2312" w:eastAsia="仿宋_GB2312" w:cs="仿宋_GB2312"/>
          <w:b/>
          <w:bCs/>
          <w:sz w:val="32"/>
          <w:szCs w:val="32"/>
          <w:lang w:val="en-US" w:eastAsia="zh-CN"/>
        </w:rPr>
        <w:t>造成</w:t>
      </w:r>
      <w:r>
        <w:rPr>
          <w:rFonts w:hint="eastAsia" w:ascii="仿宋_GB2312" w:hAnsi="仿宋_GB2312" w:eastAsia="仿宋_GB2312" w:cs="仿宋_GB2312"/>
          <w:b/>
          <w:bCs/>
          <w:sz w:val="32"/>
          <w:szCs w:val="32"/>
        </w:rPr>
        <w:t>的一般生产安全责任事故。</w:t>
      </w:r>
    </w:p>
    <w:p w14:paraId="39F9D15D">
      <w:pPr>
        <w:keepNext w:val="0"/>
        <w:keepLines w:val="0"/>
        <w:pageBreakBefore w:val="0"/>
        <w:widowControl w:val="0"/>
        <w:kinsoku/>
        <w:wordWrap/>
        <w:overflowPunct/>
        <w:topLinePunct w:val="0"/>
        <w:autoSpaceDN/>
        <w:bidi w:val="0"/>
        <w:spacing w:line="560" w:lineRule="exact"/>
        <w:ind w:left="0" w:leftChars="0" w:right="0" w:rightChars="0" w:firstLine="629"/>
        <w:textAlignment w:val="auto"/>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一、</w:t>
      </w:r>
      <w:r>
        <w:rPr>
          <w:rFonts w:hint="eastAsia" w:ascii="黑体" w:hAnsi="黑体" w:eastAsia="黑体" w:cs="黑体"/>
          <w:b w:val="0"/>
          <w:bCs/>
          <w:sz w:val="32"/>
          <w:szCs w:val="32"/>
        </w:rPr>
        <w:t>事故发生过程及应急</w:t>
      </w:r>
      <w:r>
        <w:rPr>
          <w:rFonts w:hint="eastAsia" w:ascii="黑体" w:hAnsi="黑体" w:eastAsia="黑体" w:cs="黑体"/>
          <w:b w:val="0"/>
          <w:bCs/>
          <w:sz w:val="32"/>
          <w:szCs w:val="32"/>
          <w:lang w:eastAsia="zh-CN"/>
        </w:rPr>
        <w:t>处置</w:t>
      </w:r>
      <w:r>
        <w:rPr>
          <w:rFonts w:hint="eastAsia" w:ascii="黑体" w:hAnsi="黑体" w:eastAsia="黑体" w:cs="黑体"/>
          <w:b w:val="0"/>
          <w:bCs/>
          <w:sz w:val="32"/>
          <w:szCs w:val="32"/>
        </w:rPr>
        <w:t>情况</w:t>
      </w:r>
    </w:p>
    <w:p w14:paraId="321B4384">
      <w:pPr>
        <w:keepNext w:val="0"/>
        <w:keepLines w:val="0"/>
        <w:pageBreakBefore w:val="0"/>
        <w:widowControl w:val="0"/>
        <w:kinsoku/>
        <w:wordWrap/>
        <w:overflowPunct/>
        <w:topLinePunct w:val="0"/>
        <w:autoSpaceDN/>
        <w:bidi w:val="0"/>
        <w:spacing w:line="560" w:lineRule="exact"/>
        <w:ind w:left="0" w:leftChars="0" w:right="0" w:rightChars="0" w:firstLine="629"/>
        <w:textAlignment w:val="auto"/>
        <w:rPr>
          <w:rFonts w:hint="eastAsia" w:ascii="楷体_GB2312" w:hAnsi="楷体_GB2312" w:eastAsia="楷体_GB2312" w:cs="楷体_GB2312"/>
          <w:b w:val="0"/>
          <w:bCs/>
          <w:sz w:val="32"/>
          <w:szCs w:val="32"/>
        </w:rPr>
      </w:pPr>
      <w:r>
        <w:rPr>
          <w:rFonts w:hint="eastAsia" w:ascii="楷体_GB2312" w:hAnsi="楷体_GB2312" w:eastAsia="楷体_GB2312" w:cs="楷体_GB2312"/>
          <w:b w:val="0"/>
          <w:bCs/>
          <w:sz w:val="32"/>
          <w:szCs w:val="32"/>
        </w:rPr>
        <w:t>（一）事故发生经过</w:t>
      </w:r>
    </w:p>
    <w:p w14:paraId="0AB958D0">
      <w:pPr>
        <w:pStyle w:val="37"/>
        <w:keepNext w:val="0"/>
        <w:keepLines w:val="0"/>
        <w:pageBreakBefore w:val="0"/>
        <w:widowControl w:val="0"/>
        <w:numPr>
          <w:ilvl w:val="0"/>
          <w:numId w:val="0"/>
        </w:numPr>
        <w:kinsoku/>
        <w:wordWrap/>
        <w:overflowPunct/>
        <w:topLinePunct w:val="0"/>
        <w:bidi w:val="0"/>
        <w:adjustRightInd/>
        <w:snapToGrid/>
        <w:spacing w:line="560" w:lineRule="exact"/>
        <w:ind w:firstLine="640" w:firstLineChars="200"/>
        <w:textAlignment w:val="auto"/>
        <w:outlineLvl w:val="1"/>
        <w:rPr>
          <w:rFonts w:hint="eastAsia" w:ascii="仿宋_GB2312" w:hAnsi="仿宋_GB2312" w:eastAsia="仿宋_GB2312" w:cs="仿宋_GB2312"/>
          <w:sz w:val="32"/>
          <w:szCs w:val="32"/>
          <w:highlight w:val="none"/>
          <w:lang w:val="en-US" w:eastAsia="zh-CN"/>
        </w:rPr>
      </w:pPr>
      <w:r>
        <w:rPr>
          <w:rFonts w:hint="eastAsia" w:ascii="仿宋_GB2312" w:hAnsi="宋体" w:eastAsia="仿宋_GB2312"/>
          <w:color w:val="auto"/>
          <w:sz w:val="32"/>
          <w:szCs w:val="32"/>
          <w:highlight w:val="none"/>
          <w:lang w:val="en-US" w:eastAsia="zh-CN"/>
        </w:rPr>
        <w:t>广东新大明铝业有限公司（以下简称新大明公司）</w:t>
      </w:r>
      <w:r>
        <w:rPr>
          <w:rFonts w:hint="eastAsia" w:ascii="仿宋_GB2312" w:hAnsi="仿宋_GB2312" w:eastAsia="仿宋_GB2312" w:cs="仿宋_GB2312"/>
          <w:color w:val="auto"/>
          <w:sz w:val="32"/>
          <w:szCs w:val="32"/>
          <w:highlight w:val="none"/>
          <w:lang w:val="en-US" w:eastAsia="zh-CN"/>
        </w:rPr>
        <w:t>张某辉在车间日常巡</w:t>
      </w:r>
      <w:r>
        <w:rPr>
          <w:rFonts w:hint="eastAsia" w:ascii="仿宋_GB2312" w:hAnsi="仿宋_GB2312" w:eastAsia="仿宋_GB2312" w:cs="仿宋_GB2312"/>
          <w:sz w:val="32"/>
          <w:szCs w:val="32"/>
          <w:highlight w:val="none"/>
          <w:lang w:val="en-US" w:eastAsia="zh-CN"/>
        </w:rPr>
        <w:t>查发现，其公司熔铸车间屋顶和墙体出现腐蚀损毁，需更换翻新。2月7日，新大明公司与</w:t>
      </w:r>
      <w:r>
        <w:rPr>
          <w:rFonts w:hint="eastAsia" w:ascii="仿宋_GB2312" w:hAnsi="宋体" w:eastAsia="仿宋_GB2312"/>
          <w:sz w:val="32"/>
          <w:szCs w:val="32"/>
          <w:lang w:val="en-US" w:eastAsia="zh-CN"/>
        </w:rPr>
        <w:t>肇庆宏诚建设工程有限公司（以下简称宏诚公司）</w:t>
      </w:r>
      <w:r>
        <w:rPr>
          <w:rFonts w:hint="eastAsia" w:ascii="仿宋_GB2312" w:hAnsi="仿宋_GB2312" w:eastAsia="仿宋_GB2312" w:cs="仿宋_GB2312"/>
          <w:sz w:val="32"/>
          <w:szCs w:val="32"/>
          <w:highlight w:val="none"/>
          <w:lang w:val="en-US" w:eastAsia="zh-CN"/>
        </w:rPr>
        <w:t>经过协商后签定《建筑工程承包施工协议书》及《施工安全协议书》，明确工程合同造价约88万元，约定施工工期70天，由宏诚公司包人工、包材料、为作业人员提供符合标准的劳保用品接下熔铸车间的更换翻新工程。</w:t>
      </w:r>
    </w:p>
    <w:p w14:paraId="171182AA">
      <w:pPr>
        <w:keepNext w:val="0"/>
        <w:keepLines w:val="0"/>
        <w:pageBreakBefore w:val="0"/>
        <w:widowControl w:val="0"/>
        <w:kinsoku/>
        <w:wordWrap/>
        <w:overflowPunct/>
        <w:topLinePunct w:val="0"/>
        <w:autoSpaceDN/>
        <w:bidi w:val="0"/>
        <w:adjustRightInd/>
        <w:snapToGrid/>
        <w:spacing w:line="560" w:lineRule="exact"/>
        <w:ind w:left="0" w:leftChars="0" w:right="0" w:rightChars="0"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2月上旬，</w:t>
      </w:r>
      <w:r>
        <w:rPr>
          <w:rFonts w:hint="eastAsia" w:ascii="仿宋_GB2312" w:hAnsi="宋体" w:eastAsia="仿宋_GB2312"/>
          <w:sz w:val="32"/>
          <w:szCs w:val="32"/>
          <w:highlight w:val="none"/>
          <w:lang w:val="en-US" w:eastAsia="zh-CN"/>
        </w:rPr>
        <w:t>新大明公司</w:t>
      </w:r>
      <w:r>
        <w:rPr>
          <w:rFonts w:hint="eastAsia" w:ascii="仿宋_GB2312" w:hAnsi="仿宋_GB2312" w:eastAsia="仿宋_GB2312" w:cs="仿宋_GB2312"/>
          <w:sz w:val="32"/>
          <w:szCs w:val="32"/>
          <w:highlight w:val="none"/>
          <w:lang w:val="en-US" w:eastAsia="zh-CN"/>
        </w:rPr>
        <w:t>对宏诚公司安排准备进入熔铸车间的从业人员进行资格审核、培训教育及技术交底后，2月13日，宏诚公司正式安排安全管理员方某夫及相关从业人员进入熔铸车间进行维护修缮，其后进入熔铸车间的作业人员陆续换了好几批次（被换批次的人员均没有向</w:t>
      </w:r>
      <w:r>
        <w:rPr>
          <w:rFonts w:hint="eastAsia" w:ascii="仿宋_GB2312" w:hAnsi="宋体" w:eastAsia="仿宋_GB2312"/>
          <w:sz w:val="32"/>
          <w:szCs w:val="32"/>
          <w:highlight w:val="none"/>
          <w:lang w:val="en-US" w:eastAsia="zh-CN"/>
        </w:rPr>
        <w:t>新大明公司</w:t>
      </w:r>
      <w:r>
        <w:rPr>
          <w:rFonts w:hint="eastAsia" w:ascii="仿宋_GB2312" w:hAnsi="仿宋_GB2312" w:eastAsia="仿宋_GB2312" w:cs="仿宋_GB2312"/>
          <w:sz w:val="32"/>
          <w:szCs w:val="32"/>
          <w:highlight w:val="none"/>
          <w:lang w:val="en-US" w:eastAsia="zh-CN"/>
        </w:rPr>
        <w:t>进行报备）。</w:t>
      </w:r>
    </w:p>
    <w:p w14:paraId="2ABF0DBC">
      <w:pPr>
        <w:keepNext w:val="0"/>
        <w:keepLines w:val="0"/>
        <w:pageBreakBefore w:val="0"/>
        <w:widowControl w:val="0"/>
        <w:kinsoku/>
        <w:wordWrap/>
        <w:overflowPunct/>
        <w:topLinePunct w:val="0"/>
        <w:autoSpaceDN/>
        <w:bidi w:val="0"/>
        <w:adjustRightInd/>
        <w:snapToGrid/>
        <w:spacing w:line="560" w:lineRule="exact"/>
        <w:ind w:left="0" w:leftChars="0" w:right="0" w:rightChars="0"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2023年4月9日14时许，宏诚公司又安排了一批新的从业人员进入熔铸车间对A轴雨棚（高7米）以上已锈蚀的外墙板进行纤维瓦更换作业，分别为李某、朱某兴、吴某宏、黄某发共４人，在场进行安全监管的人员为方某夫。14时40分许，当施工到A轴交12轴至16轴时，除了吴某宏通过施工准备的梯笼爬上到女儿墙内侧进行墙体加固作业外，其余3人均留在熔铸车间地面工作。</w:t>
      </w:r>
      <w:r>
        <w:rPr>
          <w:rFonts w:hint="eastAsia" w:ascii="仿宋_GB2312" w:hAnsi="仿宋_GB2312" w:eastAsia="仿宋_GB2312" w:cs="仿宋_GB2312"/>
          <w:color w:val="auto"/>
          <w:sz w:val="32"/>
          <w:szCs w:val="32"/>
          <w:highlight w:val="none"/>
          <w:lang w:val="en-US" w:eastAsia="zh-CN"/>
        </w:rPr>
        <w:t>14时55分许，</w:t>
      </w:r>
      <w:r>
        <w:rPr>
          <w:rFonts w:hint="eastAsia" w:ascii="仿宋_GB2312" w:hAnsi="仿宋_GB2312" w:eastAsia="仿宋_GB2312" w:cs="仿宋_GB2312"/>
          <w:sz w:val="32"/>
          <w:szCs w:val="32"/>
          <w:highlight w:val="none"/>
          <w:lang w:val="en-US" w:eastAsia="zh-CN"/>
        </w:rPr>
        <w:t>吴某宏在安全带没有扣在稳固物体的情况下，偏离可支承行人的天面水槽，行走到离水槽第一道两钢桁条之间的石棉瓦屋面时（距离基准地面高12.5米），石棉瓦被吴某宏单脚冲切而破坏，并在人体重自重作用下继续扩大形成约500×500</w:t>
      </w:r>
      <w:r>
        <w:rPr>
          <w:rFonts w:hint="default" w:ascii="Times New Roman" w:hAnsi="Times New Roman" w:eastAsia="仿宋_GB2312" w:cs="Times New Roman"/>
          <w:sz w:val="32"/>
          <w:szCs w:val="32"/>
          <w:highlight w:val="none"/>
          <w:lang w:val="en-US" w:eastAsia="zh-CN"/>
        </w:rPr>
        <w:t>㎜</w:t>
      </w:r>
      <w:r>
        <w:rPr>
          <w:rFonts w:hint="eastAsia" w:ascii="仿宋_GB2312" w:hAnsi="仿宋_GB2312" w:eastAsia="仿宋_GB2312" w:cs="仿宋_GB2312"/>
          <w:sz w:val="32"/>
          <w:szCs w:val="32"/>
          <w:highlight w:val="none"/>
          <w:lang w:val="en-US" w:eastAsia="zh-CN"/>
        </w:rPr>
        <w:t>的方洞，其以自由落体的方式坠下，先是碰撞到吊车横梁后弹出继续快速坠下到离横向轴线约2米、离纵向轴线约2.5米的室内地面上。吴某宏面部朝下，头部流血，周围散落破碎的石棉瓦碎片。</w:t>
      </w:r>
    </w:p>
    <w:p w14:paraId="63A889B5">
      <w:pPr>
        <w:pStyle w:val="37"/>
        <w:keepNext w:val="0"/>
        <w:keepLines w:val="0"/>
        <w:pageBreakBefore w:val="0"/>
        <w:widowControl w:val="0"/>
        <w:numPr>
          <w:ilvl w:val="0"/>
          <w:numId w:val="0"/>
        </w:numPr>
        <w:kinsoku/>
        <w:wordWrap/>
        <w:overflowPunct/>
        <w:topLinePunct w:val="0"/>
        <w:bidi w:val="0"/>
        <w:snapToGrid/>
        <w:spacing w:line="560" w:lineRule="exact"/>
        <w:ind w:left="0" w:leftChars="0" w:firstLine="190" w:firstLineChars="68"/>
        <w:jc w:val="center"/>
        <w:textAlignment w:val="auto"/>
        <w:outlineLvl w:val="9"/>
      </w:pPr>
      <w:r>
        <w:rPr>
          <w:rFonts w:hint="eastAsia" w:ascii="宋体" w:hAnsi="宋体" w:eastAsia="宋体" w:cs="宋体"/>
          <w:b w:val="0"/>
          <w:bCs w:val="0"/>
          <w:color w:val="auto"/>
          <w:kern w:val="2"/>
          <w:sz w:val="28"/>
          <w:szCs w:val="28"/>
          <w:u w:val="none"/>
          <w:lang w:val="en-US" w:eastAsia="zh-CN" w:bidi="ar-SA"/>
        </w:rPr>
        <w:pict>
          <v:shape id="图片 51" o:spid="_x0000_s1029" o:spt="75" type="#_x0000_t75" style="position:absolute;left:0pt;margin-left:108.45pt;margin-top:4.75pt;height:185.75pt;width:213pt;mso-wrap-distance-bottom:0pt;mso-wrap-distance-top:0pt;z-index:251662336;mso-width-relative:page;mso-height-relative:page;" filled="f" o:preferrelative="t" stroked="f" coordsize="21600,21600">
            <v:path/>
            <v:fill on="f" focussize="0,0"/>
            <v:stroke on="f"/>
            <v:imagedata r:id="rId7" o:title=""/>
            <o:lock v:ext="edit" aspectratio="t"/>
            <w10:wrap type="topAndBottom"/>
          </v:shape>
        </w:pict>
      </w:r>
      <w:r>
        <w:rPr>
          <w:rFonts w:hint="eastAsia" w:ascii="宋体" w:hAnsi="宋体" w:eastAsia="宋体" w:cs="宋体"/>
          <w:b w:val="0"/>
          <w:bCs w:val="0"/>
          <w:color w:val="auto"/>
          <w:kern w:val="2"/>
          <w:sz w:val="28"/>
          <w:szCs w:val="28"/>
          <w:u w:val="none"/>
          <w:lang w:val="en-US" w:eastAsia="zh-CN" w:bidi="ar-SA"/>
        </w:rPr>
        <w:t>图1 坠落孔情况</w:t>
      </w:r>
    </w:p>
    <w:p w14:paraId="1FD2DFDB">
      <w:pPr>
        <w:keepNext w:val="0"/>
        <w:keepLines w:val="0"/>
        <w:pageBreakBefore w:val="0"/>
        <w:widowControl w:val="0"/>
        <w:numPr>
          <w:ilvl w:val="0"/>
          <w:numId w:val="0"/>
        </w:numPr>
        <w:kinsoku/>
        <w:wordWrap/>
        <w:overflowPunct/>
        <w:topLinePunct w:val="0"/>
        <w:autoSpaceDN/>
        <w:bidi w:val="0"/>
        <w:spacing w:line="560" w:lineRule="exact"/>
        <w:ind w:left="0" w:leftChars="0" w:right="0" w:rightChars="0" w:firstLine="629" w:firstLineChars="0"/>
        <w:textAlignment w:val="auto"/>
        <w:rPr>
          <w:rFonts w:hint="eastAsia" w:ascii="楷体_GB2312" w:hAnsi="楷体_GB2312" w:eastAsia="楷体_GB2312" w:cs="楷体_GB2312"/>
          <w:b w:val="0"/>
          <w:bCs/>
          <w:sz w:val="32"/>
          <w:szCs w:val="32"/>
        </w:rPr>
      </w:pPr>
      <w:r>
        <w:rPr>
          <w:rFonts w:hint="eastAsia" w:ascii="楷体_GB2312" w:hAnsi="楷体_GB2312" w:eastAsia="楷体_GB2312" w:cs="楷体_GB2312"/>
          <w:b w:val="0"/>
          <w:bCs/>
          <w:kern w:val="2"/>
          <w:sz w:val="32"/>
          <w:szCs w:val="32"/>
          <w:lang w:val="en-US" w:eastAsia="zh-CN" w:bidi="ar-SA"/>
        </w:rPr>
        <w:t>（二）</w:t>
      </w:r>
      <w:r>
        <w:rPr>
          <w:rFonts w:hint="eastAsia" w:ascii="楷体_GB2312" w:hAnsi="楷体_GB2312" w:eastAsia="楷体_GB2312" w:cs="楷体_GB2312"/>
          <w:b w:val="0"/>
          <w:bCs/>
          <w:sz w:val="32"/>
          <w:szCs w:val="32"/>
        </w:rPr>
        <w:t>应急处置情况</w:t>
      </w:r>
    </w:p>
    <w:p w14:paraId="50C0091C">
      <w:pPr>
        <w:keepNext w:val="0"/>
        <w:keepLines w:val="0"/>
        <w:pageBreakBefore w:val="0"/>
        <w:widowControl w:val="0"/>
        <w:numPr>
          <w:ilvl w:val="0"/>
          <w:numId w:val="0"/>
        </w:numPr>
        <w:kinsoku/>
        <w:wordWrap/>
        <w:overflowPunct/>
        <w:topLinePunct w:val="0"/>
        <w:autoSpaceDN/>
        <w:bidi w:val="0"/>
        <w:spacing w:line="560" w:lineRule="exact"/>
        <w:ind w:left="0" w:leftChars="0" w:right="0" w:rightChars="0" w:firstLine="643" w:firstLineChars="200"/>
        <w:textAlignment w:val="auto"/>
        <w:rPr>
          <w:rFonts w:hint="eastAsia" w:ascii="仿宋_GB2312" w:hAnsi="宋体" w:eastAsia="仿宋_GB2312"/>
          <w:b/>
          <w:sz w:val="32"/>
          <w:szCs w:val="32"/>
        </w:rPr>
      </w:pPr>
      <w:r>
        <w:rPr>
          <w:rFonts w:hint="eastAsia" w:ascii="仿宋_GB2312" w:hAnsi="宋体" w:eastAsia="仿宋_GB2312"/>
          <w:b/>
          <w:sz w:val="32"/>
          <w:szCs w:val="32"/>
        </w:rPr>
        <w:t>1</w:t>
      </w:r>
      <w:r>
        <w:rPr>
          <w:rFonts w:hint="eastAsia" w:ascii="仿宋_GB2312" w:hAnsi="宋体" w:eastAsia="仿宋_GB2312"/>
          <w:b/>
          <w:sz w:val="32"/>
          <w:szCs w:val="32"/>
          <w:lang w:val="en-US" w:eastAsia="zh-CN"/>
        </w:rPr>
        <w:t>.</w:t>
      </w:r>
      <w:r>
        <w:rPr>
          <w:rFonts w:hint="eastAsia" w:ascii="仿宋_GB2312" w:hAnsi="宋体" w:eastAsia="仿宋_GB2312"/>
          <w:b/>
          <w:sz w:val="32"/>
          <w:szCs w:val="32"/>
        </w:rPr>
        <w:t>基本情况</w:t>
      </w:r>
    </w:p>
    <w:p w14:paraId="22C8FF32">
      <w:pPr>
        <w:keepNext w:val="0"/>
        <w:keepLines w:val="0"/>
        <w:pageBreakBefore w:val="0"/>
        <w:widowControl w:val="0"/>
        <w:kinsoku/>
        <w:wordWrap/>
        <w:overflowPunct/>
        <w:topLinePunct w:val="0"/>
        <w:autoSpaceDN/>
        <w:bidi w:val="0"/>
        <w:spacing w:line="560" w:lineRule="exact"/>
        <w:ind w:left="0" w:leftChars="0" w:right="0" w:rightChars="0" w:firstLine="643" w:firstLineChars="200"/>
        <w:jc w:val="both"/>
        <w:textAlignment w:val="auto"/>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（1）企业应急救援</w:t>
      </w:r>
    </w:p>
    <w:p w14:paraId="2F0F0487">
      <w:pPr>
        <w:keepNext w:val="0"/>
        <w:keepLines w:val="0"/>
        <w:pageBreakBefore w:val="0"/>
        <w:widowControl w:val="0"/>
        <w:kinsoku/>
        <w:wordWrap/>
        <w:overflowPunct/>
        <w:topLinePunct w:val="0"/>
        <w:autoSpaceDN/>
        <w:bidi w:val="0"/>
        <w:adjustRightInd/>
        <w:snapToGrid/>
        <w:spacing w:line="560" w:lineRule="exact"/>
        <w:ind w:left="0" w:leftChars="0" w:right="0" w:rightChars="0"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15时许，在场的工人听到异响后循着声音发现了躺在地上的吴某宏，上前查看发现吴某宏躯体没有任何反应，随即呼叫正在附近的安全员方某夫，方某夫立即拨打120和110，随后电话通知了永安镇人民政府并</w:t>
      </w:r>
      <w:bookmarkStart w:id="1" w:name="_GoBack"/>
      <w:bookmarkEnd w:id="1"/>
      <w:r>
        <w:rPr>
          <w:rFonts w:hint="eastAsia" w:ascii="仿宋_GB2312" w:hAnsi="仿宋_GB2312" w:eastAsia="仿宋_GB2312" w:cs="仿宋_GB2312"/>
          <w:color w:val="auto"/>
          <w:sz w:val="32"/>
          <w:szCs w:val="32"/>
          <w:highlight w:val="none"/>
          <w:lang w:val="en-US" w:eastAsia="zh-CN"/>
        </w:rPr>
        <w:t>向宏诚公司主要负责人程某汇报，程某随即将相关情况电话告知新大明公司厂长张某辉。</w:t>
      </w:r>
    </w:p>
    <w:p w14:paraId="75CD1E49">
      <w:pPr>
        <w:keepNext w:val="0"/>
        <w:keepLines w:val="0"/>
        <w:pageBreakBefore w:val="0"/>
        <w:widowControl w:val="0"/>
        <w:kinsoku/>
        <w:wordWrap/>
        <w:overflowPunct/>
        <w:topLinePunct w:val="0"/>
        <w:autoSpaceDN/>
        <w:bidi w:val="0"/>
        <w:adjustRightInd/>
        <w:snapToGrid/>
        <w:spacing w:line="560" w:lineRule="exact"/>
        <w:ind w:left="0" w:leftChars="0" w:right="0" w:rightChars="0" w:firstLine="56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宋体" w:hAnsi="宋体" w:eastAsia="宋体" w:cs="宋体"/>
          <w:b w:val="0"/>
          <w:bCs w:val="0"/>
          <w:color w:val="auto"/>
          <w:kern w:val="2"/>
          <w:sz w:val="28"/>
          <w:szCs w:val="28"/>
          <w:u w:val="none"/>
          <w:lang w:val="en-US" w:eastAsia="zh-CN" w:bidi="ar-SA"/>
        </w:rPr>
        <w:pict>
          <v:shape id="图片 60" o:spid="_x0000_s1026" o:spt="75" type="#_x0000_t75" style="position:absolute;left:0pt;margin-left:73.3pt;margin-top:61.25pt;height:240.15pt;width:287.7pt;mso-wrap-distance-bottom:0pt;mso-wrap-distance-top:0pt;z-index:251659264;mso-width-relative:page;mso-height-relative:page;" filled="f" o:preferrelative="t" stroked="f" coordsize="21600,21600">
            <v:path/>
            <v:fill on="f" focussize="0,0"/>
            <v:stroke on="f"/>
            <v:imagedata r:id="rId8" o:title=""/>
            <o:lock v:ext="edit" aspectratio="t"/>
            <w10:wrap type="topAndBottom"/>
          </v:shape>
        </w:pict>
      </w:r>
      <w:r>
        <w:rPr>
          <w:rFonts w:hint="eastAsia" w:ascii="仿宋_GB2312" w:hAnsi="仿宋_GB2312" w:eastAsia="仿宋_GB2312" w:cs="仿宋_GB2312"/>
          <w:sz w:val="32"/>
          <w:szCs w:val="32"/>
          <w:highlight w:val="none"/>
          <w:lang w:val="en-US" w:eastAsia="zh-CN"/>
        </w:rPr>
        <w:t>救护车在事故发生接报后约10分钟左右到达</w:t>
      </w:r>
      <w:r>
        <w:rPr>
          <w:rFonts w:hint="eastAsia" w:ascii="仿宋_GB2312" w:hAnsi="仿宋_GB2312" w:eastAsia="仿宋_GB2312" w:cs="仿宋_GB2312"/>
          <w:color w:val="auto"/>
          <w:sz w:val="32"/>
          <w:szCs w:val="32"/>
          <w:highlight w:val="none"/>
          <w:lang w:val="en-US" w:eastAsia="zh-CN"/>
        </w:rPr>
        <w:t>新大明公司</w:t>
      </w:r>
      <w:r>
        <w:rPr>
          <w:rFonts w:hint="eastAsia" w:ascii="仿宋_GB2312" w:hAnsi="仿宋_GB2312" w:eastAsia="仿宋_GB2312" w:cs="仿宋_GB2312"/>
          <w:sz w:val="32"/>
          <w:szCs w:val="32"/>
          <w:highlight w:val="none"/>
          <w:lang w:val="en-US" w:eastAsia="zh-CN"/>
        </w:rPr>
        <w:t>熔铸车间并对吴某宏进行抢救，吴某宏后经抢救无效死亡。</w:t>
      </w:r>
    </w:p>
    <w:p w14:paraId="6A9E7319">
      <w:pPr>
        <w:keepNext w:val="0"/>
        <w:keepLines w:val="0"/>
        <w:pageBreakBefore w:val="0"/>
        <w:widowControl w:val="0"/>
        <w:numPr>
          <w:ilvl w:val="0"/>
          <w:numId w:val="0"/>
        </w:numPr>
        <w:kinsoku/>
        <w:wordWrap/>
        <w:overflowPunct/>
        <w:topLinePunct w:val="0"/>
        <w:autoSpaceDE w:val="0"/>
        <w:autoSpaceDN w:val="0"/>
        <w:bidi w:val="0"/>
        <w:adjustRightInd w:val="0"/>
        <w:snapToGrid/>
        <w:spacing w:line="560" w:lineRule="exact"/>
        <w:ind w:left="0" w:leftChars="0" w:firstLine="190" w:firstLineChars="68"/>
        <w:jc w:val="center"/>
        <w:textAlignment w:val="auto"/>
        <w:outlineLvl w:val="9"/>
        <w:rPr>
          <w:rFonts w:hint="eastAsia" w:ascii="仿宋_GB2312" w:hAnsi="仿宋_GB2312" w:eastAsia="仿宋_GB2312" w:cs="仿宋_GB2312"/>
          <w:sz w:val="32"/>
          <w:szCs w:val="32"/>
          <w:highlight w:val="none"/>
          <w:lang w:val="en-US" w:eastAsia="zh-CN"/>
        </w:rPr>
      </w:pPr>
      <w:r>
        <w:rPr>
          <w:rFonts w:hint="eastAsia" w:ascii="宋体" w:hAnsi="宋体" w:eastAsia="宋体" w:cs="宋体"/>
          <w:b w:val="0"/>
          <w:bCs w:val="0"/>
          <w:color w:val="auto"/>
          <w:kern w:val="2"/>
          <w:sz w:val="28"/>
          <w:szCs w:val="28"/>
          <w:u w:val="none"/>
          <w:lang w:val="en-US" w:eastAsia="zh-CN" w:bidi="ar-SA"/>
        </w:rPr>
        <w:t>图2</w:t>
      </w:r>
      <w:r>
        <w:rPr>
          <w:rFonts w:hint="eastAsia" w:ascii="宋体" w:hAnsi="宋体" w:cs="宋体"/>
          <w:b w:val="0"/>
          <w:bCs w:val="0"/>
          <w:color w:val="auto"/>
          <w:kern w:val="2"/>
          <w:sz w:val="28"/>
          <w:szCs w:val="28"/>
          <w:u w:val="none"/>
          <w:lang w:val="en-US" w:eastAsia="zh-CN" w:bidi="ar-SA"/>
        </w:rPr>
        <w:t xml:space="preserve"> </w:t>
      </w:r>
      <w:r>
        <w:rPr>
          <w:rFonts w:hint="eastAsia" w:ascii="宋体" w:hAnsi="宋体" w:eastAsia="宋体" w:cs="宋体"/>
          <w:b w:val="0"/>
          <w:bCs w:val="0"/>
          <w:color w:val="auto"/>
          <w:kern w:val="2"/>
          <w:sz w:val="28"/>
          <w:szCs w:val="28"/>
          <w:u w:val="none"/>
          <w:lang w:val="en-US" w:eastAsia="zh-CN" w:bidi="ar-SA"/>
        </w:rPr>
        <w:t>外墙板更换外侧</w:t>
      </w:r>
    </w:p>
    <w:p w14:paraId="54742F32">
      <w:pPr>
        <w:pStyle w:val="8"/>
        <w:keepNext w:val="0"/>
        <w:keepLines w:val="0"/>
        <w:pageBreakBefore w:val="0"/>
        <w:widowControl w:val="0"/>
        <w:kinsoku/>
        <w:wordWrap/>
        <w:overflowPunct/>
        <w:topLinePunct w:val="0"/>
        <w:bidi w:val="0"/>
        <w:spacing w:line="560" w:lineRule="exact"/>
        <w:ind w:firstLine="1120" w:firstLineChars="400"/>
        <w:textAlignment w:val="auto"/>
        <w:rPr>
          <w:rFonts w:hint="eastAsia" w:ascii="宋体" w:hAnsi="宋体" w:eastAsia="宋体" w:cs="宋体"/>
          <w:b w:val="0"/>
          <w:bCs w:val="0"/>
          <w:color w:val="auto"/>
          <w:kern w:val="2"/>
          <w:sz w:val="28"/>
          <w:szCs w:val="28"/>
          <w:u w:val="none"/>
          <w:lang w:val="en-US" w:eastAsia="zh-CN" w:bidi="ar-SA"/>
        </w:rPr>
      </w:pPr>
      <w:r>
        <w:rPr>
          <w:rFonts w:hint="eastAsia" w:ascii="宋体" w:hAnsi="宋体" w:eastAsia="宋体" w:cs="宋体"/>
          <w:b w:val="0"/>
          <w:bCs w:val="0"/>
          <w:color w:val="auto"/>
          <w:kern w:val="2"/>
          <w:sz w:val="28"/>
          <w:szCs w:val="28"/>
          <w:u w:val="none"/>
          <w:lang w:val="en-US" w:eastAsia="zh-CN" w:bidi="ar-SA"/>
        </w:rPr>
        <w:pict>
          <v:shape id="图片 61" o:spid="_x0000_s1035" o:spt="75" type="#_x0000_t75" style="position:absolute;left:0pt;margin-left:305.85pt;margin-top:466.3pt;height:246.45pt;width:169.3pt;mso-position-horizontal-relative:page;mso-position-vertical-relative:page;mso-wrap-distance-bottom:0pt;mso-wrap-distance-left:9pt;mso-wrap-distance-right:9pt;mso-wrap-distance-top:0pt;z-index:251665408;mso-width-relative:page;mso-height-relative:page;" filled="f" o:preferrelative="t" stroked="f" coordsize="21600,21600">
            <v:path/>
            <v:fill on="f" focussize="0,0"/>
            <v:stroke on="f"/>
            <v:imagedata r:id="rId9" o:title=""/>
            <o:lock v:ext="edit" aspectratio="t"/>
            <w10:wrap type="square"/>
          </v:shape>
        </w:pict>
      </w:r>
      <w:r>
        <w:rPr>
          <w:rFonts w:hint="eastAsia" w:ascii="宋体" w:hAnsi="宋体" w:eastAsia="宋体" w:cs="宋体"/>
          <w:b w:val="0"/>
          <w:bCs w:val="0"/>
          <w:color w:val="auto"/>
          <w:kern w:val="2"/>
          <w:sz w:val="28"/>
          <w:szCs w:val="28"/>
          <w:u w:val="none"/>
          <w:lang w:val="en-US" w:eastAsia="zh-CN" w:bidi="ar-SA"/>
        </w:rPr>
        <w:pict>
          <v:shape id="_x0000_s1034" o:spid="_x0000_s1034" o:spt="75" type="#_x0000_t75" style="position:absolute;left:0pt;margin-left:56pt;margin-top:3.6pt;height:246.3pt;width:171.2pt;mso-wrap-distance-bottom:0pt;mso-wrap-distance-left:9pt;mso-wrap-distance-right:9pt;mso-wrap-distance-top:0pt;z-index:251664384;mso-width-relative:page;mso-height-relative:page;" filled="f" o:preferrelative="t" stroked="f" coordsize="21600,21600">
            <v:path/>
            <v:fill on="f" focussize="0,0"/>
            <v:stroke on="f"/>
            <v:imagedata r:id="rId10" o:title=""/>
            <o:lock v:ext="edit" aspectratio="t"/>
            <w10:wrap type="square"/>
          </v:shape>
        </w:pict>
      </w:r>
    </w:p>
    <w:p w14:paraId="6E3665FF">
      <w:pPr>
        <w:pStyle w:val="8"/>
        <w:keepNext w:val="0"/>
        <w:keepLines w:val="0"/>
        <w:pageBreakBefore w:val="0"/>
        <w:widowControl w:val="0"/>
        <w:kinsoku/>
        <w:wordWrap/>
        <w:overflowPunct/>
        <w:topLinePunct w:val="0"/>
        <w:bidi w:val="0"/>
        <w:spacing w:line="560" w:lineRule="exact"/>
        <w:ind w:firstLine="1120" w:firstLineChars="400"/>
        <w:textAlignment w:val="auto"/>
        <w:rPr>
          <w:rFonts w:hint="eastAsia" w:ascii="宋体" w:hAnsi="宋体" w:eastAsia="宋体" w:cs="宋体"/>
          <w:b w:val="0"/>
          <w:bCs w:val="0"/>
          <w:color w:val="auto"/>
          <w:kern w:val="2"/>
          <w:sz w:val="28"/>
          <w:szCs w:val="28"/>
          <w:u w:val="none"/>
          <w:lang w:val="en-US" w:eastAsia="zh-CN" w:bidi="ar-SA"/>
        </w:rPr>
      </w:pPr>
    </w:p>
    <w:p w14:paraId="70EFFB41">
      <w:pPr>
        <w:pStyle w:val="8"/>
        <w:keepNext w:val="0"/>
        <w:keepLines w:val="0"/>
        <w:pageBreakBefore w:val="0"/>
        <w:widowControl w:val="0"/>
        <w:kinsoku/>
        <w:wordWrap/>
        <w:overflowPunct/>
        <w:topLinePunct w:val="0"/>
        <w:bidi w:val="0"/>
        <w:spacing w:line="560" w:lineRule="exact"/>
        <w:ind w:firstLine="1120" w:firstLineChars="400"/>
        <w:textAlignment w:val="auto"/>
        <w:rPr>
          <w:rFonts w:hint="eastAsia" w:ascii="宋体" w:hAnsi="宋体" w:eastAsia="宋体" w:cs="宋体"/>
          <w:b w:val="0"/>
          <w:bCs w:val="0"/>
          <w:color w:val="auto"/>
          <w:kern w:val="2"/>
          <w:sz w:val="28"/>
          <w:szCs w:val="28"/>
          <w:u w:val="none"/>
          <w:lang w:val="en-US" w:eastAsia="zh-CN" w:bidi="ar-SA"/>
        </w:rPr>
      </w:pPr>
    </w:p>
    <w:p w14:paraId="78D60827">
      <w:pPr>
        <w:pStyle w:val="8"/>
        <w:keepNext w:val="0"/>
        <w:keepLines w:val="0"/>
        <w:pageBreakBefore w:val="0"/>
        <w:widowControl w:val="0"/>
        <w:kinsoku/>
        <w:wordWrap/>
        <w:overflowPunct/>
        <w:topLinePunct w:val="0"/>
        <w:bidi w:val="0"/>
        <w:spacing w:line="560" w:lineRule="exact"/>
        <w:ind w:firstLine="1120" w:firstLineChars="400"/>
        <w:textAlignment w:val="auto"/>
        <w:rPr>
          <w:rFonts w:hint="eastAsia" w:ascii="宋体" w:hAnsi="宋体" w:eastAsia="宋体" w:cs="宋体"/>
          <w:b w:val="0"/>
          <w:bCs w:val="0"/>
          <w:color w:val="auto"/>
          <w:kern w:val="2"/>
          <w:sz w:val="28"/>
          <w:szCs w:val="28"/>
          <w:u w:val="none"/>
          <w:lang w:val="en-US" w:eastAsia="zh-CN" w:bidi="ar-SA"/>
        </w:rPr>
      </w:pPr>
    </w:p>
    <w:p w14:paraId="33A51A2C">
      <w:pPr>
        <w:pStyle w:val="8"/>
        <w:keepNext w:val="0"/>
        <w:keepLines w:val="0"/>
        <w:pageBreakBefore w:val="0"/>
        <w:widowControl w:val="0"/>
        <w:kinsoku/>
        <w:wordWrap/>
        <w:overflowPunct/>
        <w:topLinePunct w:val="0"/>
        <w:bidi w:val="0"/>
        <w:spacing w:line="560" w:lineRule="exact"/>
        <w:ind w:firstLine="1120" w:firstLineChars="400"/>
        <w:textAlignment w:val="auto"/>
        <w:rPr>
          <w:rFonts w:hint="eastAsia" w:ascii="宋体" w:hAnsi="宋体" w:eastAsia="宋体" w:cs="宋体"/>
          <w:b w:val="0"/>
          <w:bCs w:val="0"/>
          <w:color w:val="auto"/>
          <w:kern w:val="2"/>
          <w:sz w:val="28"/>
          <w:szCs w:val="28"/>
          <w:u w:val="none"/>
          <w:lang w:val="en-US" w:eastAsia="zh-CN" w:bidi="ar-SA"/>
        </w:rPr>
      </w:pPr>
    </w:p>
    <w:p w14:paraId="06EFCF88">
      <w:pPr>
        <w:pStyle w:val="8"/>
        <w:keepNext w:val="0"/>
        <w:keepLines w:val="0"/>
        <w:pageBreakBefore w:val="0"/>
        <w:widowControl w:val="0"/>
        <w:kinsoku/>
        <w:wordWrap/>
        <w:overflowPunct/>
        <w:topLinePunct w:val="0"/>
        <w:bidi w:val="0"/>
        <w:spacing w:line="560" w:lineRule="exact"/>
        <w:ind w:firstLine="1120" w:firstLineChars="400"/>
        <w:textAlignment w:val="auto"/>
        <w:rPr>
          <w:rFonts w:hint="eastAsia" w:ascii="宋体" w:hAnsi="宋体" w:eastAsia="宋体" w:cs="宋体"/>
          <w:b w:val="0"/>
          <w:bCs w:val="0"/>
          <w:color w:val="auto"/>
          <w:kern w:val="2"/>
          <w:sz w:val="28"/>
          <w:szCs w:val="28"/>
          <w:u w:val="none"/>
          <w:lang w:val="en-US" w:eastAsia="zh-CN" w:bidi="ar-SA"/>
        </w:rPr>
      </w:pPr>
    </w:p>
    <w:p w14:paraId="6C8BF9EB">
      <w:pPr>
        <w:pStyle w:val="8"/>
        <w:keepNext w:val="0"/>
        <w:keepLines w:val="0"/>
        <w:pageBreakBefore w:val="0"/>
        <w:widowControl w:val="0"/>
        <w:kinsoku/>
        <w:wordWrap/>
        <w:overflowPunct/>
        <w:topLinePunct w:val="0"/>
        <w:bidi w:val="0"/>
        <w:spacing w:line="560" w:lineRule="exact"/>
        <w:ind w:firstLine="1120" w:firstLineChars="400"/>
        <w:textAlignment w:val="auto"/>
        <w:rPr>
          <w:rFonts w:hint="eastAsia" w:ascii="宋体" w:hAnsi="宋体" w:eastAsia="宋体" w:cs="宋体"/>
          <w:b w:val="0"/>
          <w:bCs w:val="0"/>
          <w:color w:val="auto"/>
          <w:kern w:val="2"/>
          <w:sz w:val="28"/>
          <w:szCs w:val="28"/>
          <w:u w:val="none"/>
          <w:lang w:val="en-US" w:eastAsia="zh-CN" w:bidi="ar-SA"/>
        </w:rPr>
      </w:pPr>
    </w:p>
    <w:p w14:paraId="55844CB0">
      <w:pPr>
        <w:pStyle w:val="8"/>
        <w:keepNext w:val="0"/>
        <w:keepLines w:val="0"/>
        <w:pageBreakBefore w:val="0"/>
        <w:widowControl w:val="0"/>
        <w:kinsoku/>
        <w:wordWrap/>
        <w:overflowPunct/>
        <w:topLinePunct w:val="0"/>
        <w:bidi w:val="0"/>
        <w:spacing w:line="560" w:lineRule="exact"/>
        <w:jc w:val="center"/>
        <w:textAlignment w:val="auto"/>
        <w:rPr>
          <w:rFonts w:hint="eastAsia" w:ascii="宋体" w:hAnsi="宋体" w:eastAsia="宋体" w:cs="宋体"/>
          <w:b w:val="0"/>
          <w:bCs w:val="0"/>
          <w:color w:val="auto"/>
          <w:kern w:val="2"/>
          <w:sz w:val="28"/>
          <w:szCs w:val="28"/>
          <w:u w:val="none"/>
          <w:lang w:val="en-US" w:eastAsia="zh-CN" w:bidi="ar-SA"/>
        </w:rPr>
      </w:pPr>
    </w:p>
    <w:p w14:paraId="57672BC6">
      <w:pPr>
        <w:pStyle w:val="8"/>
        <w:keepNext w:val="0"/>
        <w:keepLines w:val="0"/>
        <w:pageBreakBefore w:val="0"/>
        <w:widowControl w:val="0"/>
        <w:kinsoku/>
        <w:wordWrap/>
        <w:overflowPunct/>
        <w:topLinePunct w:val="0"/>
        <w:bidi w:val="0"/>
        <w:spacing w:line="560" w:lineRule="exact"/>
        <w:jc w:val="center"/>
        <w:textAlignment w:val="auto"/>
        <w:rPr>
          <w:rFonts w:hint="eastAsia" w:ascii="宋体" w:hAnsi="宋体" w:eastAsia="宋体" w:cs="宋体"/>
          <w:b w:val="0"/>
          <w:bCs w:val="0"/>
          <w:color w:val="auto"/>
          <w:kern w:val="2"/>
          <w:sz w:val="28"/>
          <w:szCs w:val="28"/>
          <w:u w:val="none"/>
          <w:lang w:val="en-US" w:eastAsia="zh-CN" w:bidi="ar-SA"/>
        </w:rPr>
      </w:pPr>
    </w:p>
    <w:p w14:paraId="39F735D8">
      <w:pPr>
        <w:pStyle w:val="8"/>
        <w:keepNext w:val="0"/>
        <w:keepLines w:val="0"/>
        <w:pageBreakBefore w:val="0"/>
        <w:widowControl w:val="0"/>
        <w:kinsoku/>
        <w:wordWrap/>
        <w:overflowPunct/>
        <w:topLinePunct w:val="0"/>
        <w:bidi w:val="0"/>
        <w:spacing w:line="560" w:lineRule="exact"/>
        <w:jc w:val="center"/>
        <w:textAlignment w:val="auto"/>
        <w:rPr>
          <w:rFonts w:hint="default" w:ascii="仿宋" w:hAnsi="仿宋" w:eastAsia="仿宋" w:cs="仿宋"/>
          <w:b/>
          <w:bCs/>
          <w:color w:val="000000"/>
          <w:kern w:val="2"/>
          <w:sz w:val="32"/>
          <w:szCs w:val="32"/>
          <w:u w:val="single"/>
          <w:lang w:val="en-US" w:eastAsia="zh-CN" w:bidi="ar-SA"/>
        </w:rPr>
      </w:pPr>
      <w:r>
        <w:rPr>
          <w:rFonts w:hint="eastAsia" w:ascii="宋体" w:hAnsi="宋体" w:eastAsia="宋体" w:cs="宋体"/>
          <w:b w:val="0"/>
          <w:bCs w:val="0"/>
          <w:color w:val="auto"/>
          <w:kern w:val="2"/>
          <w:sz w:val="28"/>
          <w:szCs w:val="28"/>
          <w:u w:val="none"/>
          <w:lang w:val="en-US" w:eastAsia="zh-CN" w:bidi="ar-SA"/>
        </w:rPr>
        <w:t>图3</w:t>
      </w:r>
      <w:r>
        <w:rPr>
          <w:rFonts w:hint="eastAsia" w:cs="宋体"/>
          <w:b w:val="0"/>
          <w:bCs w:val="0"/>
          <w:color w:val="auto"/>
          <w:kern w:val="2"/>
          <w:sz w:val="28"/>
          <w:szCs w:val="28"/>
          <w:u w:val="none"/>
          <w:lang w:val="en-US" w:eastAsia="zh-CN" w:bidi="ar-SA"/>
        </w:rPr>
        <w:t xml:space="preserve"> </w:t>
      </w:r>
      <w:r>
        <w:rPr>
          <w:rFonts w:hint="eastAsia" w:ascii="宋体" w:hAnsi="宋体" w:eastAsia="宋体" w:cs="宋体"/>
          <w:b w:val="0"/>
          <w:bCs w:val="0"/>
          <w:color w:val="auto"/>
          <w:kern w:val="2"/>
          <w:sz w:val="28"/>
          <w:szCs w:val="28"/>
          <w:u w:val="none"/>
          <w:lang w:val="en-US" w:eastAsia="zh-CN" w:bidi="ar-SA"/>
        </w:rPr>
        <w:t xml:space="preserve">外墙板更换内侧 </w:t>
      </w:r>
      <w:r>
        <w:rPr>
          <w:rFonts w:hint="eastAsia" w:ascii="仿宋" w:hAnsi="仿宋" w:eastAsia="仿宋" w:cs="仿宋"/>
          <w:b/>
          <w:bCs/>
          <w:color w:val="000000"/>
          <w:kern w:val="2"/>
          <w:sz w:val="32"/>
          <w:szCs w:val="32"/>
          <w:u w:val="none"/>
          <w:lang w:val="en-US" w:eastAsia="zh-CN" w:bidi="ar-SA"/>
        </w:rPr>
        <w:t xml:space="preserve">       </w:t>
      </w:r>
      <w:r>
        <w:rPr>
          <w:rFonts w:hint="eastAsia" w:ascii="宋体" w:hAnsi="宋体" w:eastAsia="宋体" w:cs="宋体"/>
          <w:b w:val="0"/>
          <w:bCs w:val="0"/>
          <w:color w:val="auto"/>
          <w:kern w:val="2"/>
          <w:sz w:val="28"/>
          <w:szCs w:val="28"/>
          <w:u w:val="none"/>
          <w:lang w:val="en-US" w:eastAsia="zh-CN" w:bidi="ar-SA"/>
        </w:rPr>
        <w:t>图4</w:t>
      </w:r>
      <w:r>
        <w:rPr>
          <w:rFonts w:hint="eastAsia" w:ascii="仿宋" w:hAnsi="仿宋" w:eastAsia="仿宋" w:cs="仿宋"/>
          <w:b/>
          <w:bCs/>
          <w:color w:val="000000"/>
          <w:kern w:val="2"/>
          <w:sz w:val="32"/>
          <w:szCs w:val="32"/>
          <w:u w:val="none"/>
          <w:lang w:val="en-US" w:eastAsia="zh-CN" w:bidi="ar-SA"/>
        </w:rPr>
        <w:t xml:space="preserve"> </w:t>
      </w:r>
      <w:r>
        <w:rPr>
          <w:rFonts w:hint="eastAsia" w:ascii="宋体" w:hAnsi="宋体" w:eastAsia="宋体" w:cs="宋体"/>
          <w:b w:val="0"/>
          <w:bCs w:val="0"/>
          <w:color w:val="auto"/>
          <w:kern w:val="2"/>
          <w:sz w:val="28"/>
          <w:szCs w:val="28"/>
          <w:u w:val="none"/>
          <w:lang w:val="en-US" w:eastAsia="zh-CN" w:bidi="ar-SA"/>
        </w:rPr>
        <w:t>厂房内坠落位置</w:t>
      </w:r>
    </w:p>
    <w:p w14:paraId="464B0D38">
      <w:pPr>
        <w:pStyle w:val="37"/>
        <w:keepNext w:val="0"/>
        <w:keepLines w:val="0"/>
        <w:pageBreakBefore w:val="0"/>
        <w:widowControl w:val="0"/>
        <w:numPr>
          <w:ilvl w:val="0"/>
          <w:numId w:val="0"/>
        </w:numPr>
        <w:kinsoku/>
        <w:wordWrap/>
        <w:overflowPunct/>
        <w:topLinePunct w:val="0"/>
        <w:bidi w:val="0"/>
        <w:snapToGrid/>
        <w:spacing w:line="560" w:lineRule="exact"/>
        <w:ind w:left="0" w:leftChars="0" w:firstLine="190" w:firstLineChars="68"/>
        <w:jc w:val="center"/>
        <w:textAlignment w:val="auto"/>
        <w:outlineLvl w:val="9"/>
        <w:rPr>
          <w:rFonts w:hint="eastAsia" w:ascii="宋体" w:hAnsi="宋体" w:eastAsia="宋体" w:cs="宋体"/>
          <w:b w:val="0"/>
          <w:bCs w:val="0"/>
          <w:color w:val="auto"/>
          <w:kern w:val="2"/>
          <w:sz w:val="28"/>
          <w:szCs w:val="28"/>
          <w:u w:val="none"/>
          <w:lang w:val="en-US" w:eastAsia="zh-CN" w:bidi="ar-SA"/>
        </w:rPr>
      </w:pPr>
      <w:r>
        <w:rPr>
          <w:rFonts w:hint="eastAsia" w:ascii="宋体" w:hAnsi="宋体" w:eastAsia="宋体" w:cs="宋体"/>
          <w:b w:val="0"/>
          <w:bCs w:val="0"/>
          <w:color w:val="auto"/>
          <w:kern w:val="2"/>
          <w:sz w:val="28"/>
          <w:szCs w:val="28"/>
          <w:u w:val="none"/>
          <w:lang w:val="en-US" w:eastAsia="zh-CN" w:bidi="ar-SA"/>
        </w:rPr>
        <w:pict>
          <v:shape id="图片 64" o:spid="_x0000_s1027" o:spt="75" type="#_x0000_t75" style="position:absolute;left:0pt;margin-left:18.4pt;margin-top:4pt;height:307.25pt;width:407.9pt;mso-wrap-distance-bottom:0pt;mso-wrap-distance-top:0pt;z-index:251660288;mso-width-relative:page;mso-height-relative:page;" filled="f" o:preferrelative="t" stroked="f" coordsize="21600,21600">
            <v:path/>
            <v:fill on="f" focussize="0,0"/>
            <v:stroke on="f"/>
            <v:imagedata r:id="rId11" o:title=""/>
            <o:lock v:ext="edit" aspectratio="t"/>
            <w10:wrap type="topAndBottom"/>
          </v:shape>
        </w:pict>
      </w:r>
      <w:r>
        <w:rPr>
          <w:rFonts w:hint="eastAsia" w:ascii="宋体" w:hAnsi="宋体" w:eastAsia="宋体" w:cs="宋体"/>
          <w:b w:val="0"/>
          <w:bCs w:val="0"/>
          <w:color w:val="auto"/>
          <w:kern w:val="2"/>
          <w:sz w:val="28"/>
          <w:szCs w:val="28"/>
          <w:u w:val="none"/>
          <w:lang w:val="en-US" w:eastAsia="zh-CN" w:bidi="ar-SA"/>
        </w:rPr>
        <w:t>图5</w:t>
      </w:r>
      <w:r>
        <w:rPr>
          <w:rFonts w:hint="eastAsia" w:ascii="宋体" w:hAnsi="宋体" w:eastAsia="宋体" w:cs="宋体"/>
          <w:b w:val="0"/>
          <w:bCs w:val="0"/>
          <w:color w:val="auto"/>
          <w:kern w:val="2"/>
          <w:sz w:val="28"/>
          <w:szCs w:val="28"/>
          <w:u w:val="none"/>
          <w:lang w:val="en-US" w:eastAsia="zh-CN" w:bidi="ar-SA"/>
        </w:rPr>
        <w:pict>
          <v:shape id="图片 63" o:spid="_x0000_s1028" o:spt="75" type="#_x0000_t75" style="position:absolute;left:0pt;margin-left:225.45pt;margin-top:214.85pt;height:12.7pt;width:30.95pt;mso-wrap-distance-bottom:0pt;mso-wrap-distance-top:0pt;z-index:251661312;mso-width-relative:page;mso-height-relative:page;" filled="f" o:preferrelative="t" stroked="f" coordsize="21600,21600">
            <v:path/>
            <v:fill on="f" focussize="0,0"/>
            <v:stroke on="f"/>
            <v:imagedata r:id="rId12" o:title=""/>
            <o:lock v:ext="edit" aspectratio="t"/>
            <w10:wrap type="topAndBottom"/>
          </v:shape>
        </w:pict>
      </w:r>
      <w:r>
        <w:rPr>
          <w:rFonts w:hint="eastAsia" w:ascii="宋体" w:hAnsi="宋体" w:cs="宋体"/>
          <w:b w:val="0"/>
          <w:bCs w:val="0"/>
          <w:color w:val="auto"/>
          <w:kern w:val="2"/>
          <w:sz w:val="28"/>
          <w:szCs w:val="28"/>
          <w:u w:val="none"/>
          <w:lang w:val="en-US" w:eastAsia="zh-CN" w:bidi="ar-SA"/>
        </w:rPr>
        <w:t xml:space="preserve"> </w:t>
      </w:r>
      <w:r>
        <w:rPr>
          <w:rFonts w:hint="eastAsia" w:ascii="宋体" w:hAnsi="宋体" w:eastAsia="宋体" w:cs="宋体"/>
          <w:b w:val="0"/>
          <w:bCs w:val="0"/>
          <w:color w:val="auto"/>
          <w:kern w:val="2"/>
          <w:sz w:val="28"/>
          <w:szCs w:val="28"/>
          <w:u w:val="none"/>
          <w:lang w:val="en-US" w:eastAsia="zh-CN" w:bidi="ar-SA"/>
        </w:rPr>
        <w:t>事故救援现场</w:t>
      </w:r>
    </w:p>
    <w:p w14:paraId="7DC35E68">
      <w:pPr>
        <w:keepNext w:val="0"/>
        <w:keepLines w:val="0"/>
        <w:pageBreakBefore w:val="0"/>
        <w:widowControl w:val="0"/>
        <w:kinsoku/>
        <w:wordWrap/>
        <w:overflowPunct/>
        <w:topLinePunct w:val="0"/>
        <w:autoSpaceDN/>
        <w:bidi w:val="0"/>
        <w:spacing w:line="560" w:lineRule="exact"/>
        <w:ind w:left="0" w:leftChars="0" w:right="0" w:rightChars="0" w:firstLine="643" w:firstLineChars="200"/>
        <w:jc w:val="both"/>
        <w:textAlignment w:val="auto"/>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（2）政府及相关部门处置情况</w:t>
      </w:r>
    </w:p>
    <w:p w14:paraId="76930FA8">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15时50分，永安镇派出所到达事故现场并对现场进行警戒封锁，16时许永安镇人民政府接到通知后，镇分管领导带领值班人员于16时30分迅速赶赴事故现场进行勘查，随后法医到场取证。鼎湖应急管理局于4月9日17时30分接到永安镇政府书面报告上述事故。接报后，市应急管理局、区应急管理局的值班领导和工作人员陆续到达现场。永安镇政府、永安镇派出所当场要求新大明公司及宏诚公司积极联系死者家属并妥善处理善后工作；19时46分，区应急管理局将掌握的事故情况书面上报市应急局指挥中心、区委值班室及区府办总值班室，并根据事件动态情况及时做好续报工作；4月10日9时21分，区应急管理局执法人员向新大明公司开具《现场处理措施决定书》，责令新大明公司熔铸车间暂时停产停业。</w:t>
      </w:r>
    </w:p>
    <w:p w14:paraId="757E40F8">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鼎湖区人民政府值班室接报事故后，区委、区政府高度重视，一是要求做好社会维稳和安全防范；二是要求相关职能部门尽快解决善后工作；三是要求成立事故调查组，查清事故原因及责任。</w:t>
      </w:r>
    </w:p>
    <w:p w14:paraId="2884DEDE">
      <w:pPr>
        <w:keepNext w:val="0"/>
        <w:keepLines w:val="0"/>
        <w:pageBreakBefore w:val="0"/>
        <w:widowControl w:val="0"/>
        <w:kinsoku/>
        <w:wordWrap/>
        <w:overflowPunct/>
        <w:topLinePunct w:val="0"/>
        <w:autoSpaceDN/>
        <w:bidi w:val="0"/>
        <w:spacing w:line="560" w:lineRule="exact"/>
        <w:ind w:left="0" w:leftChars="0" w:right="0" w:rightChars="0" w:firstLine="643" w:firstLineChars="200"/>
        <w:jc w:val="both"/>
        <w:textAlignment w:val="auto"/>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(3)事故善后处理</w:t>
      </w:r>
    </w:p>
    <w:p w14:paraId="45C1974E">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4月13日，</w:t>
      </w:r>
      <w:r>
        <w:rPr>
          <w:rFonts w:hint="default" w:ascii="Times New Roman" w:hAnsi="Times New Roman" w:eastAsia="仿宋_GB2312" w:cs="Times New Roman"/>
          <w:color w:val="auto"/>
          <w:sz w:val="32"/>
          <w:szCs w:val="32"/>
          <w:highlight w:val="none"/>
          <w:lang w:val="en-US" w:eastAsia="zh-CN"/>
        </w:rPr>
        <w:t>经协商</w:t>
      </w:r>
      <w:r>
        <w:rPr>
          <w:rFonts w:hint="eastAsia" w:ascii="仿宋_GB2312" w:hAnsi="仿宋_GB2312" w:eastAsia="仿宋_GB2312" w:cs="仿宋_GB2312"/>
          <w:sz w:val="32"/>
          <w:szCs w:val="32"/>
          <w:highlight w:val="none"/>
          <w:lang w:val="en-US" w:eastAsia="zh-CN"/>
        </w:rPr>
        <w:t>，新大明公司与死者吴某宏家属达成赔偿协议并签订《人民调解协议书》，赔偿金额115万元于当天已全部到位，社会舆情稳定，善后处理工作完毕。</w:t>
      </w:r>
    </w:p>
    <w:p w14:paraId="1B9E885C">
      <w:pPr>
        <w:keepNext w:val="0"/>
        <w:keepLines w:val="0"/>
        <w:pageBreakBefore w:val="0"/>
        <w:widowControl w:val="0"/>
        <w:numPr>
          <w:ilvl w:val="0"/>
          <w:numId w:val="0"/>
        </w:numPr>
        <w:kinsoku/>
        <w:wordWrap/>
        <w:overflowPunct/>
        <w:topLinePunct w:val="0"/>
        <w:autoSpaceDN/>
        <w:bidi w:val="0"/>
        <w:spacing w:line="560" w:lineRule="exact"/>
        <w:ind w:right="0" w:rightChars="0" w:firstLine="643" w:firstLineChars="200"/>
        <w:textAlignment w:val="auto"/>
        <w:rPr>
          <w:rFonts w:hint="eastAsia" w:ascii="仿宋_GB2312" w:hAnsi="宋体" w:eastAsia="仿宋_GB2312"/>
          <w:b/>
          <w:sz w:val="32"/>
          <w:szCs w:val="32"/>
        </w:rPr>
      </w:pPr>
      <w:r>
        <w:rPr>
          <w:rFonts w:hint="eastAsia" w:ascii="仿宋_GB2312" w:hAnsi="宋体" w:eastAsia="仿宋_GB2312"/>
          <w:b/>
          <w:sz w:val="32"/>
          <w:szCs w:val="32"/>
          <w:lang w:val="en-US" w:eastAsia="zh-CN"/>
        </w:rPr>
        <w:t>2.</w:t>
      </w:r>
      <w:r>
        <w:rPr>
          <w:rFonts w:hint="eastAsia" w:ascii="仿宋_GB2312" w:hAnsi="宋体" w:eastAsia="仿宋_GB2312"/>
          <w:b/>
          <w:sz w:val="32"/>
          <w:szCs w:val="32"/>
        </w:rPr>
        <w:t>应急处置评估。</w:t>
      </w:r>
    </w:p>
    <w:p w14:paraId="58ED5A9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textAlignment w:val="auto"/>
        <w:rPr>
          <w:rFonts w:hint="eastAsia" w:ascii="仿宋_GB2312" w:hAnsi="宋体" w:eastAsia="仿宋_GB2312"/>
          <w:sz w:val="32"/>
          <w:szCs w:val="32"/>
          <w:lang w:val="en-US" w:eastAsia="zh-CN"/>
        </w:rPr>
      </w:pPr>
      <w:r>
        <w:rPr>
          <w:rFonts w:hint="eastAsia" w:ascii="仿宋_GB2312" w:hAnsi="仿宋_GB2312" w:eastAsia="仿宋_GB2312" w:cs="仿宋_GB2312"/>
          <w:color w:val="auto"/>
          <w:sz w:val="32"/>
          <w:szCs w:val="32"/>
          <w:highlight w:val="none"/>
          <w:lang w:val="en-US" w:eastAsia="zh-CN"/>
        </w:rPr>
        <w:t>事故发生后，宏诚公司立即拨打120、110呼叫救护车和报警并主动保护现场，同时将事故报送新大明公司厂长张某辉；相关职能部门接报事故后，迅速赶赴现场按照各自职责及时启动应急响应，排除隐患，封锁现场，有效开展事故各项应急处置工作。经评估，各相关职能部门在本次事故中应急响应迅速，现场处置科学，善后工作到位，应急处置评估为及时、有效。</w:t>
      </w:r>
    </w:p>
    <w:p w14:paraId="04F22958">
      <w:pPr>
        <w:keepNext w:val="0"/>
        <w:keepLines w:val="0"/>
        <w:pageBreakBefore w:val="0"/>
        <w:widowControl w:val="0"/>
        <w:kinsoku/>
        <w:wordWrap/>
        <w:overflowPunct/>
        <w:topLinePunct w:val="0"/>
        <w:autoSpaceDN/>
        <w:bidi w:val="0"/>
        <w:spacing w:line="560" w:lineRule="exact"/>
        <w:ind w:left="0" w:leftChars="0" w:right="0" w:rightChars="0" w:firstLine="629"/>
        <w:textAlignment w:val="auto"/>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二、事故单位及履职情况</w:t>
      </w:r>
    </w:p>
    <w:p w14:paraId="0CA1C97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b w:val="0"/>
          <w:bCs w:val="0"/>
          <w:kern w:val="2"/>
          <w:sz w:val="32"/>
          <w:szCs w:val="32"/>
          <w:lang w:val="en-US" w:eastAsia="zh-CN" w:bidi="ar-SA"/>
        </w:rPr>
      </w:pPr>
      <w:r>
        <w:rPr>
          <w:rFonts w:hint="eastAsia" w:ascii="楷体_GB2312" w:hAnsi="楷体_GB2312" w:eastAsia="楷体_GB2312" w:cs="楷体_GB2312"/>
          <w:b w:val="0"/>
          <w:bCs w:val="0"/>
          <w:kern w:val="2"/>
          <w:sz w:val="32"/>
          <w:szCs w:val="32"/>
          <w:lang w:val="en-US" w:eastAsia="zh-CN" w:bidi="ar-SA"/>
        </w:rPr>
        <w:t>（一）工程名称</w:t>
      </w:r>
    </w:p>
    <w:p w14:paraId="0614136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熔铸车间屋顶和墙体更换翻新工程（以下简称：翻新工程）</w:t>
      </w:r>
    </w:p>
    <w:p w14:paraId="72DBC024">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（二）业主单位</w:t>
      </w:r>
    </w:p>
    <w:p w14:paraId="20714C96">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textAlignment w:val="auto"/>
        <w:rPr>
          <w:rFonts w:hint="default" w:ascii="Times New Roman" w:hAnsi="Times New Roman" w:eastAsia="仿宋_GB2312" w:cs="Times New Roman"/>
          <w:b/>
          <w:bCs/>
          <w:color w:val="auto"/>
          <w:sz w:val="32"/>
          <w:szCs w:val="32"/>
          <w:highlight w:val="none"/>
          <w:lang w:val="en-US" w:eastAsia="zh-CN"/>
        </w:rPr>
      </w:pPr>
      <w:r>
        <w:rPr>
          <w:rFonts w:hint="eastAsia" w:eastAsia="仿宋_GB2312" w:cs="Times New Roman"/>
          <w:b/>
          <w:bCs/>
          <w:color w:val="auto"/>
          <w:sz w:val="32"/>
          <w:szCs w:val="32"/>
          <w:highlight w:val="none"/>
          <w:lang w:val="en-US" w:eastAsia="zh-CN"/>
        </w:rPr>
        <w:t>1.证照情况</w:t>
      </w:r>
    </w:p>
    <w:p w14:paraId="406F929A">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新大明公司</w:t>
      </w:r>
      <w:r>
        <w:rPr>
          <w:rFonts w:hint="eastAsia" w:eastAsia="仿宋_GB2312" w:cs="Times New Roman"/>
          <w:color w:val="auto"/>
          <w:sz w:val="32"/>
          <w:szCs w:val="32"/>
          <w:highlight w:val="none"/>
          <w:lang w:val="en-US" w:eastAsia="zh-CN"/>
        </w:rPr>
        <w:t>，</w:t>
      </w:r>
      <w:r>
        <w:rPr>
          <w:rFonts w:hint="eastAsia" w:ascii="仿宋_GB2312" w:hAnsi="仿宋_GB2312" w:eastAsia="仿宋_GB2312" w:cs="仿宋_GB2312"/>
          <w:color w:val="auto"/>
          <w:sz w:val="32"/>
          <w:szCs w:val="32"/>
          <w:lang w:val="en-US" w:eastAsia="zh-CN"/>
        </w:rPr>
        <w:t>统一社会信用代码：9****************L，成立于2012年04月24日，</w:t>
      </w:r>
      <w:r>
        <w:rPr>
          <w:rFonts w:hint="eastAsia" w:ascii="仿宋_GB2312" w:hAnsi="宋体" w:eastAsia="仿宋_GB2312"/>
          <w:color w:val="auto"/>
          <w:sz w:val="32"/>
          <w:szCs w:val="32"/>
          <w:lang w:val="en-US" w:eastAsia="zh-CN"/>
        </w:rPr>
        <w:t>法定代表人：</w:t>
      </w:r>
      <w:r>
        <w:rPr>
          <w:rFonts w:hint="eastAsia" w:ascii="仿宋_GB2312" w:hAnsi="仿宋_GB2312" w:eastAsia="仿宋_GB2312" w:cs="仿宋_GB2312"/>
          <w:color w:val="auto"/>
          <w:sz w:val="32"/>
          <w:szCs w:val="32"/>
          <w:lang w:val="en-US" w:eastAsia="zh-CN"/>
        </w:rPr>
        <w:t>梁某秋，</w:t>
      </w:r>
      <w:r>
        <w:rPr>
          <w:rFonts w:hint="eastAsia" w:ascii="仿宋_GB2312" w:hAnsi="宋体" w:eastAsia="仿宋_GB2312"/>
          <w:color w:val="auto"/>
          <w:sz w:val="32"/>
          <w:szCs w:val="32"/>
          <w:lang w:val="en-US" w:eastAsia="zh-CN"/>
        </w:rPr>
        <w:t>注册资本：</w:t>
      </w:r>
      <w:r>
        <w:rPr>
          <w:rFonts w:hint="eastAsia" w:ascii="仿宋_GB2312" w:hAnsi="仿宋_GB2312" w:eastAsia="仿宋_GB2312" w:cs="仿宋_GB2312"/>
          <w:color w:val="auto"/>
          <w:sz w:val="32"/>
          <w:szCs w:val="32"/>
          <w:lang w:val="en-US" w:eastAsia="zh-CN"/>
        </w:rPr>
        <w:t>人民币陆仠叁佰万元，</w:t>
      </w:r>
      <w:r>
        <w:rPr>
          <w:rFonts w:hint="eastAsia" w:ascii="仿宋_GB2312" w:hAnsi="宋体" w:eastAsia="仿宋_GB2312"/>
          <w:color w:val="auto"/>
          <w:sz w:val="32"/>
          <w:szCs w:val="32"/>
          <w:lang w:val="en-US" w:eastAsia="zh-CN"/>
        </w:rPr>
        <w:t>企业类型：</w:t>
      </w:r>
      <w:r>
        <w:rPr>
          <w:rFonts w:hint="eastAsia" w:ascii="仿宋_GB2312" w:hAnsi="仿宋_GB2312" w:eastAsia="仿宋_GB2312" w:cs="仿宋_GB2312"/>
          <w:color w:val="auto"/>
          <w:sz w:val="32"/>
          <w:szCs w:val="32"/>
          <w:lang w:val="en-US" w:eastAsia="zh-CN"/>
        </w:rPr>
        <w:t>有限责任公司（自然人投资或控股）</w:t>
      </w:r>
      <w:r>
        <w:rPr>
          <w:rFonts w:hint="eastAsia" w:ascii="仿宋_GB2312" w:hAnsi="宋体" w:eastAsia="仿宋_GB2312"/>
          <w:color w:val="auto"/>
          <w:sz w:val="32"/>
          <w:szCs w:val="32"/>
          <w:lang w:val="en-US" w:eastAsia="zh-CN"/>
        </w:rPr>
        <w:t>，营业期限：长期，</w:t>
      </w:r>
      <w:r>
        <w:rPr>
          <w:rFonts w:hint="eastAsia" w:ascii="仿宋_GB2312" w:hAnsi="仿宋_GB2312" w:eastAsia="仿宋_GB2312" w:cs="仿宋_GB2312"/>
          <w:color w:val="auto"/>
          <w:sz w:val="32"/>
          <w:szCs w:val="32"/>
          <w:lang w:val="en-US" w:eastAsia="zh-CN"/>
        </w:rPr>
        <w:t>住所：肇庆市鼎湖区*******，</w:t>
      </w:r>
      <w:r>
        <w:rPr>
          <w:rFonts w:hint="eastAsia" w:ascii="仿宋_GB2312" w:hAnsi="宋体" w:eastAsia="仿宋_GB2312"/>
          <w:color w:val="auto"/>
          <w:sz w:val="32"/>
          <w:szCs w:val="32"/>
          <w:lang w:val="en-US" w:eastAsia="zh-CN"/>
        </w:rPr>
        <w:t>经营范围：有色金属合金制造、销售、压延加工，有色金属铸造，金属制品销售、研发，金属材料制造、销售，新型金属功能材料销售，新型材料技术研发，金属切削加工服务等等</w:t>
      </w:r>
      <w:r>
        <w:rPr>
          <w:rFonts w:hint="default" w:ascii="Times New Roman" w:hAnsi="Times New Roman" w:eastAsia="仿宋_GB2312" w:cs="Times New Roman"/>
          <w:color w:val="auto"/>
          <w:sz w:val="32"/>
          <w:szCs w:val="32"/>
          <w:highlight w:val="none"/>
          <w:lang w:val="en-US" w:eastAsia="zh-CN"/>
        </w:rPr>
        <w:t>（详看营业执照复印件）。</w:t>
      </w:r>
    </w:p>
    <w:p w14:paraId="303E730D">
      <w:pPr>
        <w:pStyle w:val="31"/>
        <w:keepNext w:val="0"/>
        <w:keepLines w:val="0"/>
        <w:pageBreakBefore w:val="0"/>
        <w:widowControl w:val="0"/>
        <w:kinsoku/>
        <w:wordWrap/>
        <w:overflowPunct/>
        <w:topLinePunct w:val="0"/>
        <w:bidi w:val="0"/>
        <w:spacing w:line="560" w:lineRule="exact"/>
        <w:textAlignment w:val="auto"/>
        <w:rPr>
          <w:rFonts w:hint="default" w:ascii="Times New Roman" w:hAnsi="Times New Roman" w:eastAsia="仿宋_GB2312" w:cs="Times New Roman"/>
          <w:b/>
          <w:bCs/>
          <w:color w:val="auto"/>
          <w:sz w:val="32"/>
          <w:szCs w:val="32"/>
          <w:highlight w:val="none"/>
          <w:lang w:val="en-US" w:eastAsia="zh-CN"/>
        </w:rPr>
      </w:pPr>
      <w:r>
        <w:rPr>
          <w:rFonts w:hint="eastAsia" w:ascii="Times New Roman" w:hAnsi="Times New Roman" w:eastAsia="仿宋_GB2312" w:cs="Times New Roman"/>
          <w:b/>
          <w:bCs/>
          <w:color w:val="FF0000"/>
          <w:sz w:val="32"/>
          <w:szCs w:val="32"/>
          <w:highlight w:val="none"/>
          <w:lang w:val="en-US" w:eastAsia="zh-CN"/>
        </w:rPr>
        <w:t>　　</w:t>
      </w:r>
      <w:r>
        <w:rPr>
          <w:rFonts w:hint="eastAsia" w:ascii="Times New Roman" w:hAnsi="Times New Roman" w:eastAsia="仿宋_GB2312" w:cs="Times New Roman"/>
          <w:b/>
          <w:bCs/>
          <w:color w:val="auto"/>
          <w:sz w:val="32"/>
          <w:szCs w:val="32"/>
          <w:highlight w:val="none"/>
          <w:lang w:val="en-US" w:eastAsia="zh-CN"/>
        </w:rPr>
        <w:t>2.履职情况</w:t>
      </w:r>
    </w:p>
    <w:p w14:paraId="4A4B8486">
      <w:pPr>
        <w:keepNext w:val="0"/>
        <w:keepLines w:val="0"/>
        <w:pageBreakBefore w:val="0"/>
        <w:widowControl w:val="0"/>
        <w:kinsoku/>
        <w:wordWrap/>
        <w:overflowPunct/>
        <w:topLinePunct w:val="0"/>
        <w:autoSpaceDE/>
        <w:autoSpaceDN/>
        <w:bidi w:val="0"/>
        <w:adjustRightInd/>
        <w:snapToGrid/>
        <w:spacing w:line="560" w:lineRule="exact"/>
        <w:ind w:right="0" w:rightChars="0" w:firstLine="640"/>
        <w:textAlignment w:val="auto"/>
        <w:rPr>
          <w:rFonts w:hint="eastAsia" w:ascii="Times New Roman" w:hAnsi="Times New Roman" w:eastAsia="仿宋_GB2312" w:cs="Times New Roman"/>
          <w:b/>
          <w:bCs/>
          <w:color w:val="auto"/>
          <w:sz w:val="32"/>
          <w:szCs w:val="32"/>
          <w:highlight w:val="none"/>
          <w:lang w:val="en-US" w:eastAsia="zh-CN"/>
        </w:rPr>
      </w:pPr>
      <w:r>
        <w:rPr>
          <w:rFonts w:hint="eastAsia" w:eastAsia="仿宋_GB2312" w:cs="Times New Roman"/>
          <w:b w:val="0"/>
          <w:bCs w:val="0"/>
          <w:color w:val="auto"/>
          <w:sz w:val="32"/>
          <w:szCs w:val="32"/>
          <w:highlight w:val="none"/>
          <w:lang w:val="en-US" w:eastAsia="zh-CN"/>
        </w:rPr>
        <w:t>经调查组调查核实，新大明</w:t>
      </w:r>
      <w:r>
        <w:rPr>
          <w:rFonts w:hint="eastAsia" w:ascii="Times New Roman" w:hAnsi="Times New Roman" w:eastAsia="仿宋_GB2312" w:cs="Times New Roman"/>
          <w:b w:val="0"/>
          <w:bCs w:val="0"/>
          <w:color w:val="auto"/>
          <w:sz w:val="32"/>
          <w:szCs w:val="32"/>
          <w:highlight w:val="none"/>
          <w:lang w:val="en-US" w:eastAsia="zh-CN"/>
        </w:rPr>
        <w:t>公司有</w:t>
      </w:r>
      <w:r>
        <w:rPr>
          <w:rFonts w:hint="eastAsia" w:ascii="仿宋_GB2312" w:hAnsi="仿宋_GB2312" w:eastAsia="仿宋_GB2312" w:cs="仿宋_GB2312"/>
          <w:b w:val="0"/>
          <w:bCs w:val="0"/>
          <w:color w:val="auto"/>
          <w:sz w:val="32"/>
          <w:szCs w:val="32"/>
          <w:lang w:val="en-US" w:eastAsia="zh-CN"/>
        </w:rPr>
        <w:t>组织建立安全生产管理机构，有建立健全安全生产管理制度，对前期宏诚公司进入本公司并报备的施工从业人员有开展安全教育培训并查验从事特种作业的人员是否具备相关资质，有对生产施工现场进行经常性排查，及时整治安全隐患并形成台账，但</w:t>
      </w:r>
      <w:r>
        <w:rPr>
          <w:rFonts w:hint="eastAsia" w:ascii="仿宋_GB2312" w:hAnsi="仿宋_GB2312" w:eastAsia="仿宋_GB2312" w:cs="仿宋_GB2312"/>
          <w:b w:val="0"/>
          <w:bCs w:val="0"/>
          <w:color w:val="auto"/>
          <w:sz w:val="32"/>
          <w:szCs w:val="32"/>
          <w:highlight w:val="none"/>
          <w:lang w:val="en-US" w:eastAsia="zh-CN"/>
        </w:rPr>
        <w:t>未对</w:t>
      </w:r>
      <w:r>
        <w:rPr>
          <w:rFonts w:hint="eastAsia" w:ascii="仿宋_GB2312" w:hAnsi="仿宋_GB2312" w:eastAsia="仿宋_GB2312" w:cs="仿宋_GB2312"/>
          <w:b w:val="0"/>
          <w:bCs w:val="0"/>
          <w:color w:val="auto"/>
          <w:sz w:val="32"/>
          <w:szCs w:val="32"/>
          <w:lang w:val="en-US" w:eastAsia="zh-CN"/>
        </w:rPr>
        <w:t>宏诚公司</w:t>
      </w:r>
      <w:r>
        <w:rPr>
          <w:rFonts w:hint="eastAsia" w:ascii="仿宋_GB2312" w:hAnsi="仿宋_GB2312" w:eastAsia="仿宋_GB2312" w:cs="仿宋_GB2312"/>
          <w:b w:val="0"/>
          <w:bCs w:val="0"/>
          <w:color w:val="auto"/>
          <w:sz w:val="32"/>
          <w:szCs w:val="32"/>
          <w:highlight w:val="none"/>
          <w:lang w:val="en-US" w:eastAsia="zh-CN"/>
        </w:rPr>
        <w:t>后期进入本公司施工作业的从业人员进行资质查验，对宏诚公司的监督监管只停留在施工现场、施工质量层面，未进一步对宏诚公司的安全生产工作进行统一协调、管理</w:t>
      </w:r>
      <w:r>
        <w:rPr>
          <w:rFonts w:hint="eastAsia" w:ascii="Times New Roman" w:hAnsi="Times New Roman" w:eastAsia="仿宋_GB2312" w:cs="Times New Roman"/>
          <w:b w:val="0"/>
          <w:bCs w:val="0"/>
          <w:color w:val="auto"/>
          <w:sz w:val="32"/>
          <w:szCs w:val="32"/>
          <w:highlight w:val="none"/>
          <w:lang w:val="en-US" w:eastAsia="zh-CN"/>
        </w:rPr>
        <w:t>，</w:t>
      </w:r>
      <w:r>
        <w:rPr>
          <w:rFonts w:hint="eastAsia" w:ascii="仿宋_GB2312" w:eastAsia="仿宋_GB2312"/>
          <w:b w:val="0"/>
          <w:bCs w:val="0"/>
          <w:kern w:val="2"/>
          <w:sz w:val="32"/>
          <w:szCs w:val="32"/>
          <w:lang w:val="en-US" w:eastAsia="zh-CN" w:bidi="ar-SA"/>
        </w:rPr>
        <w:t>对工程施工过程中的安全检查和隐患排查治理不到位。新大明公司</w:t>
      </w:r>
      <w:r>
        <w:rPr>
          <w:rFonts w:hint="eastAsia" w:ascii="Times New Roman" w:hAnsi="Times New Roman" w:eastAsia="仿宋_GB2312" w:cs="Times New Roman"/>
          <w:b w:val="0"/>
          <w:bCs w:val="0"/>
          <w:color w:val="auto"/>
          <w:sz w:val="32"/>
          <w:szCs w:val="32"/>
          <w:highlight w:val="none"/>
          <w:lang w:val="en-US" w:eastAsia="zh-CN"/>
        </w:rPr>
        <w:t>仅</w:t>
      </w:r>
      <w:r>
        <w:rPr>
          <w:rFonts w:hint="eastAsia" w:ascii="仿宋_GB2312" w:eastAsia="仿宋_GB2312"/>
          <w:b w:val="0"/>
          <w:bCs w:val="0"/>
          <w:kern w:val="2"/>
          <w:sz w:val="32"/>
          <w:szCs w:val="32"/>
          <w:lang w:val="en-US" w:eastAsia="zh-CN" w:bidi="ar-SA"/>
        </w:rPr>
        <w:t>因为之前与宏诚公司有过类似工程的合作关系，</w:t>
      </w:r>
      <w:r>
        <w:rPr>
          <w:rFonts w:hint="eastAsia" w:ascii="Times New Roman" w:hAnsi="Times New Roman" w:eastAsia="仿宋_GB2312" w:cs="Times New Roman"/>
          <w:b w:val="0"/>
          <w:bCs w:val="0"/>
          <w:color w:val="auto"/>
          <w:sz w:val="32"/>
          <w:szCs w:val="32"/>
          <w:highlight w:val="none"/>
          <w:lang w:val="en-US" w:eastAsia="zh-CN"/>
        </w:rPr>
        <w:t>通过查看宏诚公司《营业执照》的经营范围就签订翻新工程协议，</w:t>
      </w:r>
      <w:r>
        <w:rPr>
          <w:rFonts w:hint="eastAsia" w:ascii="仿宋_GB2312" w:hAnsi="仿宋_GB2312" w:eastAsia="仿宋_GB2312" w:cs="仿宋_GB2312"/>
          <w:b w:val="0"/>
          <w:bCs w:val="0"/>
          <w:color w:val="auto"/>
          <w:sz w:val="32"/>
          <w:szCs w:val="32"/>
          <w:highlight w:val="none"/>
          <w:lang w:val="en-US" w:eastAsia="zh-CN"/>
        </w:rPr>
        <w:t>没有把翻新工程发包给有相应资质的施工单位。</w:t>
      </w:r>
    </w:p>
    <w:p w14:paraId="4C0CCA6C">
      <w:pPr>
        <w:pStyle w:val="31"/>
        <w:keepNext w:val="0"/>
        <w:keepLines w:val="0"/>
        <w:pageBreakBefore w:val="0"/>
        <w:widowControl w:val="0"/>
        <w:numPr>
          <w:ilvl w:val="0"/>
          <w:numId w:val="0"/>
        </w:numPr>
        <w:kinsoku/>
        <w:wordWrap/>
        <w:overflowPunct/>
        <w:topLinePunct w:val="0"/>
        <w:bidi w:val="0"/>
        <w:adjustRightInd/>
        <w:snapToGrid/>
        <w:spacing w:line="560" w:lineRule="exact"/>
        <w:ind w:firstLine="643" w:firstLineChars="200"/>
        <w:textAlignment w:val="auto"/>
        <w:rPr>
          <w:rFonts w:hint="eastAsia" w:ascii="Times New Roman" w:hAnsi="Times New Roman" w:eastAsia="仿宋_GB2312" w:cs="Times New Roman"/>
          <w:b w:val="0"/>
          <w:bCs w:val="0"/>
          <w:color w:val="auto"/>
          <w:sz w:val="32"/>
          <w:szCs w:val="32"/>
          <w:highlight w:val="none"/>
          <w:lang w:val="en-US" w:eastAsia="zh-CN"/>
        </w:rPr>
      </w:pPr>
      <w:r>
        <w:rPr>
          <w:rFonts w:hint="eastAsia" w:ascii="Times New Roman" w:hAnsi="Times New Roman" w:eastAsia="仿宋_GB2312" w:cs="Times New Roman"/>
          <w:b/>
          <w:bCs/>
          <w:color w:val="auto"/>
          <w:sz w:val="32"/>
          <w:szCs w:val="32"/>
          <w:highlight w:val="none"/>
          <w:lang w:val="en-US" w:eastAsia="zh-CN"/>
        </w:rPr>
        <w:t>陈某</w:t>
      </w:r>
      <w:r>
        <w:rPr>
          <w:rFonts w:hint="eastAsia" w:ascii="Times New Roman" w:hAnsi="Times New Roman" w:eastAsia="仿宋_GB2312" w:cs="Times New Roman"/>
          <w:b w:val="0"/>
          <w:bCs w:val="0"/>
          <w:color w:val="auto"/>
          <w:sz w:val="32"/>
          <w:szCs w:val="32"/>
          <w:highlight w:val="none"/>
          <w:lang w:val="en-US" w:eastAsia="zh-CN"/>
        </w:rPr>
        <w:t>，作为该公司的主要负责人，有组织制定并实施本单位安全生产规章制度和操作规程、安全生产教育和培训计划，有保证本单位安全生产投入的有效实施，有督促、检查本单位的安全生产工作，及时消除生产安全事故隐患，但对宏诚公司不具备相关建筑施工资质以及从业人员未持证上岗的情况失察，未进一步对宏诚公司进入本公司的从业人员进行统一协调、管理。</w:t>
      </w:r>
    </w:p>
    <w:p w14:paraId="44174DA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29" w:firstLineChars="0"/>
        <w:textAlignment w:val="auto"/>
        <w:rPr>
          <w:rFonts w:hint="eastAsia" w:eastAsia="仿宋_GB2312" w:cs="Times New Roman"/>
          <w:b w:val="0"/>
          <w:bCs w:val="0"/>
          <w:color w:val="auto"/>
          <w:sz w:val="32"/>
          <w:szCs w:val="32"/>
          <w:highlight w:val="none"/>
          <w:lang w:val="en-US" w:eastAsia="zh-CN"/>
        </w:rPr>
      </w:pPr>
      <w:r>
        <w:rPr>
          <w:rFonts w:hint="eastAsia" w:ascii="Times New Roman" w:hAnsi="Times New Roman" w:eastAsia="仿宋_GB2312" w:cs="Times New Roman"/>
          <w:b w:val="0"/>
          <w:bCs w:val="0"/>
          <w:color w:val="auto"/>
          <w:kern w:val="2"/>
          <w:sz w:val="32"/>
          <w:szCs w:val="32"/>
          <w:lang w:val="en-US" w:eastAsia="zh-CN" w:bidi="ar-SA"/>
        </w:rPr>
        <w:t>（三）</w:t>
      </w:r>
      <w:r>
        <w:rPr>
          <w:rFonts w:hint="eastAsia" w:eastAsia="仿宋_GB2312" w:cs="Times New Roman"/>
          <w:b w:val="0"/>
          <w:bCs w:val="0"/>
          <w:color w:val="auto"/>
          <w:sz w:val="32"/>
          <w:szCs w:val="32"/>
          <w:highlight w:val="none"/>
          <w:lang w:val="en-US" w:eastAsia="zh-CN"/>
        </w:rPr>
        <w:t>施工</w:t>
      </w:r>
      <w:r>
        <w:rPr>
          <w:rFonts w:hint="default" w:ascii="Times New Roman" w:hAnsi="Times New Roman" w:eastAsia="仿宋_GB2312" w:cs="Times New Roman"/>
          <w:b w:val="0"/>
          <w:bCs w:val="0"/>
          <w:color w:val="auto"/>
          <w:sz w:val="32"/>
          <w:szCs w:val="32"/>
          <w:highlight w:val="none"/>
          <w:lang w:val="en-US" w:eastAsia="zh-CN"/>
        </w:rPr>
        <w:t>单位</w:t>
      </w:r>
      <w:r>
        <w:rPr>
          <w:rFonts w:hint="eastAsia" w:eastAsia="仿宋_GB2312" w:cs="Times New Roman"/>
          <w:b w:val="0"/>
          <w:bCs w:val="0"/>
          <w:color w:val="auto"/>
          <w:sz w:val="32"/>
          <w:szCs w:val="32"/>
          <w:highlight w:val="none"/>
          <w:lang w:val="en-US" w:eastAsia="zh-CN"/>
        </w:rPr>
        <w:t>　</w:t>
      </w:r>
    </w:p>
    <w:p w14:paraId="72F6A38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29" w:leftChars="0" w:right="0" w:rightChars="0"/>
        <w:textAlignment w:val="auto"/>
        <w:rPr>
          <w:rFonts w:hint="default" w:ascii="Times New Roman" w:hAnsi="Times New Roman" w:eastAsia="仿宋_GB2312" w:cs="Times New Roman"/>
          <w:b/>
          <w:bCs/>
          <w:color w:val="auto"/>
          <w:sz w:val="32"/>
          <w:szCs w:val="32"/>
          <w:highlight w:val="none"/>
          <w:lang w:val="en-US" w:eastAsia="zh-CN"/>
        </w:rPr>
      </w:pPr>
      <w:r>
        <w:rPr>
          <w:rFonts w:hint="eastAsia" w:ascii="楷体" w:hAnsi="楷体" w:eastAsia="楷体" w:cs="楷体"/>
          <w:b/>
          <w:bCs/>
          <w:color w:val="auto"/>
          <w:sz w:val="32"/>
          <w:szCs w:val="32"/>
          <w:lang w:val="en-US" w:eastAsia="zh-CN"/>
        </w:rPr>
        <w:t>1.证照情况</w:t>
      </w:r>
    </w:p>
    <w:p w14:paraId="06CB79A6">
      <w:pPr>
        <w:pStyle w:val="31"/>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宏诚公司，注册号：4*************8，成立日期：2013年10月17日，法定代表人：程某，类型：有限责任公司（自然人投资或控股），注册资本：人民币贰佰万元，营业期限：长期，住所：肇庆市大旺*******，经营范围：建筑幕墙安装、钢结构厂房安装、土木石方工程、室内外装饰设计、园林绿化工程；金属门窗制造、金属建筑装饰材料制造；建材装饰材料批发、金属制品装饰材料批发。</w:t>
      </w:r>
    </w:p>
    <w:p w14:paraId="5D78116A">
      <w:pPr>
        <w:keepNext w:val="0"/>
        <w:keepLines w:val="0"/>
        <w:pageBreakBefore w:val="0"/>
        <w:widowControl w:val="0"/>
        <w:numPr>
          <w:ilvl w:val="0"/>
          <w:numId w:val="0"/>
        </w:numPr>
        <w:kinsoku/>
        <w:wordWrap/>
        <w:overflowPunct/>
        <w:topLinePunct w:val="0"/>
        <w:autoSpaceDN/>
        <w:bidi w:val="0"/>
        <w:spacing w:line="560" w:lineRule="exact"/>
        <w:ind w:left="0" w:leftChars="0" w:right="0" w:rightChars="0" w:firstLine="643" w:firstLineChars="200"/>
        <w:textAlignment w:val="auto"/>
        <w:rPr>
          <w:rFonts w:hint="eastAsia" w:ascii="楷体" w:hAnsi="楷体" w:eastAsia="楷体" w:cs="楷体"/>
          <w:b/>
          <w:bCs/>
          <w:color w:val="auto"/>
          <w:sz w:val="32"/>
          <w:szCs w:val="32"/>
          <w:lang w:val="en-US" w:eastAsia="zh-CN"/>
        </w:rPr>
      </w:pPr>
      <w:r>
        <w:rPr>
          <w:rFonts w:hint="eastAsia" w:ascii="楷体" w:hAnsi="楷体" w:eastAsia="楷体" w:cs="楷体"/>
          <w:b/>
          <w:bCs/>
          <w:color w:val="auto"/>
          <w:sz w:val="32"/>
          <w:szCs w:val="32"/>
          <w:lang w:val="en-US" w:eastAsia="zh-CN"/>
        </w:rPr>
        <w:t>2.履职情况</w:t>
      </w:r>
    </w:p>
    <w:p w14:paraId="3EB8B58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rPr>
          <w:rFonts w:hint="eastAsia" w:ascii="仿宋_GB2312" w:hAnsi="仿宋_GB2312" w:eastAsia="仿宋_GB2312" w:cs="仿宋_GB2312"/>
          <w:b w:val="0"/>
          <w:bCs w:val="0"/>
          <w:i w:val="0"/>
          <w:iCs w:val="0"/>
          <w:caps w:val="0"/>
          <w:color w:val="auto"/>
          <w:spacing w:val="0"/>
          <w:kern w:val="0"/>
          <w:sz w:val="32"/>
          <w:szCs w:val="32"/>
          <w:highlight w:val="none"/>
          <w:lang w:val="en-US" w:eastAsia="zh-CN" w:bidi="ar-SA"/>
        </w:rPr>
      </w:pPr>
      <w:r>
        <w:rPr>
          <w:rFonts w:hint="eastAsia" w:ascii="仿宋_GB2312" w:hAnsi="仿宋_GB2312" w:eastAsia="仿宋_GB2312" w:cs="仿宋_GB2312"/>
          <w:color w:val="auto"/>
          <w:sz w:val="32"/>
          <w:szCs w:val="32"/>
          <w:lang w:val="en-US" w:eastAsia="zh-CN"/>
        </w:rPr>
        <w:t>宏诚</w:t>
      </w:r>
      <w:r>
        <w:rPr>
          <w:rFonts w:hint="eastAsia" w:ascii="仿宋_GB2312" w:hAnsi="仿宋_GB2312" w:eastAsia="仿宋_GB2312" w:cs="仿宋_GB2312"/>
          <w:b w:val="0"/>
          <w:bCs w:val="0"/>
          <w:i w:val="0"/>
          <w:iCs w:val="0"/>
          <w:caps w:val="0"/>
          <w:color w:val="auto"/>
          <w:spacing w:val="0"/>
          <w:kern w:val="0"/>
          <w:sz w:val="32"/>
          <w:szCs w:val="32"/>
          <w:highlight w:val="none"/>
          <w:lang w:val="en-US" w:eastAsia="zh-CN" w:bidi="ar-SA"/>
        </w:rPr>
        <w:t>公司在承接下翻新工程后有对包括吴某宏在内的共7名从业人员进行安全技术交底，有为从业人员购买了团体意外险、发放了劳保用品及签订《简易劳动合同》，但作为施工单位，</w:t>
      </w:r>
      <w:r>
        <w:rPr>
          <w:rFonts w:hint="eastAsia" w:ascii="仿宋_GB2312" w:hAnsi="仿宋_GB2312" w:eastAsia="仿宋_GB2312" w:cs="仿宋_GB2312"/>
          <w:color w:val="auto"/>
          <w:sz w:val="32"/>
          <w:szCs w:val="32"/>
          <w:lang w:val="en-US" w:eastAsia="zh-CN"/>
        </w:rPr>
        <w:t>宏诚</w:t>
      </w:r>
      <w:r>
        <w:rPr>
          <w:rFonts w:hint="eastAsia" w:ascii="仿宋_GB2312" w:hAnsi="仿宋_GB2312" w:eastAsia="仿宋_GB2312" w:cs="仿宋_GB2312"/>
          <w:b w:val="0"/>
          <w:bCs w:val="0"/>
          <w:i w:val="0"/>
          <w:iCs w:val="0"/>
          <w:caps w:val="0"/>
          <w:color w:val="auto"/>
          <w:spacing w:val="0"/>
          <w:kern w:val="0"/>
          <w:sz w:val="32"/>
          <w:szCs w:val="32"/>
          <w:highlight w:val="none"/>
          <w:lang w:val="en-US" w:eastAsia="zh-CN" w:bidi="ar-SA"/>
        </w:rPr>
        <w:t>公司一是未持《建筑企业资质证书》从事建筑施工活动；二是宏诚公司对工程施工的危险源辨识和安全风险管理措施不足，聘请了未经建设行政主管部门或者其他有关部门考核合格的方某夫任职该公司的专职安全管理人员；三是未在施工区域有较大危险因素的石棉瓦屋面设置明显的警示标志；四是宏诚公司未查验新进场的吴某宏是否持有高处作业资格证就允许其从事高处作业；五是安排了生产教育和培训仅仅为2个课时的从业人员进入新大明公司熔铸车间上岗作业，未确保吴某宏在内的从业人员具备必要的安全生产知识，熟悉有关的安全生产规章制度和操作规程。</w:t>
      </w:r>
    </w:p>
    <w:p w14:paraId="0A8D033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3" w:firstLineChars="200"/>
        <w:jc w:val="both"/>
        <w:textAlignment w:val="auto"/>
        <w:rPr>
          <w:rFonts w:hint="eastAsia" w:ascii="仿宋_GB2312" w:hAnsi="仿宋_GB2312" w:eastAsia="仿宋_GB2312" w:cs="仿宋_GB2312"/>
          <w:b w:val="0"/>
          <w:bCs w:val="0"/>
          <w:i w:val="0"/>
          <w:iCs w:val="0"/>
          <w:caps w:val="0"/>
          <w:color w:val="auto"/>
          <w:spacing w:val="0"/>
          <w:kern w:val="0"/>
          <w:sz w:val="32"/>
          <w:szCs w:val="32"/>
          <w:highlight w:val="none"/>
          <w:lang w:val="en-US" w:eastAsia="zh-CN" w:bidi="ar-SA"/>
        </w:rPr>
      </w:pPr>
      <w:r>
        <w:rPr>
          <w:rFonts w:hint="eastAsia" w:ascii="仿宋_GB2312" w:hAnsi="仿宋_GB2312" w:eastAsia="仿宋_GB2312" w:cs="仿宋_GB2312"/>
          <w:b/>
          <w:bCs/>
          <w:i w:val="0"/>
          <w:iCs w:val="0"/>
          <w:caps w:val="0"/>
          <w:color w:val="auto"/>
          <w:spacing w:val="0"/>
          <w:kern w:val="0"/>
          <w:sz w:val="32"/>
          <w:szCs w:val="32"/>
          <w:highlight w:val="none"/>
          <w:lang w:val="en-US" w:eastAsia="zh-CN" w:bidi="ar-SA"/>
        </w:rPr>
        <w:t>程某</w:t>
      </w:r>
      <w:r>
        <w:rPr>
          <w:rFonts w:hint="eastAsia" w:ascii="仿宋_GB2312" w:hAnsi="仿宋_GB2312" w:eastAsia="仿宋_GB2312" w:cs="仿宋_GB2312"/>
          <w:b w:val="0"/>
          <w:bCs w:val="0"/>
          <w:i w:val="0"/>
          <w:iCs w:val="0"/>
          <w:caps w:val="0"/>
          <w:color w:val="auto"/>
          <w:spacing w:val="0"/>
          <w:kern w:val="0"/>
          <w:sz w:val="32"/>
          <w:szCs w:val="32"/>
          <w:highlight w:val="none"/>
          <w:lang w:val="en-US" w:eastAsia="zh-CN" w:bidi="ar-SA"/>
        </w:rPr>
        <w:t>，作为宏诚公司的法定代表人和主要负责人，未落实安全生产责任制度，未健全本单位的安全生产管理制度，对施工现场安全管理不到位，未经常督促、检查施工现场的安全生产工作并及时消除安全隐患。</w:t>
      </w:r>
    </w:p>
    <w:p w14:paraId="2C289146">
      <w:pPr>
        <w:pStyle w:val="31"/>
        <w:keepNext w:val="0"/>
        <w:keepLines w:val="0"/>
        <w:pageBreakBefore w:val="0"/>
        <w:widowControl w:val="0"/>
        <w:kinsoku/>
        <w:wordWrap/>
        <w:overflowPunct/>
        <w:topLinePunct w:val="0"/>
        <w:bidi w:val="0"/>
        <w:spacing w:line="560" w:lineRule="exact"/>
        <w:ind w:firstLine="640" w:firstLineChars="200"/>
        <w:jc w:val="left"/>
        <w:textAlignment w:val="auto"/>
        <w:rPr>
          <w:rFonts w:hint="default"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（四）翻新工程</w:t>
      </w:r>
      <w:r>
        <w:rPr>
          <w:rFonts w:hint="default" w:ascii="楷体" w:hAnsi="楷体" w:eastAsia="楷体" w:cs="楷体"/>
          <w:color w:val="auto"/>
          <w:sz w:val="32"/>
          <w:szCs w:val="32"/>
          <w:lang w:val="en-US" w:eastAsia="zh-CN"/>
        </w:rPr>
        <w:t>合同</w:t>
      </w:r>
      <w:r>
        <w:rPr>
          <w:rFonts w:hint="eastAsia" w:ascii="楷体" w:hAnsi="楷体" w:eastAsia="楷体" w:cs="楷体"/>
          <w:color w:val="auto"/>
          <w:sz w:val="32"/>
          <w:szCs w:val="32"/>
          <w:lang w:val="en-US" w:eastAsia="zh-CN"/>
        </w:rPr>
        <w:t>及安全协议</w:t>
      </w:r>
      <w:r>
        <w:rPr>
          <w:rFonts w:hint="default" w:ascii="楷体" w:hAnsi="楷体" w:eastAsia="楷体" w:cs="楷体"/>
          <w:color w:val="auto"/>
          <w:sz w:val="32"/>
          <w:szCs w:val="32"/>
          <w:lang w:val="en-US" w:eastAsia="zh-CN"/>
        </w:rPr>
        <w:t>情况</w:t>
      </w:r>
    </w:p>
    <w:p w14:paraId="49E739ED">
      <w:pPr>
        <w:pStyle w:val="31"/>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因新大明公司熔铸车间在使用多年后需对屋顶和墙体进行更换翻新，2月7日，新大明公司与宏诚公司签定了《建筑工程承包施工协议书》和《施工安全协议》，工程项目限期约定为：自2023年2月7日起开工至2023年4月30日止完工，协议内容约定：1.施工方是本协议工程安全生产的责任方，施工作业时必须做好一切的防护措施，遵守安全施工规程规范，佩戴安全帽，防止安全事故的发生；2.双方必须遵守有关安全生产、消防工作的方针、政策、法律法规；3.施工方应有安全管理组织机构和安全生产保证体系和措施，应有各工种的安全操作规程，特种作业人员的审证考核制度及各级安全生产岗位责任制和定期安全检查制度，安全教育制度，制定施工安全专项方案；4.施工方应制订有针对性的安全技术措施，严格按施工安全专项方案和有关安全要求施工；5.施工方必须要对从业人员进行安全生产培训教育，提高人员的自我防范能力，并做好安全技术交底；6.施工方必须督促施工现场作业人员佩戴好劳保用品，严禁违章作业。</w:t>
      </w:r>
    </w:p>
    <w:p w14:paraId="05106036">
      <w:pPr>
        <w:pStyle w:val="31"/>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auto"/>
          <w:sz w:val="32"/>
          <w:szCs w:val="32"/>
          <w:lang w:val="en-US" w:eastAsia="zh-CN"/>
        </w:rPr>
      </w:pPr>
      <w:r>
        <w:pict>
          <v:shape id="_x0000_s1036" o:spid="_x0000_s1036" o:spt="75" type="#_x0000_t75" style="position:absolute;left:0pt;margin-left:123.9pt;margin-top:223.7pt;height:239.85pt;width:348.65pt;mso-position-horizontal-relative:page;mso-position-vertical-relative:page;mso-wrap-distance-bottom:0pt;mso-wrap-distance-left:9pt;mso-wrap-distance-right:9pt;mso-wrap-distance-top:0pt;z-index:251666432;mso-width-relative:page;mso-height-relative:page;" filled="f" o:preferrelative="t" stroked="f" coordsize="21600,21600">
            <v:path/>
            <v:fill on="f" focussize="0,0"/>
            <v:stroke on="f"/>
            <v:imagedata r:id="rId13" o:title=""/>
            <o:lock v:ext="edit" aspectratio="t"/>
            <w10:wrap type="square"/>
          </v:shape>
        </w:pict>
      </w:r>
    </w:p>
    <w:p w14:paraId="2A0D4741">
      <w:pPr>
        <w:pStyle w:val="31"/>
        <w:keepNext w:val="0"/>
        <w:keepLines w:val="0"/>
        <w:pageBreakBefore w:val="0"/>
        <w:widowControl w:val="0"/>
        <w:kinsoku/>
        <w:wordWrap/>
        <w:overflowPunct/>
        <w:topLinePunct w:val="0"/>
        <w:autoSpaceDE/>
        <w:autoSpaceDN/>
        <w:bidi w:val="0"/>
        <w:adjustRightInd/>
        <w:snapToGrid/>
        <w:spacing w:line="560" w:lineRule="exact"/>
        <w:ind w:firstLine="3640" w:firstLineChars="1300"/>
        <w:jc w:val="both"/>
        <w:textAlignment w:val="auto"/>
        <w:rPr>
          <w:rFonts w:hint="eastAsia" w:ascii="宋体" w:hAnsi="宋体" w:eastAsia="宋体" w:cs="宋体"/>
          <w:b w:val="0"/>
          <w:bCs w:val="0"/>
          <w:color w:val="auto"/>
          <w:kern w:val="2"/>
          <w:sz w:val="28"/>
          <w:szCs w:val="28"/>
          <w:u w:val="none"/>
          <w:lang w:val="en-US" w:eastAsia="zh-CN" w:bidi="ar-SA"/>
        </w:rPr>
      </w:pPr>
      <w:r>
        <w:rPr>
          <w:rFonts w:hint="eastAsia" w:ascii="宋体" w:hAnsi="宋体" w:eastAsia="宋体" w:cs="宋体"/>
          <w:b w:val="0"/>
          <w:bCs w:val="0"/>
          <w:color w:val="auto"/>
          <w:kern w:val="2"/>
          <w:sz w:val="28"/>
          <w:szCs w:val="28"/>
          <w:u w:val="none"/>
          <w:lang w:val="en-US" w:eastAsia="zh-CN" w:bidi="ar-SA"/>
        </w:rPr>
        <w:t>图6</w:t>
      </w:r>
      <w:r>
        <w:rPr>
          <w:rFonts w:hint="eastAsia" w:hAnsi="宋体" w:cs="宋体"/>
          <w:b w:val="0"/>
          <w:bCs w:val="0"/>
          <w:color w:val="auto"/>
          <w:kern w:val="2"/>
          <w:sz w:val="28"/>
          <w:szCs w:val="28"/>
          <w:u w:val="none"/>
          <w:lang w:val="en-US" w:eastAsia="zh-CN" w:bidi="ar-SA"/>
        </w:rPr>
        <w:t xml:space="preserve"> </w:t>
      </w:r>
      <w:r>
        <w:rPr>
          <w:rFonts w:hint="eastAsia" w:ascii="宋体" w:hAnsi="宋体" w:eastAsia="宋体" w:cs="宋体"/>
          <w:b w:val="0"/>
          <w:bCs w:val="0"/>
          <w:color w:val="auto"/>
          <w:kern w:val="2"/>
          <w:sz w:val="28"/>
          <w:szCs w:val="28"/>
          <w:u w:val="none"/>
          <w:lang w:val="en-US" w:eastAsia="zh-CN" w:bidi="ar-SA"/>
        </w:rPr>
        <w:t>厂区平面</w:t>
      </w:r>
    </w:p>
    <w:p w14:paraId="187A6342">
      <w:pPr>
        <w:keepNext w:val="0"/>
        <w:keepLines w:val="0"/>
        <w:pageBreakBefore w:val="0"/>
        <w:widowControl w:val="0"/>
        <w:numPr>
          <w:ilvl w:val="0"/>
          <w:numId w:val="0"/>
        </w:numPr>
        <w:kinsoku/>
        <w:wordWrap/>
        <w:overflowPunct/>
        <w:topLinePunct w:val="0"/>
        <w:autoSpaceDN/>
        <w:bidi w:val="0"/>
        <w:spacing w:line="560" w:lineRule="exact"/>
        <w:ind w:left="0" w:leftChars="0" w:right="0" w:rightChars="0" w:firstLine="640" w:firstLineChars="200"/>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（四）现场勘验及相关情况分析</w:t>
      </w:r>
    </w:p>
    <w:p w14:paraId="331AF715">
      <w:pPr>
        <w:keepNext w:val="0"/>
        <w:keepLines w:val="0"/>
        <w:pageBreakBefore w:val="0"/>
        <w:widowControl w:val="0"/>
        <w:kinsoku/>
        <w:wordWrap/>
        <w:overflowPunct/>
        <w:topLinePunct w:val="0"/>
        <w:autoSpaceDE w:val="0"/>
        <w:autoSpaceDN w:val="0"/>
        <w:bidi w:val="0"/>
        <w:adjustRightInd w:val="0"/>
        <w:snapToGrid/>
        <w:spacing w:line="560" w:lineRule="exact"/>
        <w:ind w:firstLine="643" w:firstLineChars="200"/>
        <w:textAlignment w:val="auto"/>
        <w:outlineLvl w:val="9"/>
        <w:rPr>
          <w:rFonts w:hint="eastAsia" w:ascii="仿宋_GB2312" w:hAnsi="仿宋_GB2312" w:eastAsia="仿宋_GB2312" w:cs="仿宋_GB2312"/>
          <w:b w:val="0"/>
          <w:bCs w:val="0"/>
          <w:color w:val="FF0000"/>
          <w:kern w:val="2"/>
          <w:sz w:val="32"/>
          <w:szCs w:val="32"/>
          <w:lang w:val="en-US" w:eastAsia="zh-CN" w:bidi="ar-SA"/>
        </w:rPr>
      </w:pPr>
      <w:bookmarkStart w:id="0" w:name="_Toc15958"/>
      <w:r>
        <w:rPr>
          <w:rFonts w:hint="default" w:ascii="Times New Roman" w:hAnsi="Times New Roman" w:eastAsia="仿宋_GB2312" w:cs="Times New Roman"/>
          <w:b/>
          <w:bCs/>
          <w:color w:val="auto"/>
          <w:sz w:val="32"/>
          <w:szCs w:val="32"/>
          <w:highlight w:val="none"/>
          <w:lang w:val="en-US" w:eastAsia="zh-CN"/>
        </w:rPr>
        <w:t>1</w:t>
      </w:r>
      <w:r>
        <w:rPr>
          <w:rFonts w:hint="eastAsia" w:eastAsia="仿宋_GB2312" w:cs="Times New Roman"/>
          <w:b/>
          <w:bCs/>
          <w:color w:val="auto"/>
          <w:sz w:val="32"/>
          <w:szCs w:val="32"/>
          <w:highlight w:val="none"/>
          <w:lang w:val="en-US" w:eastAsia="zh-CN"/>
        </w:rPr>
        <w:t>.</w:t>
      </w:r>
      <w:r>
        <w:rPr>
          <w:rFonts w:hint="default" w:ascii="Times New Roman" w:hAnsi="Times New Roman" w:eastAsia="仿宋_GB2312" w:cs="Times New Roman"/>
          <w:b/>
          <w:bCs/>
          <w:color w:val="auto"/>
          <w:sz w:val="32"/>
          <w:szCs w:val="32"/>
          <w:highlight w:val="none"/>
          <w:lang w:val="en-US" w:eastAsia="zh-CN"/>
        </w:rPr>
        <w:t>事故环境情况</w:t>
      </w:r>
    </w:p>
    <w:bookmarkEnd w:id="0"/>
    <w:p w14:paraId="622DC734">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outlineLvl w:val="9"/>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事发现场为鼎湖新大明铝业熔铸车间A轴交12轴位置，死者（吴某宏）落地后离A轴约为2.5米，离12轴约为2米。熔铸车间的屋面的桁条间距为950mm，桁条面盖平均厚度6.25㎜、密度为1697kg/m3的中形波浪石棉瓦。在约13.5米高处的屋面约70</w:t>
      </w:r>
      <w:r>
        <w:rPr>
          <w:rFonts w:hint="default" w:ascii="仿宋_GB2312" w:hAnsi="仿宋_GB2312" w:eastAsia="仿宋_GB2312" w:cs="仿宋_GB2312"/>
          <w:b w:val="0"/>
          <w:bCs w:val="0"/>
          <w:color w:val="auto"/>
          <w:kern w:val="2"/>
          <w:sz w:val="32"/>
          <w:szCs w:val="32"/>
          <w:lang w:val="en-US" w:eastAsia="zh-CN" w:bidi="ar-SA"/>
        </w:rPr>
        <w:t>×</w:t>
      </w:r>
      <w:r>
        <w:rPr>
          <w:rFonts w:hint="eastAsia" w:ascii="仿宋_GB2312" w:hAnsi="仿宋_GB2312" w:eastAsia="仿宋_GB2312" w:cs="仿宋_GB2312"/>
          <w:b w:val="0"/>
          <w:bCs w:val="0"/>
          <w:color w:val="auto"/>
          <w:kern w:val="2"/>
          <w:sz w:val="32"/>
          <w:szCs w:val="32"/>
          <w:lang w:val="en-US" w:eastAsia="zh-CN" w:bidi="ar-SA"/>
        </w:rPr>
        <w:t>90公分方洞不在人落地的正上方，而是A轴出第一跨屋面板（洞中心点离A轴约为1.3米）。</w:t>
      </w:r>
    </w:p>
    <w:p w14:paraId="2C6F01BB">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lang w:val="en-US" w:eastAsia="zh-CN"/>
        </w:rPr>
      </w:pPr>
      <w:r>
        <w:rPr>
          <w:rFonts w:hint="default" w:ascii="Times New Roman" w:hAnsi="Times New Roman" w:eastAsia="仿宋_GB2312" w:cs="Times New Roman"/>
          <w:b/>
          <w:bCs/>
          <w:color w:val="auto"/>
          <w:sz w:val="32"/>
          <w:szCs w:val="32"/>
          <w:highlight w:val="none"/>
          <w:lang w:val="en-US" w:eastAsia="zh-CN"/>
        </w:rPr>
        <w:t>2</w:t>
      </w:r>
      <w:r>
        <w:rPr>
          <w:rFonts w:hint="eastAsia" w:eastAsia="仿宋_GB2312" w:cs="Times New Roman"/>
          <w:b/>
          <w:bCs/>
          <w:color w:val="auto"/>
          <w:sz w:val="32"/>
          <w:szCs w:val="32"/>
          <w:highlight w:val="none"/>
          <w:lang w:val="en-US" w:eastAsia="zh-CN"/>
        </w:rPr>
        <w:t>.</w:t>
      </w:r>
      <w:r>
        <w:rPr>
          <w:rFonts w:hint="default" w:ascii="Times New Roman" w:hAnsi="Times New Roman" w:eastAsia="仿宋_GB2312" w:cs="Times New Roman"/>
          <w:b/>
          <w:bCs/>
          <w:color w:val="auto"/>
          <w:sz w:val="32"/>
          <w:szCs w:val="32"/>
          <w:highlight w:val="none"/>
          <w:lang w:val="en-US" w:eastAsia="zh-CN"/>
        </w:rPr>
        <w:t>施工作业面</w:t>
      </w:r>
      <w:r>
        <w:rPr>
          <w:rFonts w:hint="eastAsia" w:eastAsia="仿宋_GB2312" w:cs="Times New Roman"/>
          <w:b/>
          <w:bCs/>
          <w:color w:val="auto"/>
          <w:sz w:val="32"/>
          <w:szCs w:val="32"/>
          <w:highlight w:val="none"/>
          <w:lang w:val="en-US" w:eastAsia="zh-CN"/>
        </w:rPr>
        <w:t>安全设施</w:t>
      </w:r>
      <w:r>
        <w:rPr>
          <w:rFonts w:hint="default" w:ascii="Times New Roman" w:hAnsi="Times New Roman" w:eastAsia="仿宋_GB2312" w:cs="Times New Roman"/>
          <w:b/>
          <w:bCs/>
          <w:color w:val="auto"/>
          <w:sz w:val="32"/>
          <w:szCs w:val="32"/>
          <w:highlight w:val="none"/>
          <w:lang w:val="en-US" w:eastAsia="zh-CN"/>
        </w:rPr>
        <w:t>情况</w:t>
      </w:r>
    </w:p>
    <w:p w14:paraId="2DBDC2FA">
      <w:pPr>
        <w:keepNext w:val="0"/>
        <w:keepLines w:val="0"/>
        <w:pageBreakBefore w:val="0"/>
        <w:widowControl w:val="0"/>
        <w:kinsoku/>
        <w:wordWrap/>
        <w:overflowPunct/>
        <w:topLinePunct w:val="0"/>
        <w:autoSpaceDE w:val="0"/>
        <w:autoSpaceDN w:val="0"/>
        <w:bidi w:val="0"/>
        <w:adjustRightInd/>
        <w:snapToGrid/>
        <w:spacing w:line="560" w:lineRule="exact"/>
        <w:ind w:firstLine="643" w:firstLineChars="200"/>
        <w:textAlignment w:val="auto"/>
        <w:outlineLvl w:val="9"/>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一是</w:t>
      </w:r>
      <w:r>
        <w:rPr>
          <w:rFonts w:hint="eastAsia" w:ascii="仿宋_GB2312" w:hAnsi="仿宋_GB2312" w:eastAsia="仿宋_GB2312" w:cs="仿宋_GB2312"/>
          <w:b w:val="0"/>
          <w:bCs w:val="0"/>
          <w:color w:val="auto"/>
          <w:kern w:val="2"/>
          <w:sz w:val="32"/>
          <w:szCs w:val="32"/>
          <w:lang w:val="en-US" w:eastAsia="zh-CN" w:bidi="ar-SA"/>
        </w:rPr>
        <w:t>屋面有设置排水槽，宽度约有0.5米，施工时可作人行通道；</w:t>
      </w:r>
      <w:r>
        <w:rPr>
          <w:rFonts w:hint="eastAsia" w:ascii="仿宋_GB2312" w:hAnsi="仿宋_GB2312" w:eastAsia="仿宋_GB2312" w:cs="仿宋_GB2312"/>
          <w:b/>
          <w:bCs/>
          <w:color w:val="auto"/>
          <w:kern w:val="2"/>
          <w:sz w:val="32"/>
          <w:szCs w:val="32"/>
          <w:lang w:val="en-US" w:eastAsia="zh-CN" w:bidi="ar-SA"/>
        </w:rPr>
        <w:t>二是</w:t>
      </w:r>
      <w:r>
        <w:rPr>
          <w:rFonts w:hint="eastAsia" w:ascii="仿宋_GB2312" w:hAnsi="仿宋_GB2312" w:eastAsia="仿宋_GB2312" w:cs="仿宋_GB2312"/>
          <w:b w:val="0"/>
          <w:bCs w:val="0"/>
          <w:color w:val="auto"/>
          <w:kern w:val="2"/>
          <w:sz w:val="32"/>
          <w:szCs w:val="32"/>
          <w:lang w:val="en-US" w:eastAsia="zh-CN" w:bidi="ar-SA"/>
        </w:rPr>
        <w:t>外墙板伸出排水槽面约1米，有2条C型桁条水平拉结，施工时可作为安全带的安全挂点；</w:t>
      </w:r>
      <w:r>
        <w:rPr>
          <w:rFonts w:hint="eastAsia" w:ascii="仿宋_GB2312" w:hAnsi="仿宋_GB2312" w:eastAsia="仿宋_GB2312" w:cs="仿宋_GB2312"/>
          <w:b/>
          <w:bCs/>
          <w:color w:val="auto"/>
          <w:kern w:val="2"/>
          <w:sz w:val="32"/>
          <w:szCs w:val="32"/>
          <w:lang w:val="en-US" w:eastAsia="zh-CN" w:bidi="ar-SA"/>
        </w:rPr>
        <w:t>三是</w:t>
      </w:r>
      <w:r>
        <w:rPr>
          <w:rFonts w:hint="eastAsia" w:ascii="仿宋_GB2312" w:hAnsi="仿宋_GB2312" w:eastAsia="仿宋_GB2312" w:cs="仿宋_GB2312"/>
          <w:b w:val="0"/>
          <w:bCs w:val="0"/>
          <w:color w:val="auto"/>
          <w:kern w:val="2"/>
          <w:sz w:val="32"/>
          <w:szCs w:val="32"/>
          <w:lang w:val="en-US" w:eastAsia="zh-CN" w:bidi="ar-SA"/>
        </w:rPr>
        <w:t>伸出排水槽外墙板的两立柱之间有拉设8mm施工钢丝绳安全绳，可供施时扣安全带；</w:t>
      </w:r>
      <w:r>
        <w:rPr>
          <w:rFonts w:hint="eastAsia" w:ascii="仿宋_GB2312" w:hAnsi="仿宋_GB2312" w:eastAsia="仿宋_GB2312" w:cs="仿宋_GB2312"/>
          <w:b/>
          <w:bCs/>
          <w:color w:val="auto"/>
          <w:kern w:val="2"/>
          <w:sz w:val="32"/>
          <w:szCs w:val="32"/>
          <w:lang w:val="en-US" w:eastAsia="zh-CN" w:bidi="ar-SA"/>
        </w:rPr>
        <w:t>四是</w:t>
      </w:r>
      <w:r>
        <w:rPr>
          <w:rFonts w:hint="eastAsia" w:ascii="仿宋_GB2312" w:hAnsi="仿宋_GB2312" w:eastAsia="仿宋_GB2312" w:cs="仿宋_GB2312"/>
          <w:b w:val="0"/>
          <w:bCs w:val="0"/>
          <w:color w:val="auto"/>
          <w:kern w:val="2"/>
          <w:sz w:val="32"/>
          <w:szCs w:val="32"/>
          <w:lang w:val="en-US" w:eastAsia="zh-CN" w:bidi="ar-SA"/>
        </w:rPr>
        <w:t>排水槽以外的石棉瓦屋面未见有安全警示标志；</w:t>
      </w:r>
      <w:r>
        <w:rPr>
          <w:rFonts w:hint="eastAsia" w:ascii="仿宋_GB2312" w:hAnsi="仿宋_GB2312" w:eastAsia="仿宋_GB2312" w:cs="仿宋_GB2312"/>
          <w:b/>
          <w:bCs/>
          <w:color w:val="auto"/>
          <w:kern w:val="2"/>
          <w:sz w:val="32"/>
          <w:szCs w:val="32"/>
          <w:lang w:val="en-US" w:eastAsia="zh-CN" w:bidi="ar-SA"/>
        </w:rPr>
        <w:t>五是</w:t>
      </w:r>
      <w:r>
        <w:rPr>
          <w:rFonts w:hint="eastAsia" w:ascii="仿宋_GB2312" w:hAnsi="仿宋_GB2312" w:eastAsia="仿宋_GB2312" w:cs="仿宋_GB2312"/>
          <w:b w:val="0"/>
          <w:bCs w:val="0"/>
          <w:color w:val="auto"/>
          <w:kern w:val="2"/>
          <w:sz w:val="32"/>
          <w:szCs w:val="32"/>
          <w:lang w:val="en-US" w:eastAsia="zh-CN" w:bidi="ar-SA"/>
        </w:rPr>
        <w:t>根据方某夫、黄某发的问话记录，吴某宏身上有佩戴安全带和安全帽，但吴某宏的安全带没有扣在钢丝绳上。</w:t>
      </w:r>
    </w:p>
    <w:p w14:paraId="4460A5F9">
      <w:pPr>
        <w:keepNext w:val="0"/>
        <w:keepLines w:val="0"/>
        <w:pageBreakBefore w:val="0"/>
        <w:widowControl w:val="0"/>
        <w:kinsoku/>
        <w:wordWrap/>
        <w:overflowPunct/>
        <w:topLinePunct w:val="0"/>
        <w:autoSpaceDE w:val="0"/>
        <w:autoSpaceDN w:val="0"/>
        <w:bidi w:val="0"/>
        <w:adjustRightInd w:val="0"/>
        <w:snapToGrid/>
        <w:spacing w:line="560" w:lineRule="exact"/>
        <w:jc w:val="center"/>
        <w:textAlignment w:val="auto"/>
        <w:outlineLvl w:val="9"/>
        <w:rPr>
          <w:rFonts w:hint="eastAsia" w:ascii="宋体" w:hAnsi="宋体" w:eastAsia="宋体" w:cs="宋体"/>
          <w:b w:val="0"/>
          <w:bCs w:val="0"/>
          <w:color w:val="auto"/>
          <w:kern w:val="2"/>
          <w:sz w:val="28"/>
          <w:szCs w:val="28"/>
          <w:u w:val="none"/>
          <w:lang w:val="en-US" w:eastAsia="zh-CN" w:bidi="ar-SA"/>
        </w:rPr>
      </w:pPr>
      <w:r>
        <w:rPr>
          <w:rFonts w:hint="eastAsia" w:ascii="宋体" w:hAnsi="宋体" w:eastAsia="宋体" w:cs="宋体"/>
          <w:b w:val="0"/>
          <w:bCs w:val="0"/>
          <w:color w:val="auto"/>
          <w:kern w:val="2"/>
          <w:sz w:val="28"/>
          <w:szCs w:val="28"/>
          <w:u w:val="none"/>
          <w:lang w:val="en-US" w:eastAsia="zh-CN" w:bidi="ar-SA"/>
        </w:rPr>
        <w:pict>
          <v:shape id="图片 2" o:spid="_x0000_s1030" o:spt="75" type="#_x0000_t75" style="position:absolute;left:0pt;margin-left:122.5pt;margin-top:4.35pt;height:183.1pt;width:203.85pt;mso-wrap-distance-bottom:0pt;mso-wrap-distance-top:0pt;z-index:251663360;mso-width-relative:page;mso-height-relative:page;" filled="f" o:preferrelative="t" stroked="f" coordsize="21600,21600">
            <v:path/>
            <v:fill on="f" focussize="0,0"/>
            <v:stroke on="f"/>
            <v:imagedata r:id="rId14" o:title=""/>
            <o:lock v:ext="edit" aspectratio="t"/>
            <w10:wrap type="topAndBottom"/>
          </v:shape>
        </w:pict>
      </w:r>
      <w:r>
        <w:rPr>
          <w:rFonts w:hint="eastAsia" w:ascii="宋体" w:hAnsi="宋体" w:eastAsia="宋体" w:cs="宋体"/>
          <w:b w:val="0"/>
          <w:bCs w:val="0"/>
          <w:color w:val="auto"/>
          <w:kern w:val="2"/>
          <w:sz w:val="28"/>
          <w:szCs w:val="28"/>
          <w:u w:val="none"/>
          <w:lang w:val="en-US" w:eastAsia="zh-CN" w:bidi="ar-SA"/>
        </w:rPr>
        <w:t>图7</w:t>
      </w:r>
      <w:r>
        <w:rPr>
          <w:rFonts w:hint="eastAsia" w:ascii="宋体" w:hAnsi="宋体" w:cs="宋体"/>
          <w:b w:val="0"/>
          <w:bCs w:val="0"/>
          <w:color w:val="auto"/>
          <w:kern w:val="2"/>
          <w:sz w:val="28"/>
          <w:szCs w:val="28"/>
          <w:u w:val="none"/>
          <w:lang w:val="en-US" w:eastAsia="zh-CN" w:bidi="ar-SA"/>
        </w:rPr>
        <w:t xml:space="preserve"> </w:t>
      </w:r>
      <w:r>
        <w:rPr>
          <w:rFonts w:hint="eastAsia" w:ascii="宋体" w:hAnsi="宋体" w:eastAsia="宋体" w:cs="宋体"/>
          <w:b w:val="0"/>
          <w:bCs w:val="0"/>
          <w:color w:val="auto"/>
          <w:kern w:val="2"/>
          <w:sz w:val="28"/>
          <w:szCs w:val="28"/>
          <w:u w:val="none"/>
          <w:lang w:val="en-US" w:eastAsia="zh-CN" w:bidi="ar-SA"/>
        </w:rPr>
        <w:t>可挂安全带位置</w:t>
      </w:r>
    </w:p>
    <w:p w14:paraId="7C41F9F9">
      <w:pPr>
        <w:keepNext w:val="0"/>
        <w:keepLines w:val="0"/>
        <w:pageBreakBefore w:val="0"/>
        <w:widowControl w:val="0"/>
        <w:numPr>
          <w:ilvl w:val="0"/>
          <w:numId w:val="0"/>
        </w:numPr>
        <w:kinsoku/>
        <w:wordWrap/>
        <w:overflowPunct/>
        <w:topLinePunct w:val="0"/>
        <w:autoSpaceDN/>
        <w:bidi w:val="0"/>
        <w:spacing w:line="560" w:lineRule="exact"/>
        <w:ind w:right="0" w:rightChars="0"/>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　　（五）事发当天的气象情况</w:t>
      </w:r>
    </w:p>
    <w:p w14:paraId="2328D113">
      <w:pPr>
        <w:pStyle w:val="7"/>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lang w:val="en-US" w:eastAsia="zh-CN"/>
        </w:rPr>
      </w:pPr>
      <w:r>
        <w:rPr>
          <w:rFonts w:hint="eastAsia" w:ascii="仿宋_GB2312" w:hAnsi="仿宋_GB2312" w:eastAsia="仿宋_GB2312" w:cs="仿宋_GB2312"/>
          <w:b w:val="0"/>
          <w:bCs w:val="0"/>
          <w:sz w:val="32"/>
          <w:szCs w:val="32"/>
          <w:lang w:eastAsia="zh-CN"/>
        </w:rPr>
        <w:t>经查询，</w:t>
      </w:r>
      <w:r>
        <w:rPr>
          <w:rFonts w:hint="eastAsia" w:ascii="仿宋_GB2312" w:hAnsi="仿宋_GB2312" w:eastAsia="仿宋_GB2312" w:cs="仿宋_GB2312"/>
          <w:b w:val="0"/>
          <w:bCs w:val="0"/>
          <w:sz w:val="32"/>
          <w:szCs w:val="32"/>
          <w:lang w:val="en-US" w:eastAsia="zh-CN"/>
        </w:rPr>
        <w:t>4月9日15时00分至16时00分，广东新大明铝业有限公司附近区域无降雨记录，气温介于22.2到23.7℃，最小相对湿度59%，最大瞬时风1.9米/秒（偏南风2级），最小能见度8.289千米。</w:t>
      </w:r>
    </w:p>
    <w:p w14:paraId="3279EF7B">
      <w:pPr>
        <w:keepNext w:val="0"/>
        <w:keepLines w:val="0"/>
        <w:pageBreakBefore w:val="0"/>
        <w:widowControl w:val="0"/>
        <w:kinsoku/>
        <w:wordWrap/>
        <w:overflowPunct/>
        <w:topLinePunct w:val="0"/>
        <w:autoSpaceDN/>
        <w:bidi w:val="0"/>
        <w:spacing w:line="560" w:lineRule="exact"/>
        <w:ind w:left="0" w:leftChars="0" w:right="0" w:rightChars="0" w:firstLine="629"/>
        <w:textAlignment w:val="auto"/>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三、人员伤亡和直接经济损失情况</w:t>
      </w:r>
    </w:p>
    <w:p w14:paraId="5CB131F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b w:val="0"/>
          <w:bCs w:val="0"/>
          <w:kern w:val="2"/>
          <w:sz w:val="32"/>
          <w:szCs w:val="32"/>
          <w:lang w:val="en-US" w:eastAsia="zh-CN" w:bidi="ar-SA"/>
        </w:rPr>
      </w:pPr>
      <w:r>
        <w:rPr>
          <w:rFonts w:hint="eastAsia" w:ascii="楷体_GB2312" w:hAnsi="楷体_GB2312" w:eastAsia="楷体_GB2312" w:cs="楷体_GB2312"/>
          <w:b w:val="0"/>
          <w:bCs w:val="0"/>
          <w:kern w:val="2"/>
          <w:sz w:val="32"/>
          <w:szCs w:val="32"/>
          <w:lang w:val="en-US" w:eastAsia="zh-CN" w:bidi="ar-SA"/>
        </w:rPr>
        <w:t>（一）死亡人员情况</w:t>
      </w:r>
    </w:p>
    <w:p w14:paraId="74F60001">
      <w:pPr>
        <w:keepNext w:val="0"/>
        <w:keepLines w:val="0"/>
        <w:pageBreakBefore w:val="0"/>
        <w:widowControl w:val="0"/>
        <w:kinsoku/>
        <w:wordWrap/>
        <w:overflowPunct/>
        <w:topLinePunct w:val="0"/>
        <w:autoSpaceDN/>
        <w:bidi w:val="0"/>
        <w:adjustRightInd/>
        <w:snapToGrid/>
        <w:spacing w:line="560" w:lineRule="exact"/>
        <w:ind w:left="0" w:leftChars="0" w:right="0" w:rightChars="0" w:firstLine="640" w:firstLineChars="200"/>
        <w:jc w:val="both"/>
        <w:textAlignment w:val="auto"/>
        <w:rPr>
          <w:rFonts w:hint="eastAsia"/>
          <w:lang w:val="en-US" w:eastAsia="zh-CN"/>
        </w:rPr>
      </w:pPr>
      <w:r>
        <w:rPr>
          <w:rFonts w:hint="eastAsia" w:ascii="仿宋_GB2312" w:hAnsi="仿宋_GB2312" w:eastAsia="仿宋_GB2312" w:cs="仿宋_GB2312"/>
          <w:sz w:val="32"/>
          <w:szCs w:val="32"/>
          <w:highlight w:val="none"/>
          <w:lang w:val="en-US" w:eastAsia="zh-CN"/>
        </w:rPr>
        <w:t>吴某宏，为肇庆宏诚建设工程有限公司的安装工，公民身份证号码：4507211981********，性别：男，出生：1981年**月**日，住址：广西灵山县*******。</w:t>
      </w:r>
    </w:p>
    <w:p w14:paraId="1E9A329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b w:val="0"/>
          <w:bCs w:val="0"/>
          <w:kern w:val="2"/>
          <w:sz w:val="32"/>
          <w:szCs w:val="32"/>
          <w:lang w:val="en-US" w:eastAsia="zh-CN" w:bidi="ar-SA"/>
        </w:rPr>
      </w:pPr>
      <w:r>
        <w:rPr>
          <w:rFonts w:hint="eastAsia" w:ascii="楷体_GB2312" w:hAnsi="楷体_GB2312" w:eastAsia="楷体_GB2312" w:cs="楷体_GB2312"/>
          <w:b w:val="0"/>
          <w:bCs w:val="0"/>
          <w:kern w:val="2"/>
          <w:sz w:val="32"/>
          <w:szCs w:val="32"/>
          <w:lang w:val="en-US" w:eastAsia="zh-CN" w:bidi="ar-SA"/>
        </w:rPr>
        <w:t>（二）直接经济损失</w:t>
      </w:r>
    </w:p>
    <w:p w14:paraId="1C7B63C3">
      <w:pPr>
        <w:keepNext w:val="0"/>
        <w:keepLines w:val="0"/>
        <w:pageBreakBefore w:val="0"/>
        <w:widowControl w:val="0"/>
        <w:kinsoku/>
        <w:wordWrap/>
        <w:overflowPunct/>
        <w:topLinePunct w:val="0"/>
        <w:autoSpaceDN/>
        <w:bidi w:val="0"/>
        <w:adjustRightInd/>
        <w:snapToGrid/>
        <w:spacing w:beforeAutospacing="0" w:afterAutospacing="0" w:line="560" w:lineRule="exact"/>
        <w:ind w:left="0" w:leftChars="0" w:right="0" w:rightChars="0" w:firstLine="640" w:firstLineChars="200"/>
        <w:jc w:val="left"/>
        <w:textAlignment w:val="auto"/>
        <w:rPr>
          <w:rFonts w:hint="eastAsia"/>
        </w:rPr>
      </w:pPr>
      <w:r>
        <w:rPr>
          <w:rFonts w:ascii="仿宋_GB2312" w:hAnsi="Calibri" w:eastAsia="仿宋_GB2312" w:cs="仿宋_GB2312"/>
          <w:color w:val="000000"/>
          <w:sz w:val="32"/>
          <w:szCs w:val="32"/>
          <w:highlight w:val="none"/>
          <w:lang w:bidi="ar"/>
        </w:rPr>
        <w:t>经事故发生企业统计</w:t>
      </w:r>
      <w:r>
        <w:rPr>
          <w:rFonts w:hint="eastAsia" w:ascii="仿宋_GB2312" w:hAnsi="Calibri" w:eastAsia="仿宋_GB2312" w:cs="仿宋_GB2312"/>
          <w:color w:val="000000"/>
          <w:sz w:val="32"/>
          <w:szCs w:val="32"/>
          <w:highlight w:val="none"/>
          <w:lang w:eastAsia="zh-CN" w:bidi="ar"/>
        </w:rPr>
        <w:t>，</w:t>
      </w:r>
      <w:r>
        <w:rPr>
          <w:rFonts w:hint="eastAsia" w:eastAsia="仿宋_GB2312" w:cs="Times New Roman"/>
          <w:color w:val="auto"/>
          <w:sz w:val="32"/>
          <w:szCs w:val="32"/>
          <w:highlight w:val="none"/>
          <w:lang w:val="en-US" w:eastAsia="zh-CN"/>
        </w:rPr>
        <w:t>根据</w:t>
      </w:r>
      <w:r>
        <w:rPr>
          <w:rFonts w:hint="default" w:ascii="Times New Roman" w:hAnsi="Times New Roman" w:eastAsia="仿宋_GB2312" w:cs="Times New Roman"/>
          <w:color w:val="auto"/>
          <w:sz w:val="32"/>
          <w:szCs w:val="32"/>
          <w:highlight w:val="none"/>
          <w:lang w:val="en-US" w:eastAsia="zh-CN"/>
        </w:rPr>
        <w:t>《企业职工伤亡事故经济损失统计标准》（</w:t>
      </w:r>
      <w:r>
        <w:rPr>
          <w:rFonts w:hint="eastAsia" w:eastAsia="仿宋_GB2312" w:cs="Times New Roman"/>
          <w:color w:val="auto"/>
          <w:sz w:val="32"/>
          <w:szCs w:val="32"/>
          <w:highlight w:val="none"/>
          <w:lang w:val="en-US" w:eastAsia="zh-CN"/>
        </w:rPr>
        <w:t>GB/T 6721</w:t>
      </w:r>
      <w:r>
        <w:rPr>
          <w:rFonts w:hint="default" w:ascii="Times New Roman" w:hAnsi="Times New Roman" w:eastAsia="仿宋_GB2312" w:cs="Times New Roman"/>
          <w:color w:val="auto"/>
          <w:sz w:val="32"/>
          <w:szCs w:val="32"/>
          <w:highlight w:val="none"/>
          <w:lang w:val="en-US" w:eastAsia="zh-CN"/>
        </w:rPr>
        <w:t>）等规定</w:t>
      </w:r>
      <w:r>
        <w:rPr>
          <w:rFonts w:hint="eastAsia" w:ascii="仿宋_GB2312" w:hAnsi="Calibri" w:eastAsia="仿宋_GB2312" w:cs="仿宋_GB2312"/>
          <w:color w:val="000000"/>
          <w:sz w:val="32"/>
          <w:szCs w:val="32"/>
          <w:highlight w:val="none"/>
          <w:lang w:eastAsia="zh-CN" w:bidi="ar"/>
        </w:rPr>
        <w:t>，</w:t>
      </w:r>
      <w:r>
        <w:rPr>
          <w:rFonts w:ascii="仿宋_GB2312" w:hAnsi="Calibri" w:eastAsia="仿宋_GB2312" w:cs="仿宋_GB2312"/>
          <w:color w:val="000000"/>
          <w:sz w:val="32"/>
          <w:szCs w:val="32"/>
          <w:highlight w:val="none"/>
          <w:lang w:bidi="ar"/>
        </w:rPr>
        <w:t>调查组核定确认</w:t>
      </w:r>
      <w:r>
        <w:rPr>
          <w:rFonts w:hint="eastAsia" w:ascii="FangSong_GB2312" w:hAnsi="FangSong_GB2312" w:eastAsia="FangSong_GB2312"/>
          <w:sz w:val="32"/>
        </w:rPr>
        <w:t>，事故</w:t>
      </w:r>
      <w:r>
        <w:rPr>
          <w:rFonts w:hint="eastAsia" w:ascii="FangSong_GB2312" w:hAnsi="FangSong_GB2312" w:eastAsia="FangSong_GB2312"/>
          <w:sz w:val="32"/>
          <w:lang w:val="en-US" w:eastAsia="zh-CN"/>
        </w:rPr>
        <w:t>造成</w:t>
      </w:r>
      <w:r>
        <w:rPr>
          <w:rFonts w:hint="eastAsia" w:ascii="FangSong_GB2312" w:hAnsi="FangSong_GB2312" w:eastAsia="FangSong_GB2312"/>
          <w:sz w:val="32"/>
        </w:rPr>
        <w:t>1人死亡</w:t>
      </w:r>
      <w:r>
        <w:rPr>
          <w:rFonts w:hint="eastAsia" w:ascii="仿宋_GB2312" w:hAnsi="Calibri" w:eastAsia="仿宋_GB2312" w:cs="仿宋_GB2312"/>
          <w:color w:val="000000"/>
          <w:sz w:val="32"/>
          <w:szCs w:val="32"/>
          <w:highlight w:val="none"/>
          <w:lang w:eastAsia="zh-CN" w:bidi="ar"/>
        </w:rPr>
        <w:t>，</w:t>
      </w:r>
      <w:r>
        <w:rPr>
          <w:rFonts w:hint="eastAsia" w:ascii="FangSong_GB2312" w:hAnsi="FangSong_GB2312" w:eastAsia="FangSong_GB2312"/>
          <w:sz w:val="32"/>
          <w:highlight w:val="none"/>
        </w:rPr>
        <w:t>直接经济损失约为</w:t>
      </w:r>
      <w:r>
        <w:rPr>
          <w:rFonts w:hint="eastAsia" w:ascii="仿宋_GB2312" w:hAnsi="Calibri" w:eastAsia="仿宋_GB2312" w:cs="仿宋_GB2312"/>
          <w:color w:val="000000"/>
          <w:sz w:val="32"/>
          <w:szCs w:val="32"/>
          <w:highlight w:val="none"/>
          <w:lang w:val="en-US" w:eastAsia="zh-CN" w:bidi="ar"/>
        </w:rPr>
        <w:t>115</w:t>
      </w:r>
      <w:r>
        <w:rPr>
          <w:rFonts w:ascii="仿宋_GB2312" w:hAnsi="Calibri" w:eastAsia="仿宋_GB2312" w:cs="仿宋_GB2312"/>
          <w:color w:val="000000"/>
          <w:sz w:val="32"/>
          <w:szCs w:val="32"/>
          <w:highlight w:val="none"/>
          <w:lang w:bidi="ar"/>
        </w:rPr>
        <w:t>万元</w:t>
      </w:r>
      <w:r>
        <w:rPr>
          <w:rFonts w:hint="eastAsia" w:ascii="仿宋_GB2312" w:hAnsi="宋体" w:eastAsia="仿宋_GB2312"/>
          <w:sz w:val="32"/>
          <w:szCs w:val="32"/>
          <w:highlight w:val="none"/>
          <w:lang w:val="en-US" w:eastAsia="zh-CN"/>
        </w:rPr>
        <w:t>。</w:t>
      </w:r>
    </w:p>
    <w:p w14:paraId="7DADC04E">
      <w:pPr>
        <w:keepNext w:val="0"/>
        <w:keepLines w:val="0"/>
        <w:pageBreakBefore w:val="0"/>
        <w:widowControl w:val="0"/>
        <w:kinsoku/>
        <w:wordWrap/>
        <w:overflowPunct/>
        <w:topLinePunct w:val="0"/>
        <w:autoSpaceDN/>
        <w:bidi w:val="0"/>
        <w:spacing w:line="560" w:lineRule="exact"/>
        <w:ind w:left="0" w:leftChars="0" w:right="0" w:rightChars="0" w:firstLine="629"/>
        <w:textAlignment w:val="auto"/>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四、事故原因及机理分析</w:t>
      </w:r>
    </w:p>
    <w:p w14:paraId="5E11402B">
      <w:pPr>
        <w:pStyle w:val="7"/>
        <w:keepNext w:val="0"/>
        <w:keepLines w:val="0"/>
        <w:pageBreakBefore w:val="0"/>
        <w:widowControl w:val="0"/>
        <w:kinsoku/>
        <w:wordWrap/>
        <w:overflowPunct/>
        <w:topLinePunct w:val="0"/>
        <w:autoSpaceDE/>
        <w:autoSpaceDN/>
        <w:bidi w:val="0"/>
        <w:adjustRightInd/>
        <w:snapToGrid/>
        <w:spacing w:beforeAutospacing="0" w:after="0" w:afterAutospacing="0" w:line="560" w:lineRule="exact"/>
        <w:ind w:left="0" w:leftChars="0" w:right="0" w:rightChars="0" w:firstLine="640"/>
        <w:textAlignment w:val="auto"/>
        <w:outlineLvl w:val="9"/>
        <w:rPr>
          <w:rFonts w:hint="eastAsia" w:ascii="楷体" w:hAnsi="楷体" w:eastAsia="楷体" w:cs="楷体"/>
          <w:b w:val="0"/>
          <w:bCs/>
          <w:sz w:val="32"/>
          <w:szCs w:val="32"/>
        </w:rPr>
      </w:pPr>
      <w:r>
        <w:rPr>
          <w:rFonts w:hint="eastAsia" w:ascii="仿宋_GB2312" w:hAnsi="仿宋_GB2312" w:eastAsia="仿宋_GB2312" w:cs="仿宋_GB2312"/>
          <w:b w:val="0"/>
          <w:bCs w:val="0"/>
          <w:kern w:val="2"/>
          <w:sz w:val="32"/>
          <w:szCs w:val="32"/>
          <w:lang w:val="en-US" w:eastAsia="zh-CN" w:bidi="ar-SA"/>
        </w:rPr>
        <w:t>按照生产安全事故调查处理“四不放过"原则，为进一步查明事故的原因、性质和类型,事故调查组进行了大量的调查询问取证及勘查工作，</w:t>
      </w:r>
      <w:r>
        <w:rPr>
          <w:rFonts w:hint="eastAsia" w:ascii="仿宋_GB2312" w:hAnsi="仿宋_GB2312" w:eastAsia="仿宋_GB2312" w:cs="仿宋_GB2312"/>
          <w:b w:val="0"/>
          <w:bCs w:val="0"/>
          <w:kern w:val="2"/>
          <w:sz w:val="32"/>
          <w:szCs w:val="32"/>
          <w:highlight w:val="none"/>
          <w:lang w:val="en-US" w:eastAsia="zh-CN" w:bidi="ar-SA"/>
        </w:rPr>
        <w:t>并于</w:t>
      </w:r>
      <w:r>
        <w:rPr>
          <w:rFonts w:hint="eastAsia" w:ascii="仿宋_GB2312" w:hAnsi="仿宋_GB2312" w:eastAsia="仿宋_GB2312" w:cs="仿宋_GB2312"/>
          <w:b w:val="0"/>
          <w:bCs w:val="0"/>
          <w:color w:val="auto"/>
          <w:kern w:val="2"/>
          <w:sz w:val="32"/>
          <w:szCs w:val="32"/>
          <w:highlight w:val="none"/>
          <w:lang w:val="en-US" w:eastAsia="zh-CN" w:bidi="ar-SA"/>
        </w:rPr>
        <w:t>4月13日聘</w:t>
      </w:r>
      <w:r>
        <w:rPr>
          <w:rFonts w:hint="eastAsia" w:ascii="仿宋_GB2312" w:hAnsi="仿宋_GB2312" w:eastAsia="仿宋_GB2312" w:cs="仿宋_GB2312"/>
          <w:b w:val="0"/>
          <w:bCs w:val="0"/>
          <w:kern w:val="2"/>
          <w:sz w:val="32"/>
          <w:szCs w:val="32"/>
          <w:highlight w:val="none"/>
          <w:lang w:val="en-US" w:eastAsia="zh-CN" w:bidi="ar-SA"/>
        </w:rPr>
        <w:t>请了技术专家，技术专家于5月5日出具了相关意见及建议</w:t>
      </w:r>
      <w:r>
        <w:rPr>
          <w:rFonts w:hint="eastAsia" w:ascii="仿宋_GB2312" w:hAnsi="仿宋_GB2312" w:eastAsia="仿宋_GB2312" w:cs="仿宋_GB2312"/>
          <w:b w:val="0"/>
          <w:bCs w:val="0"/>
          <w:kern w:val="2"/>
          <w:sz w:val="32"/>
          <w:szCs w:val="32"/>
          <w:lang w:val="en-US" w:eastAsia="zh-CN" w:bidi="ar-SA"/>
        </w:rPr>
        <w:t>，现已查清了事故原因和性质。</w:t>
      </w:r>
    </w:p>
    <w:p w14:paraId="02893945">
      <w:pPr>
        <w:pStyle w:val="7"/>
        <w:keepNext w:val="0"/>
        <w:keepLines w:val="0"/>
        <w:pageBreakBefore w:val="0"/>
        <w:widowControl w:val="0"/>
        <w:kinsoku/>
        <w:wordWrap/>
        <w:overflowPunct/>
        <w:topLinePunct w:val="0"/>
        <w:autoSpaceDE/>
        <w:autoSpaceDN/>
        <w:bidi w:val="0"/>
        <w:adjustRightInd/>
        <w:snapToGrid/>
        <w:spacing w:beforeAutospacing="0" w:after="0" w:afterAutospacing="0" w:line="560" w:lineRule="exact"/>
        <w:ind w:left="0" w:leftChars="0" w:right="0" w:rightChars="0" w:firstLine="640"/>
        <w:textAlignment w:val="auto"/>
        <w:outlineLvl w:val="9"/>
        <w:rPr>
          <w:rFonts w:hint="eastAsia" w:ascii="楷体_GB2312" w:hAnsi="楷体_GB2312" w:eastAsia="楷体_GB2312" w:cs="楷体_GB2312"/>
          <w:b w:val="0"/>
          <w:bCs/>
          <w:sz w:val="32"/>
          <w:szCs w:val="32"/>
        </w:rPr>
      </w:pPr>
      <w:r>
        <w:rPr>
          <w:rFonts w:hint="eastAsia" w:ascii="楷体_GB2312" w:hAnsi="楷体_GB2312" w:eastAsia="楷体_GB2312" w:cs="楷体_GB2312"/>
          <w:b w:val="0"/>
          <w:bCs/>
          <w:sz w:val="32"/>
          <w:szCs w:val="32"/>
        </w:rPr>
        <w:t>（一）直接原因</w:t>
      </w:r>
    </w:p>
    <w:p w14:paraId="6089F28C">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rightChars="0" w:firstLine="640" w:firstLineChars="200"/>
        <w:jc w:val="left"/>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经调查询问、资料调取、综合分析认定，本起事故的直接原因为</w:t>
      </w:r>
      <w:r>
        <w:rPr>
          <w:rFonts w:hint="eastAsia" w:ascii="仿宋_GB2312" w:hAnsi="仿宋_GB2312" w:eastAsia="仿宋_GB2312" w:cs="仿宋_GB2312"/>
          <w:sz w:val="32"/>
          <w:szCs w:val="32"/>
          <w:highlight w:val="none"/>
          <w:lang w:eastAsia="zh-CN"/>
        </w:rPr>
        <w:t>：吴某宏个人安全意识欠缺，</w:t>
      </w:r>
      <w:r>
        <w:rPr>
          <w:rFonts w:hint="eastAsia" w:ascii="仿宋_GB2312" w:hAnsi="仿宋_GB2312" w:eastAsia="仿宋_GB2312" w:cs="仿宋_GB2312"/>
          <w:sz w:val="32"/>
          <w:szCs w:val="32"/>
          <w:highlight w:val="none"/>
        </w:rPr>
        <w:t>在距离基准地面12.5米的屋面上未持</w:t>
      </w:r>
      <w:r>
        <w:rPr>
          <w:rFonts w:hint="eastAsia" w:ascii="仿宋_GB2312" w:hAnsi="仿宋_GB2312" w:eastAsia="仿宋_GB2312" w:cs="仿宋_GB2312"/>
          <w:sz w:val="32"/>
          <w:szCs w:val="32"/>
          <w:highlight w:val="none"/>
          <w:lang w:val="en-US" w:eastAsia="zh-CN"/>
        </w:rPr>
        <w:t>高处作业操作</w:t>
      </w:r>
      <w:r>
        <w:rPr>
          <w:rFonts w:hint="eastAsia" w:ascii="仿宋_GB2312" w:hAnsi="仿宋_GB2312" w:eastAsia="仿宋_GB2312" w:cs="仿宋_GB2312"/>
          <w:sz w:val="32"/>
          <w:szCs w:val="32"/>
          <w:highlight w:val="none"/>
        </w:rPr>
        <w:t>证</w:t>
      </w:r>
      <w:r>
        <w:rPr>
          <w:rStyle w:val="22"/>
          <w:rFonts w:hint="eastAsia" w:ascii="仿宋_GB2312" w:hAnsi="仿宋_GB2312" w:eastAsia="仿宋_GB2312" w:cs="仿宋_GB2312"/>
          <w:sz w:val="32"/>
          <w:szCs w:val="32"/>
          <w:highlight w:val="none"/>
        </w:rPr>
        <w:t>[</w:t>
      </w:r>
      <w:r>
        <w:rPr>
          <w:rStyle w:val="22"/>
          <w:rFonts w:hint="eastAsia" w:ascii="仿宋_GB2312" w:hAnsi="仿宋_GB2312" w:eastAsia="仿宋_GB2312" w:cs="仿宋_GB2312"/>
          <w:sz w:val="32"/>
          <w:szCs w:val="32"/>
          <w:highlight w:val="none"/>
        </w:rPr>
        <w:footnoteReference w:id="0"/>
      </w:r>
      <w:r>
        <w:rPr>
          <w:rStyle w:val="22"/>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eastAsia="zh-CN"/>
        </w:rPr>
        <w:t>从事高空</w:t>
      </w:r>
      <w:r>
        <w:rPr>
          <w:rFonts w:hint="eastAsia" w:ascii="仿宋_GB2312" w:hAnsi="仿宋_GB2312" w:eastAsia="仿宋_GB2312" w:cs="仿宋_GB2312"/>
          <w:sz w:val="32"/>
          <w:szCs w:val="32"/>
          <w:highlight w:val="none"/>
        </w:rPr>
        <w:t>作业</w:t>
      </w:r>
      <w:r>
        <w:rPr>
          <w:rStyle w:val="22"/>
          <w:rFonts w:hint="eastAsia" w:ascii="仿宋_GB2312" w:hAnsi="仿宋_GB2312" w:eastAsia="仿宋_GB2312" w:cs="仿宋_GB2312"/>
          <w:sz w:val="32"/>
          <w:szCs w:val="32"/>
          <w:highlight w:val="none"/>
        </w:rPr>
        <w:t>[</w:t>
      </w:r>
      <w:r>
        <w:rPr>
          <w:rStyle w:val="22"/>
          <w:rFonts w:hint="eastAsia" w:ascii="仿宋_GB2312" w:hAnsi="仿宋_GB2312" w:eastAsia="仿宋_GB2312" w:cs="仿宋_GB2312"/>
          <w:sz w:val="32"/>
          <w:szCs w:val="32"/>
          <w:highlight w:val="none"/>
        </w:rPr>
        <w:footnoteReference w:id="1"/>
      </w:r>
      <w:r>
        <w:rPr>
          <w:rStyle w:val="22"/>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eastAsia="zh-CN"/>
        </w:rPr>
        <w:t>未按规定将</w:t>
      </w:r>
      <w:r>
        <w:rPr>
          <w:rFonts w:hint="eastAsia" w:ascii="仿宋_GB2312" w:hAnsi="仿宋_GB2312" w:eastAsia="仿宋_GB2312" w:cs="仿宋_GB2312"/>
          <w:sz w:val="32"/>
          <w:szCs w:val="32"/>
          <w:highlight w:val="none"/>
        </w:rPr>
        <w:t>安全带扣上钢丝安全绳</w:t>
      </w:r>
      <w:r>
        <w:rPr>
          <w:rStyle w:val="22"/>
          <w:rFonts w:hint="eastAsia" w:ascii="仿宋_GB2312" w:hAnsi="仿宋_GB2312" w:eastAsia="仿宋_GB2312" w:cs="仿宋_GB2312"/>
          <w:sz w:val="32"/>
          <w:szCs w:val="32"/>
          <w:highlight w:val="none"/>
        </w:rPr>
        <w:t>[</w:t>
      </w:r>
      <w:r>
        <w:rPr>
          <w:rStyle w:val="22"/>
          <w:rFonts w:hint="eastAsia" w:ascii="仿宋_GB2312" w:hAnsi="仿宋_GB2312" w:eastAsia="仿宋_GB2312" w:cs="仿宋_GB2312"/>
          <w:sz w:val="32"/>
          <w:szCs w:val="32"/>
          <w:highlight w:val="none"/>
        </w:rPr>
        <w:footnoteReference w:id="2"/>
      </w:r>
      <w:r>
        <w:rPr>
          <w:rStyle w:val="22"/>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rPr>
        <w:t>或其他固定物</w:t>
      </w:r>
      <w:r>
        <w:rPr>
          <w:rStyle w:val="22"/>
          <w:rFonts w:hint="eastAsia" w:ascii="仿宋_GB2312" w:hAnsi="仿宋_GB2312" w:eastAsia="仿宋_GB2312" w:cs="仿宋_GB2312"/>
          <w:sz w:val="32"/>
          <w:szCs w:val="32"/>
          <w:highlight w:val="none"/>
        </w:rPr>
        <w:t>[</w:t>
      </w:r>
      <w:r>
        <w:rPr>
          <w:rStyle w:val="22"/>
          <w:rFonts w:hint="eastAsia" w:ascii="仿宋_GB2312" w:hAnsi="仿宋_GB2312" w:eastAsia="仿宋_GB2312" w:cs="仿宋_GB2312"/>
          <w:sz w:val="32"/>
          <w:szCs w:val="32"/>
          <w:highlight w:val="none"/>
        </w:rPr>
        <w:footnoteReference w:id="3"/>
      </w:r>
      <w:r>
        <w:rPr>
          <w:rStyle w:val="22"/>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rPr>
        <w:t>上，偏离屋面排水槽</w:t>
      </w:r>
      <w:r>
        <w:rPr>
          <w:rFonts w:hint="eastAsia" w:ascii="仿宋_GB2312" w:hAnsi="仿宋_GB2312" w:eastAsia="仿宋_GB2312" w:cs="仿宋_GB2312"/>
          <w:sz w:val="32"/>
          <w:szCs w:val="32"/>
          <w:highlight w:val="none"/>
          <w:lang w:eastAsia="zh-CN"/>
        </w:rPr>
        <w:t>并</w:t>
      </w:r>
      <w:r>
        <w:rPr>
          <w:rFonts w:hint="eastAsia" w:ascii="仿宋_GB2312" w:hAnsi="仿宋_GB2312" w:eastAsia="仿宋_GB2312" w:cs="仿宋_GB2312"/>
          <w:sz w:val="32"/>
          <w:szCs w:val="32"/>
          <w:highlight w:val="none"/>
        </w:rPr>
        <w:t>在石棉瓦屋面上</w:t>
      </w:r>
      <w:r>
        <w:rPr>
          <w:rFonts w:hint="eastAsia" w:ascii="仿宋_GB2312" w:hAnsi="仿宋_GB2312" w:eastAsia="仿宋_GB2312" w:cs="仿宋_GB2312"/>
          <w:sz w:val="32"/>
          <w:szCs w:val="32"/>
          <w:highlight w:val="none"/>
          <w:lang w:eastAsia="zh-CN"/>
        </w:rPr>
        <w:t>行走</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eastAsia="zh-CN"/>
        </w:rPr>
        <w:t>导致</w:t>
      </w:r>
      <w:r>
        <w:rPr>
          <w:rFonts w:hint="eastAsia" w:ascii="仿宋_GB2312" w:hAnsi="仿宋_GB2312" w:eastAsia="仿宋_GB2312" w:cs="仿宋_GB2312"/>
          <w:sz w:val="32"/>
          <w:szCs w:val="32"/>
          <w:highlight w:val="none"/>
        </w:rPr>
        <w:t>石棉瓦断裂</w:t>
      </w:r>
      <w:r>
        <w:rPr>
          <w:rFonts w:hint="eastAsia" w:ascii="仿宋_GB2312" w:hAnsi="仿宋_GB2312" w:eastAsia="仿宋_GB2312" w:cs="仿宋_GB2312"/>
          <w:sz w:val="32"/>
          <w:szCs w:val="32"/>
          <w:highlight w:val="none"/>
          <w:lang w:eastAsia="zh-CN"/>
        </w:rPr>
        <w:t>发生高坠</w:t>
      </w:r>
      <w:r>
        <w:rPr>
          <w:rFonts w:hint="eastAsia" w:ascii="仿宋_GB2312" w:hAnsi="仿宋_GB2312" w:eastAsia="仿宋_GB2312" w:cs="仿宋_GB2312"/>
          <w:sz w:val="32"/>
          <w:szCs w:val="32"/>
          <w:highlight w:val="none"/>
        </w:rPr>
        <w:t>死亡。</w:t>
      </w:r>
    </w:p>
    <w:p w14:paraId="28389F3F">
      <w:pPr>
        <w:pStyle w:val="7"/>
        <w:keepNext w:val="0"/>
        <w:keepLines w:val="0"/>
        <w:pageBreakBefore w:val="0"/>
        <w:widowControl w:val="0"/>
        <w:kinsoku/>
        <w:wordWrap/>
        <w:overflowPunct/>
        <w:topLinePunct w:val="0"/>
        <w:autoSpaceDE/>
        <w:autoSpaceDN/>
        <w:bidi w:val="0"/>
        <w:adjustRightInd/>
        <w:snapToGrid/>
        <w:spacing w:beforeAutospacing="0" w:after="0" w:afterAutospacing="0" w:line="560" w:lineRule="exact"/>
        <w:ind w:left="0" w:leftChars="0" w:right="0" w:rightChars="0" w:firstLine="640"/>
        <w:textAlignment w:val="auto"/>
        <w:outlineLvl w:val="9"/>
        <w:rPr>
          <w:rFonts w:hint="eastAsia" w:ascii="楷体_GB2312" w:hAnsi="楷体_GB2312" w:eastAsia="楷体_GB2312" w:cs="楷体_GB2312"/>
          <w:sz w:val="32"/>
          <w:szCs w:val="32"/>
        </w:rPr>
      </w:pPr>
      <w:r>
        <w:rPr>
          <w:rFonts w:hint="eastAsia" w:ascii="楷体_GB2312" w:hAnsi="楷体_GB2312" w:eastAsia="楷体_GB2312" w:cs="楷体_GB2312"/>
          <w:b w:val="0"/>
          <w:bCs/>
          <w:sz w:val="32"/>
          <w:szCs w:val="32"/>
        </w:rPr>
        <w:t>（</w:t>
      </w:r>
      <w:r>
        <w:rPr>
          <w:rFonts w:hint="eastAsia" w:ascii="楷体_GB2312" w:hAnsi="楷体_GB2312" w:eastAsia="楷体_GB2312" w:cs="楷体_GB2312"/>
          <w:b w:val="0"/>
          <w:bCs/>
          <w:sz w:val="32"/>
          <w:szCs w:val="32"/>
          <w:lang w:val="en-US" w:eastAsia="zh-CN"/>
        </w:rPr>
        <w:t>二</w:t>
      </w:r>
      <w:r>
        <w:rPr>
          <w:rFonts w:hint="eastAsia" w:ascii="楷体_GB2312" w:hAnsi="楷体_GB2312" w:eastAsia="楷体_GB2312" w:cs="楷体_GB2312"/>
          <w:b w:val="0"/>
          <w:bCs/>
          <w:sz w:val="32"/>
          <w:szCs w:val="32"/>
        </w:rPr>
        <w:t>）</w:t>
      </w:r>
      <w:r>
        <w:rPr>
          <w:rFonts w:hint="eastAsia" w:ascii="楷体_GB2312" w:hAnsi="楷体_GB2312" w:eastAsia="楷体_GB2312" w:cs="楷体_GB2312"/>
          <w:b w:val="0"/>
          <w:bCs/>
          <w:sz w:val="32"/>
          <w:szCs w:val="32"/>
          <w:lang w:val="en-US" w:eastAsia="zh-CN"/>
        </w:rPr>
        <w:t>间接</w:t>
      </w:r>
      <w:r>
        <w:rPr>
          <w:rFonts w:hint="eastAsia" w:ascii="楷体_GB2312" w:hAnsi="楷体_GB2312" w:eastAsia="楷体_GB2312" w:cs="楷体_GB2312"/>
          <w:b w:val="0"/>
          <w:bCs/>
          <w:sz w:val="32"/>
          <w:szCs w:val="32"/>
        </w:rPr>
        <w:t>原因</w:t>
      </w:r>
    </w:p>
    <w:p w14:paraId="63FC87B2">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施工方宏诚公司安全生产主体责任不落实，</w:t>
      </w:r>
      <w:r>
        <w:rPr>
          <w:rFonts w:hint="eastAsia" w:ascii="仿宋_GB2312" w:hAnsi="仿宋_GB2312" w:eastAsia="仿宋_GB2312" w:cs="仿宋_GB2312"/>
          <w:b/>
          <w:bCs/>
          <w:sz w:val="32"/>
          <w:szCs w:val="32"/>
          <w:highlight w:val="none"/>
          <w:lang w:val="en-US" w:eastAsia="zh-CN"/>
        </w:rPr>
        <w:t>一是</w:t>
      </w:r>
      <w:r>
        <w:rPr>
          <w:rFonts w:hint="eastAsia" w:ascii="仿宋_GB2312" w:hAnsi="仿宋_GB2312" w:eastAsia="仿宋_GB2312" w:cs="仿宋_GB2312"/>
          <w:b w:val="0"/>
          <w:bCs w:val="0"/>
          <w:sz w:val="32"/>
          <w:szCs w:val="32"/>
          <w:highlight w:val="none"/>
          <w:lang w:val="en-US" w:eastAsia="zh-CN"/>
        </w:rPr>
        <w:t>未持有《建筑业企业资质证书》</w:t>
      </w:r>
      <w:r>
        <w:rPr>
          <w:rStyle w:val="22"/>
          <w:rFonts w:hint="eastAsia" w:ascii="仿宋_GB2312" w:hAnsi="仿宋_GB2312" w:eastAsia="仿宋_GB2312" w:cs="仿宋_GB2312"/>
          <w:b w:val="0"/>
          <w:bCs w:val="0"/>
          <w:sz w:val="32"/>
          <w:szCs w:val="32"/>
          <w:highlight w:val="none"/>
          <w:lang w:val="en-US" w:eastAsia="zh-CN"/>
        </w:rPr>
        <w:t>[</w:t>
      </w:r>
      <w:r>
        <w:rPr>
          <w:rStyle w:val="22"/>
          <w:rFonts w:hint="eastAsia" w:ascii="仿宋_GB2312" w:hAnsi="仿宋_GB2312" w:eastAsia="仿宋_GB2312" w:cs="仿宋_GB2312"/>
          <w:b w:val="0"/>
          <w:bCs w:val="0"/>
          <w:sz w:val="32"/>
          <w:szCs w:val="32"/>
          <w:highlight w:val="none"/>
          <w:lang w:val="en-US" w:eastAsia="zh-CN"/>
        </w:rPr>
        <w:footnoteReference w:id="4"/>
      </w:r>
      <w:r>
        <w:rPr>
          <w:rStyle w:val="22"/>
          <w:rFonts w:hint="eastAsia" w:ascii="仿宋_GB2312" w:hAnsi="仿宋_GB2312" w:eastAsia="仿宋_GB2312" w:cs="仿宋_GB2312"/>
          <w:b w:val="0"/>
          <w:bCs w:val="0"/>
          <w:sz w:val="32"/>
          <w:szCs w:val="32"/>
          <w:highlight w:val="none"/>
          <w:lang w:val="en-US" w:eastAsia="zh-CN"/>
        </w:rPr>
        <w:t>]</w:t>
      </w:r>
      <w:r>
        <w:rPr>
          <w:rFonts w:hint="eastAsia" w:ascii="仿宋_GB2312" w:hAnsi="仿宋_GB2312" w:eastAsia="仿宋_GB2312" w:cs="仿宋_GB2312"/>
          <w:b w:val="0"/>
          <w:bCs w:val="0"/>
          <w:sz w:val="32"/>
          <w:szCs w:val="32"/>
          <w:highlight w:val="none"/>
          <w:lang w:val="en-US" w:eastAsia="zh-CN"/>
        </w:rPr>
        <w:t>从事建筑施工活动；</w:t>
      </w:r>
      <w:r>
        <w:rPr>
          <w:rFonts w:hint="eastAsia" w:ascii="仿宋_GB2312" w:hAnsi="仿宋_GB2312" w:eastAsia="仿宋_GB2312" w:cs="仿宋_GB2312"/>
          <w:b/>
          <w:bCs/>
          <w:color w:val="auto"/>
          <w:sz w:val="32"/>
          <w:szCs w:val="32"/>
          <w:highlight w:val="none"/>
          <w:lang w:val="en-US" w:eastAsia="zh-CN"/>
        </w:rPr>
        <w:t>二是</w:t>
      </w:r>
      <w:r>
        <w:rPr>
          <w:rFonts w:hint="eastAsia" w:ascii="仿宋_GB2312" w:hAnsi="仿宋_GB2312" w:eastAsia="仿宋_GB2312" w:cs="仿宋_GB2312"/>
          <w:b w:val="0"/>
          <w:bCs w:val="0"/>
          <w:color w:val="auto"/>
          <w:sz w:val="32"/>
          <w:szCs w:val="32"/>
          <w:highlight w:val="none"/>
          <w:lang w:val="en-US" w:eastAsia="zh-CN"/>
        </w:rPr>
        <w:t>施工现场安全管理不到位，对工程施工过程中的安全检查和隐患排查治理不到位，未发现并及时制止吴某宏未持特种作业证</w:t>
      </w:r>
      <w:r>
        <w:rPr>
          <w:rStyle w:val="22"/>
          <w:rFonts w:hint="eastAsia" w:ascii="仿宋_GB2312" w:hAnsi="仿宋_GB2312" w:eastAsia="仿宋_GB2312" w:cs="仿宋_GB2312"/>
          <w:b w:val="0"/>
          <w:bCs w:val="0"/>
          <w:color w:val="auto"/>
          <w:sz w:val="32"/>
          <w:szCs w:val="32"/>
          <w:highlight w:val="none"/>
          <w:lang w:val="en-US" w:eastAsia="zh-CN"/>
        </w:rPr>
        <w:t>[</w:t>
      </w:r>
      <w:r>
        <w:rPr>
          <w:rStyle w:val="22"/>
          <w:rFonts w:hint="eastAsia" w:ascii="仿宋_GB2312" w:hAnsi="仿宋_GB2312" w:eastAsia="仿宋_GB2312" w:cs="仿宋_GB2312"/>
          <w:b w:val="0"/>
          <w:bCs w:val="0"/>
          <w:color w:val="auto"/>
          <w:sz w:val="32"/>
          <w:szCs w:val="32"/>
          <w:highlight w:val="none"/>
          <w:lang w:val="en-US" w:eastAsia="zh-CN"/>
        </w:rPr>
        <w:footnoteReference w:id="5"/>
      </w:r>
      <w:r>
        <w:rPr>
          <w:rStyle w:val="22"/>
          <w:rFonts w:hint="eastAsia" w:ascii="仿宋_GB2312" w:hAnsi="仿宋_GB2312" w:eastAsia="仿宋_GB2312" w:cs="仿宋_GB2312"/>
          <w:b w:val="0"/>
          <w:bCs w:val="0"/>
          <w:color w:val="auto"/>
          <w:sz w:val="32"/>
          <w:szCs w:val="32"/>
          <w:highlight w:val="none"/>
          <w:lang w:val="en-US" w:eastAsia="zh-CN"/>
        </w:rPr>
        <w:t>]</w:t>
      </w:r>
      <w:r>
        <w:rPr>
          <w:rFonts w:hint="eastAsia" w:ascii="仿宋_GB2312" w:hAnsi="仿宋_GB2312" w:eastAsia="仿宋_GB2312" w:cs="仿宋_GB2312"/>
          <w:b w:val="0"/>
          <w:bCs w:val="0"/>
          <w:color w:val="auto"/>
          <w:sz w:val="32"/>
          <w:szCs w:val="32"/>
          <w:highlight w:val="none"/>
          <w:lang w:val="en-US" w:eastAsia="zh-CN"/>
        </w:rPr>
        <w:t>就从事高空作业的行为；</w:t>
      </w:r>
      <w:r>
        <w:rPr>
          <w:rFonts w:hint="eastAsia" w:ascii="仿宋_GB2312" w:hAnsi="仿宋_GB2312" w:eastAsia="仿宋_GB2312" w:cs="仿宋_GB2312"/>
          <w:b/>
          <w:bCs/>
          <w:sz w:val="32"/>
          <w:szCs w:val="32"/>
          <w:highlight w:val="none"/>
          <w:lang w:val="en-US" w:eastAsia="zh-CN"/>
        </w:rPr>
        <w:t>三是</w:t>
      </w:r>
      <w:r>
        <w:rPr>
          <w:rFonts w:hint="eastAsia" w:ascii="仿宋_GB2312" w:hAnsi="仿宋_GB2312" w:eastAsia="仿宋_GB2312" w:cs="仿宋_GB2312"/>
          <w:b w:val="0"/>
          <w:bCs w:val="0"/>
          <w:color w:val="auto"/>
          <w:sz w:val="32"/>
          <w:szCs w:val="32"/>
          <w:highlight w:val="none"/>
          <w:lang w:val="en-US" w:eastAsia="zh-CN"/>
        </w:rPr>
        <w:t>安排未</w:t>
      </w:r>
      <w:r>
        <w:rPr>
          <w:rFonts w:hint="eastAsia" w:ascii="仿宋_GB2312" w:hAnsi="仿宋_GB2312" w:eastAsia="仿宋_GB2312" w:cs="仿宋_GB2312"/>
          <w:b w:val="0"/>
          <w:bCs w:val="0"/>
          <w:sz w:val="32"/>
          <w:szCs w:val="32"/>
          <w:highlight w:val="none"/>
          <w:lang w:val="en-US" w:eastAsia="zh-CN"/>
        </w:rPr>
        <w:t>经建设行政主管部门或者其他有关部门考核合格后的方某夫作为专职安全管理人员</w:t>
      </w:r>
      <w:r>
        <w:rPr>
          <w:rStyle w:val="22"/>
          <w:rFonts w:hint="eastAsia" w:ascii="仿宋_GB2312" w:hAnsi="仿宋_GB2312" w:eastAsia="仿宋_GB2312" w:cs="仿宋_GB2312"/>
          <w:b w:val="0"/>
          <w:bCs w:val="0"/>
          <w:sz w:val="32"/>
          <w:szCs w:val="32"/>
          <w:highlight w:val="none"/>
          <w:lang w:val="en-US" w:eastAsia="zh-CN"/>
        </w:rPr>
        <w:t>[</w:t>
      </w:r>
      <w:r>
        <w:rPr>
          <w:rStyle w:val="22"/>
          <w:rFonts w:hint="eastAsia" w:ascii="仿宋_GB2312" w:hAnsi="仿宋_GB2312" w:eastAsia="仿宋_GB2312" w:cs="仿宋_GB2312"/>
          <w:b w:val="0"/>
          <w:bCs w:val="0"/>
          <w:sz w:val="32"/>
          <w:szCs w:val="32"/>
          <w:highlight w:val="none"/>
          <w:lang w:val="en-US" w:eastAsia="zh-CN"/>
        </w:rPr>
        <w:footnoteReference w:id="6"/>
      </w:r>
      <w:r>
        <w:rPr>
          <w:rStyle w:val="22"/>
          <w:rFonts w:hint="eastAsia" w:ascii="仿宋_GB2312" w:hAnsi="仿宋_GB2312" w:eastAsia="仿宋_GB2312" w:cs="仿宋_GB2312"/>
          <w:b w:val="0"/>
          <w:bCs w:val="0"/>
          <w:sz w:val="32"/>
          <w:szCs w:val="32"/>
          <w:highlight w:val="none"/>
          <w:lang w:val="en-US" w:eastAsia="zh-CN"/>
        </w:rPr>
        <w:t>]</w:t>
      </w:r>
      <w:r>
        <w:rPr>
          <w:rFonts w:hint="eastAsia" w:ascii="仿宋_GB2312" w:hAnsi="仿宋_GB2312" w:eastAsia="仿宋_GB2312" w:cs="仿宋_GB2312"/>
          <w:b w:val="0"/>
          <w:bCs w:val="0"/>
          <w:sz w:val="32"/>
          <w:szCs w:val="32"/>
          <w:highlight w:val="none"/>
          <w:lang w:val="en-US" w:eastAsia="zh-CN"/>
        </w:rPr>
        <w:t>；</w:t>
      </w:r>
      <w:r>
        <w:rPr>
          <w:rFonts w:hint="eastAsia" w:ascii="仿宋_GB2312" w:hAnsi="仿宋_GB2312" w:eastAsia="仿宋_GB2312" w:cs="仿宋_GB2312"/>
          <w:b/>
          <w:bCs/>
          <w:sz w:val="32"/>
          <w:szCs w:val="32"/>
          <w:highlight w:val="none"/>
          <w:lang w:val="en-US" w:eastAsia="zh-CN"/>
        </w:rPr>
        <w:t>四是</w:t>
      </w:r>
      <w:r>
        <w:rPr>
          <w:rFonts w:hint="eastAsia" w:ascii="仿宋_GB2312" w:hAnsi="仿宋_GB2312" w:eastAsia="仿宋_GB2312" w:cs="仿宋_GB2312"/>
          <w:b w:val="0"/>
          <w:bCs w:val="0"/>
          <w:sz w:val="32"/>
          <w:szCs w:val="32"/>
          <w:highlight w:val="none"/>
          <w:lang w:val="en-US" w:eastAsia="zh-CN"/>
        </w:rPr>
        <w:t>未能有效监督施工现场高空作业人员正确使用劳保用品</w:t>
      </w:r>
      <w:r>
        <w:rPr>
          <w:rStyle w:val="22"/>
          <w:rFonts w:hint="eastAsia" w:ascii="仿宋_GB2312" w:hAnsi="仿宋_GB2312" w:eastAsia="仿宋_GB2312" w:cs="仿宋_GB2312"/>
          <w:b w:val="0"/>
          <w:bCs w:val="0"/>
          <w:sz w:val="32"/>
          <w:szCs w:val="32"/>
          <w:highlight w:val="none"/>
          <w:lang w:val="en-US" w:eastAsia="zh-CN"/>
        </w:rPr>
        <w:t>[</w:t>
      </w:r>
      <w:r>
        <w:rPr>
          <w:rStyle w:val="22"/>
          <w:rFonts w:hint="eastAsia" w:ascii="仿宋_GB2312" w:hAnsi="仿宋_GB2312" w:eastAsia="仿宋_GB2312" w:cs="仿宋_GB2312"/>
          <w:b w:val="0"/>
          <w:bCs w:val="0"/>
          <w:sz w:val="32"/>
          <w:szCs w:val="32"/>
          <w:highlight w:val="none"/>
          <w:lang w:val="en-US" w:eastAsia="zh-CN"/>
        </w:rPr>
        <w:footnoteReference w:id="7"/>
      </w:r>
      <w:r>
        <w:rPr>
          <w:rStyle w:val="22"/>
          <w:rFonts w:hint="eastAsia" w:ascii="仿宋_GB2312" w:hAnsi="仿宋_GB2312" w:eastAsia="仿宋_GB2312" w:cs="仿宋_GB2312"/>
          <w:b w:val="0"/>
          <w:bCs w:val="0"/>
          <w:sz w:val="32"/>
          <w:szCs w:val="32"/>
          <w:highlight w:val="none"/>
          <w:lang w:val="en-US" w:eastAsia="zh-CN"/>
        </w:rPr>
        <w:t>]</w:t>
      </w:r>
      <w:r>
        <w:rPr>
          <w:rFonts w:hint="eastAsia" w:ascii="仿宋_GB2312" w:hAnsi="仿宋_GB2312" w:eastAsia="仿宋_GB2312" w:cs="仿宋_GB2312"/>
          <w:b w:val="0"/>
          <w:bCs w:val="0"/>
          <w:sz w:val="32"/>
          <w:szCs w:val="32"/>
          <w:highlight w:val="none"/>
          <w:lang w:val="en-US" w:eastAsia="zh-CN"/>
        </w:rPr>
        <w:t>；</w:t>
      </w:r>
      <w:r>
        <w:rPr>
          <w:rFonts w:hint="eastAsia" w:ascii="仿宋_GB2312" w:hAnsi="仿宋_GB2312" w:eastAsia="仿宋_GB2312" w:cs="仿宋_GB2312"/>
          <w:b/>
          <w:bCs/>
          <w:sz w:val="32"/>
          <w:szCs w:val="32"/>
          <w:highlight w:val="none"/>
          <w:lang w:val="en-US" w:eastAsia="zh-CN"/>
        </w:rPr>
        <w:t>五是</w:t>
      </w:r>
      <w:r>
        <w:rPr>
          <w:rFonts w:hint="eastAsia" w:ascii="仿宋_GB2312" w:hAnsi="仿宋_GB2312" w:eastAsia="仿宋_GB2312" w:cs="仿宋_GB2312"/>
          <w:b w:val="0"/>
          <w:bCs w:val="0"/>
          <w:sz w:val="32"/>
          <w:szCs w:val="32"/>
          <w:highlight w:val="none"/>
          <w:lang w:val="en-US" w:eastAsia="zh-CN"/>
        </w:rPr>
        <w:t>未在有较大危险因素的石棉瓦屋面设置明显的安全警示标志</w:t>
      </w:r>
      <w:r>
        <w:rPr>
          <w:rStyle w:val="22"/>
          <w:rFonts w:hint="eastAsia" w:ascii="仿宋_GB2312" w:hAnsi="仿宋_GB2312" w:eastAsia="仿宋_GB2312" w:cs="仿宋_GB2312"/>
          <w:b w:val="0"/>
          <w:bCs w:val="0"/>
          <w:sz w:val="32"/>
          <w:szCs w:val="32"/>
          <w:highlight w:val="none"/>
          <w:lang w:val="en-US" w:eastAsia="zh-CN"/>
        </w:rPr>
        <w:t>[</w:t>
      </w:r>
      <w:r>
        <w:rPr>
          <w:rStyle w:val="22"/>
          <w:rFonts w:hint="eastAsia" w:ascii="仿宋_GB2312" w:hAnsi="仿宋_GB2312" w:eastAsia="仿宋_GB2312" w:cs="仿宋_GB2312"/>
          <w:b w:val="0"/>
          <w:bCs w:val="0"/>
          <w:sz w:val="32"/>
          <w:szCs w:val="32"/>
          <w:highlight w:val="none"/>
          <w:lang w:val="en-US" w:eastAsia="zh-CN"/>
        </w:rPr>
        <w:footnoteReference w:id="8"/>
      </w:r>
      <w:r>
        <w:rPr>
          <w:rStyle w:val="22"/>
          <w:rFonts w:hint="eastAsia" w:ascii="仿宋_GB2312" w:hAnsi="仿宋_GB2312" w:eastAsia="仿宋_GB2312" w:cs="仿宋_GB2312"/>
          <w:b w:val="0"/>
          <w:bCs w:val="0"/>
          <w:sz w:val="32"/>
          <w:szCs w:val="32"/>
          <w:highlight w:val="none"/>
          <w:lang w:val="en-US" w:eastAsia="zh-CN"/>
        </w:rPr>
        <w:t>]</w:t>
      </w:r>
      <w:r>
        <w:rPr>
          <w:rFonts w:hint="eastAsia" w:ascii="仿宋_GB2312" w:hAnsi="仿宋_GB2312" w:eastAsia="仿宋_GB2312" w:cs="仿宋_GB2312"/>
          <w:b w:val="0"/>
          <w:bCs w:val="0"/>
          <w:sz w:val="32"/>
          <w:szCs w:val="32"/>
          <w:highlight w:val="none"/>
          <w:lang w:val="en-US" w:eastAsia="zh-CN"/>
        </w:rPr>
        <w:t>；</w:t>
      </w:r>
      <w:r>
        <w:rPr>
          <w:rFonts w:hint="eastAsia" w:ascii="仿宋_GB2312" w:hAnsi="仿宋_GB2312" w:eastAsia="仿宋_GB2312" w:cs="仿宋_GB2312"/>
          <w:b/>
          <w:bCs/>
          <w:sz w:val="32"/>
          <w:szCs w:val="32"/>
          <w:highlight w:val="none"/>
          <w:lang w:val="en-US" w:eastAsia="zh-CN"/>
        </w:rPr>
        <w:t>六是</w:t>
      </w:r>
      <w:r>
        <w:rPr>
          <w:rFonts w:hint="eastAsia" w:ascii="仿宋_GB2312" w:hAnsi="仿宋_GB2312" w:eastAsia="仿宋_GB2312" w:cs="仿宋_GB2312"/>
          <w:b w:val="0"/>
          <w:bCs w:val="0"/>
          <w:sz w:val="32"/>
          <w:szCs w:val="32"/>
          <w:highlight w:val="none"/>
          <w:lang w:val="en-US" w:eastAsia="zh-CN"/>
        </w:rPr>
        <w:t>对从业人员的培训教育流于形式</w:t>
      </w:r>
      <w:r>
        <w:rPr>
          <w:rStyle w:val="22"/>
          <w:rFonts w:hint="eastAsia" w:ascii="仿宋_GB2312" w:hAnsi="仿宋_GB2312" w:eastAsia="仿宋_GB2312" w:cs="仿宋_GB2312"/>
          <w:b w:val="0"/>
          <w:bCs w:val="0"/>
          <w:sz w:val="32"/>
          <w:szCs w:val="32"/>
          <w:highlight w:val="none"/>
          <w:lang w:val="en-US" w:eastAsia="zh-CN"/>
        </w:rPr>
        <w:t>[</w:t>
      </w:r>
      <w:r>
        <w:rPr>
          <w:rStyle w:val="22"/>
          <w:rFonts w:hint="eastAsia" w:ascii="仿宋_GB2312" w:hAnsi="仿宋_GB2312" w:eastAsia="仿宋_GB2312" w:cs="仿宋_GB2312"/>
          <w:b w:val="0"/>
          <w:bCs w:val="0"/>
          <w:sz w:val="32"/>
          <w:szCs w:val="32"/>
          <w:highlight w:val="none"/>
          <w:lang w:val="en-US" w:eastAsia="zh-CN"/>
        </w:rPr>
        <w:footnoteReference w:id="9"/>
      </w:r>
      <w:r>
        <w:rPr>
          <w:rStyle w:val="22"/>
          <w:rFonts w:hint="eastAsia" w:ascii="仿宋_GB2312" w:hAnsi="仿宋_GB2312" w:eastAsia="仿宋_GB2312" w:cs="仿宋_GB2312"/>
          <w:b w:val="0"/>
          <w:bCs w:val="0"/>
          <w:sz w:val="32"/>
          <w:szCs w:val="32"/>
          <w:highlight w:val="none"/>
          <w:lang w:val="en-US" w:eastAsia="zh-CN"/>
        </w:rPr>
        <w:t>]</w:t>
      </w:r>
      <w:r>
        <w:rPr>
          <w:rFonts w:hint="eastAsia" w:ascii="仿宋_GB2312" w:hAnsi="仿宋_GB2312" w:eastAsia="仿宋_GB2312" w:cs="仿宋_GB2312"/>
          <w:b w:val="0"/>
          <w:bCs w:val="0"/>
          <w:sz w:val="32"/>
          <w:szCs w:val="32"/>
          <w:highlight w:val="none"/>
          <w:lang w:val="en-US" w:eastAsia="zh-CN"/>
        </w:rPr>
        <w:t>，安排仅培训2个学时的从业人员参与翻新工程的施工作业</w:t>
      </w:r>
      <w:r>
        <w:rPr>
          <w:rStyle w:val="22"/>
          <w:rFonts w:hint="eastAsia" w:ascii="仿宋_GB2312" w:hAnsi="仿宋_GB2312" w:eastAsia="仿宋_GB2312" w:cs="仿宋_GB2312"/>
          <w:b w:val="0"/>
          <w:bCs w:val="0"/>
          <w:sz w:val="32"/>
          <w:szCs w:val="32"/>
          <w:highlight w:val="none"/>
          <w:lang w:val="en-US" w:eastAsia="zh-CN"/>
        </w:rPr>
        <w:t>[</w:t>
      </w:r>
      <w:r>
        <w:rPr>
          <w:rStyle w:val="22"/>
          <w:rFonts w:hint="eastAsia" w:ascii="仿宋_GB2312" w:hAnsi="仿宋_GB2312" w:eastAsia="仿宋_GB2312" w:cs="仿宋_GB2312"/>
          <w:b w:val="0"/>
          <w:bCs w:val="0"/>
          <w:sz w:val="32"/>
          <w:szCs w:val="32"/>
          <w:highlight w:val="none"/>
          <w:lang w:val="en-US" w:eastAsia="zh-CN"/>
        </w:rPr>
        <w:footnoteReference w:id="10"/>
      </w:r>
      <w:r>
        <w:rPr>
          <w:rStyle w:val="22"/>
          <w:rFonts w:hint="eastAsia" w:ascii="仿宋_GB2312" w:hAnsi="仿宋_GB2312" w:eastAsia="仿宋_GB2312" w:cs="仿宋_GB2312"/>
          <w:b w:val="0"/>
          <w:bCs w:val="0"/>
          <w:sz w:val="32"/>
          <w:szCs w:val="32"/>
          <w:highlight w:val="none"/>
          <w:lang w:val="en-US" w:eastAsia="zh-CN"/>
        </w:rPr>
        <w:t>]</w:t>
      </w:r>
      <w:r>
        <w:rPr>
          <w:rFonts w:hint="eastAsia" w:ascii="仿宋_GB2312" w:hAnsi="仿宋_GB2312" w:eastAsia="仿宋_GB2312" w:cs="仿宋_GB2312"/>
          <w:b w:val="0"/>
          <w:bCs w:val="0"/>
          <w:sz w:val="32"/>
          <w:szCs w:val="32"/>
          <w:highlight w:val="none"/>
          <w:lang w:val="en-US" w:eastAsia="zh-CN"/>
        </w:rPr>
        <w:t>；</w:t>
      </w:r>
      <w:r>
        <w:rPr>
          <w:rFonts w:hint="eastAsia" w:ascii="仿宋_GB2312" w:hAnsi="仿宋_GB2312" w:eastAsia="仿宋_GB2312" w:cs="仿宋_GB2312"/>
          <w:b/>
          <w:bCs/>
          <w:sz w:val="32"/>
          <w:szCs w:val="32"/>
          <w:highlight w:val="none"/>
          <w:lang w:val="en-US" w:eastAsia="zh-CN"/>
        </w:rPr>
        <w:t>七是</w:t>
      </w:r>
      <w:r>
        <w:rPr>
          <w:rFonts w:hint="eastAsia" w:ascii="仿宋_GB2312" w:hAnsi="仿宋_GB2312" w:eastAsia="仿宋_GB2312" w:cs="仿宋_GB2312"/>
          <w:b w:val="0"/>
          <w:bCs w:val="0"/>
          <w:sz w:val="32"/>
          <w:szCs w:val="32"/>
          <w:highlight w:val="none"/>
          <w:lang w:val="en-US" w:eastAsia="zh-CN"/>
        </w:rPr>
        <w:t>未严格按照其与新大明公司签署的协议和承包合同来施工作业。</w:t>
      </w:r>
    </w:p>
    <w:p w14:paraId="0EBD840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业主方新大明公司安全生产主体责任不落实，对工程施工过程中的安全检查和隐患排查治理不到位，没有把翻新工程依法发包给有相应资质的施工单位，未对宏诚公司后期进入本公司施工作业的从业人员进行资质查验，对宏诚公司的监督监管只停留在施工现场、施工质量层面，未进一步对宏诚公司的安全生产工作进行统一协调、管理。</w:t>
      </w:r>
    </w:p>
    <w:p w14:paraId="1320F238">
      <w:pPr>
        <w:pStyle w:val="7"/>
        <w:keepNext w:val="0"/>
        <w:keepLines w:val="0"/>
        <w:pageBreakBefore w:val="0"/>
        <w:widowControl w:val="0"/>
        <w:kinsoku/>
        <w:wordWrap/>
        <w:overflowPunct/>
        <w:topLinePunct w:val="0"/>
        <w:autoSpaceDE/>
        <w:autoSpaceDN/>
        <w:bidi w:val="0"/>
        <w:adjustRightInd/>
        <w:snapToGrid/>
        <w:spacing w:beforeAutospacing="0" w:after="0" w:afterAutospacing="0" w:line="560" w:lineRule="exact"/>
        <w:ind w:left="0" w:leftChars="0" w:right="0" w:rightChars="0" w:firstLine="640"/>
        <w:textAlignment w:val="auto"/>
        <w:outlineLvl w:val="9"/>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b w:val="0"/>
          <w:bCs/>
          <w:sz w:val="32"/>
          <w:szCs w:val="32"/>
        </w:rPr>
        <w:t>（</w:t>
      </w:r>
      <w:r>
        <w:rPr>
          <w:rFonts w:hint="eastAsia" w:ascii="楷体_GB2312" w:hAnsi="楷体_GB2312" w:eastAsia="楷体_GB2312" w:cs="楷体_GB2312"/>
          <w:b w:val="0"/>
          <w:bCs/>
          <w:sz w:val="32"/>
          <w:szCs w:val="32"/>
          <w:lang w:val="en-US" w:eastAsia="zh-CN"/>
        </w:rPr>
        <w:t>三</w:t>
      </w:r>
      <w:r>
        <w:rPr>
          <w:rFonts w:hint="eastAsia" w:ascii="楷体_GB2312" w:hAnsi="楷体_GB2312" w:eastAsia="楷体_GB2312" w:cs="楷体_GB2312"/>
          <w:b w:val="0"/>
          <w:bCs/>
          <w:sz w:val="32"/>
          <w:szCs w:val="32"/>
        </w:rPr>
        <w:t>）</w:t>
      </w:r>
      <w:r>
        <w:rPr>
          <w:rFonts w:hint="eastAsia" w:ascii="楷体_GB2312" w:hAnsi="楷体_GB2312" w:eastAsia="楷体_GB2312" w:cs="楷体_GB2312"/>
          <w:b w:val="0"/>
          <w:bCs/>
          <w:sz w:val="32"/>
          <w:szCs w:val="32"/>
          <w:lang w:val="en-US" w:eastAsia="zh-CN"/>
        </w:rPr>
        <w:t>事故的机理分析</w:t>
      </w:r>
    </w:p>
    <w:p w14:paraId="267322CC">
      <w:pPr>
        <w:pStyle w:val="7"/>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bCs/>
          <w:sz w:val="32"/>
          <w:szCs w:val="32"/>
          <w:lang w:val="en-US" w:eastAsia="zh-CN"/>
        </w:rPr>
        <w:t>1.波浪型石棉瓦屋面破坏机理分析。</w:t>
      </w:r>
      <w:r>
        <w:rPr>
          <w:rFonts w:hint="eastAsia" w:ascii="仿宋_GB2312" w:hAnsi="仿宋_GB2312" w:eastAsia="仿宋_GB2312" w:cs="仿宋_GB2312"/>
          <w:b w:val="0"/>
          <w:bCs w:val="0"/>
          <w:kern w:val="2"/>
          <w:sz w:val="32"/>
          <w:szCs w:val="32"/>
          <w:lang w:val="en-US" w:eastAsia="zh-CN" w:bidi="ar-SA"/>
        </w:rPr>
        <w:t>人体自重单脚动荷载冲向脆性的波浪形石棉瓦面，固定石棉瓦屋面的螺丝孔应力集中超过石棉瓦的承受力而开裂，因石棉瓦脆的特性，裂缝沿屋面桁条支承方向在瞬间开裂断开，在屋面斜向推力作用和石棉瓦弯曲拉力，断裂这部分石棉瓦快速向下滑，上端脱离桁条成为自由端，人以自由落体方式坠落到约10.9米高的吊车梁上面弹出而坠落到地面受伤过重而死亡。</w:t>
      </w:r>
    </w:p>
    <w:p w14:paraId="15E2785F">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仿宋_GB2312" w:hAnsi="仿宋_GB2312" w:eastAsia="仿宋_GB2312" w:cs="仿宋_GB2312"/>
          <w:b w:val="0"/>
          <w:bCs w:val="0"/>
          <w:kern w:val="2"/>
          <w:sz w:val="32"/>
          <w:szCs w:val="32"/>
          <w:lang w:val="en-US" w:eastAsia="zh-CN" w:bidi="ar-SA"/>
        </w:rPr>
      </w:pPr>
      <w:r>
        <w:rPr>
          <w:rFonts w:hint="default" w:ascii="仿宋_GB2312" w:hAnsi="仿宋_GB2312" w:eastAsia="仿宋_GB2312" w:cs="仿宋_GB2312"/>
          <w:b w:val="0"/>
          <w:bCs w:val="0"/>
          <w:kern w:val="2"/>
          <w:sz w:val="32"/>
          <w:szCs w:val="32"/>
          <w:lang w:eastAsia="zh-CN" w:bidi="ar-SA"/>
        </w:rPr>
        <w:t>（1）</w:t>
      </w:r>
      <w:r>
        <w:rPr>
          <w:rFonts w:hint="eastAsia" w:ascii="仿宋_GB2312" w:hAnsi="仿宋_GB2312" w:eastAsia="仿宋_GB2312" w:cs="仿宋_GB2312"/>
          <w:b w:val="0"/>
          <w:bCs w:val="0"/>
          <w:kern w:val="2"/>
          <w:sz w:val="32"/>
          <w:szCs w:val="32"/>
          <w:lang w:val="en-US" w:eastAsia="zh-CN" w:bidi="ar-SA"/>
        </w:rPr>
        <w:t>事故者是成年人，成年人重量应在50～90kg，本次事故吴某宏是男性重量应在70kg左右。</w:t>
      </w:r>
    </w:p>
    <w:p w14:paraId="29383F0F">
      <w:pPr>
        <w:keepNext w:val="0"/>
        <w:keepLines w:val="0"/>
        <w:pageBreakBefore w:val="0"/>
        <w:widowControl w:val="0"/>
        <w:kinsoku/>
        <w:wordWrap/>
        <w:overflowPunct/>
        <w:topLinePunct w:val="0"/>
        <w:autoSpaceDE/>
        <w:autoSpaceDN/>
        <w:bidi w:val="0"/>
        <w:adjustRightInd/>
        <w:snapToGrid/>
        <w:spacing w:line="560" w:lineRule="exact"/>
        <w:ind w:right="0" w:rightChars="0"/>
        <w:jc w:val="both"/>
        <w:textAlignment w:val="auto"/>
        <w:outlineLvl w:val="9"/>
        <w:rPr>
          <w:rFonts w:hint="default"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 xml:space="preserve">    （2）现场发现每件石棉瓦有三个螺丝位，当石棉瓦受</w:t>
      </w:r>
    </w:p>
    <w:p w14:paraId="54750792">
      <w:pPr>
        <w:keepNext w:val="0"/>
        <w:keepLines w:val="0"/>
        <w:pageBreakBefore w:val="0"/>
        <w:widowControl w:val="0"/>
        <w:kinsoku/>
        <w:wordWrap/>
        <w:overflowPunct/>
        <w:topLinePunct w:val="0"/>
        <w:autoSpaceDE/>
        <w:autoSpaceDN/>
        <w:bidi w:val="0"/>
        <w:adjustRightInd/>
        <w:snapToGrid/>
        <w:spacing w:line="560" w:lineRule="exact"/>
        <w:ind w:right="0" w:rightChars="0"/>
        <w:jc w:val="both"/>
        <w:textAlignment w:val="auto"/>
        <w:outlineLvl w:val="9"/>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70kg动荷载冲击力作用下，螺丝孔的应力集中远大于其承受</w:t>
      </w:r>
    </w:p>
    <w:p w14:paraId="6502CDEF">
      <w:pPr>
        <w:keepNext w:val="0"/>
        <w:keepLines w:val="0"/>
        <w:pageBreakBefore w:val="0"/>
        <w:widowControl w:val="0"/>
        <w:kinsoku/>
        <w:wordWrap/>
        <w:overflowPunct/>
        <w:topLinePunct w:val="0"/>
        <w:autoSpaceDE/>
        <w:autoSpaceDN/>
        <w:bidi w:val="0"/>
        <w:adjustRightInd/>
        <w:snapToGrid/>
        <w:spacing w:line="560" w:lineRule="exact"/>
        <w:ind w:right="0" w:rightChars="0"/>
        <w:jc w:val="both"/>
        <w:textAlignment w:val="auto"/>
        <w:outlineLvl w:val="9"/>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能力而首先开裂，脆性的石棉瓦在螺丝孔裂缝的带动下整块石棉瓦沿支座受力较大方向迅速断裂。</w:t>
      </w:r>
    </w:p>
    <w:p w14:paraId="7E081A33">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（3）斜向排水的石棉瓦屋面在人体重作用下有一个向下滑的推力和950mm跨度的石棉瓦产生弯曲而直线长度减少，在断开下方（事故孔）的石棉瓦快速脱离桁条而成为自由构件与人体一起迅速坠下。</w:t>
      </w:r>
    </w:p>
    <w:p w14:paraId="167D91D8">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（4）当吴某宏垂直坠下到吊车梁时，被吊车梁弹出而坠落地面。</w:t>
      </w:r>
    </w:p>
    <w:p w14:paraId="7C24A21E">
      <w:pPr>
        <w:pStyle w:val="7"/>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楷体" w:hAnsi="楷体" w:eastAsia="楷体" w:cs="楷体"/>
          <w:b w:val="0"/>
          <w:bCs/>
          <w:sz w:val="32"/>
          <w:szCs w:val="32"/>
        </w:rPr>
      </w:pPr>
      <w:r>
        <w:rPr>
          <w:rFonts w:hint="eastAsia" w:ascii="仿宋_GB2312" w:hAnsi="仿宋_GB2312" w:eastAsia="仿宋_GB2312" w:cs="仿宋_GB2312"/>
          <w:b/>
          <w:bCs/>
          <w:sz w:val="32"/>
          <w:szCs w:val="32"/>
          <w:lang w:val="en-US" w:eastAsia="zh-CN"/>
        </w:rPr>
        <w:t>2.事故者下坠地面情形分析</w:t>
      </w:r>
      <w:r>
        <w:rPr>
          <w:rFonts w:hint="eastAsia" w:ascii="仿宋_GB2312" w:hAnsi="仿宋_GB2312" w:eastAsia="仿宋_GB2312" w:cs="仿宋_GB2312"/>
          <w:b w:val="0"/>
          <w:bCs w:val="0"/>
          <w:kern w:val="2"/>
          <w:sz w:val="32"/>
          <w:szCs w:val="32"/>
          <w:lang w:val="en-US" w:eastAsia="zh-CN" w:bidi="ar-SA"/>
        </w:rPr>
        <w:t>石棉瓦受人体动荷冲切击开裂，绑扎在吴某宏身上的安全带没有扣在“生命线”的钢丝绳或其他稳固物上，人在没有任何支撑或拉紧的情况下双脚踏空，最后以自由落体的形从10.9m高处先是碰撞到吊车梁后弹出瞬间坠落到地面。</w:t>
      </w:r>
    </w:p>
    <w:p w14:paraId="3B859EE9">
      <w:pPr>
        <w:keepNext w:val="0"/>
        <w:keepLines w:val="0"/>
        <w:pageBreakBefore w:val="0"/>
        <w:widowControl w:val="0"/>
        <w:kinsoku/>
        <w:wordWrap/>
        <w:overflowPunct/>
        <w:topLinePunct w:val="0"/>
        <w:autoSpaceDN/>
        <w:bidi w:val="0"/>
        <w:spacing w:line="560" w:lineRule="exact"/>
        <w:ind w:left="0" w:leftChars="0" w:right="0" w:rightChars="0" w:firstLine="629"/>
        <w:textAlignment w:val="auto"/>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五、责任认定和处理建议</w:t>
      </w:r>
    </w:p>
    <w:p w14:paraId="6F7AABF1">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rightChars="0" w:firstLine="640" w:firstLineChars="200"/>
        <w:jc w:val="left"/>
        <w:textAlignment w:val="auto"/>
        <w:rPr>
          <w:rFonts w:hint="eastAsia" w:ascii="楷体_GB2312" w:hAnsi="楷体_GB2312" w:eastAsia="楷体_GB2312" w:cs="楷体_GB2312"/>
          <w:b w:val="0"/>
          <w:bCs w:val="0"/>
          <w:i w:val="0"/>
          <w:iCs w:val="0"/>
          <w:caps w:val="0"/>
          <w:color w:val="auto"/>
          <w:spacing w:val="0"/>
          <w:kern w:val="0"/>
          <w:sz w:val="32"/>
          <w:szCs w:val="32"/>
          <w:highlight w:val="none"/>
          <w:lang w:val="en-US" w:eastAsia="zh-CN" w:bidi="ar-SA"/>
        </w:rPr>
      </w:pPr>
      <w:r>
        <w:rPr>
          <w:rFonts w:hint="eastAsia" w:ascii="楷体_GB2312" w:hAnsi="楷体_GB2312" w:eastAsia="楷体_GB2312" w:cs="楷体_GB2312"/>
          <w:b w:val="0"/>
          <w:bCs w:val="0"/>
          <w:sz w:val="32"/>
        </w:rPr>
        <w:t>（一）</w:t>
      </w:r>
      <w:r>
        <w:rPr>
          <w:rFonts w:hint="eastAsia" w:ascii="楷体_GB2312" w:hAnsi="楷体_GB2312" w:eastAsia="楷体_GB2312" w:cs="楷体_GB2312"/>
          <w:b w:val="0"/>
          <w:bCs w:val="0"/>
          <w:sz w:val="32"/>
          <w:szCs w:val="32"/>
          <w:lang w:val="en-US" w:eastAsia="zh-CN"/>
        </w:rPr>
        <w:t>建议免予追究责任人员</w:t>
      </w:r>
    </w:p>
    <w:p w14:paraId="459E601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b w:val="0"/>
          <w:bCs w:val="0"/>
          <w:i w:val="0"/>
          <w:iCs w:val="0"/>
          <w:caps w:val="0"/>
          <w:color w:val="auto"/>
          <w:spacing w:val="0"/>
          <w:kern w:val="0"/>
          <w:sz w:val="32"/>
          <w:szCs w:val="32"/>
          <w:highlight w:val="none"/>
          <w:lang w:val="en-US" w:eastAsia="zh-CN" w:bidi="ar-SA"/>
        </w:rPr>
      </w:pPr>
      <w:r>
        <w:rPr>
          <w:rFonts w:hint="eastAsia" w:ascii="仿宋_GB2312" w:hAnsi="仿宋_GB2312" w:eastAsia="仿宋_GB2312" w:cs="仿宋_GB2312"/>
          <w:b w:val="0"/>
          <w:bCs w:val="0"/>
          <w:i w:val="0"/>
          <w:iCs w:val="0"/>
          <w:caps w:val="0"/>
          <w:color w:val="auto"/>
          <w:spacing w:val="0"/>
          <w:kern w:val="0"/>
          <w:sz w:val="32"/>
          <w:szCs w:val="32"/>
          <w:highlight w:val="none"/>
          <w:lang w:val="en-US" w:eastAsia="zh-CN" w:bidi="ar-SA"/>
        </w:rPr>
        <w:t>吴某宏，在进行高处作业时，未持特种作业证上岗作业，身上虽有佩戴安全绳，但在距离基准地面12.5米的屋面上施工作业时没有将安全带扣上“钢丝安全绳”或其他固定物上的情况下，偏离屋面排水槽在石棉瓦屋面上走动</w:t>
      </w:r>
      <w:r>
        <w:rPr>
          <w:rFonts w:hint="default" w:ascii="仿宋_GB2312" w:hAnsi="仿宋_GB2312" w:eastAsia="仿宋_GB2312" w:cs="仿宋_GB2312"/>
          <w:b w:val="0"/>
          <w:bCs w:val="0"/>
          <w:i w:val="0"/>
          <w:iCs w:val="0"/>
          <w:caps w:val="0"/>
          <w:color w:val="auto"/>
          <w:spacing w:val="0"/>
          <w:kern w:val="0"/>
          <w:sz w:val="32"/>
          <w:szCs w:val="32"/>
          <w:highlight w:val="none"/>
          <w:lang w:val="en-US" w:eastAsia="zh-CN" w:bidi="ar-SA"/>
        </w:rPr>
        <w:t>，对事故的发生负有直接责任。鉴于其已在事故中死亡，建议免</w:t>
      </w:r>
      <w:r>
        <w:rPr>
          <w:rFonts w:hint="eastAsia" w:ascii="楷体" w:hAnsi="楷体" w:eastAsia="楷体" w:cs="楷体"/>
          <w:b w:val="0"/>
          <w:bCs w:val="0"/>
          <w:sz w:val="32"/>
          <w:szCs w:val="32"/>
          <w:lang w:val="en-US" w:eastAsia="zh-CN"/>
        </w:rPr>
        <w:t>予</w:t>
      </w:r>
      <w:r>
        <w:rPr>
          <w:rFonts w:hint="default" w:ascii="仿宋_GB2312" w:hAnsi="仿宋_GB2312" w:eastAsia="仿宋_GB2312" w:cs="仿宋_GB2312"/>
          <w:b w:val="0"/>
          <w:bCs w:val="0"/>
          <w:i w:val="0"/>
          <w:iCs w:val="0"/>
          <w:caps w:val="0"/>
          <w:color w:val="auto"/>
          <w:spacing w:val="0"/>
          <w:kern w:val="0"/>
          <w:sz w:val="32"/>
          <w:szCs w:val="32"/>
          <w:highlight w:val="none"/>
          <w:lang w:val="en-US" w:eastAsia="zh-CN" w:bidi="ar-SA"/>
        </w:rPr>
        <w:t>追究其责任。</w:t>
      </w:r>
    </w:p>
    <w:p w14:paraId="728C901D">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rightChars="0" w:firstLine="640" w:firstLineChars="200"/>
        <w:jc w:val="left"/>
        <w:textAlignment w:val="auto"/>
        <w:rPr>
          <w:rFonts w:hint="eastAsia" w:ascii="楷体_GB2312" w:hAnsi="楷体_GB2312" w:eastAsia="楷体_GB2312" w:cs="楷体_GB2312"/>
          <w:b w:val="0"/>
          <w:bCs w:val="0"/>
          <w:sz w:val="32"/>
          <w:szCs w:val="32"/>
          <w:lang w:val="en-US" w:eastAsia="zh-CN"/>
        </w:rPr>
      </w:pPr>
      <w:r>
        <w:rPr>
          <w:rFonts w:hint="eastAsia" w:ascii="楷体_GB2312" w:hAnsi="楷体_GB2312" w:eastAsia="楷体_GB2312" w:cs="楷体_GB2312"/>
          <w:b w:val="0"/>
          <w:bCs w:val="0"/>
          <w:sz w:val="32"/>
        </w:rPr>
        <w:t>（</w:t>
      </w:r>
      <w:r>
        <w:rPr>
          <w:rFonts w:hint="eastAsia" w:ascii="楷体_GB2312" w:hAnsi="楷体_GB2312" w:eastAsia="楷体_GB2312" w:cs="楷体_GB2312"/>
          <w:b w:val="0"/>
          <w:bCs w:val="0"/>
          <w:sz w:val="32"/>
          <w:lang w:eastAsia="zh-CN"/>
        </w:rPr>
        <w:t>二</w:t>
      </w:r>
      <w:r>
        <w:rPr>
          <w:rFonts w:hint="eastAsia" w:ascii="楷体_GB2312" w:hAnsi="楷体_GB2312" w:eastAsia="楷体_GB2312" w:cs="楷体_GB2312"/>
          <w:b w:val="0"/>
          <w:bCs w:val="0"/>
          <w:sz w:val="32"/>
        </w:rPr>
        <w:t>）</w:t>
      </w:r>
      <w:r>
        <w:rPr>
          <w:rFonts w:hint="eastAsia" w:ascii="楷体_GB2312" w:hAnsi="楷体_GB2312" w:eastAsia="楷体_GB2312" w:cs="楷体_GB2312"/>
          <w:b w:val="0"/>
          <w:bCs w:val="0"/>
          <w:sz w:val="32"/>
          <w:szCs w:val="32"/>
          <w:lang w:val="en-US" w:eastAsia="zh-CN"/>
        </w:rPr>
        <w:t>建议给予行政处罚的单位及个人</w:t>
      </w:r>
    </w:p>
    <w:p w14:paraId="2D4033F8">
      <w:pPr>
        <w:keepNext w:val="0"/>
        <w:keepLines w:val="0"/>
        <w:pageBreakBefore w:val="0"/>
        <w:widowControl w:val="0"/>
        <w:kinsoku/>
        <w:wordWrap/>
        <w:overflowPunct/>
        <w:topLinePunct w:val="0"/>
        <w:bidi w:val="0"/>
        <w:adjustRightInd/>
        <w:snapToGrid/>
        <w:spacing w:line="560" w:lineRule="exact"/>
        <w:ind w:firstLine="64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color w:val="auto"/>
          <w:sz w:val="32"/>
          <w:szCs w:val="32"/>
          <w:lang w:val="en-US" w:eastAsia="zh-CN"/>
        </w:rPr>
        <w:t>1.</w:t>
      </w:r>
      <w:r>
        <w:rPr>
          <w:rFonts w:hint="eastAsia" w:ascii="仿宋_GB2312" w:hAnsi="仿宋_GB2312" w:eastAsia="仿宋_GB2312" w:cs="仿宋_GB2312"/>
          <w:b/>
          <w:bCs/>
          <w:color w:val="auto"/>
          <w:sz w:val="32"/>
          <w:szCs w:val="32"/>
          <w:lang w:val="en-US" w:eastAsia="zh-CN"/>
        </w:rPr>
        <w:t>宏诚公司</w:t>
      </w:r>
      <w:r>
        <w:rPr>
          <w:rFonts w:hint="eastAsia" w:ascii="仿宋_GB2312" w:hAnsi="仿宋_GB2312" w:eastAsia="仿宋_GB2312" w:cs="仿宋_GB2312"/>
          <w:b w:val="0"/>
          <w:bCs w:val="0"/>
          <w:color w:val="auto"/>
          <w:sz w:val="32"/>
          <w:szCs w:val="32"/>
          <w:lang w:val="en-US" w:eastAsia="zh-CN"/>
        </w:rPr>
        <w:t>作为熔铸车间屋顶和墙</w:t>
      </w:r>
      <w:r>
        <w:rPr>
          <w:rFonts w:hint="eastAsia" w:ascii="仿宋_GB2312" w:hAnsi="仿宋_GB2312" w:eastAsia="仿宋_GB2312" w:cs="仿宋_GB2312"/>
          <w:b w:val="0"/>
          <w:bCs w:val="0"/>
          <w:sz w:val="32"/>
          <w:szCs w:val="32"/>
          <w:lang w:val="en-US" w:eastAsia="zh-CN"/>
        </w:rPr>
        <w:t>体更换翻新工程的施工方，安全生产主体责任不落实，</w:t>
      </w:r>
      <w:r>
        <w:rPr>
          <w:rFonts w:hint="eastAsia" w:ascii="仿宋_GB2312" w:hAnsi="仿宋_GB2312" w:eastAsia="仿宋_GB2312" w:cs="仿宋_GB2312"/>
          <w:b/>
          <w:bCs/>
          <w:sz w:val="32"/>
          <w:szCs w:val="32"/>
          <w:highlight w:val="none"/>
          <w:lang w:val="en-US" w:eastAsia="zh-CN"/>
        </w:rPr>
        <w:t>一是</w:t>
      </w:r>
      <w:r>
        <w:rPr>
          <w:rFonts w:hint="eastAsia" w:ascii="仿宋_GB2312" w:hAnsi="仿宋_GB2312" w:eastAsia="仿宋_GB2312" w:cs="仿宋_GB2312"/>
          <w:b w:val="0"/>
          <w:bCs w:val="0"/>
          <w:sz w:val="32"/>
          <w:szCs w:val="32"/>
          <w:highlight w:val="none"/>
          <w:lang w:val="en-US" w:eastAsia="zh-CN"/>
        </w:rPr>
        <w:t>未持有《建筑业企业资质证书》从事建筑施工活动；</w:t>
      </w:r>
      <w:r>
        <w:rPr>
          <w:rFonts w:hint="eastAsia" w:ascii="仿宋_GB2312" w:hAnsi="仿宋_GB2312" w:eastAsia="仿宋_GB2312" w:cs="仿宋_GB2312"/>
          <w:b/>
          <w:bCs/>
          <w:sz w:val="32"/>
          <w:szCs w:val="32"/>
          <w:highlight w:val="none"/>
          <w:lang w:val="en-US" w:eastAsia="zh-CN"/>
        </w:rPr>
        <w:t>二是</w:t>
      </w:r>
      <w:r>
        <w:rPr>
          <w:rFonts w:hint="eastAsia" w:ascii="仿宋_GB2312" w:hAnsi="仿宋_GB2312" w:eastAsia="仿宋_GB2312" w:cs="仿宋_GB2312"/>
          <w:b w:val="0"/>
          <w:bCs w:val="0"/>
          <w:sz w:val="32"/>
          <w:szCs w:val="32"/>
          <w:highlight w:val="none"/>
          <w:lang w:val="en-US" w:eastAsia="zh-CN"/>
        </w:rPr>
        <w:t>施工现场安全管理不到位，对工程施工过程中的安全检查和隐患排查治理不到位，未发现及时制止吴某宏未持特种作业证就从事高空作业的行为；</w:t>
      </w:r>
      <w:r>
        <w:rPr>
          <w:rFonts w:hint="eastAsia" w:ascii="仿宋_GB2312" w:hAnsi="仿宋_GB2312" w:eastAsia="仿宋_GB2312" w:cs="仿宋_GB2312"/>
          <w:b/>
          <w:bCs/>
          <w:color w:val="auto"/>
          <w:sz w:val="32"/>
          <w:szCs w:val="32"/>
          <w:highlight w:val="none"/>
          <w:lang w:val="en-US" w:eastAsia="zh-CN"/>
        </w:rPr>
        <w:t>三是</w:t>
      </w:r>
      <w:r>
        <w:rPr>
          <w:rFonts w:hint="eastAsia" w:ascii="仿宋_GB2312" w:hAnsi="仿宋_GB2312" w:eastAsia="仿宋_GB2312" w:cs="仿宋_GB2312"/>
          <w:b w:val="0"/>
          <w:bCs w:val="0"/>
          <w:color w:val="auto"/>
          <w:sz w:val="32"/>
          <w:szCs w:val="32"/>
          <w:highlight w:val="none"/>
          <w:lang w:val="en-US" w:eastAsia="zh-CN"/>
        </w:rPr>
        <w:t>安排未经建设行政主管部门或者其他有关部门考核合格后的方某夫作为专职安全管理人员</w:t>
      </w:r>
      <w:r>
        <w:rPr>
          <w:rFonts w:hint="eastAsia" w:ascii="仿宋_GB2312" w:hAnsi="仿宋_GB2312" w:eastAsia="仿宋_GB2312" w:cs="仿宋_GB2312"/>
          <w:b w:val="0"/>
          <w:bCs w:val="0"/>
          <w:sz w:val="32"/>
          <w:szCs w:val="32"/>
          <w:highlight w:val="none"/>
          <w:lang w:val="en-US" w:eastAsia="zh-CN"/>
        </w:rPr>
        <w:t>；</w:t>
      </w:r>
      <w:r>
        <w:rPr>
          <w:rFonts w:hint="eastAsia" w:ascii="仿宋_GB2312" w:hAnsi="仿宋_GB2312" w:eastAsia="仿宋_GB2312" w:cs="仿宋_GB2312"/>
          <w:b/>
          <w:bCs/>
          <w:sz w:val="32"/>
          <w:szCs w:val="32"/>
          <w:highlight w:val="none"/>
          <w:lang w:val="en-US" w:eastAsia="zh-CN"/>
        </w:rPr>
        <w:t>四是</w:t>
      </w:r>
      <w:r>
        <w:rPr>
          <w:rFonts w:hint="eastAsia" w:ascii="仿宋_GB2312" w:hAnsi="仿宋_GB2312" w:eastAsia="仿宋_GB2312" w:cs="仿宋_GB2312"/>
          <w:b w:val="0"/>
          <w:bCs w:val="0"/>
          <w:sz w:val="32"/>
          <w:szCs w:val="32"/>
          <w:highlight w:val="none"/>
          <w:lang w:val="en-US" w:eastAsia="zh-CN"/>
        </w:rPr>
        <w:t>未能有效监督施工现场高空作业人员正确使用劳保用品；</w:t>
      </w:r>
      <w:r>
        <w:rPr>
          <w:rFonts w:hint="eastAsia" w:ascii="仿宋_GB2312" w:hAnsi="仿宋_GB2312" w:eastAsia="仿宋_GB2312" w:cs="仿宋_GB2312"/>
          <w:b/>
          <w:bCs/>
          <w:sz w:val="32"/>
          <w:szCs w:val="32"/>
          <w:highlight w:val="none"/>
          <w:lang w:val="en-US" w:eastAsia="zh-CN"/>
        </w:rPr>
        <w:t>五是</w:t>
      </w:r>
      <w:r>
        <w:rPr>
          <w:rFonts w:hint="eastAsia" w:ascii="仿宋_GB2312" w:hAnsi="仿宋_GB2312" w:eastAsia="仿宋_GB2312" w:cs="仿宋_GB2312"/>
          <w:b w:val="0"/>
          <w:bCs w:val="0"/>
          <w:sz w:val="32"/>
          <w:szCs w:val="32"/>
          <w:highlight w:val="none"/>
          <w:lang w:val="en-US" w:eastAsia="zh-CN"/>
        </w:rPr>
        <w:t>未在有较大危险因素的石棉瓦屋面设置警示标志；</w:t>
      </w:r>
      <w:r>
        <w:rPr>
          <w:rFonts w:hint="eastAsia" w:ascii="仿宋_GB2312" w:hAnsi="仿宋_GB2312" w:eastAsia="仿宋_GB2312" w:cs="仿宋_GB2312"/>
          <w:b/>
          <w:bCs/>
          <w:sz w:val="32"/>
          <w:szCs w:val="32"/>
          <w:highlight w:val="none"/>
          <w:lang w:val="en-US" w:eastAsia="zh-CN"/>
        </w:rPr>
        <w:t>六是</w:t>
      </w:r>
      <w:r>
        <w:rPr>
          <w:rFonts w:hint="eastAsia" w:ascii="仿宋_GB2312" w:hAnsi="仿宋_GB2312" w:eastAsia="仿宋_GB2312" w:cs="仿宋_GB2312"/>
          <w:b w:val="0"/>
          <w:bCs w:val="0"/>
          <w:sz w:val="32"/>
          <w:szCs w:val="32"/>
          <w:highlight w:val="none"/>
          <w:lang w:val="en-US" w:eastAsia="zh-CN"/>
        </w:rPr>
        <w:t>对从业人员的培训教育流于形式，仅培训两个小时就参与翻新工程的施工作业；</w:t>
      </w:r>
      <w:r>
        <w:rPr>
          <w:rFonts w:hint="eastAsia" w:ascii="仿宋_GB2312" w:hAnsi="仿宋_GB2312" w:eastAsia="仿宋_GB2312" w:cs="仿宋_GB2312"/>
          <w:b/>
          <w:bCs/>
          <w:sz w:val="32"/>
          <w:szCs w:val="32"/>
          <w:highlight w:val="none"/>
          <w:lang w:val="en-US" w:eastAsia="zh-CN"/>
        </w:rPr>
        <w:t>七是</w:t>
      </w:r>
      <w:r>
        <w:rPr>
          <w:rFonts w:hint="eastAsia" w:ascii="仿宋_GB2312" w:hAnsi="仿宋_GB2312" w:eastAsia="仿宋_GB2312" w:cs="仿宋_GB2312"/>
          <w:b w:val="0"/>
          <w:bCs w:val="0"/>
          <w:sz w:val="32"/>
          <w:szCs w:val="32"/>
          <w:highlight w:val="none"/>
          <w:lang w:val="en-US" w:eastAsia="zh-CN"/>
        </w:rPr>
        <w:t>未严格按照其与新大明公司签署的协议和承包合同来施工作业。宏诚公司</w:t>
      </w:r>
      <w:r>
        <w:rPr>
          <w:rFonts w:hint="eastAsia" w:ascii="仿宋_GB2312" w:hAnsi="仿宋_GB2312" w:eastAsia="仿宋_GB2312" w:cs="仿宋_GB2312"/>
          <w:b w:val="0"/>
          <w:bCs w:val="0"/>
          <w:sz w:val="32"/>
          <w:szCs w:val="32"/>
          <w:lang w:val="en-US" w:eastAsia="zh-CN"/>
        </w:rPr>
        <w:t>对事故发生负有责任，建议由鼎湖区应急管理局根据《中华人民共和国安全生产法》第一百一十四条第一款第（一）项</w:t>
      </w:r>
      <w:r>
        <w:rPr>
          <w:rStyle w:val="22"/>
          <w:rFonts w:hint="eastAsia" w:ascii="仿宋_GB2312" w:hAnsi="仿宋_GB2312" w:eastAsia="仿宋_GB2312" w:cs="仿宋_GB2312"/>
          <w:b w:val="0"/>
          <w:bCs w:val="0"/>
          <w:sz w:val="32"/>
          <w:szCs w:val="32"/>
          <w:lang w:val="en-US" w:eastAsia="zh-CN"/>
        </w:rPr>
        <w:t>[</w:t>
      </w:r>
      <w:r>
        <w:rPr>
          <w:rStyle w:val="22"/>
          <w:rFonts w:hint="eastAsia" w:ascii="仿宋_GB2312" w:hAnsi="仿宋_GB2312" w:eastAsia="仿宋_GB2312" w:cs="仿宋_GB2312"/>
          <w:b w:val="0"/>
          <w:bCs w:val="0"/>
          <w:sz w:val="32"/>
          <w:szCs w:val="32"/>
          <w:lang w:val="en-US" w:eastAsia="zh-CN"/>
        </w:rPr>
        <w:footnoteReference w:id="11"/>
      </w:r>
      <w:r>
        <w:rPr>
          <w:rStyle w:val="22"/>
          <w:rFonts w:hint="eastAsia" w:ascii="仿宋_GB2312" w:hAnsi="仿宋_GB2312" w:eastAsia="仿宋_GB2312" w:cs="仿宋_GB2312"/>
          <w:b w:val="0"/>
          <w:bCs w:val="0"/>
          <w:sz w:val="32"/>
          <w:szCs w:val="32"/>
          <w:lang w:val="en-US" w:eastAsia="zh-CN"/>
        </w:rPr>
        <w:t>]</w:t>
      </w:r>
      <w:r>
        <w:rPr>
          <w:rFonts w:hint="eastAsia" w:ascii="仿宋_GB2312" w:hAnsi="仿宋_GB2312" w:eastAsia="仿宋_GB2312" w:cs="仿宋_GB2312"/>
          <w:b w:val="0"/>
          <w:bCs w:val="0"/>
          <w:sz w:val="32"/>
          <w:szCs w:val="32"/>
          <w:lang w:val="en-US" w:eastAsia="zh-CN"/>
        </w:rPr>
        <w:t>的规定，依法给予行政处罚。</w:t>
      </w:r>
    </w:p>
    <w:p w14:paraId="544FBCB1">
      <w:pPr>
        <w:keepNext w:val="0"/>
        <w:keepLines w:val="0"/>
        <w:pageBreakBefore w:val="0"/>
        <w:widowControl w:val="0"/>
        <w:kinsoku/>
        <w:wordWrap/>
        <w:overflowPunct/>
        <w:topLinePunct w:val="0"/>
        <w:bidi w:val="0"/>
        <w:adjustRightInd/>
        <w:snapToGrid/>
        <w:spacing w:line="560" w:lineRule="exact"/>
        <w:ind w:firstLine="640"/>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sz w:val="32"/>
          <w:szCs w:val="32"/>
          <w:lang w:val="en-US" w:eastAsia="zh-CN"/>
        </w:rPr>
        <w:t>2.</w:t>
      </w:r>
      <w:r>
        <w:rPr>
          <w:rFonts w:hint="eastAsia" w:ascii="仿宋_GB2312" w:hAnsi="仿宋_GB2312" w:eastAsia="仿宋_GB2312" w:cs="仿宋_GB2312"/>
          <w:b/>
          <w:bCs/>
          <w:kern w:val="2"/>
          <w:sz w:val="32"/>
          <w:szCs w:val="32"/>
          <w:lang w:val="en-US" w:eastAsia="zh-CN" w:bidi="ar-SA"/>
        </w:rPr>
        <w:t>程某</w:t>
      </w:r>
      <w:r>
        <w:rPr>
          <w:rFonts w:hint="eastAsia" w:ascii="仿宋_GB2312" w:hAnsi="仿宋_GB2312" w:eastAsia="仿宋_GB2312" w:cs="仿宋_GB2312"/>
          <w:b w:val="0"/>
          <w:bCs w:val="0"/>
          <w:kern w:val="2"/>
          <w:sz w:val="32"/>
          <w:szCs w:val="32"/>
          <w:lang w:val="en-US" w:eastAsia="zh-CN" w:bidi="ar-SA"/>
        </w:rPr>
        <w:t>，宏诚公司总经理，未按照规定履行主要负责人安全生产管理职责，对作业现场存在安全风险辨识和评估不足，未能及时消除项目施工过程中的生产安全事故隐患，对事故发生负有责任。建议由鼎湖区应急管理部门根据《中华人民共和国安全生产法》第九十五条第一款第（一）项</w:t>
      </w:r>
      <w:r>
        <w:rPr>
          <w:rStyle w:val="22"/>
          <w:rFonts w:hint="eastAsia" w:ascii="仿宋_GB2312" w:hAnsi="仿宋_GB2312" w:eastAsia="仿宋_GB2312" w:cs="仿宋_GB2312"/>
          <w:b w:val="0"/>
          <w:bCs w:val="0"/>
          <w:kern w:val="2"/>
          <w:sz w:val="32"/>
          <w:szCs w:val="32"/>
          <w:lang w:val="en-US" w:eastAsia="zh-CN" w:bidi="ar-SA"/>
        </w:rPr>
        <w:t>[</w:t>
      </w:r>
      <w:r>
        <w:rPr>
          <w:rStyle w:val="22"/>
          <w:rFonts w:hint="eastAsia" w:ascii="仿宋_GB2312" w:hAnsi="仿宋_GB2312" w:eastAsia="仿宋_GB2312" w:cs="仿宋_GB2312"/>
          <w:b w:val="0"/>
          <w:bCs w:val="0"/>
          <w:kern w:val="2"/>
          <w:sz w:val="32"/>
          <w:szCs w:val="32"/>
          <w:lang w:val="en-US" w:eastAsia="zh-CN" w:bidi="ar-SA"/>
        </w:rPr>
        <w:footnoteReference w:id="12"/>
      </w:r>
      <w:r>
        <w:rPr>
          <w:rStyle w:val="22"/>
          <w:rFonts w:hint="eastAsia" w:ascii="仿宋_GB2312" w:hAnsi="仿宋_GB2312" w:eastAsia="仿宋_GB2312" w:cs="仿宋_GB2312"/>
          <w:b w:val="0"/>
          <w:bCs w:val="0"/>
          <w:kern w:val="2"/>
          <w:sz w:val="32"/>
          <w:szCs w:val="32"/>
          <w:lang w:val="en-US" w:eastAsia="zh-CN" w:bidi="ar-SA"/>
        </w:rPr>
        <w:t>]</w:t>
      </w:r>
      <w:r>
        <w:rPr>
          <w:rFonts w:hint="eastAsia" w:ascii="仿宋_GB2312" w:hAnsi="仿宋_GB2312" w:eastAsia="仿宋_GB2312" w:cs="仿宋_GB2312"/>
          <w:b w:val="0"/>
          <w:bCs w:val="0"/>
          <w:kern w:val="2"/>
          <w:sz w:val="32"/>
          <w:szCs w:val="32"/>
          <w:lang w:val="en-US" w:eastAsia="zh-CN" w:bidi="ar-SA"/>
        </w:rPr>
        <w:t>的规定，依法给予行政处罚。</w:t>
      </w:r>
    </w:p>
    <w:p w14:paraId="0784F78B">
      <w:pPr>
        <w:pStyle w:val="31"/>
        <w:keepNext w:val="0"/>
        <w:keepLines w:val="0"/>
        <w:pageBreakBefore w:val="0"/>
        <w:widowControl w:val="0"/>
        <w:kinsoku/>
        <w:wordWrap/>
        <w:overflowPunct/>
        <w:topLinePunct w:val="0"/>
        <w:bidi w:val="0"/>
        <w:spacing w:line="560" w:lineRule="exact"/>
        <w:textAlignment w:val="auto"/>
        <w:rPr>
          <w:rFonts w:hint="eastAsia" w:ascii="楷体_GB2312" w:hAnsi="楷体_GB2312" w:eastAsia="楷体_GB2312" w:cs="楷体_GB2312"/>
          <w:b w:val="0"/>
          <w:bCs w:val="0"/>
          <w:kern w:val="2"/>
          <w:sz w:val="32"/>
          <w:szCs w:val="32"/>
          <w:lang w:val="en-US" w:eastAsia="zh-CN" w:bidi="ar-SA"/>
        </w:rPr>
      </w:pPr>
      <w:r>
        <w:rPr>
          <w:rFonts w:hint="eastAsia" w:ascii="楷体_GB2312" w:hAnsi="楷体_GB2312" w:eastAsia="楷体_GB2312" w:cs="楷体_GB2312"/>
          <w:b w:val="0"/>
          <w:bCs w:val="0"/>
          <w:kern w:val="2"/>
          <w:sz w:val="32"/>
          <w:szCs w:val="32"/>
          <w:lang w:val="en-US" w:eastAsia="zh-CN" w:bidi="ar-SA"/>
        </w:rPr>
        <w:t>　　（三）其他处理意见及建议</w:t>
      </w:r>
    </w:p>
    <w:p w14:paraId="47E0DF9F">
      <w:pPr>
        <w:pStyle w:val="31"/>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1.</w:t>
      </w:r>
      <w:r>
        <w:rPr>
          <w:rFonts w:hint="default" w:ascii="Times New Roman" w:hAnsi="Times New Roman" w:eastAsia="仿宋_GB2312" w:cs="Times New Roman"/>
          <w:b/>
          <w:bCs/>
          <w:color w:val="auto"/>
          <w:sz w:val="32"/>
          <w:szCs w:val="32"/>
          <w:highlight w:val="none"/>
          <w:lang w:val="en-US" w:eastAsia="zh-CN"/>
        </w:rPr>
        <w:t>广东新大明铝业有限公司</w:t>
      </w:r>
      <w:r>
        <w:rPr>
          <w:rFonts w:hint="default" w:ascii="Times New Roman" w:hAnsi="Times New Roman" w:eastAsia="仿宋_GB2312" w:cs="Times New Roman"/>
          <w:color w:val="auto"/>
          <w:sz w:val="32"/>
          <w:szCs w:val="32"/>
          <w:highlight w:val="none"/>
          <w:lang w:val="en-US" w:eastAsia="zh-CN"/>
        </w:rPr>
        <w:t>对工程施工过程中的安全检查和隐患排查治理不到位</w:t>
      </w:r>
      <w:r>
        <w:rPr>
          <w:rFonts w:hint="eastAsia" w:ascii="Times New Roman" w:hAnsi="Times New Roman" w:eastAsia="仿宋_GB2312" w:cs="Times New Roman"/>
          <w:color w:val="auto"/>
          <w:sz w:val="32"/>
          <w:szCs w:val="32"/>
          <w:highlight w:val="none"/>
          <w:lang w:val="en-US" w:eastAsia="zh-CN"/>
        </w:rPr>
        <w:t>，没有把翻新工程依法发包给有相应资质的施工单位</w:t>
      </w:r>
      <w:r>
        <w:rPr>
          <w:rStyle w:val="22"/>
          <w:rFonts w:hint="eastAsia" w:ascii="仿宋_GB2312" w:hAnsi="仿宋_GB2312" w:eastAsia="仿宋_GB2312" w:cs="仿宋_GB2312"/>
          <w:b w:val="0"/>
          <w:bCs w:val="0"/>
          <w:kern w:val="2"/>
          <w:sz w:val="32"/>
          <w:szCs w:val="32"/>
          <w:vertAlign w:val="superscript"/>
          <w:lang w:val="en-US" w:eastAsia="zh-CN" w:bidi="ar-SA"/>
        </w:rPr>
        <w:t>[</w:t>
      </w:r>
      <w:r>
        <w:rPr>
          <w:rStyle w:val="22"/>
          <w:rFonts w:hint="eastAsia" w:ascii="仿宋_GB2312" w:hAnsi="仿宋_GB2312" w:eastAsia="仿宋_GB2312" w:cs="仿宋_GB2312"/>
          <w:b w:val="0"/>
          <w:bCs w:val="0"/>
          <w:kern w:val="2"/>
          <w:sz w:val="32"/>
          <w:szCs w:val="32"/>
          <w:vertAlign w:val="superscript"/>
          <w:lang w:val="en-US" w:eastAsia="zh-CN" w:bidi="ar-SA"/>
        </w:rPr>
        <w:footnoteReference w:id="13"/>
      </w:r>
      <w:r>
        <w:rPr>
          <w:rStyle w:val="22"/>
          <w:rFonts w:hint="eastAsia" w:ascii="仿宋_GB2312" w:hAnsi="仿宋_GB2312" w:eastAsia="仿宋_GB2312" w:cs="仿宋_GB2312"/>
          <w:b w:val="0"/>
          <w:bCs w:val="0"/>
          <w:kern w:val="2"/>
          <w:sz w:val="32"/>
          <w:szCs w:val="32"/>
          <w:vertAlign w:val="superscript"/>
          <w:lang w:val="en-US" w:eastAsia="zh-CN" w:bidi="ar-SA"/>
        </w:rPr>
        <w:t>]</w:t>
      </w:r>
      <w:r>
        <w:rPr>
          <w:rFonts w:hint="eastAsia" w:ascii="Times New Roman" w:hAnsi="Times New Roman" w:eastAsia="仿宋_GB2312" w:cs="Times New Roman"/>
          <w:color w:val="auto"/>
          <w:sz w:val="32"/>
          <w:szCs w:val="32"/>
          <w:highlight w:val="none"/>
          <w:lang w:val="en-US" w:eastAsia="zh-CN"/>
        </w:rPr>
        <w:t>，未</w:t>
      </w:r>
      <w:r>
        <w:rPr>
          <w:rFonts w:hint="default" w:ascii="Times New Roman" w:hAnsi="Times New Roman" w:eastAsia="仿宋_GB2312" w:cs="Times New Roman"/>
          <w:color w:val="auto"/>
          <w:sz w:val="32"/>
          <w:szCs w:val="32"/>
          <w:highlight w:val="none"/>
          <w:lang w:val="en-US" w:eastAsia="zh-CN"/>
        </w:rPr>
        <w:t>对</w:t>
      </w:r>
      <w:r>
        <w:rPr>
          <w:rFonts w:hint="eastAsia" w:ascii="Times New Roman" w:hAnsi="Times New Roman" w:eastAsia="仿宋_GB2312" w:cs="Times New Roman"/>
          <w:color w:val="auto"/>
          <w:sz w:val="32"/>
          <w:szCs w:val="32"/>
          <w:highlight w:val="none"/>
          <w:lang w:val="en-US" w:eastAsia="zh-CN"/>
        </w:rPr>
        <w:t>宏诚公司</w:t>
      </w:r>
      <w:r>
        <w:rPr>
          <w:rFonts w:hint="default" w:ascii="Times New Roman" w:hAnsi="Times New Roman" w:eastAsia="仿宋_GB2312" w:cs="Times New Roman"/>
          <w:color w:val="auto"/>
          <w:sz w:val="32"/>
          <w:szCs w:val="32"/>
          <w:highlight w:val="none"/>
          <w:lang w:val="en-US" w:eastAsia="zh-CN"/>
        </w:rPr>
        <w:t>后期进入</w:t>
      </w:r>
      <w:r>
        <w:rPr>
          <w:rFonts w:hint="eastAsia" w:ascii="Times New Roman" w:hAnsi="Times New Roman" w:eastAsia="仿宋_GB2312" w:cs="Times New Roman"/>
          <w:color w:val="auto"/>
          <w:sz w:val="32"/>
          <w:szCs w:val="32"/>
          <w:highlight w:val="none"/>
          <w:lang w:val="en-US" w:eastAsia="zh-CN"/>
        </w:rPr>
        <w:t>本公司</w:t>
      </w:r>
      <w:r>
        <w:rPr>
          <w:rFonts w:hint="default" w:ascii="Times New Roman" w:hAnsi="Times New Roman" w:eastAsia="仿宋_GB2312" w:cs="Times New Roman"/>
          <w:color w:val="auto"/>
          <w:sz w:val="32"/>
          <w:szCs w:val="32"/>
          <w:highlight w:val="none"/>
          <w:lang w:val="en-US" w:eastAsia="zh-CN"/>
        </w:rPr>
        <w:t>施工作业的从业人员进行</w:t>
      </w:r>
      <w:r>
        <w:rPr>
          <w:rFonts w:hint="eastAsia" w:ascii="Times New Roman" w:hAnsi="Times New Roman" w:eastAsia="仿宋_GB2312" w:cs="Times New Roman"/>
          <w:color w:val="auto"/>
          <w:sz w:val="32"/>
          <w:szCs w:val="32"/>
          <w:highlight w:val="none"/>
          <w:lang w:val="en-US" w:eastAsia="zh-CN"/>
        </w:rPr>
        <w:t>资质</w:t>
      </w:r>
      <w:r>
        <w:rPr>
          <w:rFonts w:hint="default" w:ascii="Times New Roman" w:hAnsi="Times New Roman" w:eastAsia="仿宋_GB2312" w:cs="Times New Roman"/>
          <w:color w:val="auto"/>
          <w:sz w:val="32"/>
          <w:szCs w:val="32"/>
          <w:highlight w:val="none"/>
          <w:lang w:val="en-US" w:eastAsia="zh-CN"/>
        </w:rPr>
        <w:t>查验，</w:t>
      </w:r>
      <w:r>
        <w:rPr>
          <w:rFonts w:hint="eastAsia" w:ascii="仿宋_GB2312" w:hAnsi="仿宋_GB2312" w:eastAsia="仿宋_GB2312" w:cs="仿宋_GB2312"/>
          <w:b w:val="0"/>
          <w:bCs w:val="0"/>
          <w:color w:val="auto"/>
          <w:sz w:val="32"/>
          <w:szCs w:val="32"/>
          <w:highlight w:val="none"/>
          <w:lang w:val="en-US" w:eastAsia="zh-CN"/>
        </w:rPr>
        <w:t>对宏诚公司的监督监管只停留在施工现场、施工质量层面</w:t>
      </w:r>
      <w:r>
        <w:rPr>
          <w:rFonts w:hint="default" w:ascii="Times New Roman" w:hAnsi="Times New Roman" w:eastAsia="仿宋_GB2312" w:cs="Times New Roman"/>
          <w:color w:val="auto"/>
          <w:sz w:val="32"/>
          <w:szCs w:val="32"/>
          <w:highlight w:val="none"/>
          <w:lang w:val="en-US" w:eastAsia="zh-CN"/>
        </w:rPr>
        <w:t>，未进一步对</w:t>
      </w:r>
      <w:r>
        <w:rPr>
          <w:rFonts w:hint="eastAsia" w:ascii="Times New Roman" w:hAnsi="Times New Roman" w:eastAsia="仿宋_GB2312" w:cs="Times New Roman"/>
          <w:color w:val="auto"/>
          <w:sz w:val="32"/>
          <w:szCs w:val="32"/>
          <w:highlight w:val="none"/>
          <w:lang w:val="en-US" w:eastAsia="zh-CN"/>
        </w:rPr>
        <w:t>宏诚公司</w:t>
      </w:r>
      <w:r>
        <w:rPr>
          <w:rFonts w:hint="default" w:ascii="Times New Roman" w:hAnsi="Times New Roman" w:eastAsia="仿宋_GB2312" w:cs="Times New Roman"/>
          <w:color w:val="auto"/>
          <w:sz w:val="32"/>
          <w:szCs w:val="32"/>
          <w:highlight w:val="none"/>
          <w:lang w:val="en-US" w:eastAsia="zh-CN"/>
        </w:rPr>
        <w:t>的安全生产工作进行统一协调、管理，</w:t>
      </w:r>
      <w:r>
        <w:rPr>
          <w:rFonts w:hint="eastAsia" w:ascii="Times New Roman" w:hAnsi="Times New Roman" w:eastAsia="仿宋_GB2312" w:cs="Times New Roman"/>
          <w:color w:val="auto"/>
          <w:sz w:val="32"/>
          <w:szCs w:val="32"/>
          <w:highlight w:val="none"/>
          <w:lang w:val="en-US" w:eastAsia="zh-CN"/>
        </w:rPr>
        <w:t>涉嫌违反了《</w:t>
      </w:r>
      <w:r>
        <w:rPr>
          <w:rFonts w:hint="eastAsia" w:ascii="仿宋_GB2312" w:hAnsi="仿宋_GB2312" w:eastAsia="仿宋_GB2312" w:cs="仿宋_GB2312"/>
          <w:b w:val="0"/>
          <w:bCs w:val="0"/>
          <w:kern w:val="2"/>
          <w:sz w:val="32"/>
          <w:szCs w:val="32"/>
          <w:highlight w:val="none"/>
          <w:lang w:val="en-US" w:eastAsia="zh-CN" w:bidi="ar-SA"/>
        </w:rPr>
        <w:t>中华人民共和国安全生产法</w:t>
      </w:r>
      <w:r>
        <w:rPr>
          <w:rFonts w:hint="eastAsia" w:ascii="Times New Roman" w:hAnsi="Times New Roman" w:eastAsia="仿宋_GB2312" w:cs="Times New Roman"/>
          <w:color w:val="auto"/>
          <w:sz w:val="32"/>
          <w:szCs w:val="32"/>
          <w:highlight w:val="none"/>
          <w:lang w:val="en-US" w:eastAsia="zh-CN"/>
        </w:rPr>
        <w:t>》第四十九条第二款</w:t>
      </w:r>
      <w:r>
        <w:rPr>
          <w:rStyle w:val="22"/>
          <w:rFonts w:hint="eastAsia" w:ascii="Times New Roman" w:hAnsi="Times New Roman" w:eastAsia="仿宋_GB2312" w:cs="Times New Roman"/>
          <w:color w:val="auto"/>
          <w:sz w:val="32"/>
          <w:szCs w:val="32"/>
          <w:highlight w:val="none"/>
          <w:lang w:val="en-US" w:eastAsia="zh-CN"/>
        </w:rPr>
        <w:t>[</w:t>
      </w:r>
      <w:r>
        <w:rPr>
          <w:rStyle w:val="22"/>
          <w:rFonts w:hint="eastAsia" w:ascii="Times New Roman" w:hAnsi="Times New Roman" w:eastAsia="仿宋_GB2312" w:cs="Times New Roman"/>
          <w:color w:val="auto"/>
          <w:sz w:val="32"/>
          <w:szCs w:val="32"/>
          <w:highlight w:val="none"/>
          <w:lang w:val="en-US" w:eastAsia="zh-CN"/>
        </w:rPr>
        <w:footnoteReference w:id="14"/>
      </w:r>
      <w:r>
        <w:rPr>
          <w:rStyle w:val="22"/>
          <w:rFonts w:hint="eastAsia" w:ascii="Times New Roman" w:hAnsi="Times New Roman" w:eastAsia="仿宋_GB2312" w:cs="Times New Roman"/>
          <w:color w:val="auto"/>
          <w:sz w:val="32"/>
          <w:szCs w:val="32"/>
          <w:highlight w:val="none"/>
          <w:lang w:val="en-US" w:eastAsia="zh-CN"/>
        </w:rPr>
        <w:t>]</w:t>
      </w:r>
      <w:r>
        <w:rPr>
          <w:rFonts w:hint="eastAsia" w:ascii="Times New Roman" w:hAnsi="Times New Roman" w:eastAsia="仿宋_GB2312" w:cs="Times New Roman"/>
          <w:color w:val="auto"/>
          <w:sz w:val="32"/>
          <w:szCs w:val="32"/>
          <w:highlight w:val="none"/>
          <w:lang w:val="en-US" w:eastAsia="zh-CN"/>
        </w:rPr>
        <w:t>的规定。建议由鼎湖区应急管理部门根据《</w:t>
      </w:r>
      <w:r>
        <w:rPr>
          <w:rFonts w:hint="eastAsia" w:ascii="仿宋_GB2312" w:hAnsi="仿宋_GB2312" w:eastAsia="仿宋_GB2312" w:cs="仿宋_GB2312"/>
          <w:b w:val="0"/>
          <w:bCs w:val="0"/>
          <w:kern w:val="2"/>
          <w:sz w:val="32"/>
          <w:szCs w:val="32"/>
          <w:lang w:val="en-US" w:eastAsia="zh-CN" w:bidi="ar-SA"/>
        </w:rPr>
        <w:t>中华人民共和国安全生产法</w:t>
      </w:r>
      <w:r>
        <w:rPr>
          <w:rFonts w:hint="eastAsia" w:ascii="Times New Roman" w:hAnsi="Times New Roman" w:eastAsia="仿宋_GB2312" w:cs="Times New Roman"/>
          <w:color w:val="auto"/>
          <w:sz w:val="32"/>
          <w:szCs w:val="32"/>
          <w:highlight w:val="none"/>
          <w:lang w:val="en-US" w:eastAsia="zh-CN"/>
        </w:rPr>
        <w:t>》第一百零三条第二款</w:t>
      </w:r>
      <w:r>
        <w:rPr>
          <w:rStyle w:val="22"/>
          <w:rFonts w:hint="eastAsia" w:ascii="Times New Roman" w:hAnsi="Times New Roman" w:eastAsia="仿宋_GB2312" w:cs="Times New Roman"/>
          <w:color w:val="auto"/>
          <w:sz w:val="32"/>
          <w:szCs w:val="32"/>
          <w:highlight w:val="none"/>
          <w:lang w:val="en-US" w:eastAsia="zh-CN"/>
        </w:rPr>
        <w:t>[</w:t>
      </w:r>
      <w:r>
        <w:rPr>
          <w:rStyle w:val="22"/>
          <w:rFonts w:hint="eastAsia" w:ascii="Times New Roman" w:hAnsi="Times New Roman" w:eastAsia="仿宋_GB2312" w:cs="Times New Roman"/>
          <w:color w:val="auto"/>
          <w:sz w:val="32"/>
          <w:szCs w:val="32"/>
          <w:highlight w:val="none"/>
          <w:lang w:val="en-US" w:eastAsia="zh-CN"/>
        </w:rPr>
        <w:footnoteReference w:id="15"/>
      </w:r>
      <w:r>
        <w:rPr>
          <w:rStyle w:val="22"/>
          <w:rFonts w:hint="eastAsia" w:ascii="Times New Roman" w:hAnsi="Times New Roman" w:eastAsia="仿宋_GB2312" w:cs="Times New Roman"/>
          <w:color w:val="auto"/>
          <w:sz w:val="32"/>
          <w:szCs w:val="32"/>
          <w:highlight w:val="none"/>
          <w:lang w:val="en-US" w:eastAsia="zh-CN"/>
        </w:rPr>
        <w:t>]</w:t>
      </w:r>
      <w:r>
        <w:rPr>
          <w:rFonts w:hint="eastAsia" w:ascii="Times New Roman" w:hAnsi="Times New Roman" w:eastAsia="仿宋_GB2312" w:cs="Times New Roman"/>
          <w:color w:val="auto"/>
          <w:sz w:val="32"/>
          <w:szCs w:val="32"/>
          <w:highlight w:val="none"/>
          <w:lang w:val="en-US" w:eastAsia="zh-CN"/>
        </w:rPr>
        <w:t>的规定，依法给予行政处罚。</w:t>
      </w:r>
    </w:p>
    <w:p w14:paraId="792FCB35">
      <w:pPr>
        <w:pStyle w:val="31"/>
        <w:keepNext w:val="0"/>
        <w:keepLines w:val="0"/>
        <w:pageBreakBefore w:val="0"/>
        <w:widowControl w:val="0"/>
        <w:kinsoku/>
        <w:wordWrap/>
        <w:overflowPunct/>
        <w:topLinePunct w:val="0"/>
        <w:bidi w:val="0"/>
        <w:adjustRightInd/>
        <w:snapToGrid/>
        <w:spacing w:line="560" w:lineRule="exact"/>
        <w:ind w:firstLine="643" w:firstLineChars="200"/>
        <w:textAlignment w:val="auto"/>
        <w:rPr>
          <w:rFonts w:hint="default"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b/>
          <w:bCs/>
          <w:color w:val="auto"/>
          <w:sz w:val="32"/>
          <w:szCs w:val="32"/>
          <w:highlight w:val="none"/>
          <w:lang w:val="en-US" w:eastAsia="zh-CN"/>
        </w:rPr>
        <w:t>2.陈某</w:t>
      </w:r>
      <w:r>
        <w:rPr>
          <w:rFonts w:hint="eastAsia" w:ascii="Times New Roman" w:hAnsi="Times New Roman" w:eastAsia="仿宋_GB2312" w:cs="Times New Roman"/>
          <w:color w:val="auto"/>
          <w:sz w:val="32"/>
          <w:szCs w:val="32"/>
          <w:highlight w:val="none"/>
          <w:lang w:val="en-US" w:eastAsia="zh-CN"/>
        </w:rPr>
        <w:t>，作为广东新大明铝业有限公司总经理，负责公司的全面管理工作，在对熔铸车间屋顶和墙体更换翻新工程的管理过程中，对宏诚公司不具备相关建筑施工资质以及从业人员未持证上岗的情况失察，仅通过查看宏诚公司《营业执照》的经营范围就签订翻新工程协议，未进一步进行统一协调管理，涉嫌违反了《</w:t>
      </w:r>
      <w:r>
        <w:rPr>
          <w:rFonts w:hint="eastAsia" w:ascii="仿宋_GB2312" w:hAnsi="仿宋_GB2312" w:eastAsia="仿宋_GB2312" w:cs="仿宋_GB2312"/>
          <w:b w:val="0"/>
          <w:bCs w:val="0"/>
          <w:kern w:val="2"/>
          <w:sz w:val="32"/>
          <w:szCs w:val="32"/>
          <w:highlight w:val="none"/>
          <w:lang w:val="en-US" w:eastAsia="zh-CN" w:bidi="ar-SA"/>
        </w:rPr>
        <w:t>中华人民共和国安全生产法</w:t>
      </w:r>
      <w:r>
        <w:rPr>
          <w:rFonts w:hint="eastAsia" w:ascii="Times New Roman" w:hAnsi="Times New Roman" w:eastAsia="仿宋_GB2312" w:cs="Times New Roman"/>
          <w:color w:val="auto"/>
          <w:sz w:val="32"/>
          <w:szCs w:val="32"/>
          <w:highlight w:val="none"/>
          <w:lang w:val="en-US" w:eastAsia="zh-CN"/>
        </w:rPr>
        <w:t>》第四十九条第二款的规定，建议由鼎湖区应急管理部门根据《中华人民共和国安全生产法》第一百零三条第二款的规定，依法给予行政处罚。</w:t>
      </w:r>
    </w:p>
    <w:p w14:paraId="5F0A74BC">
      <w:pPr>
        <w:pStyle w:val="31"/>
        <w:keepNext w:val="0"/>
        <w:keepLines w:val="0"/>
        <w:pageBreakBefore w:val="0"/>
        <w:widowControl w:val="0"/>
        <w:kinsoku/>
        <w:wordWrap/>
        <w:overflowPunct/>
        <w:topLinePunct w:val="0"/>
        <w:bidi w:val="0"/>
        <w:adjustRightInd/>
        <w:snapToGrid/>
        <w:spacing w:line="560" w:lineRule="exact"/>
        <w:ind w:firstLine="643" w:firstLineChars="200"/>
        <w:textAlignment w:val="auto"/>
        <w:rPr>
          <w:rFonts w:hint="eastAsia" w:ascii="黑体" w:hAnsi="黑体" w:eastAsia="黑体"/>
          <w:color w:val="auto"/>
          <w:sz w:val="32"/>
          <w:lang w:val="en-US" w:eastAsia="zh-CN"/>
        </w:rPr>
      </w:pPr>
      <w:r>
        <w:rPr>
          <w:rFonts w:hint="eastAsia" w:ascii="Times New Roman" w:hAnsi="Times New Roman" w:eastAsia="仿宋_GB2312" w:cs="Times New Roman"/>
          <w:b/>
          <w:bCs/>
          <w:color w:val="auto"/>
          <w:sz w:val="32"/>
          <w:szCs w:val="32"/>
          <w:highlight w:val="none"/>
          <w:lang w:val="en-US" w:eastAsia="zh-CN"/>
        </w:rPr>
        <w:t>3.方某夫</w:t>
      </w:r>
      <w:r>
        <w:rPr>
          <w:rFonts w:hint="eastAsia" w:ascii="Times New Roman" w:hAnsi="Times New Roman" w:eastAsia="仿宋_GB2312" w:cs="Times New Roman"/>
          <w:color w:val="auto"/>
          <w:sz w:val="32"/>
          <w:szCs w:val="32"/>
          <w:highlight w:val="none"/>
          <w:lang w:val="en-US" w:eastAsia="zh-CN"/>
        </w:rPr>
        <w:t>，作为宏诚公司聘请的从业人员，未落实岗位安全责任，中途离开施工现场，未对施工现场进行有效管理，建议宏诚公司按照《</w:t>
      </w:r>
      <w:r>
        <w:rPr>
          <w:rFonts w:hint="eastAsia" w:ascii="仿宋_GB2312" w:hAnsi="仿宋_GB2312" w:eastAsia="仿宋_GB2312" w:cs="仿宋_GB2312"/>
          <w:b w:val="0"/>
          <w:bCs w:val="0"/>
          <w:color w:val="auto"/>
          <w:kern w:val="2"/>
          <w:sz w:val="32"/>
          <w:szCs w:val="32"/>
          <w:lang w:val="en-US" w:eastAsia="zh-CN" w:bidi="ar-SA"/>
        </w:rPr>
        <w:t>中华人民共和国安全生产法</w:t>
      </w:r>
      <w:r>
        <w:rPr>
          <w:rFonts w:hint="eastAsia" w:ascii="Times New Roman" w:hAnsi="Times New Roman" w:eastAsia="仿宋_GB2312" w:cs="Times New Roman"/>
          <w:color w:val="auto"/>
          <w:sz w:val="32"/>
          <w:szCs w:val="32"/>
          <w:highlight w:val="none"/>
          <w:lang w:val="en-US" w:eastAsia="zh-CN"/>
        </w:rPr>
        <w:t>》第一百零七条</w:t>
      </w:r>
      <w:r>
        <w:rPr>
          <w:rStyle w:val="22"/>
          <w:rFonts w:hint="eastAsia" w:ascii="Times New Roman" w:hAnsi="Times New Roman" w:eastAsia="仿宋_GB2312" w:cs="Times New Roman"/>
          <w:color w:val="auto"/>
          <w:sz w:val="32"/>
          <w:szCs w:val="32"/>
          <w:highlight w:val="none"/>
          <w:lang w:val="en-US" w:eastAsia="zh-CN"/>
        </w:rPr>
        <w:t>[</w:t>
      </w:r>
      <w:r>
        <w:rPr>
          <w:rStyle w:val="22"/>
          <w:rFonts w:hint="eastAsia" w:ascii="Times New Roman" w:hAnsi="Times New Roman" w:eastAsia="仿宋_GB2312" w:cs="Times New Roman"/>
          <w:color w:val="auto"/>
          <w:sz w:val="32"/>
          <w:szCs w:val="32"/>
          <w:highlight w:val="none"/>
          <w:lang w:val="en-US" w:eastAsia="zh-CN"/>
        </w:rPr>
        <w:footnoteReference w:id="16"/>
      </w:r>
      <w:r>
        <w:rPr>
          <w:rStyle w:val="22"/>
          <w:rFonts w:hint="eastAsia" w:ascii="Times New Roman" w:hAnsi="Times New Roman" w:eastAsia="仿宋_GB2312" w:cs="Times New Roman"/>
          <w:color w:val="auto"/>
          <w:sz w:val="32"/>
          <w:szCs w:val="32"/>
          <w:highlight w:val="none"/>
          <w:lang w:val="en-US" w:eastAsia="zh-CN"/>
        </w:rPr>
        <w:t>]</w:t>
      </w:r>
      <w:r>
        <w:rPr>
          <w:rFonts w:hint="eastAsia" w:ascii="Times New Roman" w:hAnsi="Times New Roman" w:eastAsia="仿宋_GB2312" w:cs="Times New Roman"/>
          <w:color w:val="auto"/>
          <w:sz w:val="32"/>
          <w:szCs w:val="32"/>
          <w:highlight w:val="none"/>
          <w:lang w:val="en-US" w:eastAsia="zh-CN"/>
        </w:rPr>
        <w:t>对其进行处理。</w:t>
      </w:r>
    </w:p>
    <w:p w14:paraId="290908BF">
      <w:pPr>
        <w:keepNext w:val="0"/>
        <w:keepLines w:val="0"/>
        <w:pageBreakBefore w:val="0"/>
        <w:widowControl w:val="0"/>
        <w:kinsoku/>
        <w:wordWrap/>
        <w:overflowPunct/>
        <w:topLinePunct w:val="0"/>
        <w:autoSpaceDN/>
        <w:bidi w:val="0"/>
        <w:adjustRightInd/>
        <w:snapToGrid/>
        <w:spacing w:beforeAutospacing="0" w:afterAutospacing="0" w:line="560" w:lineRule="exact"/>
        <w:ind w:left="0" w:leftChars="0" w:right="0" w:rightChars="0" w:firstLine="640" w:firstLineChars="200"/>
        <w:jc w:val="left"/>
        <w:textAlignment w:val="auto"/>
        <w:rPr>
          <w:rFonts w:hint="eastAsia" w:ascii="黑体" w:hAnsi="黑体" w:eastAsia="黑体"/>
          <w:sz w:val="32"/>
        </w:rPr>
      </w:pPr>
      <w:r>
        <w:rPr>
          <w:rFonts w:hint="eastAsia" w:ascii="黑体" w:hAnsi="黑体" w:eastAsia="黑体"/>
          <w:sz w:val="32"/>
          <w:lang w:val="en-US" w:eastAsia="zh-CN"/>
        </w:rPr>
        <w:t>六</w:t>
      </w:r>
      <w:r>
        <w:rPr>
          <w:rFonts w:hint="eastAsia" w:ascii="黑体" w:hAnsi="黑体" w:eastAsia="黑体"/>
          <w:sz w:val="32"/>
        </w:rPr>
        <w:t>、事故主要教训</w:t>
      </w:r>
    </w:p>
    <w:p w14:paraId="304E228B">
      <w:pPr>
        <w:pStyle w:val="31"/>
        <w:keepNext w:val="0"/>
        <w:keepLines w:val="0"/>
        <w:pageBreakBefore w:val="0"/>
        <w:widowControl w:val="0"/>
        <w:kinsoku/>
        <w:wordWrap/>
        <w:overflowPunct/>
        <w:topLinePunct w:val="0"/>
        <w:bidi w:val="0"/>
        <w:adjustRightInd/>
        <w:snapToGrid/>
        <w:spacing w:line="560" w:lineRule="exact"/>
        <w:ind w:firstLine="643" w:firstLineChars="200"/>
        <w:textAlignment w:val="auto"/>
        <w:rPr>
          <w:rFonts w:hint="default" w:ascii="Times New Roman" w:hAnsi="Times New Roman" w:eastAsia="仿宋_GB2312" w:cs="Times New Roman"/>
          <w:strike w:val="0"/>
          <w:dstrike w:val="0"/>
          <w:color w:val="auto"/>
          <w:sz w:val="32"/>
          <w:szCs w:val="32"/>
          <w:highlight w:val="none"/>
          <w:lang w:val="en-US" w:eastAsia="zh-CN"/>
        </w:rPr>
      </w:pPr>
      <w:r>
        <w:rPr>
          <w:rFonts w:hint="eastAsia" w:ascii="Times New Roman" w:hAnsi="Times New Roman" w:eastAsia="仿宋_GB2312" w:cs="Times New Roman"/>
          <w:b/>
          <w:bCs/>
          <w:strike w:val="0"/>
          <w:dstrike w:val="0"/>
          <w:color w:val="auto"/>
          <w:sz w:val="32"/>
          <w:szCs w:val="32"/>
          <w:highlight w:val="none"/>
          <w:lang w:val="en-US" w:eastAsia="zh-CN"/>
        </w:rPr>
        <w:t>（一）</w:t>
      </w:r>
      <w:r>
        <w:rPr>
          <w:rFonts w:hint="default" w:ascii="Times New Roman" w:hAnsi="Times New Roman" w:eastAsia="仿宋_GB2312" w:cs="Times New Roman"/>
          <w:b/>
          <w:bCs/>
          <w:strike w:val="0"/>
          <w:dstrike w:val="0"/>
          <w:color w:val="auto"/>
          <w:sz w:val="32"/>
          <w:szCs w:val="32"/>
          <w:highlight w:val="none"/>
          <w:lang w:val="en-US" w:eastAsia="zh-CN"/>
        </w:rPr>
        <w:t>从业人员的安全生产意识淡薄。</w:t>
      </w:r>
      <w:r>
        <w:rPr>
          <w:rFonts w:hint="default" w:ascii="Times New Roman" w:hAnsi="Times New Roman" w:eastAsia="仿宋_GB2312" w:cs="Times New Roman"/>
          <w:strike w:val="0"/>
          <w:dstrike w:val="0"/>
          <w:color w:val="auto"/>
          <w:sz w:val="32"/>
          <w:szCs w:val="32"/>
          <w:highlight w:val="none"/>
          <w:lang w:val="en-US" w:eastAsia="zh-CN"/>
        </w:rPr>
        <w:t>该起事故中，从业人员</w:t>
      </w:r>
      <w:r>
        <w:rPr>
          <w:rFonts w:hint="eastAsia" w:ascii="Times New Roman" w:hAnsi="Times New Roman" w:eastAsia="仿宋_GB2312" w:cs="Times New Roman"/>
          <w:strike w:val="0"/>
          <w:dstrike w:val="0"/>
          <w:color w:val="auto"/>
          <w:sz w:val="32"/>
          <w:szCs w:val="32"/>
          <w:highlight w:val="none"/>
          <w:lang w:val="en-US" w:eastAsia="zh-CN"/>
        </w:rPr>
        <w:t>吴某宏</w:t>
      </w:r>
      <w:r>
        <w:rPr>
          <w:rFonts w:hint="default" w:ascii="Times New Roman" w:hAnsi="Times New Roman" w:eastAsia="仿宋_GB2312" w:cs="Times New Roman"/>
          <w:strike w:val="0"/>
          <w:dstrike w:val="0"/>
          <w:color w:val="auto"/>
          <w:sz w:val="32"/>
          <w:szCs w:val="32"/>
          <w:highlight w:val="none"/>
          <w:lang w:val="en-US" w:eastAsia="zh-CN"/>
        </w:rPr>
        <w:t>麻痹大意</w:t>
      </w:r>
      <w:r>
        <w:rPr>
          <w:rFonts w:hint="eastAsia" w:ascii="Times New Roman" w:hAnsi="Times New Roman" w:eastAsia="仿宋_GB2312" w:cs="Times New Roman"/>
          <w:strike w:val="0"/>
          <w:dstrike w:val="0"/>
          <w:color w:val="auto"/>
          <w:sz w:val="32"/>
          <w:szCs w:val="32"/>
          <w:highlight w:val="none"/>
          <w:lang w:val="en-US" w:eastAsia="zh-CN"/>
        </w:rPr>
        <w:t>、</w:t>
      </w:r>
      <w:r>
        <w:rPr>
          <w:rFonts w:hint="default" w:ascii="Times New Roman" w:hAnsi="Times New Roman" w:eastAsia="仿宋_GB2312" w:cs="Times New Roman"/>
          <w:strike w:val="0"/>
          <w:dstrike w:val="0"/>
          <w:color w:val="auto"/>
          <w:sz w:val="32"/>
          <w:szCs w:val="32"/>
          <w:highlight w:val="none"/>
          <w:lang w:val="en-US" w:eastAsia="zh-CN"/>
        </w:rPr>
        <w:t>欠缺风险辨识</w:t>
      </w:r>
      <w:r>
        <w:rPr>
          <w:rFonts w:hint="eastAsia" w:ascii="Times New Roman" w:hAnsi="Times New Roman" w:eastAsia="仿宋_GB2312" w:cs="Times New Roman"/>
          <w:strike w:val="0"/>
          <w:dstrike w:val="0"/>
          <w:color w:val="auto"/>
          <w:sz w:val="32"/>
          <w:szCs w:val="32"/>
          <w:highlight w:val="none"/>
          <w:lang w:val="en-US" w:eastAsia="zh-CN"/>
        </w:rPr>
        <w:t>，未经专门的安全作业培训取得相应的高处作业资格证从事高处作业，</w:t>
      </w:r>
      <w:r>
        <w:rPr>
          <w:rFonts w:hint="default" w:ascii="Times New Roman" w:hAnsi="Times New Roman" w:eastAsia="仿宋_GB2312" w:cs="Times New Roman"/>
          <w:strike w:val="0"/>
          <w:dstrike w:val="0"/>
          <w:color w:val="auto"/>
          <w:sz w:val="32"/>
          <w:szCs w:val="32"/>
          <w:highlight w:val="none"/>
          <w:lang w:val="en-US" w:eastAsia="zh-CN"/>
        </w:rPr>
        <w:t>由于欠缺专业知识，</w:t>
      </w:r>
      <w:r>
        <w:rPr>
          <w:rFonts w:hint="eastAsia" w:ascii="Times New Roman" w:hAnsi="Times New Roman" w:eastAsia="仿宋_GB2312" w:cs="Times New Roman"/>
          <w:strike w:val="0"/>
          <w:dstrike w:val="0"/>
          <w:color w:val="auto"/>
          <w:sz w:val="32"/>
          <w:szCs w:val="32"/>
          <w:highlight w:val="none"/>
          <w:lang w:val="en-US" w:eastAsia="zh-CN"/>
        </w:rPr>
        <w:t>在高空作业时没有把安全绳扣在生命线或其它安全可挂点，仅凭个人工作经验及为了工作便利就对高处作业存在的危险性忽略，例如在高处作业时身上虽佩戴安全绳，但未将安全绳悬挂在可靠物件上，在高处行走时偏离安全槽及钢梁等安全线路来行走，最终导致高处坠落事故的发生</w:t>
      </w:r>
      <w:r>
        <w:rPr>
          <w:rFonts w:hint="default" w:ascii="Times New Roman" w:hAnsi="Times New Roman" w:eastAsia="仿宋_GB2312" w:cs="Times New Roman"/>
          <w:strike w:val="0"/>
          <w:dstrike w:val="0"/>
          <w:color w:val="auto"/>
          <w:sz w:val="32"/>
          <w:szCs w:val="32"/>
          <w:highlight w:val="none"/>
          <w:lang w:val="en-US" w:eastAsia="zh-CN"/>
        </w:rPr>
        <w:t>。</w:t>
      </w:r>
    </w:p>
    <w:p w14:paraId="491E0BCA">
      <w:pPr>
        <w:pStyle w:val="31"/>
        <w:keepNext w:val="0"/>
        <w:keepLines w:val="0"/>
        <w:pageBreakBefore w:val="0"/>
        <w:widowControl w:val="0"/>
        <w:kinsoku/>
        <w:wordWrap/>
        <w:overflowPunct/>
        <w:topLinePunct w:val="0"/>
        <w:bidi w:val="0"/>
        <w:adjustRightInd/>
        <w:snapToGrid/>
        <w:spacing w:line="560" w:lineRule="exact"/>
        <w:ind w:firstLine="643" w:firstLineChars="200"/>
        <w:textAlignment w:val="auto"/>
        <w:rPr>
          <w:rFonts w:hint="default"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b/>
          <w:bCs/>
          <w:strike w:val="0"/>
          <w:dstrike w:val="0"/>
          <w:color w:val="auto"/>
          <w:sz w:val="32"/>
          <w:szCs w:val="32"/>
          <w:highlight w:val="none"/>
          <w:lang w:val="en-US" w:eastAsia="zh-CN"/>
        </w:rPr>
        <w:t>（二）企业安全生产主体责任未落实。</w:t>
      </w:r>
      <w:r>
        <w:rPr>
          <w:rFonts w:hint="eastAsia" w:ascii="Times New Roman" w:hAnsi="Times New Roman" w:eastAsia="仿宋_GB2312" w:cs="Times New Roman"/>
          <w:strike w:val="0"/>
          <w:dstrike w:val="0"/>
          <w:color w:val="auto"/>
          <w:sz w:val="32"/>
          <w:szCs w:val="32"/>
          <w:highlight w:val="none"/>
          <w:lang w:val="en-US" w:eastAsia="zh-CN"/>
        </w:rPr>
        <w:t>宏诚公司未进一步落实安全生产主体责任，在未依法取得相关建筑资质的情况下开展建筑施工业务；对进入新大明熔铸车间的从业</w:t>
      </w:r>
      <w:r>
        <w:rPr>
          <w:rFonts w:hint="default" w:ascii="Times New Roman" w:hAnsi="Times New Roman" w:eastAsia="仿宋_GB2312" w:cs="Times New Roman"/>
          <w:strike w:val="0"/>
          <w:dstrike w:val="0"/>
          <w:color w:val="auto"/>
          <w:sz w:val="32"/>
          <w:szCs w:val="32"/>
          <w:highlight w:val="none"/>
          <w:lang w:val="en-US" w:eastAsia="zh-CN"/>
        </w:rPr>
        <w:t>人员安全教育培训</w:t>
      </w:r>
      <w:r>
        <w:rPr>
          <w:rFonts w:hint="eastAsia" w:ascii="Times New Roman" w:hAnsi="Times New Roman" w:eastAsia="仿宋_GB2312" w:cs="Times New Roman"/>
          <w:strike w:val="0"/>
          <w:dstrike w:val="0"/>
          <w:color w:val="auto"/>
          <w:sz w:val="32"/>
          <w:szCs w:val="32"/>
          <w:highlight w:val="none"/>
          <w:lang w:val="en-US" w:eastAsia="zh-CN"/>
        </w:rPr>
        <w:t>仅仅2个小时就安排其从事上岗作业，未熟悉有关的安全生产规章制度和安全操作规程；明知道翻新工程需在屋顶上作业，该项作业属高处作业，事故当天从事施工作业的4名人员中，仅有1人持特种作业证，其余3人包括死者吴某宏均未持特种作业证，未严格按照高空作业的“五个必须”（必须培训培训持证上岗、必须实行行业审批、必须做好个人防护、必须落实工程措施、必须安排专人监护）；由于聘请的专职安全生产管理人员方某夫同样也是由于经验不足存在</w:t>
      </w:r>
      <w:r>
        <w:rPr>
          <w:rFonts w:hint="default" w:ascii="Times New Roman" w:hAnsi="Times New Roman" w:eastAsia="仿宋_GB2312" w:cs="Times New Roman"/>
          <w:strike w:val="0"/>
          <w:dstrike w:val="0"/>
          <w:color w:val="auto"/>
          <w:sz w:val="32"/>
          <w:szCs w:val="32"/>
          <w:highlight w:val="none"/>
          <w:lang w:val="en-US" w:eastAsia="zh-CN"/>
        </w:rPr>
        <w:t>安全管理缺失</w:t>
      </w:r>
      <w:r>
        <w:rPr>
          <w:rFonts w:hint="eastAsia" w:ascii="Times New Roman" w:hAnsi="Times New Roman" w:eastAsia="仿宋_GB2312" w:cs="Times New Roman"/>
          <w:strike w:val="0"/>
          <w:dstrike w:val="0"/>
          <w:color w:val="auto"/>
          <w:sz w:val="32"/>
          <w:szCs w:val="32"/>
          <w:highlight w:val="none"/>
          <w:lang w:val="en-US" w:eastAsia="zh-CN"/>
        </w:rPr>
        <w:t>、</w:t>
      </w:r>
      <w:r>
        <w:rPr>
          <w:rFonts w:hint="default" w:ascii="Times New Roman" w:hAnsi="Times New Roman" w:eastAsia="仿宋_GB2312" w:cs="Times New Roman"/>
          <w:strike w:val="0"/>
          <w:dstrike w:val="0"/>
          <w:color w:val="auto"/>
          <w:sz w:val="32"/>
          <w:szCs w:val="32"/>
          <w:highlight w:val="none"/>
          <w:lang w:val="en-US" w:eastAsia="zh-CN"/>
        </w:rPr>
        <w:t>施工现场管理不到位</w:t>
      </w:r>
      <w:r>
        <w:rPr>
          <w:rFonts w:hint="eastAsia" w:ascii="Times New Roman" w:hAnsi="Times New Roman" w:eastAsia="仿宋_GB2312" w:cs="Times New Roman"/>
          <w:strike w:val="0"/>
          <w:dstrike w:val="0"/>
          <w:color w:val="auto"/>
          <w:sz w:val="32"/>
          <w:szCs w:val="32"/>
          <w:highlight w:val="none"/>
          <w:lang w:val="en-US" w:eastAsia="zh-CN"/>
        </w:rPr>
        <w:t>、</w:t>
      </w:r>
      <w:r>
        <w:rPr>
          <w:rFonts w:hint="default" w:ascii="Times New Roman" w:hAnsi="Times New Roman" w:eastAsia="仿宋_GB2312" w:cs="Times New Roman"/>
          <w:strike w:val="0"/>
          <w:dstrike w:val="0"/>
          <w:color w:val="auto"/>
          <w:sz w:val="32"/>
          <w:szCs w:val="32"/>
          <w:highlight w:val="none"/>
          <w:lang w:val="en-US" w:eastAsia="zh-CN"/>
        </w:rPr>
        <w:t>安全隐患排查不细致的</w:t>
      </w:r>
      <w:r>
        <w:rPr>
          <w:rFonts w:hint="eastAsia" w:ascii="Times New Roman" w:hAnsi="Times New Roman" w:eastAsia="仿宋_GB2312" w:cs="Times New Roman"/>
          <w:strike w:val="0"/>
          <w:dstrike w:val="0"/>
          <w:color w:val="auto"/>
          <w:sz w:val="32"/>
          <w:szCs w:val="32"/>
          <w:highlight w:val="none"/>
          <w:lang w:val="en-US" w:eastAsia="zh-CN"/>
        </w:rPr>
        <w:t>行为</w:t>
      </w:r>
      <w:r>
        <w:rPr>
          <w:rFonts w:hint="default" w:ascii="Times New Roman" w:hAnsi="Times New Roman" w:eastAsia="仿宋_GB2312" w:cs="Times New Roman"/>
          <w:strike w:val="0"/>
          <w:dstrike w:val="0"/>
          <w:color w:val="auto"/>
          <w:sz w:val="32"/>
          <w:szCs w:val="32"/>
          <w:highlight w:val="none"/>
          <w:lang w:val="en-US" w:eastAsia="zh-CN"/>
        </w:rPr>
        <w:t>。</w:t>
      </w:r>
      <w:r>
        <w:rPr>
          <w:rFonts w:hint="eastAsia" w:ascii="Times New Roman" w:hAnsi="Times New Roman" w:eastAsia="仿宋_GB2312" w:cs="Times New Roman"/>
          <w:strike w:val="0"/>
          <w:dstrike w:val="0"/>
          <w:color w:val="auto"/>
          <w:sz w:val="32"/>
          <w:szCs w:val="32"/>
          <w:highlight w:val="none"/>
          <w:lang w:val="en-US" w:eastAsia="zh-CN"/>
        </w:rPr>
        <w:t>以上种种行为反映了无论是个体经营者，还是公司、单位、企业，在生产经营活动中，认真履行安全生产主体责任的重要性，忽略高质量发展，企业公司的规章制度建立不是形同虚设，而是真正拿来贯彻落实的，例如聘请有资质的管理人员及从业人员，对相关人员进行培训教育，对生产经营场所进行有效的风险辨识等等。</w:t>
      </w:r>
    </w:p>
    <w:p w14:paraId="0A7DBEC8">
      <w:pPr>
        <w:keepNext w:val="0"/>
        <w:keepLines w:val="0"/>
        <w:pageBreakBefore w:val="0"/>
        <w:widowControl w:val="0"/>
        <w:kinsoku/>
        <w:wordWrap/>
        <w:overflowPunct/>
        <w:topLinePunct w:val="0"/>
        <w:autoSpaceDN/>
        <w:bidi w:val="0"/>
        <w:adjustRightInd/>
        <w:snapToGrid/>
        <w:spacing w:beforeAutospacing="0" w:afterAutospacing="0" w:line="560" w:lineRule="exact"/>
        <w:ind w:left="0" w:leftChars="0" w:right="0" w:rightChars="0" w:firstLine="640" w:firstLineChars="200"/>
        <w:jc w:val="left"/>
        <w:textAlignment w:val="auto"/>
        <w:rPr>
          <w:rFonts w:hint="eastAsia" w:ascii="黑体" w:hAnsi="黑体" w:eastAsia="黑体"/>
          <w:sz w:val="32"/>
          <w:highlight w:val="none"/>
        </w:rPr>
      </w:pPr>
      <w:r>
        <w:rPr>
          <w:rFonts w:hint="eastAsia" w:ascii="黑体" w:hAnsi="黑体" w:eastAsia="黑体"/>
          <w:sz w:val="32"/>
          <w:lang w:val="en-US" w:eastAsia="zh-CN"/>
        </w:rPr>
        <w:t>七、</w:t>
      </w:r>
      <w:r>
        <w:rPr>
          <w:rFonts w:hint="eastAsia" w:ascii="黑体" w:hAnsi="黑体" w:eastAsia="黑体"/>
          <w:sz w:val="32"/>
        </w:rPr>
        <w:t>事故防范和整改措施</w:t>
      </w:r>
    </w:p>
    <w:p w14:paraId="7707C68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（一）肇庆宏诚建设工程有限公司。</w:t>
      </w:r>
      <w:r>
        <w:rPr>
          <w:rFonts w:hint="default" w:ascii="Times New Roman" w:hAnsi="Times New Roman" w:eastAsia="仿宋_GB2312" w:cs="Times New Roman"/>
          <w:color w:val="auto"/>
          <w:sz w:val="32"/>
          <w:szCs w:val="32"/>
          <w:highlight w:val="none"/>
          <w:lang w:val="en-US" w:eastAsia="zh-CN"/>
        </w:rPr>
        <w:t>涉事企业</w:t>
      </w:r>
      <w:r>
        <w:rPr>
          <w:rFonts w:hint="eastAsia" w:eastAsia="仿宋_GB2312" w:cs="Times New Roman"/>
          <w:b/>
          <w:bCs/>
          <w:color w:val="auto"/>
          <w:sz w:val="32"/>
          <w:szCs w:val="32"/>
          <w:highlight w:val="none"/>
          <w:lang w:val="en-US" w:eastAsia="zh-CN"/>
        </w:rPr>
        <w:t>一是</w:t>
      </w:r>
      <w:r>
        <w:rPr>
          <w:rFonts w:hint="default" w:ascii="Times New Roman" w:hAnsi="Times New Roman" w:eastAsia="仿宋_GB2312" w:cs="Times New Roman"/>
          <w:color w:val="auto"/>
          <w:sz w:val="32"/>
          <w:szCs w:val="32"/>
          <w:highlight w:val="none"/>
          <w:lang w:val="en-US" w:eastAsia="zh-CN"/>
        </w:rPr>
        <w:t>要深刻吸取事故教训，举一反三，要深入学习贯彻《</w:t>
      </w:r>
      <w:r>
        <w:rPr>
          <w:rFonts w:hint="eastAsia" w:eastAsia="仿宋_GB2312" w:cs="Times New Roman"/>
          <w:color w:val="auto"/>
          <w:sz w:val="32"/>
          <w:szCs w:val="32"/>
          <w:highlight w:val="none"/>
          <w:lang w:val="en-US" w:eastAsia="zh-CN"/>
        </w:rPr>
        <w:t>中华人民共和国</w:t>
      </w:r>
      <w:r>
        <w:rPr>
          <w:rFonts w:hint="default" w:ascii="Times New Roman" w:hAnsi="Times New Roman" w:eastAsia="仿宋_GB2312" w:cs="Times New Roman"/>
          <w:color w:val="auto"/>
          <w:sz w:val="32"/>
          <w:szCs w:val="32"/>
          <w:highlight w:val="none"/>
          <w:lang w:val="en-US" w:eastAsia="zh-CN"/>
        </w:rPr>
        <w:t>安全生产法》《建筑法》和《建筑工程安全管理条例》等法律法规</w:t>
      </w:r>
      <w:r>
        <w:rPr>
          <w:rFonts w:hint="eastAsia" w:eastAsia="仿宋_GB2312" w:cs="Times New Roman"/>
          <w:color w:val="auto"/>
          <w:sz w:val="32"/>
          <w:szCs w:val="32"/>
          <w:highlight w:val="none"/>
          <w:lang w:val="en-US" w:eastAsia="zh-CN"/>
        </w:rPr>
        <w:t>，建立健全及落实各项安全生产规章制度，按照行业标准和规范，取得</w:t>
      </w:r>
      <w:r>
        <w:rPr>
          <w:rFonts w:hint="eastAsia" w:ascii="仿宋_GB2312" w:hAnsi="仿宋_GB2312" w:eastAsia="仿宋_GB2312" w:cs="仿宋_GB2312"/>
          <w:b w:val="0"/>
          <w:bCs w:val="0"/>
          <w:sz w:val="32"/>
          <w:szCs w:val="32"/>
          <w:highlight w:val="none"/>
          <w:lang w:val="en-US" w:eastAsia="zh-CN"/>
        </w:rPr>
        <w:t>《建筑业企业资质证书》方可从事建筑施工活动</w:t>
      </w:r>
      <w:r>
        <w:rPr>
          <w:rFonts w:hint="default" w:ascii="Times New Roman" w:hAnsi="Times New Roman" w:eastAsia="仿宋_GB2312" w:cs="Times New Roman"/>
          <w:color w:val="auto"/>
          <w:sz w:val="32"/>
          <w:szCs w:val="32"/>
          <w:highlight w:val="none"/>
          <w:lang w:val="en-US" w:eastAsia="zh-CN"/>
        </w:rPr>
        <w:t>。</w:t>
      </w:r>
      <w:r>
        <w:rPr>
          <w:rFonts w:hint="eastAsia" w:eastAsia="仿宋_GB2312" w:cs="Times New Roman"/>
          <w:b/>
          <w:bCs/>
          <w:color w:val="auto"/>
          <w:sz w:val="32"/>
          <w:szCs w:val="32"/>
          <w:highlight w:val="none"/>
          <w:lang w:val="en-US" w:eastAsia="zh-CN"/>
        </w:rPr>
        <w:t>二是</w:t>
      </w:r>
      <w:r>
        <w:rPr>
          <w:rFonts w:hint="default" w:ascii="Times New Roman" w:hAnsi="Times New Roman" w:eastAsia="仿宋_GB2312" w:cs="Times New Roman"/>
          <w:color w:val="auto"/>
          <w:sz w:val="32"/>
          <w:szCs w:val="32"/>
          <w:highlight w:val="none"/>
          <w:lang w:val="en-US" w:eastAsia="zh-CN"/>
        </w:rPr>
        <w:t>要加强</w:t>
      </w:r>
      <w:r>
        <w:rPr>
          <w:rFonts w:hint="eastAsia" w:eastAsia="仿宋_GB2312" w:cs="Times New Roman"/>
          <w:color w:val="auto"/>
          <w:sz w:val="32"/>
          <w:szCs w:val="32"/>
          <w:highlight w:val="none"/>
          <w:lang w:val="en-US" w:eastAsia="zh-CN"/>
        </w:rPr>
        <w:t>高处作业</w:t>
      </w:r>
      <w:r>
        <w:rPr>
          <w:rFonts w:hint="default" w:ascii="Times New Roman" w:hAnsi="Times New Roman" w:eastAsia="仿宋_GB2312" w:cs="Times New Roman"/>
          <w:color w:val="auto"/>
          <w:sz w:val="32"/>
          <w:szCs w:val="32"/>
          <w:highlight w:val="none"/>
          <w:lang w:val="en-US" w:eastAsia="zh-CN"/>
        </w:rPr>
        <w:t>等特种作业安全管理，紧盯“关键人员”，管好“关键岗位”，落实持证上岗制度，加强施工现场的安全管理，加强作业过程的安全检查和管控，及时发现、及时纠正作业违章违规问题</w:t>
      </w:r>
      <w:r>
        <w:rPr>
          <w:rFonts w:hint="eastAsia"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杜绝各类违章操作，违反劳动纪律现象。</w:t>
      </w:r>
      <w:r>
        <w:rPr>
          <w:rFonts w:hint="eastAsia" w:eastAsia="仿宋_GB2312" w:cs="Times New Roman"/>
          <w:b/>
          <w:bCs/>
          <w:color w:val="auto"/>
          <w:sz w:val="32"/>
          <w:szCs w:val="32"/>
          <w:highlight w:val="none"/>
          <w:lang w:val="en-US" w:eastAsia="zh-CN"/>
        </w:rPr>
        <w:t>三是</w:t>
      </w:r>
      <w:r>
        <w:rPr>
          <w:rFonts w:hint="default" w:ascii="Times New Roman" w:hAnsi="Times New Roman" w:eastAsia="仿宋_GB2312" w:cs="Times New Roman"/>
          <w:color w:val="auto"/>
          <w:sz w:val="32"/>
          <w:szCs w:val="32"/>
          <w:highlight w:val="none"/>
          <w:lang w:val="en-US" w:eastAsia="zh-CN"/>
        </w:rPr>
        <w:t>要加强安全教育培训，严格按规定开展安全教育培训，</w:t>
      </w:r>
      <w:r>
        <w:rPr>
          <w:rFonts w:hint="eastAsia" w:eastAsia="仿宋_GB2312" w:cs="Times New Roman"/>
          <w:color w:val="auto"/>
          <w:sz w:val="32"/>
          <w:szCs w:val="32"/>
          <w:highlight w:val="none"/>
          <w:lang w:val="en-US" w:eastAsia="zh-CN"/>
        </w:rPr>
        <w:t>课时不足的人员严禁上岗作业，不断</w:t>
      </w:r>
      <w:r>
        <w:rPr>
          <w:rFonts w:hint="default" w:ascii="Times New Roman" w:hAnsi="Times New Roman" w:eastAsia="仿宋_GB2312" w:cs="Times New Roman"/>
          <w:color w:val="auto"/>
          <w:sz w:val="32"/>
          <w:szCs w:val="32"/>
          <w:highlight w:val="none"/>
          <w:lang w:val="en-US" w:eastAsia="zh-CN"/>
        </w:rPr>
        <w:t>增强作业人员安全意识，确保作业人员真正熟悉并落实相关规章制度和安全操作规程</w:t>
      </w:r>
      <w:r>
        <w:rPr>
          <w:rFonts w:hint="eastAsia" w:eastAsia="仿宋_GB2312" w:cs="Times New Roman"/>
          <w:color w:val="auto"/>
          <w:sz w:val="32"/>
          <w:szCs w:val="32"/>
          <w:highlight w:val="none"/>
          <w:lang w:val="en-US" w:eastAsia="zh-CN"/>
        </w:rPr>
        <w:t>，杜绝走过场和形式主义。</w:t>
      </w:r>
      <w:r>
        <w:rPr>
          <w:rFonts w:hint="eastAsia" w:eastAsia="仿宋_GB2312" w:cs="Times New Roman"/>
          <w:b/>
          <w:bCs/>
          <w:color w:val="auto"/>
          <w:sz w:val="32"/>
          <w:szCs w:val="32"/>
          <w:highlight w:val="none"/>
          <w:lang w:val="en-US" w:eastAsia="zh-CN"/>
        </w:rPr>
        <w:t>四是</w:t>
      </w:r>
      <w:r>
        <w:rPr>
          <w:rFonts w:hint="default" w:ascii="Times New Roman" w:hAnsi="Times New Roman" w:eastAsia="仿宋_GB2312" w:cs="Times New Roman"/>
          <w:color w:val="auto"/>
          <w:sz w:val="32"/>
          <w:szCs w:val="32"/>
          <w:highlight w:val="none"/>
          <w:lang w:val="en-US" w:eastAsia="zh-CN"/>
        </w:rPr>
        <w:t>要加强</w:t>
      </w:r>
      <w:r>
        <w:rPr>
          <w:rFonts w:hint="eastAsia" w:eastAsia="仿宋_GB2312" w:cs="Times New Roman"/>
          <w:color w:val="auto"/>
          <w:sz w:val="32"/>
          <w:szCs w:val="32"/>
          <w:highlight w:val="none"/>
          <w:lang w:val="en-US" w:eastAsia="zh-CN"/>
        </w:rPr>
        <w:t>企业</w:t>
      </w:r>
      <w:r>
        <w:rPr>
          <w:rFonts w:hint="default" w:ascii="Times New Roman" w:hAnsi="Times New Roman" w:eastAsia="仿宋_GB2312" w:cs="Times New Roman"/>
          <w:color w:val="auto"/>
          <w:sz w:val="32"/>
          <w:szCs w:val="32"/>
          <w:highlight w:val="none"/>
          <w:lang w:val="en-US" w:eastAsia="zh-CN"/>
        </w:rPr>
        <w:t>规章制度和操作规程的制订及修改完善工作，规范</w:t>
      </w:r>
      <w:r>
        <w:rPr>
          <w:rFonts w:hint="eastAsia" w:eastAsia="仿宋_GB2312" w:cs="Times New Roman"/>
          <w:color w:val="auto"/>
          <w:sz w:val="32"/>
          <w:szCs w:val="32"/>
          <w:highlight w:val="none"/>
          <w:lang w:val="en-US" w:eastAsia="zh-CN"/>
        </w:rPr>
        <w:t>高处作业</w:t>
      </w:r>
      <w:r>
        <w:rPr>
          <w:rFonts w:hint="default" w:ascii="Times New Roman" w:hAnsi="Times New Roman" w:eastAsia="仿宋_GB2312" w:cs="Times New Roman"/>
          <w:color w:val="auto"/>
          <w:sz w:val="32"/>
          <w:szCs w:val="32"/>
          <w:highlight w:val="none"/>
          <w:lang w:val="en-US" w:eastAsia="zh-CN"/>
        </w:rPr>
        <w:t>操作流程和要求。</w:t>
      </w:r>
      <w:r>
        <w:rPr>
          <w:rFonts w:hint="eastAsia" w:eastAsia="仿宋_GB2312" w:cs="Times New Roman"/>
          <w:b/>
          <w:bCs/>
          <w:color w:val="auto"/>
          <w:sz w:val="32"/>
          <w:szCs w:val="32"/>
          <w:highlight w:val="none"/>
          <w:lang w:val="en-US" w:eastAsia="zh-CN"/>
        </w:rPr>
        <w:t>五是</w:t>
      </w:r>
      <w:r>
        <w:rPr>
          <w:rFonts w:hint="eastAsia" w:eastAsia="仿宋_GB2312" w:cs="Times New Roman"/>
          <w:color w:val="auto"/>
          <w:sz w:val="32"/>
          <w:szCs w:val="32"/>
          <w:highlight w:val="none"/>
          <w:lang w:val="en-US" w:eastAsia="zh-CN"/>
        </w:rPr>
        <w:t>要针对事故暴露出的问题，制定完善安全风险分级管控和隐患排查治理的相关工作制度和工作方案，从源头上系统上识别风险、控制风险，深入开展隐患排查，进行一次全面体检，查找出风险管控过程中可能出现的缺失、漏洞及风险控制失效环节，将排查出的风险分级管控，并按照“五定”措施落实整改。</w:t>
      </w:r>
    </w:p>
    <w:p w14:paraId="2B367458">
      <w:pPr>
        <w:pStyle w:val="31"/>
        <w:keepNext w:val="0"/>
        <w:keepLines w:val="0"/>
        <w:pageBreakBefore w:val="0"/>
        <w:widowControl w:val="0"/>
        <w:kinsoku/>
        <w:wordWrap/>
        <w:overflowPunct/>
        <w:topLinePunct w:val="0"/>
        <w:bidi w:val="0"/>
        <w:adjustRightInd/>
        <w:snapToGrid/>
        <w:spacing w:line="560" w:lineRule="exact"/>
        <w:textAlignment w:val="auto"/>
        <w:rPr>
          <w:rFonts w:hint="default"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sz w:val="32"/>
          <w:szCs w:val="32"/>
          <w:highlight w:val="none"/>
          <w:lang w:val="en-US" w:eastAsia="zh-CN"/>
        </w:rPr>
        <w:t xml:space="preserve">   </w:t>
      </w:r>
      <w:r>
        <w:rPr>
          <w:rFonts w:hint="eastAsia" w:ascii="楷体_GB2312" w:hAnsi="楷体_GB2312" w:eastAsia="楷体_GB2312" w:cs="楷体_GB2312"/>
          <w:b w:val="0"/>
          <w:bCs w:val="0"/>
          <w:color w:val="auto"/>
          <w:sz w:val="32"/>
          <w:szCs w:val="32"/>
          <w:highlight w:val="none"/>
          <w:lang w:val="en-US" w:eastAsia="zh-CN"/>
        </w:rPr>
        <w:t xml:space="preserve"> （</w:t>
      </w:r>
      <w:r>
        <w:rPr>
          <w:rFonts w:hint="eastAsia" w:ascii="楷体_GB2312" w:hAnsi="楷体_GB2312" w:eastAsia="楷体_GB2312" w:cs="楷体_GB2312"/>
          <w:b w:val="0"/>
          <w:bCs w:val="0"/>
          <w:color w:val="auto"/>
          <w:kern w:val="2"/>
          <w:sz w:val="32"/>
          <w:szCs w:val="32"/>
          <w:highlight w:val="none"/>
          <w:lang w:val="en-US" w:eastAsia="zh-CN" w:bidi="ar-SA"/>
        </w:rPr>
        <w:t>二</w:t>
      </w:r>
      <w:r>
        <w:rPr>
          <w:rFonts w:hint="eastAsia" w:ascii="楷体_GB2312" w:hAnsi="楷体_GB2312" w:eastAsia="楷体_GB2312" w:cs="楷体_GB2312"/>
          <w:b w:val="0"/>
          <w:bCs w:val="0"/>
          <w:color w:val="auto"/>
          <w:sz w:val="32"/>
          <w:szCs w:val="32"/>
          <w:highlight w:val="none"/>
          <w:lang w:val="en-US" w:eastAsia="zh-CN"/>
        </w:rPr>
        <w:t>）</w:t>
      </w:r>
      <w:r>
        <w:rPr>
          <w:rFonts w:hint="eastAsia" w:ascii="楷体_GB2312" w:hAnsi="楷体_GB2312" w:eastAsia="楷体_GB2312" w:cs="楷体_GB2312"/>
          <w:b w:val="0"/>
          <w:bCs w:val="0"/>
          <w:color w:val="auto"/>
          <w:kern w:val="2"/>
          <w:sz w:val="32"/>
          <w:szCs w:val="32"/>
          <w:highlight w:val="none"/>
          <w:lang w:val="en-US" w:eastAsia="zh-CN" w:bidi="ar-SA"/>
        </w:rPr>
        <w:t>广东新大明铝业有限公司。</w:t>
      </w:r>
      <w:r>
        <w:rPr>
          <w:rFonts w:hint="eastAsia" w:ascii="Times New Roman" w:hAnsi="Times New Roman" w:eastAsia="仿宋_GB2312" w:cs="Times New Roman"/>
          <w:b/>
          <w:bCs/>
          <w:color w:val="auto"/>
          <w:kern w:val="2"/>
          <w:sz w:val="32"/>
          <w:szCs w:val="32"/>
          <w:highlight w:val="none"/>
          <w:lang w:val="en-US" w:eastAsia="zh-CN" w:bidi="ar-SA"/>
        </w:rPr>
        <w:t>一是</w:t>
      </w:r>
      <w:r>
        <w:rPr>
          <w:rFonts w:hint="eastAsia" w:ascii="Times New Roman" w:hAnsi="Times New Roman" w:eastAsia="仿宋_GB2312" w:cs="Times New Roman"/>
          <w:b w:val="0"/>
          <w:bCs w:val="0"/>
          <w:color w:val="auto"/>
          <w:kern w:val="2"/>
          <w:sz w:val="32"/>
          <w:szCs w:val="32"/>
          <w:highlight w:val="none"/>
          <w:lang w:val="en-US" w:eastAsia="zh-CN" w:bidi="ar-SA"/>
        </w:rPr>
        <w:t>要按照《中华人民共和国安全生产法》第四十九条规定，加强对承包、承租单位安全生产工作的统一协调、管理，签订安全管理协议，严格履行协议中约定的各方安全生产职责，严防安全管理边界出现“真空地带”，严禁以信任代替安全监督、以既往业绩代替安全管理，对发现的突出问题，特别是对高风险作业的现场安全管理不到位、作业审批制度不落实，作业现场监护流于形式等，要坚决予以清退出场；</w:t>
      </w:r>
      <w:r>
        <w:rPr>
          <w:rFonts w:hint="eastAsia" w:ascii="Times New Roman" w:hAnsi="Times New Roman" w:eastAsia="仿宋_GB2312" w:cs="Times New Roman"/>
          <w:b/>
          <w:bCs/>
          <w:color w:val="auto"/>
          <w:kern w:val="2"/>
          <w:sz w:val="32"/>
          <w:szCs w:val="32"/>
          <w:highlight w:val="none"/>
          <w:lang w:val="en-US" w:eastAsia="zh-CN" w:bidi="ar-SA"/>
        </w:rPr>
        <w:t>二是</w:t>
      </w:r>
      <w:r>
        <w:rPr>
          <w:rFonts w:hint="eastAsia" w:ascii="Times New Roman" w:hAnsi="Times New Roman" w:eastAsia="仿宋_GB2312" w:cs="Times New Roman"/>
          <w:b w:val="0"/>
          <w:bCs w:val="0"/>
          <w:color w:val="auto"/>
          <w:kern w:val="2"/>
          <w:sz w:val="32"/>
          <w:szCs w:val="32"/>
          <w:highlight w:val="none"/>
          <w:lang w:val="en-US" w:eastAsia="zh-CN" w:bidi="ar-SA"/>
        </w:rPr>
        <w:t>要</w:t>
      </w:r>
      <w:r>
        <w:rPr>
          <w:rFonts w:hint="eastAsia" w:ascii="Times New Roman" w:hAnsi="Times New Roman" w:eastAsia="仿宋_GB2312" w:cs="Times New Roman"/>
          <w:color w:val="auto"/>
          <w:kern w:val="2"/>
          <w:sz w:val="32"/>
          <w:szCs w:val="32"/>
          <w:highlight w:val="none"/>
          <w:lang w:val="en-US" w:eastAsia="zh-CN" w:bidi="ar-SA"/>
        </w:rPr>
        <w:t>对施工承包商进行定期安全业绩考核，对于业绩不达标的承包商，要给予相应的考核直至清退。</w:t>
      </w:r>
      <w:r>
        <w:rPr>
          <w:rFonts w:hint="eastAsia" w:ascii="Times New Roman" w:hAnsi="Times New Roman" w:eastAsia="仿宋_GB2312" w:cs="Times New Roman"/>
          <w:b/>
          <w:bCs/>
          <w:color w:val="auto"/>
          <w:kern w:val="2"/>
          <w:sz w:val="32"/>
          <w:szCs w:val="32"/>
          <w:highlight w:val="none"/>
          <w:lang w:val="en-US" w:eastAsia="zh-CN" w:bidi="ar-SA"/>
        </w:rPr>
        <w:t>三是</w:t>
      </w:r>
      <w:r>
        <w:rPr>
          <w:rFonts w:hint="eastAsia" w:ascii="Times New Roman" w:hAnsi="Times New Roman" w:eastAsia="仿宋_GB2312" w:cs="Times New Roman"/>
          <w:color w:val="auto"/>
          <w:kern w:val="2"/>
          <w:sz w:val="32"/>
          <w:szCs w:val="32"/>
          <w:highlight w:val="none"/>
          <w:lang w:val="en-US" w:eastAsia="zh-CN" w:bidi="ar-SA"/>
        </w:rPr>
        <w:t>要加强对检维修、外委外包作业的安全管理，全面辨识各环节主要安全风险，科学制定检维修计划。</w:t>
      </w:r>
    </w:p>
    <w:p w14:paraId="5290287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（三）住建部门。</w:t>
      </w:r>
      <w:r>
        <w:rPr>
          <w:rFonts w:hint="eastAsia" w:eastAsia="仿宋_GB2312" w:cs="Times New Roman"/>
          <w:b w:val="0"/>
          <w:bCs w:val="0"/>
          <w:color w:val="auto"/>
          <w:sz w:val="32"/>
          <w:szCs w:val="32"/>
          <w:highlight w:val="none"/>
          <w:lang w:val="en-US" w:eastAsia="zh-CN"/>
        </w:rPr>
        <w:t>该起事故虽未向其报备，但仍需吸取事故教训，</w:t>
      </w:r>
      <w:r>
        <w:rPr>
          <w:rFonts w:hint="default" w:ascii="Times New Roman" w:hAnsi="Times New Roman" w:eastAsia="仿宋_GB2312" w:cs="Times New Roman"/>
          <w:color w:val="auto"/>
          <w:sz w:val="32"/>
          <w:szCs w:val="32"/>
          <w:highlight w:val="none"/>
          <w:lang w:val="en-US" w:eastAsia="zh-CN"/>
        </w:rPr>
        <w:t>要对在建施工高空作业项目开展一次全面安全隐患排查，不留死角、不留盲点。要严肃查处无资质作业和人员未经教育培训直接上岗等违法行为。对发现的隐患问题要紧盯不放，以零容忍的态度依法打击安全生产违法违规行为，确保我</w:t>
      </w:r>
      <w:r>
        <w:rPr>
          <w:rFonts w:hint="eastAsia" w:eastAsia="仿宋_GB2312" w:cs="Times New Roman"/>
          <w:color w:val="auto"/>
          <w:sz w:val="32"/>
          <w:szCs w:val="32"/>
          <w:highlight w:val="none"/>
          <w:lang w:val="en-US" w:eastAsia="zh-CN"/>
        </w:rPr>
        <w:t>区</w:t>
      </w:r>
      <w:r>
        <w:rPr>
          <w:rFonts w:hint="default" w:ascii="Times New Roman" w:hAnsi="Times New Roman" w:eastAsia="仿宋_GB2312" w:cs="Times New Roman"/>
          <w:color w:val="auto"/>
          <w:sz w:val="32"/>
          <w:szCs w:val="32"/>
          <w:highlight w:val="none"/>
          <w:lang w:val="en-US" w:eastAsia="zh-CN"/>
        </w:rPr>
        <w:t>建筑行业安全生产形势稳定。</w:t>
      </w:r>
    </w:p>
    <w:p w14:paraId="6B64DED5">
      <w:pPr>
        <w:pStyle w:val="31"/>
        <w:keepNext w:val="0"/>
        <w:keepLines w:val="0"/>
        <w:pageBreakBefore w:val="0"/>
        <w:widowControl w:val="0"/>
        <w:kinsoku/>
        <w:wordWrap/>
        <w:overflowPunct/>
        <w:topLinePunct w:val="0"/>
        <w:bidi w:val="0"/>
        <w:adjustRightInd/>
        <w:snapToGrid/>
        <w:spacing w:line="560" w:lineRule="exact"/>
        <w:textAlignment w:val="auto"/>
        <w:rPr>
          <w:rFonts w:hint="default"/>
          <w:lang w:val="en-US" w:eastAsia="zh-CN"/>
        </w:rPr>
      </w:pPr>
      <w:r>
        <w:rPr>
          <w:rFonts w:hint="eastAsia" w:ascii="Times New Roman" w:hAnsi="Times New Roman" w:eastAsia="仿宋_GB2312" w:cs="Times New Roman"/>
          <w:color w:val="auto"/>
          <w:sz w:val="32"/>
          <w:szCs w:val="32"/>
          <w:highlight w:val="none"/>
          <w:lang w:val="en-US" w:eastAsia="zh-CN"/>
        </w:rPr>
        <w:t xml:space="preserve">    </w:t>
      </w:r>
      <w:r>
        <w:rPr>
          <w:rFonts w:hint="eastAsia" w:ascii="楷体_GB2312" w:hAnsi="楷体_GB2312" w:eastAsia="楷体_GB2312" w:cs="楷体_GB2312"/>
          <w:b w:val="0"/>
          <w:bCs w:val="0"/>
          <w:color w:val="auto"/>
          <w:kern w:val="2"/>
          <w:sz w:val="32"/>
          <w:szCs w:val="32"/>
          <w:highlight w:val="none"/>
          <w:lang w:val="en-US" w:eastAsia="zh-CN" w:bidi="ar-SA"/>
        </w:rPr>
        <w:t>（四）永安镇人民政府。</w:t>
      </w:r>
      <w:r>
        <w:rPr>
          <w:rFonts w:hint="eastAsia" w:ascii="仿宋_GB2312" w:hAnsi="仿宋_GB2312" w:eastAsia="仿宋_GB2312" w:cs="仿宋_GB2312"/>
          <w:b w:val="0"/>
          <w:bCs w:val="0"/>
          <w:kern w:val="2"/>
          <w:sz w:val="32"/>
          <w:szCs w:val="32"/>
          <w:highlight w:val="none"/>
          <w:lang w:val="en-US" w:eastAsia="zh-CN" w:bidi="ar-SA"/>
        </w:rPr>
        <w:t>要深入学习贯彻党的二十大精神以及习近平总书记关于安全生产的重要论述精神，坚持“人民至上，生命至上”，将安全生产作为第一要求、第一责任、第一标准，放在心头、抓在手头，切实承担起“促一方发展、保一方平安”的政治责任。要深刻汲取省内外涉及高处坠落的事故教训，举一反三，紧盯重点、严防死守，坚决防范遏制同类事故发生，为营造安全稳定的社会环境贡献力量。</w:t>
      </w:r>
    </w:p>
    <w:p w14:paraId="1CF155CD">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right="0" w:rightChars="0" w:firstLine="640" w:firstLineChars="200"/>
        <w:textAlignment w:val="auto"/>
        <w:rPr>
          <w:rFonts w:hint="eastAsia" w:ascii="仿宋_GB2312" w:hAnsi="仿宋_GB2312" w:eastAsia="仿宋_GB2312" w:cs="仿宋_GB2312"/>
          <w:bCs/>
          <w:color w:val="auto"/>
          <w:kern w:val="0"/>
          <w:sz w:val="32"/>
          <w:szCs w:val="32"/>
          <w:lang w:val="en-US" w:eastAsia="zh-CN" w:bidi="en-US"/>
        </w:rPr>
      </w:pPr>
      <w:r>
        <w:rPr>
          <w:rFonts w:hint="eastAsia" w:ascii="楷体_GB2312" w:hAnsi="楷体_GB2312" w:eastAsia="楷体_GB2312" w:cs="楷体_GB2312"/>
          <w:b w:val="0"/>
          <w:bCs w:val="0"/>
          <w:color w:val="auto"/>
          <w:kern w:val="2"/>
          <w:sz w:val="32"/>
          <w:szCs w:val="32"/>
          <w:highlight w:val="none"/>
          <w:lang w:val="en-US" w:eastAsia="zh-CN" w:bidi="ar-SA"/>
        </w:rPr>
        <w:t>（五）鼎湖区应急管理局。</w:t>
      </w:r>
      <w:r>
        <w:rPr>
          <w:rFonts w:hint="eastAsia" w:ascii="仿宋_GB2312" w:hAnsi="仿宋_GB2312" w:eastAsia="仿宋_GB2312" w:cs="仿宋_GB2312"/>
          <w:bCs/>
          <w:color w:val="auto"/>
          <w:kern w:val="0"/>
          <w:sz w:val="32"/>
          <w:szCs w:val="32"/>
          <w:lang w:val="en-US" w:eastAsia="zh-CN" w:bidi="en-US"/>
        </w:rPr>
        <w:t>鼎湖区负有安全监管职责的部门要依法采取硬措施打非治违，常态化开展督查，以“四不两直”和暗查暗访、重点检查等方式，认真开展安全生产监管执法检查工作，严厉打击安全生产领域的非法违法行为，真正把事故防范压力传导到企业、到基层、到一线员工，通过严查严处推动生产经营单位牢固树立安全生产意识，依法落实主体责任，增强主动消除违法违规行为的自觉性，切实把安全生产的要求、标准规范的规定落实于生产经营的全过程和各方面。</w:t>
      </w:r>
    </w:p>
    <w:p w14:paraId="2BD8FE85">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right="0" w:rightChars="0" w:firstLine="640" w:firstLineChars="200"/>
        <w:textAlignment w:val="auto"/>
        <w:rPr>
          <w:rFonts w:hint="eastAsia" w:ascii="仿宋_GB2312" w:hAnsi="仿宋_GB2312" w:eastAsia="仿宋_GB2312" w:cs="仿宋_GB2312"/>
          <w:bCs/>
          <w:color w:val="auto"/>
          <w:kern w:val="0"/>
          <w:sz w:val="32"/>
          <w:szCs w:val="32"/>
          <w:lang w:val="en-US" w:eastAsia="zh-CN" w:bidi="en-US"/>
        </w:rPr>
      </w:pPr>
    </w:p>
    <w:p w14:paraId="0D068256">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right="0" w:rightChars="0" w:firstLine="640" w:firstLineChars="200"/>
        <w:textAlignment w:val="auto"/>
        <w:rPr>
          <w:rFonts w:hint="eastAsia" w:ascii="仿宋_GB2312" w:hAnsi="仿宋_GB2312" w:eastAsia="仿宋_GB2312" w:cs="仿宋_GB2312"/>
          <w:bCs/>
          <w:color w:val="auto"/>
          <w:kern w:val="0"/>
          <w:sz w:val="32"/>
          <w:szCs w:val="32"/>
          <w:lang w:val="en-US" w:eastAsia="zh-CN" w:bidi="en-US"/>
        </w:rPr>
      </w:pPr>
    </w:p>
    <w:p w14:paraId="0DC7EFFF">
      <w:pPr>
        <w:keepNext w:val="0"/>
        <w:keepLines w:val="0"/>
        <w:pageBreakBefore w:val="0"/>
        <w:widowControl w:val="0"/>
        <w:kinsoku/>
        <w:wordWrap/>
        <w:overflowPunct/>
        <w:topLinePunct w:val="0"/>
        <w:bidi w:val="0"/>
        <w:spacing w:line="560" w:lineRule="exact"/>
        <w:textAlignment w:val="auto"/>
        <w:rPr>
          <w:rFonts w:hint="eastAsia" w:ascii="仿宋_GB2312" w:hAnsi="仿宋_GB2312" w:eastAsia="仿宋_GB2312" w:cs="仿宋_GB2312"/>
          <w:bCs/>
          <w:color w:val="auto"/>
          <w:kern w:val="0"/>
          <w:sz w:val="32"/>
          <w:szCs w:val="32"/>
          <w:lang w:val="en-US" w:eastAsia="zh-CN" w:bidi="en-US"/>
        </w:rPr>
      </w:pPr>
    </w:p>
    <w:sectPr>
      <w:headerReference r:id="rId4" w:type="default"/>
      <w:footerReference r:id="rId5" w:type="default"/>
      <w:footnotePr>
        <w:numFmt w:val="decimal"/>
      </w:footnotePr>
      <w:pgSz w:w="11906" w:h="16838"/>
      <w:pgMar w:top="2098" w:right="1474" w:bottom="1984" w:left="1587" w:header="851" w:footer="992" w:gutter="0"/>
      <w:pgNumType w:fmt="numberInDash"/>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方正仿宋_GB2312">
    <w:altName w:val="仿宋"/>
    <w:panose1 w:val="02000000000000000000"/>
    <w:charset w:val="86"/>
    <w:family w:val="auto"/>
    <w:pitch w:val="default"/>
    <w:sig w:usb0="00000000" w:usb1="00000000" w:usb2="00000000"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FangSong_GB2312">
    <w:altName w:val="仿宋_GB2312"/>
    <w:panose1 w:val="00000000000000000000"/>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B81476">
    <w:pPr>
      <w:pStyle w:val="10"/>
    </w:pPr>
    <w:r>
      <w:rPr>
        <w:sz w:val="18"/>
      </w:rPr>
      <w:pict>
        <v:shape id="_x0000_s2049" o:spid="_x0000_s2049"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zql5uc8AAAAFAQAADwAAAAAAAAABACAAAAAiAAAAZHJzL2Rv&#10;d25yZXYueG1sUEsBAhQAFAAAAAgAh07iQOxZpjDRAQAAowMAAA4AAAAAAAAAAQAgAAAAHgEAAGRy&#10;cy9lMm9Eb2MueG1sUEsFBgAAAAAGAAYAWQEAAGEFAAAAAA==&#10;">
          <v:path/>
          <v:fill on="f" focussize="0,0"/>
          <v:stroke on="f"/>
          <v:imagedata o:title=""/>
          <o:lock v:ext="edit" aspectratio="f"/>
          <v:textbox inset="0mm,0mm,0mm,0mm" style="mso-fit-shape-to-text:t;">
            <w:txbxContent>
              <w:p w14:paraId="3F866092">
                <w:pPr>
                  <w:snapToGrid w:val="0"/>
                  <w:rPr>
                    <w:rFonts w:hint="eastAsia" w:eastAsia="宋体"/>
                    <w:sz w:val="18"/>
                    <w:lang w:eastAsia="zh-CN"/>
                  </w:rPr>
                </w:pPr>
                <w:r>
                  <w:rPr>
                    <w:rFonts w:hint="eastAsia" w:ascii="宋体" w:hAnsi="宋体" w:eastAsia="宋体" w:cs="宋体"/>
                    <w:sz w:val="24"/>
                    <w:szCs w:val="24"/>
                    <w:lang w:eastAsia="zh-CN"/>
                  </w:rPr>
                  <w:fldChar w:fldCharType="begin"/>
                </w:r>
                <w:r>
                  <w:rPr>
                    <w:rFonts w:hint="eastAsia" w:ascii="宋体" w:hAnsi="宋体" w:eastAsia="宋体" w:cs="宋体"/>
                    <w:sz w:val="24"/>
                    <w:szCs w:val="24"/>
                    <w:lang w:eastAsia="zh-CN"/>
                  </w:rPr>
                  <w:instrText xml:space="preserve"> PAGE  \* MERGEFORMAT </w:instrText>
                </w:r>
                <w:r>
                  <w:rPr>
                    <w:rFonts w:hint="eastAsia" w:ascii="宋体" w:hAnsi="宋体" w:eastAsia="宋体" w:cs="宋体"/>
                    <w:sz w:val="24"/>
                    <w:szCs w:val="24"/>
                    <w:lang w:eastAsia="zh-CN"/>
                  </w:rPr>
                  <w:fldChar w:fldCharType="separate"/>
                </w:r>
                <w:r>
                  <w:rPr>
                    <w:rFonts w:hint="eastAsia" w:ascii="宋体" w:hAnsi="宋体" w:eastAsia="宋体" w:cs="宋体"/>
                    <w:sz w:val="24"/>
                    <w:szCs w:val="24"/>
                  </w:rPr>
                  <w:t>1</w:t>
                </w:r>
                <w:r>
                  <w:rPr>
                    <w:rFonts w:hint="eastAsia" w:ascii="宋体" w:hAnsi="宋体" w:eastAsia="宋体" w:cs="宋体"/>
                    <w:sz w:val="24"/>
                    <w:szCs w:val="24"/>
                    <w:lang w:eastAsia="zh-CN"/>
                  </w:rPr>
                  <w:fldChar w:fldCharType="end"/>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34">
    <w:p>
      <w:r>
        <w:separator/>
      </w:r>
    </w:p>
  </w:footnote>
  <w:footnote w:type="continuationSeparator" w:id="35">
    <w:p>
      <w:r>
        <w:continuationSeparator/>
      </w:r>
    </w:p>
  </w:footnote>
  <w:footnote w:id="0">
    <w:p w14:paraId="0D02A69F">
      <w:pPr>
        <w:pStyle w:val="12"/>
        <w:snapToGrid w:val="0"/>
        <w:spacing w:line="240" w:lineRule="auto"/>
        <w:rPr>
          <w:rFonts w:hint="eastAsia" w:ascii="宋体" w:hAnsi="宋体" w:eastAsia="宋体" w:cs="宋体"/>
          <w:kern w:val="2"/>
          <w:sz w:val="18"/>
          <w:szCs w:val="18"/>
          <w:lang w:val="en-US" w:eastAsia="zh-CN" w:bidi="ar-SA"/>
        </w:rPr>
      </w:pPr>
      <w:r>
        <w:rPr>
          <w:rFonts w:hint="eastAsia" w:ascii="宋体" w:hAnsi="宋体" w:eastAsia="宋体" w:cs="宋体"/>
          <w:kern w:val="2"/>
          <w:sz w:val="18"/>
          <w:szCs w:val="18"/>
          <w:lang w:val="en-US" w:eastAsia="zh-CN" w:bidi="ar-SA"/>
        </w:rPr>
        <w:t>[</w:t>
      </w:r>
      <w:r>
        <w:rPr>
          <w:rFonts w:hint="eastAsia" w:ascii="宋体" w:hAnsi="宋体" w:eastAsia="宋体" w:cs="宋体"/>
          <w:kern w:val="2"/>
          <w:sz w:val="18"/>
          <w:szCs w:val="18"/>
          <w:lang w:val="en-US" w:eastAsia="zh-CN" w:bidi="ar-SA"/>
        </w:rPr>
        <w:footnoteRef/>
      </w:r>
      <w:r>
        <w:rPr>
          <w:rFonts w:hint="eastAsia" w:ascii="宋体" w:hAnsi="宋体" w:eastAsia="宋体" w:cs="宋体"/>
          <w:kern w:val="2"/>
          <w:sz w:val="18"/>
          <w:szCs w:val="18"/>
          <w:lang w:val="en-US" w:eastAsia="zh-CN" w:bidi="ar-SA"/>
        </w:rPr>
        <w:t>]《中华人民共和国安全生产法》第十七条：生产经营单位的特种作业人员必须按照国家有关规定经专门的安全作业培训，取得相应资格，方可上岗作业。</w:t>
      </w:r>
    </w:p>
  </w:footnote>
  <w:footnote w:id="1">
    <w:p w14:paraId="3BE3C068">
      <w:pPr>
        <w:pStyle w:val="12"/>
        <w:snapToGrid w:val="0"/>
        <w:spacing w:line="240" w:lineRule="auto"/>
        <w:rPr>
          <w:rFonts w:hint="eastAsia" w:ascii="宋体" w:hAnsi="宋体" w:eastAsia="宋体" w:cs="宋体"/>
          <w:kern w:val="2"/>
          <w:sz w:val="18"/>
          <w:szCs w:val="18"/>
          <w:lang w:val="en-US" w:eastAsia="zh-CN" w:bidi="ar-SA"/>
        </w:rPr>
      </w:pPr>
      <w:r>
        <w:rPr>
          <w:rFonts w:hint="eastAsia" w:ascii="宋体" w:hAnsi="宋体" w:eastAsia="宋体" w:cs="宋体"/>
          <w:kern w:val="2"/>
          <w:sz w:val="18"/>
          <w:szCs w:val="18"/>
          <w:lang w:val="en-US" w:eastAsia="zh-CN" w:bidi="ar-SA"/>
        </w:rPr>
        <w:t>[</w:t>
      </w:r>
      <w:r>
        <w:rPr>
          <w:rFonts w:hint="eastAsia" w:ascii="宋体" w:hAnsi="宋体" w:eastAsia="宋体" w:cs="宋体"/>
          <w:kern w:val="2"/>
          <w:sz w:val="18"/>
          <w:szCs w:val="18"/>
          <w:lang w:val="en-US" w:eastAsia="zh-CN" w:bidi="ar-SA"/>
        </w:rPr>
        <w:footnoteRef/>
      </w:r>
      <w:r>
        <w:rPr>
          <w:rFonts w:hint="eastAsia" w:ascii="宋体" w:hAnsi="宋体" w:eastAsia="宋体" w:cs="宋体"/>
          <w:kern w:val="2"/>
          <w:sz w:val="18"/>
          <w:szCs w:val="18"/>
          <w:lang w:val="en-US" w:eastAsia="zh-CN" w:bidi="ar-SA"/>
        </w:rPr>
        <w:t>]《高处作业分级》(GB3608-83)1.1：凡在坠落高度基本面2m或者2m)上有可能坠落的高处进行的作业，均称为高处作业。</w:t>
      </w:r>
    </w:p>
  </w:footnote>
  <w:footnote w:id="2">
    <w:p w14:paraId="6D5B9E3D">
      <w:pPr>
        <w:pStyle w:val="12"/>
        <w:snapToGrid w:val="0"/>
        <w:spacing w:line="240" w:lineRule="auto"/>
        <w:rPr>
          <w:rFonts w:hint="eastAsia" w:ascii="宋体" w:hAnsi="宋体" w:eastAsia="宋体" w:cs="宋体"/>
          <w:kern w:val="2"/>
          <w:sz w:val="18"/>
          <w:szCs w:val="18"/>
          <w:lang w:val="en-US" w:eastAsia="zh-CN" w:bidi="ar-SA"/>
        </w:rPr>
      </w:pPr>
      <w:r>
        <w:rPr>
          <w:rFonts w:hint="eastAsia" w:ascii="宋体" w:hAnsi="宋体" w:eastAsia="宋体" w:cs="宋体"/>
          <w:kern w:val="2"/>
          <w:sz w:val="18"/>
          <w:szCs w:val="18"/>
          <w:lang w:val="en-US" w:eastAsia="zh-CN" w:bidi="ar-SA"/>
        </w:rPr>
        <w:t>[</w:t>
      </w:r>
      <w:r>
        <w:rPr>
          <w:rFonts w:hint="eastAsia" w:ascii="宋体" w:hAnsi="宋体" w:eastAsia="宋体" w:cs="宋体"/>
          <w:kern w:val="2"/>
          <w:sz w:val="18"/>
          <w:szCs w:val="18"/>
          <w:lang w:val="en-US" w:eastAsia="zh-CN" w:bidi="ar-SA"/>
        </w:rPr>
        <w:footnoteRef/>
      </w:r>
      <w:r>
        <w:rPr>
          <w:rFonts w:hint="eastAsia" w:ascii="宋体" w:hAnsi="宋体" w:eastAsia="宋体" w:cs="宋体"/>
          <w:kern w:val="2"/>
          <w:sz w:val="18"/>
          <w:szCs w:val="18"/>
          <w:lang w:val="en-US" w:eastAsia="zh-CN" w:bidi="ar-SA"/>
        </w:rPr>
        <w:t>]《坠落防护 水平生命线装置》（GB 38454-2019）3.1：水平生命线 以两个或多个挂点固定且任意两挂点间连线的水平角度不大于15°的，由钢丝绳、纤维绳、织带等柔性导轨或不锈钢、铝合金等刚性导轨构成的用于连接坠落防护装备与附着物（墙、地面、脚手架等固定设施）的装置。</w:t>
      </w:r>
    </w:p>
  </w:footnote>
  <w:footnote w:id="3">
    <w:p w14:paraId="7A9DB505">
      <w:pPr>
        <w:pStyle w:val="12"/>
        <w:snapToGrid w:val="0"/>
        <w:spacing w:line="240" w:lineRule="auto"/>
        <w:rPr>
          <w:rFonts w:hint="eastAsia" w:ascii="宋体" w:hAnsi="宋体" w:eastAsia="宋体" w:cs="宋体"/>
          <w:kern w:val="2"/>
          <w:sz w:val="18"/>
          <w:szCs w:val="18"/>
          <w:lang w:val="en-US" w:eastAsia="zh-CN" w:bidi="ar-SA"/>
        </w:rPr>
      </w:pPr>
      <w:r>
        <w:rPr>
          <w:rFonts w:hint="eastAsia" w:ascii="宋体" w:hAnsi="宋体" w:eastAsia="宋体" w:cs="宋体"/>
          <w:kern w:val="2"/>
          <w:sz w:val="18"/>
          <w:szCs w:val="18"/>
          <w:lang w:val="en-US" w:eastAsia="zh-CN" w:bidi="ar-SA"/>
        </w:rPr>
        <w:t>[</w:t>
      </w:r>
      <w:r>
        <w:rPr>
          <w:rFonts w:hint="eastAsia" w:ascii="宋体" w:hAnsi="宋体" w:eastAsia="宋体" w:cs="宋体"/>
          <w:kern w:val="2"/>
          <w:sz w:val="18"/>
          <w:szCs w:val="18"/>
          <w:lang w:val="en-US" w:eastAsia="zh-CN" w:bidi="ar-SA"/>
        </w:rPr>
        <w:footnoteRef/>
      </w:r>
      <w:r>
        <w:rPr>
          <w:rFonts w:hint="eastAsia" w:ascii="宋体" w:hAnsi="宋体" w:eastAsia="宋体" w:cs="宋体"/>
          <w:kern w:val="2"/>
          <w:sz w:val="18"/>
          <w:szCs w:val="18"/>
          <w:lang w:val="en-US" w:eastAsia="zh-CN" w:bidi="ar-SA"/>
        </w:rPr>
        <w:t>]《坠落防护装备安全使用规范》( GBT23468-2009) 5.2.2 2：安全带应拴挂于牢固的构件或物体上，应防止挂点摆动或碰撞。</w:t>
      </w:r>
    </w:p>
  </w:footnote>
  <w:footnote w:id="4">
    <w:p w14:paraId="5AF6A5EB">
      <w:pPr>
        <w:pStyle w:val="12"/>
        <w:snapToGrid w:val="0"/>
        <w:spacing w:line="240" w:lineRule="auto"/>
        <w:rPr>
          <w:rFonts w:hint="eastAsia" w:ascii="宋体" w:hAnsi="宋体" w:eastAsia="宋体" w:cs="宋体"/>
          <w:kern w:val="2"/>
          <w:sz w:val="18"/>
          <w:szCs w:val="18"/>
          <w:lang w:val="en-US" w:eastAsia="zh-CN" w:bidi="ar-SA"/>
        </w:rPr>
      </w:pPr>
      <w:r>
        <w:rPr>
          <w:rFonts w:hint="eastAsia" w:ascii="宋体" w:hAnsi="宋体" w:eastAsia="宋体" w:cs="宋体"/>
          <w:kern w:val="2"/>
          <w:sz w:val="18"/>
          <w:szCs w:val="18"/>
          <w:lang w:val="en-US" w:eastAsia="zh-CN" w:bidi="ar-SA"/>
        </w:rPr>
        <w:t>[</w:t>
      </w:r>
      <w:r>
        <w:rPr>
          <w:rFonts w:hint="eastAsia" w:ascii="宋体" w:hAnsi="宋体" w:eastAsia="宋体" w:cs="宋体"/>
          <w:kern w:val="2"/>
          <w:sz w:val="18"/>
          <w:szCs w:val="18"/>
          <w:lang w:val="en-US" w:eastAsia="zh-CN" w:bidi="ar-SA"/>
        </w:rPr>
        <w:footnoteRef/>
      </w:r>
      <w:r>
        <w:rPr>
          <w:rFonts w:hint="eastAsia" w:ascii="宋体" w:hAnsi="宋体" w:eastAsia="宋体" w:cs="宋体"/>
          <w:kern w:val="2"/>
          <w:sz w:val="18"/>
          <w:szCs w:val="18"/>
          <w:lang w:val="en-US" w:eastAsia="zh-CN" w:bidi="ar-SA"/>
        </w:rPr>
        <w:t xml:space="preserve">]《建筑业企业资质管理规定》第三条：企业应当按照其拥有的资产、主要人员、已完成的工程业绩和技术装备等条件申请建筑业企业资质，经审查合格，取得建筑业企业资质证书后，方可在资质许可的范围内从事建筑施工活动。 </w:t>
      </w:r>
    </w:p>
  </w:footnote>
  <w:footnote w:id="5">
    <w:p w14:paraId="7E3887DB">
      <w:pPr>
        <w:pStyle w:val="12"/>
        <w:snapToGrid w:val="0"/>
        <w:spacing w:line="240" w:lineRule="auto"/>
        <w:rPr>
          <w:rFonts w:hint="eastAsia" w:ascii="宋体" w:hAnsi="宋体" w:eastAsia="宋体" w:cs="宋体"/>
          <w:sz w:val="18"/>
          <w:szCs w:val="18"/>
        </w:rPr>
      </w:pPr>
      <w:r>
        <w:rPr>
          <w:rFonts w:hint="eastAsia" w:ascii="宋体" w:hAnsi="宋体" w:eastAsia="宋体" w:cs="宋体"/>
          <w:kern w:val="2"/>
          <w:sz w:val="18"/>
          <w:szCs w:val="18"/>
          <w:lang w:val="en-US" w:eastAsia="zh-CN" w:bidi="ar-SA"/>
        </w:rPr>
        <w:t>[</w:t>
      </w:r>
      <w:r>
        <w:rPr>
          <w:rFonts w:hint="eastAsia" w:ascii="宋体" w:hAnsi="宋体" w:eastAsia="宋体" w:cs="宋体"/>
          <w:kern w:val="2"/>
          <w:sz w:val="18"/>
          <w:szCs w:val="18"/>
          <w:lang w:val="en-US" w:eastAsia="zh-CN" w:bidi="ar-SA"/>
        </w:rPr>
        <w:footnoteRef/>
      </w:r>
      <w:r>
        <w:rPr>
          <w:rFonts w:hint="eastAsia" w:ascii="宋体" w:hAnsi="宋体" w:eastAsia="宋体" w:cs="宋体"/>
          <w:kern w:val="2"/>
          <w:sz w:val="18"/>
          <w:szCs w:val="18"/>
          <w:lang w:val="en-US" w:eastAsia="zh-CN" w:bidi="ar-SA"/>
        </w:rPr>
        <w:t>]《中华人民共和国安全生产法》第三十条 第一款：生产经营单位的特种作业人员必须按照国家有关规定经专门的安全作业培训，取得相应资格，方可上岗作业。</w:t>
      </w:r>
    </w:p>
  </w:footnote>
  <w:footnote w:id="6">
    <w:p w14:paraId="6C2CB8BD">
      <w:pPr>
        <w:pStyle w:val="12"/>
        <w:snapToGrid w:val="0"/>
        <w:spacing w:line="240" w:lineRule="auto"/>
        <w:rPr>
          <w:rFonts w:hint="eastAsia" w:ascii="宋体" w:hAnsi="宋体" w:eastAsia="宋体" w:cs="宋体"/>
          <w:kern w:val="2"/>
          <w:sz w:val="18"/>
          <w:szCs w:val="18"/>
          <w:lang w:val="en-US" w:eastAsia="zh-CN" w:bidi="ar-SA"/>
        </w:rPr>
      </w:pPr>
      <w:r>
        <w:rPr>
          <w:rFonts w:hint="eastAsia" w:ascii="宋体" w:hAnsi="宋体" w:eastAsia="宋体" w:cs="宋体"/>
          <w:kern w:val="2"/>
          <w:sz w:val="18"/>
          <w:szCs w:val="18"/>
          <w:lang w:val="en-US" w:eastAsia="zh-CN" w:bidi="ar-SA"/>
        </w:rPr>
        <w:t>[</w:t>
      </w:r>
      <w:r>
        <w:rPr>
          <w:rFonts w:hint="eastAsia" w:ascii="宋体" w:hAnsi="宋体" w:eastAsia="宋体" w:cs="宋体"/>
          <w:kern w:val="2"/>
          <w:sz w:val="18"/>
          <w:szCs w:val="18"/>
          <w:lang w:val="en-US" w:eastAsia="zh-CN" w:bidi="ar-SA"/>
        </w:rPr>
        <w:footnoteRef/>
      </w:r>
      <w:r>
        <w:rPr>
          <w:rFonts w:hint="eastAsia" w:ascii="宋体" w:hAnsi="宋体" w:eastAsia="宋体" w:cs="宋体"/>
          <w:kern w:val="2"/>
          <w:sz w:val="18"/>
          <w:szCs w:val="18"/>
          <w:lang w:val="en-US" w:eastAsia="zh-CN" w:bidi="ar-SA"/>
        </w:rPr>
        <w:t>]《建设工程安全生产管理条例》第三十六条 第一款：施工单位的主要负责人、项目负责人、专职安全生产管理人员应当经建设行政主管部门或者其他有关部门考核合格后方可任职。</w:t>
      </w:r>
    </w:p>
  </w:footnote>
  <w:footnote w:id="7">
    <w:p w14:paraId="6F2CABA1">
      <w:pPr>
        <w:spacing w:line="240" w:lineRule="auto"/>
        <w:rPr>
          <w:rFonts w:hint="eastAsia" w:ascii="宋体" w:hAnsi="宋体" w:eastAsia="宋体" w:cs="宋体"/>
          <w:sz w:val="18"/>
          <w:szCs w:val="18"/>
          <w:lang w:val="en-US" w:eastAsia="zh-CN"/>
        </w:rPr>
      </w:pPr>
      <w:r>
        <w:rPr>
          <w:rFonts w:hint="eastAsia" w:ascii="宋体" w:hAnsi="宋体" w:eastAsia="宋体" w:cs="宋体"/>
          <w:kern w:val="2"/>
          <w:sz w:val="18"/>
          <w:szCs w:val="18"/>
          <w:lang w:val="en-US" w:eastAsia="zh-CN" w:bidi="ar-SA"/>
        </w:rPr>
        <w:t>[</w:t>
      </w:r>
      <w:r>
        <w:rPr>
          <w:rFonts w:hint="eastAsia" w:ascii="宋体" w:hAnsi="宋体" w:eastAsia="宋体" w:cs="宋体"/>
          <w:kern w:val="2"/>
          <w:sz w:val="18"/>
          <w:szCs w:val="18"/>
          <w:lang w:val="en-US" w:eastAsia="zh-CN" w:bidi="ar-SA"/>
        </w:rPr>
        <w:footnoteRef/>
      </w:r>
      <w:r>
        <w:rPr>
          <w:rFonts w:hint="eastAsia" w:ascii="宋体" w:hAnsi="宋体" w:eastAsia="宋体" w:cs="宋体"/>
          <w:kern w:val="2"/>
          <w:sz w:val="18"/>
          <w:szCs w:val="18"/>
          <w:lang w:val="en-US" w:eastAsia="zh-CN" w:bidi="ar-SA"/>
        </w:rPr>
        <w:t>]《中华人民共和国安全生产法》第四十五条：生产经营单位必须为从业人员提供符合国家标准或者行业标准的劳动防护用品，并监督、教育从业人员按照使用规则佩戴、使用。</w:t>
      </w:r>
    </w:p>
  </w:footnote>
  <w:footnote w:id="8">
    <w:p w14:paraId="7F003928">
      <w:pPr>
        <w:pStyle w:val="12"/>
        <w:snapToGrid w:val="0"/>
        <w:spacing w:line="240" w:lineRule="auto"/>
        <w:rPr>
          <w:rFonts w:hint="eastAsia" w:ascii="宋体" w:hAnsi="宋体" w:eastAsia="宋体" w:cs="宋体"/>
          <w:kern w:val="2"/>
          <w:sz w:val="18"/>
          <w:szCs w:val="18"/>
          <w:lang w:val="en-US" w:eastAsia="zh-CN" w:bidi="ar-SA"/>
        </w:rPr>
      </w:pPr>
      <w:r>
        <w:rPr>
          <w:rFonts w:hint="eastAsia" w:ascii="宋体" w:hAnsi="宋体" w:eastAsia="宋体" w:cs="宋体"/>
          <w:kern w:val="2"/>
          <w:sz w:val="18"/>
          <w:szCs w:val="18"/>
          <w:lang w:val="en-US" w:eastAsia="zh-CN" w:bidi="ar-SA"/>
        </w:rPr>
        <w:t>[</w:t>
      </w:r>
      <w:r>
        <w:rPr>
          <w:rFonts w:hint="eastAsia" w:ascii="宋体" w:hAnsi="宋体" w:eastAsia="宋体" w:cs="宋体"/>
          <w:kern w:val="2"/>
          <w:sz w:val="18"/>
          <w:szCs w:val="18"/>
          <w:lang w:val="en-US" w:eastAsia="zh-CN" w:bidi="ar-SA"/>
        </w:rPr>
        <w:footnoteRef/>
      </w:r>
      <w:r>
        <w:rPr>
          <w:rFonts w:hint="eastAsia" w:ascii="宋体" w:hAnsi="宋体" w:eastAsia="宋体" w:cs="宋体"/>
          <w:kern w:val="2"/>
          <w:sz w:val="18"/>
          <w:szCs w:val="18"/>
          <w:lang w:val="en-US" w:eastAsia="zh-CN" w:bidi="ar-SA"/>
        </w:rPr>
        <w:t>]《建设工程安全生产管理条例》第二十八条 第一款：施工单位应当在施工现场入口处、施工起重机械、临时用电设施、脚手架、出入通道口、楼梯口、电梯井口、孔洞口、桥梁口、隧道口、基坑边沿、爆破物及有害危险气体和液体存放处等危险部位，设置明显的安全警示标志。安全警示标志必须符合国家标准。</w:t>
      </w:r>
    </w:p>
  </w:footnote>
  <w:footnote w:id="9">
    <w:p w14:paraId="5F9ACACB">
      <w:pPr>
        <w:pStyle w:val="12"/>
        <w:snapToGrid w:val="0"/>
        <w:spacing w:line="240" w:lineRule="auto"/>
        <w:rPr>
          <w:rFonts w:hint="eastAsia" w:ascii="宋体" w:hAnsi="宋体" w:eastAsia="宋体" w:cs="宋体"/>
          <w:kern w:val="2"/>
          <w:sz w:val="18"/>
          <w:szCs w:val="18"/>
          <w:lang w:val="en-US" w:eastAsia="zh-CN" w:bidi="ar-SA"/>
        </w:rPr>
      </w:pPr>
      <w:r>
        <w:rPr>
          <w:rFonts w:hint="eastAsia" w:ascii="宋体" w:hAnsi="宋体" w:eastAsia="宋体" w:cs="宋体"/>
          <w:kern w:val="2"/>
          <w:sz w:val="18"/>
          <w:szCs w:val="18"/>
          <w:lang w:val="en-US" w:eastAsia="zh-CN" w:bidi="ar-SA"/>
        </w:rPr>
        <w:t>[</w:t>
      </w:r>
      <w:r>
        <w:rPr>
          <w:rFonts w:hint="eastAsia" w:ascii="宋体" w:hAnsi="宋体" w:eastAsia="宋体" w:cs="宋体"/>
          <w:kern w:val="2"/>
          <w:sz w:val="18"/>
          <w:szCs w:val="18"/>
          <w:lang w:val="en-US" w:eastAsia="zh-CN" w:bidi="ar-SA"/>
        </w:rPr>
        <w:footnoteRef/>
      </w:r>
      <w:r>
        <w:rPr>
          <w:rFonts w:hint="eastAsia" w:ascii="宋体" w:hAnsi="宋体" w:eastAsia="宋体" w:cs="宋体"/>
          <w:kern w:val="2"/>
          <w:sz w:val="18"/>
          <w:szCs w:val="18"/>
          <w:lang w:val="en-US" w:eastAsia="zh-CN" w:bidi="ar-SA"/>
        </w:rPr>
        <w:t>]《中华人民共和国安全生产法》第二十八条 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footnote>
  <w:footnote w:id="10">
    <w:p w14:paraId="04DEC3E5">
      <w:pPr>
        <w:pStyle w:val="12"/>
        <w:snapToGrid w:val="0"/>
        <w:spacing w:line="240" w:lineRule="auto"/>
        <w:rPr>
          <w:rFonts w:hint="eastAsia" w:ascii="宋体" w:hAnsi="宋体" w:eastAsia="宋体" w:cs="宋体"/>
          <w:kern w:val="2"/>
          <w:sz w:val="18"/>
          <w:szCs w:val="18"/>
          <w:lang w:val="en-US" w:eastAsia="zh-CN" w:bidi="ar-SA"/>
        </w:rPr>
      </w:pPr>
      <w:r>
        <w:rPr>
          <w:rFonts w:hint="eastAsia" w:ascii="宋体" w:hAnsi="宋体" w:eastAsia="宋体" w:cs="宋体"/>
          <w:kern w:val="2"/>
          <w:sz w:val="18"/>
          <w:szCs w:val="18"/>
          <w:lang w:val="en-US" w:eastAsia="zh-CN" w:bidi="ar-SA"/>
        </w:rPr>
        <w:t>[</w:t>
      </w:r>
      <w:r>
        <w:rPr>
          <w:rFonts w:hint="eastAsia" w:ascii="宋体" w:hAnsi="宋体" w:eastAsia="宋体" w:cs="宋体"/>
          <w:kern w:val="2"/>
          <w:sz w:val="18"/>
          <w:szCs w:val="18"/>
          <w:lang w:val="en-US" w:eastAsia="zh-CN" w:bidi="ar-SA"/>
        </w:rPr>
        <w:footnoteRef/>
      </w:r>
      <w:r>
        <w:rPr>
          <w:rFonts w:hint="eastAsia" w:ascii="宋体" w:hAnsi="宋体" w:eastAsia="宋体" w:cs="宋体"/>
          <w:kern w:val="2"/>
          <w:sz w:val="18"/>
          <w:szCs w:val="18"/>
          <w:lang w:val="en-US" w:eastAsia="zh-CN" w:bidi="ar-SA"/>
        </w:rPr>
        <w:t>]《生产经营单位安全培训规定》第十三条 第一款：生产经营单位新上岗的从业人员，岗前安全培训时间不得少于24学时。</w:t>
      </w:r>
    </w:p>
  </w:footnote>
  <w:footnote w:id="11">
    <w:p w14:paraId="5072CD99">
      <w:pPr>
        <w:pStyle w:val="12"/>
        <w:snapToGrid w:val="0"/>
        <w:spacing w:line="240" w:lineRule="auto"/>
        <w:rPr>
          <w:rFonts w:hint="eastAsia" w:ascii="宋体" w:hAnsi="宋体" w:eastAsia="宋体" w:cs="宋体"/>
          <w:kern w:val="2"/>
          <w:sz w:val="18"/>
          <w:szCs w:val="18"/>
          <w:lang w:val="en-US" w:eastAsia="zh-CN" w:bidi="ar-SA"/>
        </w:rPr>
      </w:pPr>
      <w:r>
        <w:rPr>
          <w:rFonts w:hint="eastAsia" w:ascii="宋体" w:hAnsi="宋体" w:eastAsia="宋体" w:cs="宋体"/>
          <w:kern w:val="2"/>
          <w:sz w:val="18"/>
          <w:szCs w:val="18"/>
          <w:lang w:val="en-US" w:eastAsia="zh-CN" w:bidi="ar-SA"/>
        </w:rPr>
        <w:t>[</w:t>
      </w:r>
      <w:r>
        <w:rPr>
          <w:rFonts w:hint="eastAsia" w:ascii="宋体" w:hAnsi="宋体" w:eastAsia="宋体" w:cs="宋体"/>
          <w:kern w:val="2"/>
          <w:sz w:val="18"/>
          <w:szCs w:val="18"/>
          <w:lang w:val="en-US" w:eastAsia="zh-CN" w:bidi="ar-SA"/>
        </w:rPr>
        <w:footnoteRef/>
      </w:r>
      <w:r>
        <w:rPr>
          <w:rFonts w:hint="eastAsia" w:ascii="宋体" w:hAnsi="宋体" w:eastAsia="宋体" w:cs="宋体"/>
          <w:kern w:val="2"/>
          <w:sz w:val="18"/>
          <w:szCs w:val="18"/>
          <w:lang w:val="en-US" w:eastAsia="zh-CN" w:bidi="ar-SA"/>
        </w:rPr>
        <w:t>]《中华人民共和国安全生产法》第一百一十四条 第一款 第(一)项：……发生一般事故的，处三十万元以上一百万元以下的罚款；……</w:t>
      </w:r>
    </w:p>
  </w:footnote>
  <w:footnote w:id="12">
    <w:p w14:paraId="310AB967">
      <w:pPr>
        <w:pStyle w:val="12"/>
        <w:snapToGrid w:val="0"/>
        <w:spacing w:line="240" w:lineRule="auto"/>
        <w:rPr>
          <w:rFonts w:hint="eastAsia" w:ascii="宋体" w:hAnsi="宋体" w:eastAsia="宋体" w:cs="宋体"/>
          <w:kern w:val="2"/>
          <w:sz w:val="18"/>
          <w:szCs w:val="18"/>
          <w:lang w:val="en-US" w:eastAsia="zh-CN" w:bidi="ar-SA"/>
        </w:rPr>
      </w:pPr>
      <w:r>
        <w:rPr>
          <w:rFonts w:hint="eastAsia" w:ascii="宋体" w:hAnsi="宋体" w:eastAsia="宋体" w:cs="宋体"/>
          <w:kern w:val="2"/>
          <w:sz w:val="18"/>
          <w:szCs w:val="18"/>
          <w:lang w:val="en-US" w:eastAsia="zh-CN" w:bidi="ar-SA"/>
        </w:rPr>
        <w:t>[</w:t>
      </w:r>
      <w:r>
        <w:rPr>
          <w:rFonts w:hint="eastAsia" w:ascii="宋体" w:hAnsi="宋体" w:eastAsia="宋体" w:cs="宋体"/>
          <w:kern w:val="2"/>
          <w:sz w:val="18"/>
          <w:szCs w:val="18"/>
          <w:lang w:val="en-US" w:eastAsia="zh-CN" w:bidi="ar-SA"/>
        </w:rPr>
        <w:footnoteRef/>
      </w:r>
      <w:r>
        <w:rPr>
          <w:rFonts w:hint="eastAsia" w:ascii="宋体" w:hAnsi="宋体" w:eastAsia="宋体" w:cs="宋体"/>
          <w:kern w:val="2"/>
          <w:sz w:val="18"/>
          <w:szCs w:val="18"/>
          <w:lang w:val="en-US" w:eastAsia="zh-CN" w:bidi="ar-SA"/>
        </w:rPr>
        <w:t>]《中华人民共和国安全生产法》第九十五条 第一款 第（一）项：……（一）发生一般事故的，处上一年年收入百分之四十的罚款；……</w:t>
      </w:r>
    </w:p>
  </w:footnote>
  <w:footnote w:id="13">
    <w:p w14:paraId="0A13B40E">
      <w:pPr>
        <w:pStyle w:val="12"/>
        <w:snapToGrid w:val="0"/>
        <w:spacing w:line="240" w:lineRule="auto"/>
        <w:rPr>
          <w:rFonts w:hint="eastAsia" w:ascii="宋体" w:hAnsi="宋体" w:eastAsia="宋体" w:cs="宋体"/>
          <w:kern w:val="2"/>
          <w:sz w:val="18"/>
          <w:szCs w:val="18"/>
          <w:lang w:val="en-US" w:eastAsia="zh-CN" w:bidi="ar-SA"/>
        </w:rPr>
      </w:pPr>
      <w:r>
        <w:rPr>
          <w:rFonts w:hint="eastAsia" w:ascii="宋体" w:hAnsi="宋体" w:eastAsia="宋体" w:cs="宋体"/>
          <w:kern w:val="2"/>
          <w:sz w:val="18"/>
          <w:szCs w:val="18"/>
          <w:lang w:val="en-US" w:eastAsia="zh-CN" w:bidi="ar-SA"/>
        </w:rPr>
        <w:t>[</w:t>
      </w:r>
      <w:r>
        <w:rPr>
          <w:rFonts w:hint="eastAsia" w:ascii="宋体" w:hAnsi="宋体" w:eastAsia="宋体" w:cs="宋体"/>
          <w:kern w:val="2"/>
          <w:sz w:val="18"/>
          <w:szCs w:val="18"/>
          <w:lang w:val="en-US" w:eastAsia="zh-CN" w:bidi="ar-SA"/>
        </w:rPr>
        <w:footnoteRef/>
      </w:r>
      <w:r>
        <w:rPr>
          <w:rFonts w:hint="eastAsia" w:ascii="宋体" w:hAnsi="宋体" w:eastAsia="宋体" w:cs="宋体"/>
          <w:kern w:val="2"/>
          <w:sz w:val="18"/>
          <w:szCs w:val="18"/>
          <w:lang w:val="en-US" w:eastAsia="zh-CN" w:bidi="ar-SA"/>
        </w:rPr>
        <w:t>]《建筑工程质量管理条例》第七条 第一款：建设单位应当将工程发包给具有相应资质等级的单位。</w:t>
      </w:r>
    </w:p>
  </w:footnote>
  <w:footnote w:id="14">
    <w:p w14:paraId="47E586E0">
      <w:pPr>
        <w:pStyle w:val="12"/>
        <w:snapToGrid w:val="0"/>
        <w:spacing w:line="240" w:lineRule="auto"/>
        <w:rPr>
          <w:rFonts w:hint="eastAsia" w:ascii="宋体" w:hAnsi="宋体" w:eastAsia="宋体" w:cs="宋体"/>
          <w:kern w:val="2"/>
          <w:sz w:val="18"/>
          <w:szCs w:val="18"/>
          <w:lang w:val="en-US" w:eastAsia="zh-CN" w:bidi="ar-SA"/>
        </w:rPr>
      </w:pPr>
      <w:r>
        <w:rPr>
          <w:rFonts w:hint="eastAsia" w:ascii="宋体" w:hAnsi="宋体" w:eastAsia="宋体" w:cs="宋体"/>
          <w:kern w:val="2"/>
          <w:sz w:val="18"/>
          <w:szCs w:val="18"/>
          <w:lang w:val="en-US" w:eastAsia="zh-CN" w:bidi="ar-SA"/>
        </w:rPr>
        <w:t>[</w:t>
      </w:r>
      <w:r>
        <w:rPr>
          <w:rFonts w:hint="eastAsia" w:ascii="宋体" w:hAnsi="宋体" w:eastAsia="宋体" w:cs="宋体"/>
          <w:kern w:val="2"/>
          <w:sz w:val="18"/>
          <w:szCs w:val="18"/>
          <w:lang w:val="en-US" w:eastAsia="zh-CN" w:bidi="ar-SA"/>
        </w:rPr>
        <w:footnoteRef/>
      </w:r>
      <w:r>
        <w:rPr>
          <w:rFonts w:hint="eastAsia" w:ascii="宋体" w:hAnsi="宋体" w:eastAsia="宋体" w:cs="宋体"/>
          <w:kern w:val="2"/>
          <w:sz w:val="18"/>
          <w:szCs w:val="18"/>
          <w:lang w:val="en-US" w:eastAsia="zh-CN" w:bidi="ar-SA"/>
        </w:rPr>
        <w:t>]《中华人民共和国安全生产法》第四十九条 第二款：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p>
  </w:footnote>
  <w:footnote w:id="15">
    <w:p w14:paraId="3BBD4CA9">
      <w:pPr>
        <w:pStyle w:val="12"/>
        <w:snapToGrid w:val="0"/>
        <w:spacing w:line="240" w:lineRule="auto"/>
        <w:rPr>
          <w:rFonts w:hint="eastAsia" w:ascii="宋体" w:hAnsi="宋体" w:eastAsia="宋体" w:cs="宋体"/>
          <w:kern w:val="2"/>
          <w:sz w:val="18"/>
          <w:szCs w:val="18"/>
          <w:lang w:val="en-US" w:eastAsia="zh-CN" w:bidi="ar-SA"/>
        </w:rPr>
      </w:pPr>
      <w:r>
        <w:rPr>
          <w:rFonts w:hint="eastAsia" w:ascii="宋体" w:hAnsi="宋体" w:eastAsia="宋体" w:cs="宋体"/>
          <w:kern w:val="2"/>
          <w:sz w:val="18"/>
          <w:szCs w:val="18"/>
          <w:lang w:val="en-US" w:eastAsia="zh-CN" w:bidi="ar-SA"/>
        </w:rPr>
        <w:t>[</w:t>
      </w:r>
      <w:r>
        <w:rPr>
          <w:rFonts w:hint="eastAsia" w:ascii="宋体" w:hAnsi="宋体" w:eastAsia="宋体" w:cs="宋体"/>
          <w:kern w:val="2"/>
          <w:sz w:val="18"/>
          <w:szCs w:val="18"/>
          <w:lang w:val="en-US" w:eastAsia="zh-CN" w:bidi="ar-SA"/>
        </w:rPr>
        <w:footnoteRef/>
      </w:r>
      <w:r>
        <w:rPr>
          <w:rFonts w:hint="eastAsia" w:ascii="宋体" w:hAnsi="宋体" w:eastAsia="宋体" w:cs="宋体"/>
          <w:kern w:val="2"/>
          <w:sz w:val="18"/>
          <w:szCs w:val="18"/>
          <w:lang w:val="en-US" w:eastAsia="zh-CN" w:bidi="ar-SA"/>
        </w:rPr>
        <w:t>]《中华人民共和国安全生产法》第一百零三条 第二款：生产经营单位未与承包单位、承租单位签订专门的安全生产管理协议或者未在承包合同、租赁合同中明确各自的安全生产管理职责，或者未对承包单位、承租单位的安全生产统一协调、管理的，责令限期改正，处五万元以下的罚款，对其直接负责的主管人员和其他直接责任人员处一万元以下的罚款；逾期未改正的，责令停产停业整顿。</w:t>
      </w:r>
    </w:p>
  </w:footnote>
  <w:footnote w:id="16">
    <w:p w14:paraId="1BB757F2">
      <w:pPr>
        <w:pStyle w:val="12"/>
        <w:snapToGrid w:val="0"/>
        <w:spacing w:line="240" w:lineRule="auto"/>
        <w:rPr>
          <w:rFonts w:hint="eastAsia" w:ascii="宋体" w:hAnsi="宋体" w:eastAsia="宋体" w:cs="宋体"/>
          <w:kern w:val="2"/>
          <w:sz w:val="18"/>
          <w:szCs w:val="18"/>
          <w:lang w:val="en-US" w:eastAsia="zh-CN" w:bidi="ar-SA"/>
        </w:rPr>
      </w:pPr>
      <w:r>
        <w:rPr>
          <w:rFonts w:hint="eastAsia" w:ascii="宋体" w:hAnsi="宋体" w:eastAsia="宋体" w:cs="宋体"/>
          <w:kern w:val="2"/>
          <w:sz w:val="18"/>
          <w:szCs w:val="18"/>
          <w:lang w:val="en-US" w:eastAsia="zh-CN" w:bidi="ar-SA"/>
        </w:rPr>
        <w:t>[</w:t>
      </w:r>
      <w:r>
        <w:rPr>
          <w:rFonts w:hint="eastAsia" w:ascii="宋体" w:hAnsi="宋体" w:eastAsia="宋体" w:cs="宋体"/>
          <w:kern w:val="2"/>
          <w:sz w:val="18"/>
          <w:szCs w:val="18"/>
          <w:lang w:val="en-US" w:eastAsia="zh-CN" w:bidi="ar-SA"/>
        </w:rPr>
        <w:footnoteRef/>
      </w:r>
      <w:r>
        <w:rPr>
          <w:rFonts w:hint="eastAsia" w:ascii="宋体" w:hAnsi="宋体" w:eastAsia="宋体" w:cs="宋体"/>
          <w:kern w:val="2"/>
          <w:sz w:val="18"/>
          <w:szCs w:val="18"/>
          <w:lang w:val="en-US" w:eastAsia="zh-CN" w:bidi="ar-SA"/>
        </w:rPr>
        <w:t>]《中华人民共和国安全生产法》第一百零七条：生产经营单位的从业人员不落实岗位安全责任，不服从管理，违反安全生产规章制度或者操作规程的，由生产经营单位给予批评教育，依照有关规章制度给予处分；构成犯罪的，依照刑法有关规定追究刑事责任。</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E648D0">
    <w:pPr>
      <w:pStyle w:val="2"/>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footnotePr>
    <w:footnote w:id="34"/>
    <w:footnote w:id="35"/>
  </w:footnotePr>
  <w:compat>
    <w:spaceForUL/>
    <w:balanceSingleByteDoubleByteWidth/>
    <w:doNotLeaveBackslashAlon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MGIxZGNjZjMwNmViM2VkYTRlODM3MGY2YTI5N2M2ZTcifQ=="/>
  </w:docVars>
  <w:rsids>
    <w:rsidRoot w:val="00172A27"/>
    <w:rsid w:val="00000863"/>
    <w:rsid w:val="00002209"/>
    <w:rsid w:val="00003147"/>
    <w:rsid w:val="0000325B"/>
    <w:rsid w:val="000046C3"/>
    <w:rsid w:val="000078B4"/>
    <w:rsid w:val="00010AF0"/>
    <w:rsid w:val="00010FDB"/>
    <w:rsid w:val="00012D51"/>
    <w:rsid w:val="00012FC9"/>
    <w:rsid w:val="00013336"/>
    <w:rsid w:val="000158D0"/>
    <w:rsid w:val="0002037C"/>
    <w:rsid w:val="00022138"/>
    <w:rsid w:val="00022518"/>
    <w:rsid w:val="00023C4D"/>
    <w:rsid w:val="00023F49"/>
    <w:rsid w:val="0002450C"/>
    <w:rsid w:val="00025B11"/>
    <w:rsid w:val="000278A5"/>
    <w:rsid w:val="000307A6"/>
    <w:rsid w:val="00036054"/>
    <w:rsid w:val="00036E9D"/>
    <w:rsid w:val="000402F3"/>
    <w:rsid w:val="00040995"/>
    <w:rsid w:val="000436F2"/>
    <w:rsid w:val="00045523"/>
    <w:rsid w:val="00045C63"/>
    <w:rsid w:val="0004763F"/>
    <w:rsid w:val="00047E6D"/>
    <w:rsid w:val="00051407"/>
    <w:rsid w:val="00051B6A"/>
    <w:rsid w:val="00051C8D"/>
    <w:rsid w:val="000530EC"/>
    <w:rsid w:val="000535E1"/>
    <w:rsid w:val="00056FA6"/>
    <w:rsid w:val="00057ECD"/>
    <w:rsid w:val="00060F4C"/>
    <w:rsid w:val="0006356A"/>
    <w:rsid w:val="000640CF"/>
    <w:rsid w:val="00065356"/>
    <w:rsid w:val="0006556B"/>
    <w:rsid w:val="00065ADB"/>
    <w:rsid w:val="00065BBA"/>
    <w:rsid w:val="00065D0B"/>
    <w:rsid w:val="00066E0F"/>
    <w:rsid w:val="00070562"/>
    <w:rsid w:val="00071C75"/>
    <w:rsid w:val="00073731"/>
    <w:rsid w:val="00073BE1"/>
    <w:rsid w:val="00081EE8"/>
    <w:rsid w:val="000822A6"/>
    <w:rsid w:val="00082EAA"/>
    <w:rsid w:val="000830F2"/>
    <w:rsid w:val="000833E2"/>
    <w:rsid w:val="00085C3C"/>
    <w:rsid w:val="00086A99"/>
    <w:rsid w:val="00090AF7"/>
    <w:rsid w:val="00090EA2"/>
    <w:rsid w:val="00091BBA"/>
    <w:rsid w:val="00092837"/>
    <w:rsid w:val="0009477D"/>
    <w:rsid w:val="00094CA9"/>
    <w:rsid w:val="000950B5"/>
    <w:rsid w:val="000A4571"/>
    <w:rsid w:val="000A4B92"/>
    <w:rsid w:val="000A4C76"/>
    <w:rsid w:val="000A4E37"/>
    <w:rsid w:val="000A5604"/>
    <w:rsid w:val="000A65CA"/>
    <w:rsid w:val="000A777D"/>
    <w:rsid w:val="000A7945"/>
    <w:rsid w:val="000B216F"/>
    <w:rsid w:val="000B3665"/>
    <w:rsid w:val="000B4D95"/>
    <w:rsid w:val="000B4F47"/>
    <w:rsid w:val="000B7674"/>
    <w:rsid w:val="000C1230"/>
    <w:rsid w:val="000C18BD"/>
    <w:rsid w:val="000C1A72"/>
    <w:rsid w:val="000C5687"/>
    <w:rsid w:val="000C684C"/>
    <w:rsid w:val="000D02E1"/>
    <w:rsid w:val="000D17FD"/>
    <w:rsid w:val="000D1BF1"/>
    <w:rsid w:val="000D1EB0"/>
    <w:rsid w:val="000D2256"/>
    <w:rsid w:val="000D3539"/>
    <w:rsid w:val="000D4D4F"/>
    <w:rsid w:val="000D58C3"/>
    <w:rsid w:val="000D6B51"/>
    <w:rsid w:val="000D6EC7"/>
    <w:rsid w:val="000E0109"/>
    <w:rsid w:val="000E0F08"/>
    <w:rsid w:val="000E112E"/>
    <w:rsid w:val="000E1D41"/>
    <w:rsid w:val="000E40BE"/>
    <w:rsid w:val="000E53E1"/>
    <w:rsid w:val="000E54F3"/>
    <w:rsid w:val="000E6114"/>
    <w:rsid w:val="000E634E"/>
    <w:rsid w:val="000E6A7D"/>
    <w:rsid w:val="000E7638"/>
    <w:rsid w:val="000F0702"/>
    <w:rsid w:val="000F0AE1"/>
    <w:rsid w:val="000F0EFE"/>
    <w:rsid w:val="000F4635"/>
    <w:rsid w:val="000F464D"/>
    <w:rsid w:val="000F6CD2"/>
    <w:rsid w:val="000F728A"/>
    <w:rsid w:val="000F7366"/>
    <w:rsid w:val="001014A9"/>
    <w:rsid w:val="0010305A"/>
    <w:rsid w:val="00103C7A"/>
    <w:rsid w:val="00104D22"/>
    <w:rsid w:val="001060C9"/>
    <w:rsid w:val="001104A2"/>
    <w:rsid w:val="0011081E"/>
    <w:rsid w:val="001109C8"/>
    <w:rsid w:val="00111C59"/>
    <w:rsid w:val="0011383E"/>
    <w:rsid w:val="00113DC3"/>
    <w:rsid w:val="001146AF"/>
    <w:rsid w:val="001154E2"/>
    <w:rsid w:val="00117C77"/>
    <w:rsid w:val="0012030A"/>
    <w:rsid w:val="0012141F"/>
    <w:rsid w:val="00121438"/>
    <w:rsid w:val="001216CD"/>
    <w:rsid w:val="00121851"/>
    <w:rsid w:val="00121FF6"/>
    <w:rsid w:val="00123730"/>
    <w:rsid w:val="00124295"/>
    <w:rsid w:val="00125B43"/>
    <w:rsid w:val="001269E4"/>
    <w:rsid w:val="00127807"/>
    <w:rsid w:val="0013150F"/>
    <w:rsid w:val="00132CE4"/>
    <w:rsid w:val="00133B7D"/>
    <w:rsid w:val="00135C0F"/>
    <w:rsid w:val="001401D8"/>
    <w:rsid w:val="00140311"/>
    <w:rsid w:val="001412DE"/>
    <w:rsid w:val="00145101"/>
    <w:rsid w:val="0014571C"/>
    <w:rsid w:val="001473AA"/>
    <w:rsid w:val="00151C80"/>
    <w:rsid w:val="00152277"/>
    <w:rsid w:val="00162D3F"/>
    <w:rsid w:val="001632C2"/>
    <w:rsid w:val="00163D8A"/>
    <w:rsid w:val="00164953"/>
    <w:rsid w:val="00164E01"/>
    <w:rsid w:val="00165697"/>
    <w:rsid w:val="001677CA"/>
    <w:rsid w:val="00167B85"/>
    <w:rsid w:val="00170B13"/>
    <w:rsid w:val="00174234"/>
    <w:rsid w:val="00176560"/>
    <w:rsid w:val="00176883"/>
    <w:rsid w:val="00176AAF"/>
    <w:rsid w:val="001774DF"/>
    <w:rsid w:val="00177BF4"/>
    <w:rsid w:val="00190E41"/>
    <w:rsid w:val="00195110"/>
    <w:rsid w:val="001967B8"/>
    <w:rsid w:val="001A0FB7"/>
    <w:rsid w:val="001A3BA1"/>
    <w:rsid w:val="001A4AC7"/>
    <w:rsid w:val="001A7967"/>
    <w:rsid w:val="001B0A20"/>
    <w:rsid w:val="001B0F27"/>
    <w:rsid w:val="001B3F2E"/>
    <w:rsid w:val="001B41A7"/>
    <w:rsid w:val="001B4D81"/>
    <w:rsid w:val="001B5DD5"/>
    <w:rsid w:val="001B668F"/>
    <w:rsid w:val="001B70B5"/>
    <w:rsid w:val="001B77F1"/>
    <w:rsid w:val="001C25A0"/>
    <w:rsid w:val="001C39BB"/>
    <w:rsid w:val="001C584B"/>
    <w:rsid w:val="001D2823"/>
    <w:rsid w:val="001D29C7"/>
    <w:rsid w:val="001D55C3"/>
    <w:rsid w:val="001D7AB7"/>
    <w:rsid w:val="001E042D"/>
    <w:rsid w:val="001E0633"/>
    <w:rsid w:val="001E0DAC"/>
    <w:rsid w:val="001E26A0"/>
    <w:rsid w:val="001E3412"/>
    <w:rsid w:val="001E5331"/>
    <w:rsid w:val="001F126C"/>
    <w:rsid w:val="001F138F"/>
    <w:rsid w:val="001F29B3"/>
    <w:rsid w:val="001F7430"/>
    <w:rsid w:val="0020168E"/>
    <w:rsid w:val="0020244D"/>
    <w:rsid w:val="00203FDD"/>
    <w:rsid w:val="00210E26"/>
    <w:rsid w:val="00211FBA"/>
    <w:rsid w:val="002177A6"/>
    <w:rsid w:val="002206C9"/>
    <w:rsid w:val="00222F50"/>
    <w:rsid w:val="002243D6"/>
    <w:rsid w:val="00224C54"/>
    <w:rsid w:val="002305F0"/>
    <w:rsid w:val="00231134"/>
    <w:rsid w:val="00232627"/>
    <w:rsid w:val="00232B7B"/>
    <w:rsid w:val="00233B5C"/>
    <w:rsid w:val="00237D6C"/>
    <w:rsid w:val="00240DF4"/>
    <w:rsid w:val="00241964"/>
    <w:rsid w:val="00242082"/>
    <w:rsid w:val="002434D3"/>
    <w:rsid w:val="00243E30"/>
    <w:rsid w:val="00244876"/>
    <w:rsid w:val="00244B19"/>
    <w:rsid w:val="00245AF5"/>
    <w:rsid w:val="00252154"/>
    <w:rsid w:val="00255B8E"/>
    <w:rsid w:val="00256424"/>
    <w:rsid w:val="00264771"/>
    <w:rsid w:val="00266190"/>
    <w:rsid w:val="0026709A"/>
    <w:rsid w:val="00267EC2"/>
    <w:rsid w:val="00270805"/>
    <w:rsid w:val="002736A5"/>
    <w:rsid w:val="00273CFF"/>
    <w:rsid w:val="0027426E"/>
    <w:rsid w:val="00276716"/>
    <w:rsid w:val="002769F0"/>
    <w:rsid w:val="00276FE5"/>
    <w:rsid w:val="00280BCB"/>
    <w:rsid w:val="002834B9"/>
    <w:rsid w:val="00284738"/>
    <w:rsid w:val="00285B9A"/>
    <w:rsid w:val="00286401"/>
    <w:rsid w:val="00286B85"/>
    <w:rsid w:val="00291265"/>
    <w:rsid w:val="00291CB0"/>
    <w:rsid w:val="00292B78"/>
    <w:rsid w:val="00293306"/>
    <w:rsid w:val="00294ABC"/>
    <w:rsid w:val="00296629"/>
    <w:rsid w:val="00297D84"/>
    <w:rsid w:val="002A3B58"/>
    <w:rsid w:val="002A401C"/>
    <w:rsid w:val="002A7142"/>
    <w:rsid w:val="002A72DC"/>
    <w:rsid w:val="002B1D53"/>
    <w:rsid w:val="002B3896"/>
    <w:rsid w:val="002B4878"/>
    <w:rsid w:val="002B6B94"/>
    <w:rsid w:val="002B74B1"/>
    <w:rsid w:val="002C0DC7"/>
    <w:rsid w:val="002D0372"/>
    <w:rsid w:val="002D03B3"/>
    <w:rsid w:val="002D1673"/>
    <w:rsid w:val="002D3E3E"/>
    <w:rsid w:val="002D4F05"/>
    <w:rsid w:val="002D7280"/>
    <w:rsid w:val="002E0263"/>
    <w:rsid w:val="002E05EB"/>
    <w:rsid w:val="002E2199"/>
    <w:rsid w:val="002E3C7E"/>
    <w:rsid w:val="002E3F55"/>
    <w:rsid w:val="002F1476"/>
    <w:rsid w:val="002F1C20"/>
    <w:rsid w:val="002F4243"/>
    <w:rsid w:val="002F451D"/>
    <w:rsid w:val="002F4DFB"/>
    <w:rsid w:val="002F4F78"/>
    <w:rsid w:val="002F695D"/>
    <w:rsid w:val="002F7945"/>
    <w:rsid w:val="002F7E66"/>
    <w:rsid w:val="00301B68"/>
    <w:rsid w:val="003029ED"/>
    <w:rsid w:val="00304119"/>
    <w:rsid w:val="00306336"/>
    <w:rsid w:val="00310509"/>
    <w:rsid w:val="00315ABC"/>
    <w:rsid w:val="003178DF"/>
    <w:rsid w:val="00317FC7"/>
    <w:rsid w:val="0032032B"/>
    <w:rsid w:val="00320CAD"/>
    <w:rsid w:val="00321CEC"/>
    <w:rsid w:val="00321D90"/>
    <w:rsid w:val="00322DFA"/>
    <w:rsid w:val="0032309B"/>
    <w:rsid w:val="00332020"/>
    <w:rsid w:val="00332674"/>
    <w:rsid w:val="003338D9"/>
    <w:rsid w:val="003339A5"/>
    <w:rsid w:val="0033511F"/>
    <w:rsid w:val="00335B95"/>
    <w:rsid w:val="00336259"/>
    <w:rsid w:val="00340B5F"/>
    <w:rsid w:val="003414E8"/>
    <w:rsid w:val="00342B08"/>
    <w:rsid w:val="00344362"/>
    <w:rsid w:val="0034509C"/>
    <w:rsid w:val="0034602A"/>
    <w:rsid w:val="003479FF"/>
    <w:rsid w:val="00351C9E"/>
    <w:rsid w:val="00353463"/>
    <w:rsid w:val="00361720"/>
    <w:rsid w:val="00364118"/>
    <w:rsid w:val="00364ACB"/>
    <w:rsid w:val="00366124"/>
    <w:rsid w:val="0036623B"/>
    <w:rsid w:val="003670C0"/>
    <w:rsid w:val="00370AC1"/>
    <w:rsid w:val="00373D23"/>
    <w:rsid w:val="00374C43"/>
    <w:rsid w:val="003777F6"/>
    <w:rsid w:val="00381AC5"/>
    <w:rsid w:val="00383F34"/>
    <w:rsid w:val="003849D7"/>
    <w:rsid w:val="00384C5F"/>
    <w:rsid w:val="0038500E"/>
    <w:rsid w:val="00387802"/>
    <w:rsid w:val="003948E8"/>
    <w:rsid w:val="0039562F"/>
    <w:rsid w:val="003964C3"/>
    <w:rsid w:val="00396FC5"/>
    <w:rsid w:val="00397C9D"/>
    <w:rsid w:val="003A1EAF"/>
    <w:rsid w:val="003A2CAF"/>
    <w:rsid w:val="003A5994"/>
    <w:rsid w:val="003A635C"/>
    <w:rsid w:val="003A6878"/>
    <w:rsid w:val="003A7216"/>
    <w:rsid w:val="003A7731"/>
    <w:rsid w:val="003B590C"/>
    <w:rsid w:val="003B6F6E"/>
    <w:rsid w:val="003B7270"/>
    <w:rsid w:val="003B7AC2"/>
    <w:rsid w:val="003C027E"/>
    <w:rsid w:val="003C18A2"/>
    <w:rsid w:val="003C26FB"/>
    <w:rsid w:val="003C3F37"/>
    <w:rsid w:val="003C45BE"/>
    <w:rsid w:val="003C47C1"/>
    <w:rsid w:val="003C4FB0"/>
    <w:rsid w:val="003C622B"/>
    <w:rsid w:val="003C7BB5"/>
    <w:rsid w:val="003C7FCE"/>
    <w:rsid w:val="003D094C"/>
    <w:rsid w:val="003D403B"/>
    <w:rsid w:val="003D4343"/>
    <w:rsid w:val="003D49F2"/>
    <w:rsid w:val="003D4B81"/>
    <w:rsid w:val="003D5CCC"/>
    <w:rsid w:val="003D64CC"/>
    <w:rsid w:val="003D6694"/>
    <w:rsid w:val="003E031D"/>
    <w:rsid w:val="003E33F3"/>
    <w:rsid w:val="003E3CE2"/>
    <w:rsid w:val="003E6426"/>
    <w:rsid w:val="003E7830"/>
    <w:rsid w:val="003F0ED8"/>
    <w:rsid w:val="003F17CB"/>
    <w:rsid w:val="003F17D2"/>
    <w:rsid w:val="003F1E46"/>
    <w:rsid w:val="003F4176"/>
    <w:rsid w:val="003F510E"/>
    <w:rsid w:val="003F5992"/>
    <w:rsid w:val="003F6544"/>
    <w:rsid w:val="003F6BA4"/>
    <w:rsid w:val="003F7521"/>
    <w:rsid w:val="003F7FF8"/>
    <w:rsid w:val="00401103"/>
    <w:rsid w:val="00404AAA"/>
    <w:rsid w:val="004059D8"/>
    <w:rsid w:val="004125F0"/>
    <w:rsid w:val="00413DC5"/>
    <w:rsid w:val="00414023"/>
    <w:rsid w:val="00415C13"/>
    <w:rsid w:val="00415E58"/>
    <w:rsid w:val="00415F35"/>
    <w:rsid w:val="0041767F"/>
    <w:rsid w:val="0041771F"/>
    <w:rsid w:val="00417BA2"/>
    <w:rsid w:val="004206F6"/>
    <w:rsid w:val="00422BBE"/>
    <w:rsid w:val="00423241"/>
    <w:rsid w:val="00423421"/>
    <w:rsid w:val="0042434E"/>
    <w:rsid w:val="00427621"/>
    <w:rsid w:val="00427E31"/>
    <w:rsid w:val="0043111A"/>
    <w:rsid w:val="00432DBD"/>
    <w:rsid w:val="00434244"/>
    <w:rsid w:val="00434F3F"/>
    <w:rsid w:val="00435F7C"/>
    <w:rsid w:val="00436043"/>
    <w:rsid w:val="00436CFD"/>
    <w:rsid w:val="00436F32"/>
    <w:rsid w:val="004431DF"/>
    <w:rsid w:val="00444528"/>
    <w:rsid w:val="004453C5"/>
    <w:rsid w:val="00446EE6"/>
    <w:rsid w:val="00447EAE"/>
    <w:rsid w:val="004514F3"/>
    <w:rsid w:val="00455146"/>
    <w:rsid w:val="0045567A"/>
    <w:rsid w:val="00455AF0"/>
    <w:rsid w:val="00463184"/>
    <w:rsid w:val="004636C2"/>
    <w:rsid w:val="00465BB1"/>
    <w:rsid w:val="00466EAC"/>
    <w:rsid w:val="004720BC"/>
    <w:rsid w:val="00472C4E"/>
    <w:rsid w:val="00475080"/>
    <w:rsid w:val="004767FD"/>
    <w:rsid w:val="004804B1"/>
    <w:rsid w:val="004806D5"/>
    <w:rsid w:val="004808F9"/>
    <w:rsid w:val="00481C61"/>
    <w:rsid w:val="00481CAB"/>
    <w:rsid w:val="00484AE3"/>
    <w:rsid w:val="00484D6B"/>
    <w:rsid w:val="00485ADF"/>
    <w:rsid w:val="004863D9"/>
    <w:rsid w:val="004878D5"/>
    <w:rsid w:val="00491D69"/>
    <w:rsid w:val="00496FD6"/>
    <w:rsid w:val="00497BC4"/>
    <w:rsid w:val="004A2D5E"/>
    <w:rsid w:val="004A3459"/>
    <w:rsid w:val="004A4C63"/>
    <w:rsid w:val="004B01B4"/>
    <w:rsid w:val="004B076B"/>
    <w:rsid w:val="004B0B5B"/>
    <w:rsid w:val="004B370B"/>
    <w:rsid w:val="004B4EB8"/>
    <w:rsid w:val="004B5162"/>
    <w:rsid w:val="004B5ECB"/>
    <w:rsid w:val="004B7B52"/>
    <w:rsid w:val="004C07CC"/>
    <w:rsid w:val="004C0926"/>
    <w:rsid w:val="004C2977"/>
    <w:rsid w:val="004C51AB"/>
    <w:rsid w:val="004C6164"/>
    <w:rsid w:val="004C791F"/>
    <w:rsid w:val="004C7AA5"/>
    <w:rsid w:val="004D0CB3"/>
    <w:rsid w:val="004D34F6"/>
    <w:rsid w:val="004D3B9C"/>
    <w:rsid w:val="004D6874"/>
    <w:rsid w:val="004D750D"/>
    <w:rsid w:val="004D77D7"/>
    <w:rsid w:val="004E1BAA"/>
    <w:rsid w:val="004E2874"/>
    <w:rsid w:val="004E52CF"/>
    <w:rsid w:val="004E579C"/>
    <w:rsid w:val="004F18D3"/>
    <w:rsid w:val="004F71CC"/>
    <w:rsid w:val="004F79E1"/>
    <w:rsid w:val="004F7FEA"/>
    <w:rsid w:val="005008E3"/>
    <w:rsid w:val="00502EE6"/>
    <w:rsid w:val="00503F58"/>
    <w:rsid w:val="00506D35"/>
    <w:rsid w:val="005119F7"/>
    <w:rsid w:val="00512AB1"/>
    <w:rsid w:val="005135D6"/>
    <w:rsid w:val="00513C7A"/>
    <w:rsid w:val="00514E45"/>
    <w:rsid w:val="00516F92"/>
    <w:rsid w:val="0051711B"/>
    <w:rsid w:val="00520210"/>
    <w:rsid w:val="00522779"/>
    <w:rsid w:val="00522C91"/>
    <w:rsid w:val="00523256"/>
    <w:rsid w:val="00523754"/>
    <w:rsid w:val="00525CCB"/>
    <w:rsid w:val="00526E1C"/>
    <w:rsid w:val="00527578"/>
    <w:rsid w:val="00530F0F"/>
    <w:rsid w:val="00530F53"/>
    <w:rsid w:val="00531B21"/>
    <w:rsid w:val="00531FC6"/>
    <w:rsid w:val="00533374"/>
    <w:rsid w:val="00534EDB"/>
    <w:rsid w:val="00535A0B"/>
    <w:rsid w:val="00540E64"/>
    <w:rsid w:val="00542381"/>
    <w:rsid w:val="00543523"/>
    <w:rsid w:val="005507FE"/>
    <w:rsid w:val="00551444"/>
    <w:rsid w:val="0055255D"/>
    <w:rsid w:val="005546DA"/>
    <w:rsid w:val="005549DC"/>
    <w:rsid w:val="00556707"/>
    <w:rsid w:val="0056062E"/>
    <w:rsid w:val="0056164C"/>
    <w:rsid w:val="00565B67"/>
    <w:rsid w:val="005675D7"/>
    <w:rsid w:val="00567FFE"/>
    <w:rsid w:val="00570CAD"/>
    <w:rsid w:val="00571DA0"/>
    <w:rsid w:val="00571ED1"/>
    <w:rsid w:val="0057569D"/>
    <w:rsid w:val="005763A3"/>
    <w:rsid w:val="005778E2"/>
    <w:rsid w:val="005804A7"/>
    <w:rsid w:val="0058051B"/>
    <w:rsid w:val="00583AE9"/>
    <w:rsid w:val="00583C47"/>
    <w:rsid w:val="00584A30"/>
    <w:rsid w:val="00586DF8"/>
    <w:rsid w:val="00587169"/>
    <w:rsid w:val="00587A06"/>
    <w:rsid w:val="00587C90"/>
    <w:rsid w:val="00595CCF"/>
    <w:rsid w:val="005A54ED"/>
    <w:rsid w:val="005A58D5"/>
    <w:rsid w:val="005A70AF"/>
    <w:rsid w:val="005A7990"/>
    <w:rsid w:val="005A7ABB"/>
    <w:rsid w:val="005B07EA"/>
    <w:rsid w:val="005B321D"/>
    <w:rsid w:val="005B3906"/>
    <w:rsid w:val="005B410C"/>
    <w:rsid w:val="005B45A6"/>
    <w:rsid w:val="005B487B"/>
    <w:rsid w:val="005B6902"/>
    <w:rsid w:val="005B7AF7"/>
    <w:rsid w:val="005C1192"/>
    <w:rsid w:val="005C1E83"/>
    <w:rsid w:val="005C212D"/>
    <w:rsid w:val="005C2527"/>
    <w:rsid w:val="005C35EF"/>
    <w:rsid w:val="005C45A2"/>
    <w:rsid w:val="005C4CAC"/>
    <w:rsid w:val="005C611E"/>
    <w:rsid w:val="005C67EB"/>
    <w:rsid w:val="005C7AB0"/>
    <w:rsid w:val="005D00FE"/>
    <w:rsid w:val="005D04BE"/>
    <w:rsid w:val="005D2F37"/>
    <w:rsid w:val="005D35B0"/>
    <w:rsid w:val="005E0430"/>
    <w:rsid w:val="005E0CBA"/>
    <w:rsid w:val="005E202A"/>
    <w:rsid w:val="005E31F6"/>
    <w:rsid w:val="005E35D7"/>
    <w:rsid w:val="005E631C"/>
    <w:rsid w:val="005F0238"/>
    <w:rsid w:val="005F1B18"/>
    <w:rsid w:val="005F2086"/>
    <w:rsid w:val="005F2FAB"/>
    <w:rsid w:val="005F43A0"/>
    <w:rsid w:val="005F4607"/>
    <w:rsid w:val="005F6024"/>
    <w:rsid w:val="005F720F"/>
    <w:rsid w:val="005F77BD"/>
    <w:rsid w:val="00603A09"/>
    <w:rsid w:val="00605E35"/>
    <w:rsid w:val="006071E9"/>
    <w:rsid w:val="00607CBA"/>
    <w:rsid w:val="00611481"/>
    <w:rsid w:val="00613DCA"/>
    <w:rsid w:val="00614A50"/>
    <w:rsid w:val="00614FB8"/>
    <w:rsid w:val="00617AE5"/>
    <w:rsid w:val="00621938"/>
    <w:rsid w:val="00623796"/>
    <w:rsid w:val="0062569A"/>
    <w:rsid w:val="00625D79"/>
    <w:rsid w:val="00626C4B"/>
    <w:rsid w:val="00626FE8"/>
    <w:rsid w:val="006330C4"/>
    <w:rsid w:val="006341B0"/>
    <w:rsid w:val="00634C1B"/>
    <w:rsid w:val="00636033"/>
    <w:rsid w:val="00642964"/>
    <w:rsid w:val="00644A44"/>
    <w:rsid w:val="00644E9D"/>
    <w:rsid w:val="006464B8"/>
    <w:rsid w:val="0064749D"/>
    <w:rsid w:val="0065018C"/>
    <w:rsid w:val="00650407"/>
    <w:rsid w:val="00651A4E"/>
    <w:rsid w:val="00652AA5"/>
    <w:rsid w:val="006546B0"/>
    <w:rsid w:val="006553A8"/>
    <w:rsid w:val="0065581D"/>
    <w:rsid w:val="0065669C"/>
    <w:rsid w:val="00657C2E"/>
    <w:rsid w:val="00657F20"/>
    <w:rsid w:val="00662648"/>
    <w:rsid w:val="00663E05"/>
    <w:rsid w:val="0066574B"/>
    <w:rsid w:val="006662BE"/>
    <w:rsid w:val="006710DA"/>
    <w:rsid w:val="00671813"/>
    <w:rsid w:val="006739BF"/>
    <w:rsid w:val="00674956"/>
    <w:rsid w:val="0067539D"/>
    <w:rsid w:val="00677E52"/>
    <w:rsid w:val="00677F1B"/>
    <w:rsid w:val="00680992"/>
    <w:rsid w:val="00682753"/>
    <w:rsid w:val="00683E86"/>
    <w:rsid w:val="00683F8A"/>
    <w:rsid w:val="00685D9D"/>
    <w:rsid w:val="00687206"/>
    <w:rsid w:val="006909AE"/>
    <w:rsid w:val="00690FF7"/>
    <w:rsid w:val="00692387"/>
    <w:rsid w:val="0069357B"/>
    <w:rsid w:val="00694879"/>
    <w:rsid w:val="00697E0E"/>
    <w:rsid w:val="006A0BE9"/>
    <w:rsid w:val="006A1406"/>
    <w:rsid w:val="006A2065"/>
    <w:rsid w:val="006A3D38"/>
    <w:rsid w:val="006A43AC"/>
    <w:rsid w:val="006A4E51"/>
    <w:rsid w:val="006A5154"/>
    <w:rsid w:val="006A7AF1"/>
    <w:rsid w:val="006B1338"/>
    <w:rsid w:val="006B401B"/>
    <w:rsid w:val="006B4A87"/>
    <w:rsid w:val="006B4FB4"/>
    <w:rsid w:val="006C0D25"/>
    <w:rsid w:val="006C0F46"/>
    <w:rsid w:val="006C197E"/>
    <w:rsid w:val="006C1EF3"/>
    <w:rsid w:val="006C21F0"/>
    <w:rsid w:val="006C240B"/>
    <w:rsid w:val="006C3992"/>
    <w:rsid w:val="006C4FB7"/>
    <w:rsid w:val="006C6379"/>
    <w:rsid w:val="006C7F4C"/>
    <w:rsid w:val="006D0EB5"/>
    <w:rsid w:val="006D45B9"/>
    <w:rsid w:val="006D4B41"/>
    <w:rsid w:val="006D5523"/>
    <w:rsid w:val="006D7F8C"/>
    <w:rsid w:val="006D7FEA"/>
    <w:rsid w:val="006E167E"/>
    <w:rsid w:val="006E197C"/>
    <w:rsid w:val="006E5A4E"/>
    <w:rsid w:val="006E6302"/>
    <w:rsid w:val="006E78C0"/>
    <w:rsid w:val="006F0045"/>
    <w:rsid w:val="006F130A"/>
    <w:rsid w:val="006F38F3"/>
    <w:rsid w:val="006F3D94"/>
    <w:rsid w:val="006F4036"/>
    <w:rsid w:val="006F484F"/>
    <w:rsid w:val="006F626D"/>
    <w:rsid w:val="006F6EC7"/>
    <w:rsid w:val="006F794D"/>
    <w:rsid w:val="00701A70"/>
    <w:rsid w:val="00705C0B"/>
    <w:rsid w:val="00707B9B"/>
    <w:rsid w:val="00710039"/>
    <w:rsid w:val="0071089F"/>
    <w:rsid w:val="00710962"/>
    <w:rsid w:val="00710986"/>
    <w:rsid w:val="00715825"/>
    <w:rsid w:val="007174CD"/>
    <w:rsid w:val="00720C2B"/>
    <w:rsid w:val="007224DD"/>
    <w:rsid w:val="00727627"/>
    <w:rsid w:val="00733DE9"/>
    <w:rsid w:val="00734BE2"/>
    <w:rsid w:val="0073511E"/>
    <w:rsid w:val="007367A0"/>
    <w:rsid w:val="00736C89"/>
    <w:rsid w:val="00736F42"/>
    <w:rsid w:val="00741BC4"/>
    <w:rsid w:val="00743784"/>
    <w:rsid w:val="007448E2"/>
    <w:rsid w:val="00745F64"/>
    <w:rsid w:val="007469A2"/>
    <w:rsid w:val="007547B1"/>
    <w:rsid w:val="00755506"/>
    <w:rsid w:val="0075602A"/>
    <w:rsid w:val="00757639"/>
    <w:rsid w:val="007578DE"/>
    <w:rsid w:val="007623F3"/>
    <w:rsid w:val="00763383"/>
    <w:rsid w:val="007638BD"/>
    <w:rsid w:val="00763FB9"/>
    <w:rsid w:val="0076484B"/>
    <w:rsid w:val="007650FA"/>
    <w:rsid w:val="007653FB"/>
    <w:rsid w:val="007713C1"/>
    <w:rsid w:val="00771F81"/>
    <w:rsid w:val="0077446F"/>
    <w:rsid w:val="00786100"/>
    <w:rsid w:val="00786B45"/>
    <w:rsid w:val="007876AE"/>
    <w:rsid w:val="007876DB"/>
    <w:rsid w:val="00790FC8"/>
    <w:rsid w:val="00793677"/>
    <w:rsid w:val="00795E48"/>
    <w:rsid w:val="0079680C"/>
    <w:rsid w:val="0079787B"/>
    <w:rsid w:val="007A0562"/>
    <w:rsid w:val="007A237D"/>
    <w:rsid w:val="007A4A79"/>
    <w:rsid w:val="007A6CA6"/>
    <w:rsid w:val="007A70F5"/>
    <w:rsid w:val="007A74EA"/>
    <w:rsid w:val="007B0398"/>
    <w:rsid w:val="007B0DED"/>
    <w:rsid w:val="007B1558"/>
    <w:rsid w:val="007B2571"/>
    <w:rsid w:val="007B2861"/>
    <w:rsid w:val="007B3B0E"/>
    <w:rsid w:val="007B456B"/>
    <w:rsid w:val="007B4E39"/>
    <w:rsid w:val="007C031D"/>
    <w:rsid w:val="007C0870"/>
    <w:rsid w:val="007C0BA8"/>
    <w:rsid w:val="007C2A31"/>
    <w:rsid w:val="007C471B"/>
    <w:rsid w:val="007C5ABA"/>
    <w:rsid w:val="007C78D2"/>
    <w:rsid w:val="007D0CDA"/>
    <w:rsid w:val="007D32C6"/>
    <w:rsid w:val="007D370E"/>
    <w:rsid w:val="007D3CD5"/>
    <w:rsid w:val="007D52A5"/>
    <w:rsid w:val="007D6B59"/>
    <w:rsid w:val="007D6F49"/>
    <w:rsid w:val="007D77EE"/>
    <w:rsid w:val="007E0EAA"/>
    <w:rsid w:val="007E1D64"/>
    <w:rsid w:val="007E4FA1"/>
    <w:rsid w:val="007E500A"/>
    <w:rsid w:val="007E5373"/>
    <w:rsid w:val="007E7A11"/>
    <w:rsid w:val="007F071C"/>
    <w:rsid w:val="007F1093"/>
    <w:rsid w:val="007F1C02"/>
    <w:rsid w:val="007F3C75"/>
    <w:rsid w:val="007F53C2"/>
    <w:rsid w:val="007F6AA6"/>
    <w:rsid w:val="0080129E"/>
    <w:rsid w:val="00807255"/>
    <w:rsid w:val="00807C5E"/>
    <w:rsid w:val="008106C3"/>
    <w:rsid w:val="008127F8"/>
    <w:rsid w:val="00813022"/>
    <w:rsid w:val="00814917"/>
    <w:rsid w:val="00821CA1"/>
    <w:rsid w:val="00822F73"/>
    <w:rsid w:val="0082383C"/>
    <w:rsid w:val="00824E09"/>
    <w:rsid w:val="00825D89"/>
    <w:rsid w:val="00826F67"/>
    <w:rsid w:val="0083015E"/>
    <w:rsid w:val="0083023F"/>
    <w:rsid w:val="00830583"/>
    <w:rsid w:val="00831DB6"/>
    <w:rsid w:val="0083274F"/>
    <w:rsid w:val="00835022"/>
    <w:rsid w:val="00836526"/>
    <w:rsid w:val="00842F48"/>
    <w:rsid w:val="008440FE"/>
    <w:rsid w:val="008459FB"/>
    <w:rsid w:val="0085001C"/>
    <w:rsid w:val="00850277"/>
    <w:rsid w:val="008508BF"/>
    <w:rsid w:val="00850E33"/>
    <w:rsid w:val="00851A05"/>
    <w:rsid w:val="00854177"/>
    <w:rsid w:val="00860422"/>
    <w:rsid w:val="00860CA7"/>
    <w:rsid w:val="008619D2"/>
    <w:rsid w:val="0086243B"/>
    <w:rsid w:val="0086314E"/>
    <w:rsid w:val="00863EC8"/>
    <w:rsid w:val="00866618"/>
    <w:rsid w:val="00866EF6"/>
    <w:rsid w:val="0086779E"/>
    <w:rsid w:val="0087034C"/>
    <w:rsid w:val="00872E14"/>
    <w:rsid w:val="00874035"/>
    <w:rsid w:val="00876EB0"/>
    <w:rsid w:val="008777E6"/>
    <w:rsid w:val="00880EE1"/>
    <w:rsid w:val="008825B1"/>
    <w:rsid w:val="00882807"/>
    <w:rsid w:val="00887C6F"/>
    <w:rsid w:val="00897E88"/>
    <w:rsid w:val="008A0D3D"/>
    <w:rsid w:val="008A0F20"/>
    <w:rsid w:val="008A522F"/>
    <w:rsid w:val="008B1D1E"/>
    <w:rsid w:val="008B29DA"/>
    <w:rsid w:val="008B4AF5"/>
    <w:rsid w:val="008B5ADD"/>
    <w:rsid w:val="008B6ACB"/>
    <w:rsid w:val="008B7E43"/>
    <w:rsid w:val="008D0763"/>
    <w:rsid w:val="008D076D"/>
    <w:rsid w:val="008D17F4"/>
    <w:rsid w:val="008D470A"/>
    <w:rsid w:val="008D4808"/>
    <w:rsid w:val="008D4C98"/>
    <w:rsid w:val="008D5884"/>
    <w:rsid w:val="008D666B"/>
    <w:rsid w:val="008E1C4A"/>
    <w:rsid w:val="008E33F6"/>
    <w:rsid w:val="008E3C04"/>
    <w:rsid w:val="008E3D33"/>
    <w:rsid w:val="008E5462"/>
    <w:rsid w:val="008E5600"/>
    <w:rsid w:val="008E563A"/>
    <w:rsid w:val="008F0E04"/>
    <w:rsid w:val="008F210F"/>
    <w:rsid w:val="008F25F4"/>
    <w:rsid w:val="008F3FF0"/>
    <w:rsid w:val="008F536B"/>
    <w:rsid w:val="008F6717"/>
    <w:rsid w:val="008F79A7"/>
    <w:rsid w:val="0090005D"/>
    <w:rsid w:val="00900835"/>
    <w:rsid w:val="00901F87"/>
    <w:rsid w:val="00902649"/>
    <w:rsid w:val="00904632"/>
    <w:rsid w:val="00910985"/>
    <w:rsid w:val="009112D3"/>
    <w:rsid w:val="009114DF"/>
    <w:rsid w:val="00913A8D"/>
    <w:rsid w:val="00914538"/>
    <w:rsid w:val="00914B40"/>
    <w:rsid w:val="009163A3"/>
    <w:rsid w:val="009168F8"/>
    <w:rsid w:val="0092168B"/>
    <w:rsid w:val="00921975"/>
    <w:rsid w:val="0092208C"/>
    <w:rsid w:val="00923C9E"/>
    <w:rsid w:val="00924DEA"/>
    <w:rsid w:val="00927404"/>
    <w:rsid w:val="0093252C"/>
    <w:rsid w:val="00932652"/>
    <w:rsid w:val="00932940"/>
    <w:rsid w:val="00934249"/>
    <w:rsid w:val="00934B45"/>
    <w:rsid w:val="00935AE9"/>
    <w:rsid w:val="00935C49"/>
    <w:rsid w:val="00936AB9"/>
    <w:rsid w:val="00937236"/>
    <w:rsid w:val="00937382"/>
    <w:rsid w:val="009418FB"/>
    <w:rsid w:val="00941ACE"/>
    <w:rsid w:val="009464C0"/>
    <w:rsid w:val="009468A6"/>
    <w:rsid w:val="00947378"/>
    <w:rsid w:val="00951D84"/>
    <w:rsid w:val="0095344D"/>
    <w:rsid w:val="00955842"/>
    <w:rsid w:val="00955FD3"/>
    <w:rsid w:val="009563E1"/>
    <w:rsid w:val="00956E2D"/>
    <w:rsid w:val="009579A2"/>
    <w:rsid w:val="009579F1"/>
    <w:rsid w:val="0096069D"/>
    <w:rsid w:val="00961361"/>
    <w:rsid w:val="009635E4"/>
    <w:rsid w:val="0096442C"/>
    <w:rsid w:val="00964BBD"/>
    <w:rsid w:val="0096716E"/>
    <w:rsid w:val="00970216"/>
    <w:rsid w:val="009744D3"/>
    <w:rsid w:val="00976880"/>
    <w:rsid w:val="00977003"/>
    <w:rsid w:val="00977DB9"/>
    <w:rsid w:val="009809CD"/>
    <w:rsid w:val="00984624"/>
    <w:rsid w:val="009857C3"/>
    <w:rsid w:val="009861E4"/>
    <w:rsid w:val="009872A4"/>
    <w:rsid w:val="00987479"/>
    <w:rsid w:val="00987D2F"/>
    <w:rsid w:val="00992AFC"/>
    <w:rsid w:val="00992E28"/>
    <w:rsid w:val="00995210"/>
    <w:rsid w:val="009979B4"/>
    <w:rsid w:val="009A2624"/>
    <w:rsid w:val="009A2A11"/>
    <w:rsid w:val="009A2E23"/>
    <w:rsid w:val="009A63CD"/>
    <w:rsid w:val="009A6C95"/>
    <w:rsid w:val="009B0100"/>
    <w:rsid w:val="009B5DE2"/>
    <w:rsid w:val="009B7382"/>
    <w:rsid w:val="009C2D84"/>
    <w:rsid w:val="009C3E93"/>
    <w:rsid w:val="009C69F6"/>
    <w:rsid w:val="009D6242"/>
    <w:rsid w:val="009D6473"/>
    <w:rsid w:val="009D6B60"/>
    <w:rsid w:val="009D6EAB"/>
    <w:rsid w:val="009E0D7B"/>
    <w:rsid w:val="009E3895"/>
    <w:rsid w:val="009E3DA9"/>
    <w:rsid w:val="009E409A"/>
    <w:rsid w:val="009E4D19"/>
    <w:rsid w:val="009E5CAF"/>
    <w:rsid w:val="009E6846"/>
    <w:rsid w:val="009E79A2"/>
    <w:rsid w:val="009F2510"/>
    <w:rsid w:val="009F4D14"/>
    <w:rsid w:val="009F5521"/>
    <w:rsid w:val="009F79BD"/>
    <w:rsid w:val="00A014FD"/>
    <w:rsid w:val="00A02D64"/>
    <w:rsid w:val="00A04DBF"/>
    <w:rsid w:val="00A10E88"/>
    <w:rsid w:val="00A129C2"/>
    <w:rsid w:val="00A134C8"/>
    <w:rsid w:val="00A16A65"/>
    <w:rsid w:val="00A17725"/>
    <w:rsid w:val="00A20401"/>
    <w:rsid w:val="00A20856"/>
    <w:rsid w:val="00A25005"/>
    <w:rsid w:val="00A25D33"/>
    <w:rsid w:val="00A261A2"/>
    <w:rsid w:val="00A27E28"/>
    <w:rsid w:val="00A27EF9"/>
    <w:rsid w:val="00A3092F"/>
    <w:rsid w:val="00A32141"/>
    <w:rsid w:val="00A33C7D"/>
    <w:rsid w:val="00A3617A"/>
    <w:rsid w:val="00A3643F"/>
    <w:rsid w:val="00A40170"/>
    <w:rsid w:val="00A41C87"/>
    <w:rsid w:val="00A42058"/>
    <w:rsid w:val="00A42E00"/>
    <w:rsid w:val="00A4316C"/>
    <w:rsid w:val="00A43FFE"/>
    <w:rsid w:val="00A445BA"/>
    <w:rsid w:val="00A44861"/>
    <w:rsid w:val="00A44BD3"/>
    <w:rsid w:val="00A4751B"/>
    <w:rsid w:val="00A510FB"/>
    <w:rsid w:val="00A5129A"/>
    <w:rsid w:val="00A51CA4"/>
    <w:rsid w:val="00A51E54"/>
    <w:rsid w:val="00A524AF"/>
    <w:rsid w:val="00A52DE3"/>
    <w:rsid w:val="00A5335F"/>
    <w:rsid w:val="00A540F9"/>
    <w:rsid w:val="00A54A3C"/>
    <w:rsid w:val="00A55273"/>
    <w:rsid w:val="00A61514"/>
    <w:rsid w:val="00A7092A"/>
    <w:rsid w:val="00A73FBB"/>
    <w:rsid w:val="00A7614C"/>
    <w:rsid w:val="00A76EDA"/>
    <w:rsid w:val="00A7772F"/>
    <w:rsid w:val="00A83B69"/>
    <w:rsid w:val="00A84705"/>
    <w:rsid w:val="00A86590"/>
    <w:rsid w:val="00A86767"/>
    <w:rsid w:val="00A90D93"/>
    <w:rsid w:val="00A937B3"/>
    <w:rsid w:val="00A94A03"/>
    <w:rsid w:val="00A971E8"/>
    <w:rsid w:val="00AA1B33"/>
    <w:rsid w:val="00AA430E"/>
    <w:rsid w:val="00AA530B"/>
    <w:rsid w:val="00AA6271"/>
    <w:rsid w:val="00AA6901"/>
    <w:rsid w:val="00AB071D"/>
    <w:rsid w:val="00AB0DFD"/>
    <w:rsid w:val="00AB2B5F"/>
    <w:rsid w:val="00AB3130"/>
    <w:rsid w:val="00AB33C6"/>
    <w:rsid w:val="00AB3796"/>
    <w:rsid w:val="00AB5B68"/>
    <w:rsid w:val="00AB753E"/>
    <w:rsid w:val="00AC0519"/>
    <w:rsid w:val="00AC0A24"/>
    <w:rsid w:val="00AC2C56"/>
    <w:rsid w:val="00AC34F3"/>
    <w:rsid w:val="00AC3FBA"/>
    <w:rsid w:val="00AC537E"/>
    <w:rsid w:val="00AC6054"/>
    <w:rsid w:val="00AC653D"/>
    <w:rsid w:val="00AD036D"/>
    <w:rsid w:val="00AD1658"/>
    <w:rsid w:val="00AD1A2A"/>
    <w:rsid w:val="00AD231A"/>
    <w:rsid w:val="00AD2CE4"/>
    <w:rsid w:val="00AD37F8"/>
    <w:rsid w:val="00AD5F4C"/>
    <w:rsid w:val="00AD76F1"/>
    <w:rsid w:val="00AE2313"/>
    <w:rsid w:val="00AE33AF"/>
    <w:rsid w:val="00AF188D"/>
    <w:rsid w:val="00AF206B"/>
    <w:rsid w:val="00AF20EF"/>
    <w:rsid w:val="00AF239C"/>
    <w:rsid w:val="00AF2E3A"/>
    <w:rsid w:val="00AF2F20"/>
    <w:rsid w:val="00AF569C"/>
    <w:rsid w:val="00AF606F"/>
    <w:rsid w:val="00AF6D4F"/>
    <w:rsid w:val="00B00FE8"/>
    <w:rsid w:val="00B0373F"/>
    <w:rsid w:val="00B06797"/>
    <w:rsid w:val="00B06877"/>
    <w:rsid w:val="00B07B95"/>
    <w:rsid w:val="00B11263"/>
    <w:rsid w:val="00B15356"/>
    <w:rsid w:val="00B15786"/>
    <w:rsid w:val="00B205D8"/>
    <w:rsid w:val="00B216B8"/>
    <w:rsid w:val="00B252EF"/>
    <w:rsid w:val="00B3011F"/>
    <w:rsid w:val="00B32039"/>
    <w:rsid w:val="00B325A9"/>
    <w:rsid w:val="00B331A9"/>
    <w:rsid w:val="00B33412"/>
    <w:rsid w:val="00B33462"/>
    <w:rsid w:val="00B342EC"/>
    <w:rsid w:val="00B379A8"/>
    <w:rsid w:val="00B37DEE"/>
    <w:rsid w:val="00B4007D"/>
    <w:rsid w:val="00B404AD"/>
    <w:rsid w:val="00B41CA1"/>
    <w:rsid w:val="00B41D02"/>
    <w:rsid w:val="00B43D45"/>
    <w:rsid w:val="00B452E4"/>
    <w:rsid w:val="00B4560E"/>
    <w:rsid w:val="00B46CBC"/>
    <w:rsid w:val="00B5274F"/>
    <w:rsid w:val="00B54D78"/>
    <w:rsid w:val="00B558B6"/>
    <w:rsid w:val="00B56C59"/>
    <w:rsid w:val="00B64D0F"/>
    <w:rsid w:val="00B64EEB"/>
    <w:rsid w:val="00B661D0"/>
    <w:rsid w:val="00B6647B"/>
    <w:rsid w:val="00B71385"/>
    <w:rsid w:val="00B743E8"/>
    <w:rsid w:val="00B74689"/>
    <w:rsid w:val="00B74D46"/>
    <w:rsid w:val="00B75CE4"/>
    <w:rsid w:val="00B7629A"/>
    <w:rsid w:val="00B80A0A"/>
    <w:rsid w:val="00B80F65"/>
    <w:rsid w:val="00B82194"/>
    <w:rsid w:val="00B834EA"/>
    <w:rsid w:val="00B84A72"/>
    <w:rsid w:val="00B86CBE"/>
    <w:rsid w:val="00B876C0"/>
    <w:rsid w:val="00B92C23"/>
    <w:rsid w:val="00B953D6"/>
    <w:rsid w:val="00B95E36"/>
    <w:rsid w:val="00B9663B"/>
    <w:rsid w:val="00B97130"/>
    <w:rsid w:val="00BA0017"/>
    <w:rsid w:val="00BA1D11"/>
    <w:rsid w:val="00BA23D7"/>
    <w:rsid w:val="00BA41A0"/>
    <w:rsid w:val="00BA4367"/>
    <w:rsid w:val="00BA7AA0"/>
    <w:rsid w:val="00BB2094"/>
    <w:rsid w:val="00BB2C78"/>
    <w:rsid w:val="00BB31D9"/>
    <w:rsid w:val="00BB35E4"/>
    <w:rsid w:val="00BB642D"/>
    <w:rsid w:val="00BC1B50"/>
    <w:rsid w:val="00BC27A6"/>
    <w:rsid w:val="00BC3844"/>
    <w:rsid w:val="00BC42C3"/>
    <w:rsid w:val="00BC73F8"/>
    <w:rsid w:val="00BD00A1"/>
    <w:rsid w:val="00BD25F8"/>
    <w:rsid w:val="00BD521A"/>
    <w:rsid w:val="00BD5684"/>
    <w:rsid w:val="00BD5E39"/>
    <w:rsid w:val="00BD6FE6"/>
    <w:rsid w:val="00BE0992"/>
    <w:rsid w:val="00BE15D1"/>
    <w:rsid w:val="00BE62F4"/>
    <w:rsid w:val="00BE63BA"/>
    <w:rsid w:val="00BE65DB"/>
    <w:rsid w:val="00BE6974"/>
    <w:rsid w:val="00BE7DBC"/>
    <w:rsid w:val="00BE7DE7"/>
    <w:rsid w:val="00BE7FD9"/>
    <w:rsid w:val="00BF0F4B"/>
    <w:rsid w:val="00BF12BB"/>
    <w:rsid w:val="00BF39B5"/>
    <w:rsid w:val="00BF6150"/>
    <w:rsid w:val="00BF678E"/>
    <w:rsid w:val="00BF7DD4"/>
    <w:rsid w:val="00C018F7"/>
    <w:rsid w:val="00C07499"/>
    <w:rsid w:val="00C079C3"/>
    <w:rsid w:val="00C10ECE"/>
    <w:rsid w:val="00C14860"/>
    <w:rsid w:val="00C1492B"/>
    <w:rsid w:val="00C15D84"/>
    <w:rsid w:val="00C218B0"/>
    <w:rsid w:val="00C23379"/>
    <w:rsid w:val="00C24F25"/>
    <w:rsid w:val="00C25D24"/>
    <w:rsid w:val="00C26FDD"/>
    <w:rsid w:val="00C27A1C"/>
    <w:rsid w:val="00C300EC"/>
    <w:rsid w:val="00C30D3C"/>
    <w:rsid w:val="00C334A2"/>
    <w:rsid w:val="00C343AC"/>
    <w:rsid w:val="00C349D7"/>
    <w:rsid w:val="00C4018F"/>
    <w:rsid w:val="00C40AF8"/>
    <w:rsid w:val="00C42674"/>
    <w:rsid w:val="00C4339D"/>
    <w:rsid w:val="00C44BCE"/>
    <w:rsid w:val="00C4679C"/>
    <w:rsid w:val="00C473AE"/>
    <w:rsid w:val="00C51709"/>
    <w:rsid w:val="00C6101C"/>
    <w:rsid w:val="00C62BA0"/>
    <w:rsid w:val="00C63D01"/>
    <w:rsid w:val="00C651B9"/>
    <w:rsid w:val="00C65BEF"/>
    <w:rsid w:val="00C66ACA"/>
    <w:rsid w:val="00C70D5B"/>
    <w:rsid w:val="00C73E47"/>
    <w:rsid w:val="00C74322"/>
    <w:rsid w:val="00C757D2"/>
    <w:rsid w:val="00C774D5"/>
    <w:rsid w:val="00C80015"/>
    <w:rsid w:val="00C801AD"/>
    <w:rsid w:val="00C84AEE"/>
    <w:rsid w:val="00C85C21"/>
    <w:rsid w:val="00C86133"/>
    <w:rsid w:val="00C87A07"/>
    <w:rsid w:val="00C9268B"/>
    <w:rsid w:val="00C944DC"/>
    <w:rsid w:val="00C94768"/>
    <w:rsid w:val="00C97368"/>
    <w:rsid w:val="00CA1A4C"/>
    <w:rsid w:val="00CA48CB"/>
    <w:rsid w:val="00CA4999"/>
    <w:rsid w:val="00CB1886"/>
    <w:rsid w:val="00CB20BF"/>
    <w:rsid w:val="00CB2656"/>
    <w:rsid w:val="00CB2A76"/>
    <w:rsid w:val="00CB50DD"/>
    <w:rsid w:val="00CB66D0"/>
    <w:rsid w:val="00CB6F53"/>
    <w:rsid w:val="00CC01EE"/>
    <w:rsid w:val="00CC02A1"/>
    <w:rsid w:val="00CC0D77"/>
    <w:rsid w:val="00CC34DF"/>
    <w:rsid w:val="00CC5755"/>
    <w:rsid w:val="00CC5AB4"/>
    <w:rsid w:val="00CD0795"/>
    <w:rsid w:val="00CD091B"/>
    <w:rsid w:val="00CD41A8"/>
    <w:rsid w:val="00CD4CD9"/>
    <w:rsid w:val="00CD50BE"/>
    <w:rsid w:val="00CE29BF"/>
    <w:rsid w:val="00CE3407"/>
    <w:rsid w:val="00CE4E03"/>
    <w:rsid w:val="00CE6BD3"/>
    <w:rsid w:val="00CE71F4"/>
    <w:rsid w:val="00CF1354"/>
    <w:rsid w:val="00CF1689"/>
    <w:rsid w:val="00CF1989"/>
    <w:rsid w:val="00CF30C6"/>
    <w:rsid w:val="00CF3542"/>
    <w:rsid w:val="00CF461B"/>
    <w:rsid w:val="00CF59B5"/>
    <w:rsid w:val="00CF5C1A"/>
    <w:rsid w:val="00CF60EA"/>
    <w:rsid w:val="00D0025D"/>
    <w:rsid w:val="00D00DF3"/>
    <w:rsid w:val="00D0137D"/>
    <w:rsid w:val="00D01B61"/>
    <w:rsid w:val="00D02125"/>
    <w:rsid w:val="00D04D40"/>
    <w:rsid w:val="00D051CF"/>
    <w:rsid w:val="00D07F51"/>
    <w:rsid w:val="00D100E6"/>
    <w:rsid w:val="00D1119D"/>
    <w:rsid w:val="00D13EC0"/>
    <w:rsid w:val="00D1645A"/>
    <w:rsid w:val="00D217F9"/>
    <w:rsid w:val="00D27263"/>
    <w:rsid w:val="00D301DB"/>
    <w:rsid w:val="00D307D3"/>
    <w:rsid w:val="00D313B6"/>
    <w:rsid w:val="00D31980"/>
    <w:rsid w:val="00D328C9"/>
    <w:rsid w:val="00D37C80"/>
    <w:rsid w:val="00D405BE"/>
    <w:rsid w:val="00D42E25"/>
    <w:rsid w:val="00D42E39"/>
    <w:rsid w:val="00D443F1"/>
    <w:rsid w:val="00D44597"/>
    <w:rsid w:val="00D461D8"/>
    <w:rsid w:val="00D46E16"/>
    <w:rsid w:val="00D47FA6"/>
    <w:rsid w:val="00D47FFD"/>
    <w:rsid w:val="00D50DCB"/>
    <w:rsid w:val="00D52ED3"/>
    <w:rsid w:val="00D533D4"/>
    <w:rsid w:val="00D53C45"/>
    <w:rsid w:val="00D60967"/>
    <w:rsid w:val="00D63066"/>
    <w:rsid w:val="00D63868"/>
    <w:rsid w:val="00D64567"/>
    <w:rsid w:val="00D64DB2"/>
    <w:rsid w:val="00D65F88"/>
    <w:rsid w:val="00D67BD5"/>
    <w:rsid w:val="00D730C6"/>
    <w:rsid w:val="00D73FE6"/>
    <w:rsid w:val="00D80EDF"/>
    <w:rsid w:val="00D81115"/>
    <w:rsid w:val="00D811FF"/>
    <w:rsid w:val="00D82725"/>
    <w:rsid w:val="00D82FFE"/>
    <w:rsid w:val="00D855EB"/>
    <w:rsid w:val="00D86989"/>
    <w:rsid w:val="00D87BBF"/>
    <w:rsid w:val="00D913CA"/>
    <w:rsid w:val="00D925CF"/>
    <w:rsid w:val="00D92C0E"/>
    <w:rsid w:val="00D94C93"/>
    <w:rsid w:val="00D95543"/>
    <w:rsid w:val="00D95B80"/>
    <w:rsid w:val="00D96062"/>
    <w:rsid w:val="00D96C43"/>
    <w:rsid w:val="00D97787"/>
    <w:rsid w:val="00DA1121"/>
    <w:rsid w:val="00DA2643"/>
    <w:rsid w:val="00DA308B"/>
    <w:rsid w:val="00DA3450"/>
    <w:rsid w:val="00DA5C58"/>
    <w:rsid w:val="00DA6450"/>
    <w:rsid w:val="00DA6CC7"/>
    <w:rsid w:val="00DA7406"/>
    <w:rsid w:val="00DA749A"/>
    <w:rsid w:val="00DA7A59"/>
    <w:rsid w:val="00DB1A9D"/>
    <w:rsid w:val="00DB259E"/>
    <w:rsid w:val="00DB4646"/>
    <w:rsid w:val="00DB51AB"/>
    <w:rsid w:val="00DB56C2"/>
    <w:rsid w:val="00DB69B6"/>
    <w:rsid w:val="00DC1F63"/>
    <w:rsid w:val="00DC49DD"/>
    <w:rsid w:val="00DC50EA"/>
    <w:rsid w:val="00DC6BF7"/>
    <w:rsid w:val="00DC7131"/>
    <w:rsid w:val="00DD0399"/>
    <w:rsid w:val="00DD3160"/>
    <w:rsid w:val="00DD3865"/>
    <w:rsid w:val="00DD521F"/>
    <w:rsid w:val="00DD523C"/>
    <w:rsid w:val="00DD5B3E"/>
    <w:rsid w:val="00DD7FD7"/>
    <w:rsid w:val="00DE2FE9"/>
    <w:rsid w:val="00DE38E0"/>
    <w:rsid w:val="00DE711B"/>
    <w:rsid w:val="00DE7BED"/>
    <w:rsid w:val="00DF0F7D"/>
    <w:rsid w:val="00DF1695"/>
    <w:rsid w:val="00DF2349"/>
    <w:rsid w:val="00DF3C13"/>
    <w:rsid w:val="00DF52D9"/>
    <w:rsid w:val="00DF57EC"/>
    <w:rsid w:val="00DF6440"/>
    <w:rsid w:val="00DF7A5C"/>
    <w:rsid w:val="00E00847"/>
    <w:rsid w:val="00E01EB6"/>
    <w:rsid w:val="00E02D44"/>
    <w:rsid w:val="00E04F00"/>
    <w:rsid w:val="00E05EA6"/>
    <w:rsid w:val="00E0678A"/>
    <w:rsid w:val="00E06C21"/>
    <w:rsid w:val="00E10233"/>
    <w:rsid w:val="00E1032F"/>
    <w:rsid w:val="00E1139A"/>
    <w:rsid w:val="00E11638"/>
    <w:rsid w:val="00E12B48"/>
    <w:rsid w:val="00E12C56"/>
    <w:rsid w:val="00E143E8"/>
    <w:rsid w:val="00E15605"/>
    <w:rsid w:val="00E16D44"/>
    <w:rsid w:val="00E178C8"/>
    <w:rsid w:val="00E211B4"/>
    <w:rsid w:val="00E21D31"/>
    <w:rsid w:val="00E23EB6"/>
    <w:rsid w:val="00E23FA4"/>
    <w:rsid w:val="00E24839"/>
    <w:rsid w:val="00E2578B"/>
    <w:rsid w:val="00E25ADC"/>
    <w:rsid w:val="00E27355"/>
    <w:rsid w:val="00E27511"/>
    <w:rsid w:val="00E31B89"/>
    <w:rsid w:val="00E32D74"/>
    <w:rsid w:val="00E36B2B"/>
    <w:rsid w:val="00E36C73"/>
    <w:rsid w:val="00E3783D"/>
    <w:rsid w:val="00E40E67"/>
    <w:rsid w:val="00E4154C"/>
    <w:rsid w:val="00E42357"/>
    <w:rsid w:val="00E42F9F"/>
    <w:rsid w:val="00E43079"/>
    <w:rsid w:val="00E45BC8"/>
    <w:rsid w:val="00E4769E"/>
    <w:rsid w:val="00E47A8B"/>
    <w:rsid w:val="00E47B95"/>
    <w:rsid w:val="00E52D37"/>
    <w:rsid w:val="00E60962"/>
    <w:rsid w:val="00E60B68"/>
    <w:rsid w:val="00E60F9C"/>
    <w:rsid w:val="00E645DD"/>
    <w:rsid w:val="00E6539D"/>
    <w:rsid w:val="00E6570F"/>
    <w:rsid w:val="00E66451"/>
    <w:rsid w:val="00E70D40"/>
    <w:rsid w:val="00E710A4"/>
    <w:rsid w:val="00E71FD1"/>
    <w:rsid w:val="00E723A9"/>
    <w:rsid w:val="00E73093"/>
    <w:rsid w:val="00E73D43"/>
    <w:rsid w:val="00E74E6E"/>
    <w:rsid w:val="00E76179"/>
    <w:rsid w:val="00E765DB"/>
    <w:rsid w:val="00E8295E"/>
    <w:rsid w:val="00E82BB0"/>
    <w:rsid w:val="00E82BCE"/>
    <w:rsid w:val="00E83A09"/>
    <w:rsid w:val="00E84742"/>
    <w:rsid w:val="00E86274"/>
    <w:rsid w:val="00E87C79"/>
    <w:rsid w:val="00E90709"/>
    <w:rsid w:val="00E913E5"/>
    <w:rsid w:val="00E91A0E"/>
    <w:rsid w:val="00E91F84"/>
    <w:rsid w:val="00E92109"/>
    <w:rsid w:val="00E92C61"/>
    <w:rsid w:val="00E92C6F"/>
    <w:rsid w:val="00E95179"/>
    <w:rsid w:val="00E95574"/>
    <w:rsid w:val="00EA09AC"/>
    <w:rsid w:val="00EA0CEA"/>
    <w:rsid w:val="00EB08BF"/>
    <w:rsid w:val="00EB0D48"/>
    <w:rsid w:val="00EB26D0"/>
    <w:rsid w:val="00EB286E"/>
    <w:rsid w:val="00EB44DC"/>
    <w:rsid w:val="00EB6877"/>
    <w:rsid w:val="00EB7C79"/>
    <w:rsid w:val="00EC1127"/>
    <w:rsid w:val="00EC15B8"/>
    <w:rsid w:val="00EC3509"/>
    <w:rsid w:val="00EC359A"/>
    <w:rsid w:val="00EC3D25"/>
    <w:rsid w:val="00EC5558"/>
    <w:rsid w:val="00EC6D3E"/>
    <w:rsid w:val="00EC73D9"/>
    <w:rsid w:val="00ED02ED"/>
    <w:rsid w:val="00ED06FC"/>
    <w:rsid w:val="00ED115A"/>
    <w:rsid w:val="00ED58CC"/>
    <w:rsid w:val="00ED6F07"/>
    <w:rsid w:val="00EE4515"/>
    <w:rsid w:val="00EE48EC"/>
    <w:rsid w:val="00EE5807"/>
    <w:rsid w:val="00EE6DFE"/>
    <w:rsid w:val="00EF47A6"/>
    <w:rsid w:val="00EF63D0"/>
    <w:rsid w:val="00EF7EBA"/>
    <w:rsid w:val="00EF7FA1"/>
    <w:rsid w:val="00F00F51"/>
    <w:rsid w:val="00F011A4"/>
    <w:rsid w:val="00F018EC"/>
    <w:rsid w:val="00F02AE1"/>
    <w:rsid w:val="00F03D6B"/>
    <w:rsid w:val="00F04CE4"/>
    <w:rsid w:val="00F06CB7"/>
    <w:rsid w:val="00F07D01"/>
    <w:rsid w:val="00F07F88"/>
    <w:rsid w:val="00F1081D"/>
    <w:rsid w:val="00F10E4A"/>
    <w:rsid w:val="00F12BA5"/>
    <w:rsid w:val="00F14B9D"/>
    <w:rsid w:val="00F14E0B"/>
    <w:rsid w:val="00F14E95"/>
    <w:rsid w:val="00F15718"/>
    <w:rsid w:val="00F15F28"/>
    <w:rsid w:val="00F17BB2"/>
    <w:rsid w:val="00F204D8"/>
    <w:rsid w:val="00F21060"/>
    <w:rsid w:val="00F2110E"/>
    <w:rsid w:val="00F2205D"/>
    <w:rsid w:val="00F223DF"/>
    <w:rsid w:val="00F23EBD"/>
    <w:rsid w:val="00F258C5"/>
    <w:rsid w:val="00F307A6"/>
    <w:rsid w:val="00F32C3E"/>
    <w:rsid w:val="00F34234"/>
    <w:rsid w:val="00F345A3"/>
    <w:rsid w:val="00F36B56"/>
    <w:rsid w:val="00F41940"/>
    <w:rsid w:val="00F43E23"/>
    <w:rsid w:val="00F4546D"/>
    <w:rsid w:val="00F46866"/>
    <w:rsid w:val="00F469DB"/>
    <w:rsid w:val="00F50CDF"/>
    <w:rsid w:val="00F522AE"/>
    <w:rsid w:val="00F57201"/>
    <w:rsid w:val="00F57FD1"/>
    <w:rsid w:val="00F6086B"/>
    <w:rsid w:val="00F60C5E"/>
    <w:rsid w:val="00F6127C"/>
    <w:rsid w:val="00F64858"/>
    <w:rsid w:val="00F64C69"/>
    <w:rsid w:val="00F66577"/>
    <w:rsid w:val="00F66A4A"/>
    <w:rsid w:val="00F711DB"/>
    <w:rsid w:val="00F7254C"/>
    <w:rsid w:val="00F74854"/>
    <w:rsid w:val="00F759D8"/>
    <w:rsid w:val="00F76EC2"/>
    <w:rsid w:val="00F814D4"/>
    <w:rsid w:val="00F822B6"/>
    <w:rsid w:val="00F82BD8"/>
    <w:rsid w:val="00F82E35"/>
    <w:rsid w:val="00F84871"/>
    <w:rsid w:val="00F848A6"/>
    <w:rsid w:val="00F85FE5"/>
    <w:rsid w:val="00F9095C"/>
    <w:rsid w:val="00F909EE"/>
    <w:rsid w:val="00F91171"/>
    <w:rsid w:val="00F928AD"/>
    <w:rsid w:val="00F94279"/>
    <w:rsid w:val="00F944AD"/>
    <w:rsid w:val="00F95460"/>
    <w:rsid w:val="00F956F8"/>
    <w:rsid w:val="00F95B99"/>
    <w:rsid w:val="00FA118F"/>
    <w:rsid w:val="00FA19FC"/>
    <w:rsid w:val="00FA7222"/>
    <w:rsid w:val="00FB0D9B"/>
    <w:rsid w:val="00FB4648"/>
    <w:rsid w:val="00FB5DEE"/>
    <w:rsid w:val="00FB7708"/>
    <w:rsid w:val="00FC115A"/>
    <w:rsid w:val="00FC17A1"/>
    <w:rsid w:val="00FC3327"/>
    <w:rsid w:val="00FC344C"/>
    <w:rsid w:val="00FC4F5B"/>
    <w:rsid w:val="00FC7DA2"/>
    <w:rsid w:val="00FD0232"/>
    <w:rsid w:val="00FD0345"/>
    <w:rsid w:val="00FD1DD0"/>
    <w:rsid w:val="00FD2CA8"/>
    <w:rsid w:val="00FD7B88"/>
    <w:rsid w:val="00FD7DAE"/>
    <w:rsid w:val="00FE37B0"/>
    <w:rsid w:val="00FE4699"/>
    <w:rsid w:val="00FE5248"/>
    <w:rsid w:val="00FE729F"/>
    <w:rsid w:val="00FF1F8F"/>
    <w:rsid w:val="00FF2615"/>
    <w:rsid w:val="00FF27F3"/>
    <w:rsid w:val="00FF5327"/>
    <w:rsid w:val="00FF66DE"/>
    <w:rsid w:val="00FF7535"/>
    <w:rsid w:val="01016ECD"/>
    <w:rsid w:val="0111332B"/>
    <w:rsid w:val="021322F4"/>
    <w:rsid w:val="02172F1A"/>
    <w:rsid w:val="02912D23"/>
    <w:rsid w:val="031859F9"/>
    <w:rsid w:val="03347BE0"/>
    <w:rsid w:val="03A54357"/>
    <w:rsid w:val="03A77A0C"/>
    <w:rsid w:val="03B51364"/>
    <w:rsid w:val="03E34A1A"/>
    <w:rsid w:val="03EB08B0"/>
    <w:rsid w:val="03FB7150"/>
    <w:rsid w:val="044E63DD"/>
    <w:rsid w:val="050925B4"/>
    <w:rsid w:val="057505BD"/>
    <w:rsid w:val="059A4822"/>
    <w:rsid w:val="059B4BA7"/>
    <w:rsid w:val="05F16B00"/>
    <w:rsid w:val="0615739D"/>
    <w:rsid w:val="066965F0"/>
    <w:rsid w:val="07577A2C"/>
    <w:rsid w:val="076667C0"/>
    <w:rsid w:val="076843FB"/>
    <w:rsid w:val="07BE02A5"/>
    <w:rsid w:val="07CE0362"/>
    <w:rsid w:val="07CF54A4"/>
    <w:rsid w:val="08C274AC"/>
    <w:rsid w:val="08DE4188"/>
    <w:rsid w:val="09101F92"/>
    <w:rsid w:val="091240D4"/>
    <w:rsid w:val="09277E44"/>
    <w:rsid w:val="09DC238B"/>
    <w:rsid w:val="0A1C313E"/>
    <w:rsid w:val="0A5A3D87"/>
    <w:rsid w:val="0A8E31A5"/>
    <w:rsid w:val="0BF55942"/>
    <w:rsid w:val="0C283C04"/>
    <w:rsid w:val="0C6E19B0"/>
    <w:rsid w:val="0CB55BF4"/>
    <w:rsid w:val="0D471E60"/>
    <w:rsid w:val="0D9337AC"/>
    <w:rsid w:val="0EAD6FF1"/>
    <w:rsid w:val="0FCB18A7"/>
    <w:rsid w:val="102D6AA9"/>
    <w:rsid w:val="103C3BAA"/>
    <w:rsid w:val="106827A2"/>
    <w:rsid w:val="11586CA6"/>
    <w:rsid w:val="11CB056E"/>
    <w:rsid w:val="121E7773"/>
    <w:rsid w:val="12F5486D"/>
    <w:rsid w:val="131E40C5"/>
    <w:rsid w:val="135C23AC"/>
    <w:rsid w:val="139972FD"/>
    <w:rsid w:val="13AF4032"/>
    <w:rsid w:val="13F515D5"/>
    <w:rsid w:val="14410BAA"/>
    <w:rsid w:val="14E77123"/>
    <w:rsid w:val="15235454"/>
    <w:rsid w:val="15830D6B"/>
    <w:rsid w:val="15AA552C"/>
    <w:rsid w:val="15AF4B27"/>
    <w:rsid w:val="15FB48D5"/>
    <w:rsid w:val="160A46F1"/>
    <w:rsid w:val="16267960"/>
    <w:rsid w:val="167C34A8"/>
    <w:rsid w:val="16B25250"/>
    <w:rsid w:val="16F00A14"/>
    <w:rsid w:val="178D1819"/>
    <w:rsid w:val="17D973C8"/>
    <w:rsid w:val="191A2366"/>
    <w:rsid w:val="192330B3"/>
    <w:rsid w:val="19813E2D"/>
    <w:rsid w:val="19F55B6B"/>
    <w:rsid w:val="1A1B6801"/>
    <w:rsid w:val="1AF72674"/>
    <w:rsid w:val="1B912594"/>
    <w:rsid w:val="1BCF469C"/>
    <w:rsid w:val="1D061746"/>
    <w:rsid w:val="1D277C8C"/>
    <w:rsid w:val="1F060964"/>
    <w:rsid w:val="1F3B4249"/>
    <w:rsid w:val="1F625DCA"/>
    <w:rsid w:val="1F8C63E4"/>
    <w:rsid w:val="20A11A98"/>
    <w:rsid w:val="20AA343C"/>
    <w:rsid w:val="20C052C9"/>
    <w:rsid w:val="210C6FEA"/>
    <w:rsid w:val="212748B7"/>
    <w:rsid w:val="221321E6"/>
    <w:rsid w:val="22403EDF"/>
    <w:rsid w:val="22BB0913"/>
    <w:rsid w:val="24B56038"/>
    <w:rsid w:val="251772B3"/>
    <w:rsid w:val="25D35685"/>
    <w:rsid w:val="26463B4E"/>
    <w:rsid w:val="26681D1B"/>
    <w:rsid w:val="26774CF8"/>
    <w:rsid w:val="269F1C4A"/>
    <w:rsid w:val="26D32E08"/>
    <w:rsid w:val="2701635C"/>
    <w:rsid w:val="272C5573"/>
    <w:rsid w:val="284748D7"/>
    <w:rsid w:val="287152C8"/>
    <w:rsid w:val="28E15F03"/>
    <w:rsid w:val="28F25980"/>
    <w:rsid w:val="29DB2014"/>
    <w:rsid w:val="2A095E55"/>
    <w:rsid w:val="2AE11E69"/>
    <w:rsid w:val="2AFF1215"/>
    <w:rsid w:val="2B433D82"/>
    <w:rsid w:val="2BC5497C"/>
    <w:rsid w:val="2BDE1BFD"/>
    <w:rsid w:val="2BE630F6"/>
    <w:rsid w:val="2C7E4E33"/>
    <w:rsid w:val="2CF9655A"/>
    <w:rsid w:val="2CFD57F7"/>
    <w:rsid w:val="2D213B56"/>
    <w:rsid w:val="2D347FEC"/>
    <w:rsid w:val="2DBB6BD0"/>
    <w:rsid w:val="2DCD170F"/>
    <w:rsid w:val="2F8C0C36"/>
    <w:rsid w:val="2F9C3B4A"/>
    <w:rsid w:val="2FE548E0"/>
    <w:rsid w:val="30285733"/>
    <w:rsid w:val="30323F4E"/>
    <w:rsid w:val="3067219A"/>
    <w:rsid w:val="30881F4F"/>
    <w:rsid w:val="30DA18A3"/>
    <w:rsid w:val="30E14CC2"/>
    <w:rsid w:val="310310F4"/>
    <w:rsid w:val="3116499B"/>
    <w:rsid w:val="322841FB"/>
    <w:rsid w:val="324F78DC"/>
    <w:rsid w:val="33262917"/>
    <w:rsid w:val="332C4A8E"/>
    <w:rsid w:val="335031B4"/>
    <w:rsid w:val="33C0692A"/>
    <w:rsid w:val="34135D72"/>
    <w:rsid w:val="341948D6"/>
    <w:rsid w:val="34213320"/>
    <w:rsid w:val="342A22F3"/>
    <w:rsid w:val="348A1A9D"/>
    <w:rsid w:val="34AF4B89"/>
    <w:rsid w:val="354E7592"/>
    <w:rsid w:val="35B11463"/>
    <w:rsid w:val="35BA6A56"/>
    <w:rsid w:val="35DA0F58"/>
    <w:rsid w:val="360D0B38"/>
    <w:rsid w:val="36B669B1"/>
    <w:rsid w:val="36B96DF9"/>
    <w:rsid w:val="379F347C"/>
    <w:rsid w:val="37FB080E"/>
    <w:rsid w:val="388B0E5E"/>
    <w:rsid w:val="38F465E5"/>
    <w:rsid w:val="3902538F"/>
    <w:rsid w:val="393B426D"/>
    <w:rsid w:val="39883509"/>
    <w:rsid w:val="39B1616E"/>
    <w:rsid w:val="3A575008"/>
    <w:rsid w:val="3A88195C"/>
    <w:rsid w:val="3AEF01B4"/>
    <w:rsid w:val="3B7F7CB2"/>
    <w:rsid w:val="3BE6259D"/>
    <w:rsid w:val="3C8C1FB4"/>
    <w:rsid w:val="3D881AE6"/>
    <w:rsid w:val="3DC228BC"/>
    <w:rsid w:val="3DC43F31"/>
    <w:rsid w:val="3DFD29A6"/>
    <w:rsid w:val="3E417FE9"/>
    <w:rsid w:val="3EA63C4E"/>
    <w:rsid w:val="3EFB7AB6"/>
    <w:rsid w:val="3F0A2B5B"/>
    <w:rsid w:val="3F1176F7"/>
    <w:rsid w:val="3F5F06E9"/>
    <w:rsid w:val="400C0812"/>
    <w:rsid w:val="402551C5"/>
    <w:rsid w:val="403B5037"/>
    <w:rsid w:val="40CA21D5"/>
    <w:rsid w:val="40D36808"/>
    <w:rsid w:val="41AA4BF2"/>
    <w:rsid w:val="41B47F8B"/>
    <w:rsid w:val="424F170A"/>
    <w:rsid w:val="429709E4"/>
    <w:rsid w:val="434046B5"/>
    <w:rsid w:val="43FC2FC8"/>
    <w:rsid w:val="448F4B4E"/>
    <w:rsid w:val="44A156A4"/>
    <w:rsid w:val="45A70C45"/>
    <w:rsid w:val="45BC3B61"/>
    <w:rsid w:val="45DC5BD2"/>
    <w:rsid w:val="46B101D5"/>
    <w:rsid w:val="476247DB"/>
    <w:rsid w:val="47CB6E29"/>
    <w:rsid w:val="47E04B60"/>
    <w:rsid w:val="47FE00BB"/>
    <w:rsid w:val="48170486"/>
    <w:rsid w:val="48EA6263"/>
    <w:rsid w:val="493A1EFF"/>
    <w:rsid w:val="496E2916"/>
    <w:rsid w:val="49783B1C"/>
    <w:rsid w:val="4A3E1ABB"/>
    <w:rsid w:val="4A6F69D9"/>
    <w:rsid w:val="4A793C39"/>
    <w:rsid w:val="4B33708A"/>
    <w:rsid w:val="4B4E14F3"/>
    <w:rsid w:val="4B522F8D"/>
    <w:rsid w:val="4B7D6071"/>
    <w:rsid w:val="4C1B09B5"/>
    <w:rsid w:val="4C9008D3"/>
    <w:rsid w:val="4D1D1893"/>
    <w:rsid w:val="4D92798E"/>
    <w:rsid w:val="4DA80A3C"/>
    <w:rsid w:val="4DAF02F2"/>
    <w:rsid w:val="4E172CF0"/>
    <w:rsid w:val="4E3554E5"/>
    <w:rsid w:val="4E5C1CD2"/>
    <w:rsid w:val="4EED6307"/>
    <w:rsid w:val="4F621ABC"/>
    <w:rsid w:val="4F767264"/>
    <w:rsid w:val="4F8204D3"/>
    <w:rsid w:val="4FF7439C"/>
    <w:rsid w:val="5005422B"/>
    <w:rsid w:val="5063780A"/>
    <w:rsid w:val="50A86B10"/>
    <w:rsid w:val="513C488F"/>
    <w:rsid w:val="51E972D9"/>
    <w:rsid w:val="51EC14BD"/>
    <w:rsid w:val="52271799"/>
    <w:rsid w:val="52710238"/>
    <w:rsid w:val="52B57C24"/>
    <w:rsid w:val="52D95298"/>
    <w:rsid w:val="53777F05"/>
    <w:rsid w:val="53B623D7"/>
    <w:rsid w:val="54031251"/>
    <w:rsid w:val="547E0444"/>
    <w:rsid w:val="54B0732F"/>
    <w:rsid w:val="552F0256"/>
    <w:rsid w:val="55566408"/>
    <w:rsid w:val="557C1D5B"/>
    <w:rsid w:val="56EF3822"/>
    <w:rsid w:val="57DB3D5B"/>
    <w:rsid w:val="58914C0C"/>
    <w:rsid w:val="58B93882"/>
    <w:rsid w:val="58C569D0"/>
    <w:rsid w:val="5984700F"/>
    <w:rsid w:val="5A194A52"/>
    <w:rsid w:val="5AE46909"/>
    <w:rsid w:val="5AF424B7"/>
    <w:rsid w:val="5B410634"/>
    <w:rsid w:val="5B8E3F10"/>
    <w:rsid w:val="5C5C1228"/>
    <w:rsid w:val="5D470EF7"/>
    <w:rsid w:val="5E01370B"/>
    <w:rsid w:val="5F293AE5"/>
    <w:rsid w:val="5F637ECE"/>
    <w:rsid w:val="5F645003"/>
    <w:rsid w:val="5F8C2289"/>
    <w:rsid w:val="5FA315CE"/>
    <w:rsid w:val="5FC95A98"/>
    <w:rsid w:val="605C7F02"/>
    <w:rsid w:val="60605EAF"/>
    <w:rsid w:val="609855E1"/>
    <w:rsid w:val="615A24E8"/>
    <w:rsid w:val="615C1034"/>
    <w:rsid w:val="61965316"/>
    <w:rsid w:val="628D471E"/>
    <w:rsid w:val="629F365F"/>
    <w:rsid w:val="62DB5D48"/>
    <w:rsid w:val="63243A70"/>
    <w:rsid w:val="65B15B3E"/>
    <w:rsid w:val="65CB63BA"/>
    <w:rsid w:val="65F6029A"/>
    <w:rsid w:val="666174E3"/>
    <w:rsid w:val="668B6A18"/>
    <w:rsid w:val="6768711E"/>
    <w:rsid w:val="67B914D9"/>
    <w:rsid w:val="681B76C2"/>
    <w:rsid w:val="68665186"/>
    <w:rsid w:val="68854544"/>
    <w:rsid w:val="691F6415"/>
    <w:rsid w:val="694D5875"/>
    <w:rsid w:val="69B6124A"/>
    <w:rsid w:val="6A62171F"/>
    <w:rsid w:val="6A9D4614"/>
    <w:rsid w:val="6ABA1136"/>
    <w:rsid w:val="6AF47D8A"/>
    <w:rsid w:val="6B051967"/>
    <w:rsid w:val="6B0B15D7"/>
    <w:rsid w:val="6BAE124D"/>
    <w:rsid w:val="6C727C43"/>
    <w:rsid w:val="6CC56480"/>
    <w:rsid w:val="6D283FF8"/>
    <w:rsid w:val="6D557674"/>
    <w:rsid w:val="6D6C638B"/>
    <w:rsid w:val="6D7443AB"/>
    <w:rsid w:val="6E342AAC"/>
    <w:rsid w:val="6E9F3902"/>
    <w:rsid w:val="6EE77369"/>
    <w:rsid w:val="6F2B6D8F"/>
    <w:rsid w:val="6F5B41B7"/>
    <w:rsid w:val="70A4704D"/>
    <w:rsid w:val="70B90822"/>
    <w:rsid w:val="729D23B2"/>
    <w:rsid w:val="72D81CA6"/>
    <w:rsid w:val="736D5D8F"/>
    <w:rsid w:val="73713E16"/>
    <w:rsid w:val="748D54F0"/>
    <w:rsid w:val="74D629DE"/>
    <w:rsid w:val="75026424"/>
    <w:rsid w:val="763D3A5D"/>
    <w:rsid w:val="76C32400"/>
    <w:rsid w:val="76D36168"/>
    <w:rsid w:val="77271DC3"/>
    <w:rsid w:val="779C6012"/>
    <w:rsid w:val="783335CD"/>
    <w:rsid w:val="784529A4"/>
    <w:rsid w:val="78AB449F"/>
    <w:rsid w:val="78D31F5F"/>
    <w:rsid w:val="78E63323"/>
    <w:rsid w:val="791407CA"/>
    <w:rsid w:val="79241812"/>
    <w:rsid w:val="793743B5"/>
    <w:rsid w:val="7A99276B"/>
    <w:rsid w:val="7AB466DB"/>
    <w:rsid w:val="7BB10FD4"/>
    <w:rsid w:val="7BD545AE"/>
    <w:rsid w:val="7C423FE9"/>
    <w:rsid w:val="7C7B308F"/>
    <w:rsid w:val="7C801B48"/>
    <w:rsid w:val="7D2738CF"/>
    <w:rsid w:val="7D5F5A53"/>
    <w:rsid w:val="7D637131"/>
    <w:rsid w:val="7D6401AF"/>
    <w:rsid w:val="7D7D2F2E"/>
    <w:rsid w:val="7E192680"/>
    <w:rsid w:val="7E414FF4"/>
    <w:rsid w:val="7F0D3D58"/>
    <w:rsid w:val="7FEC3FF0"/>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32"/>
      <w:szCs w:val="24"/>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rFonts w:eastAsia="黑体"/>
      <w:b/>
      <w:kern w:val="44"/>
      <w:sz w:val="32"/>
    </w:rPr>
  </w:style>
  <w:style w:type="paragraph" w:styleId="4">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楷体_GB2312"/>
    </w:rPr>
  </w:style>
  <w:style w:type="paragraph" w:styleId="5">
    <w:name w:val="heading 3"/>
    <w:basedOn w:val="1"/>
    <w:next w:val="1"/>
    <w:link w:val="23"/>
    <w:qFormat/>
    <w:uiPriority w:val="9"/>
    <w:pPr>
      <w:widowControl/>
      <w:spacing w:before="100" w:beforeAutospacing="1" w:after="100" w:afterAutospacing="1"/>
      <w:jc w:val="left"/>
      <w:outlineLvl w:val="2"/>
    </w:pPr>
    <w:rPr>
      <w:rFonts w:ascii="宋体" w:hAnsi="宋体" w:eastAsia="仿宋_GB2312"/>
      <w:bCs/>
      <w:kern w:val="0"/>
      <w:sz w:val="32"/>
      <w:szCs w:val="27"/>
    </w:rPr>
  </w:style>
  <w:style w:type="character" w:default="1" w:styleId="17">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2">
    <w:name w:val="header"/>
    <w:basedOn w:val="1"/>
    <w:link w:val="27"/>
    <w:qFormat/>
    <w:uiPriority w:val="99"/>
    <w:pPr>
      <w:pBdr>
        <w:bottom w:val="single" w:color="auto" w:sz="6" w:space="1"/>
      </w:pBdr>
      <w:tabs>
        <w:tab w:val="center" w:pos="4153"/>
        <w:tab w:val="right" w:pos="8306"/>
      </w:tabs>
      <w:snapToGrid w:val="0"/>
      <w:jc w:val="center"/>
    </w:pPr>
    <w:rPr>
      <w:sz w:val="18"/>
      <w:szCs w:val="18"/>
    </w:rPr>
  </w:style>
  <w:style w:type="paragraph" w:styleId="6">
    <w:name w:val="annotation text"/>
    <w:basedOn w:val="1"/>
    <w:link w:val="24"/>
    <w:qFormat/>
    <w:uiPriority w:val="0"/>
    <w:pPr>
      <w:jc w:val="left"/>
    </w:pPr>
  </w:style>
  <w:style w:type="paragraph" w:styleId="7">
    <w:name w:val="Body Text"/>
    <w:basedOn w:val="1"/>
    <w:next w:val="8"/>
    <w:qFormat/>
    <w:uiPriority w:val="0"/>
    <w:pPr>
      <w:spacing w:after="120"/>
    </w:pPr>
  </w:style>
  <w:style w:type="paragraph" w:styleId="8">
    <w:name w:val="Body Text 2"/>
    <w:basedOn w:val="1"/>
    <w:qFormat/>
    <w:uiPriority w:val="0"/>
    <w:pPr>
      <w:snapToGrid w:val="0"/>
    </w:pPr>
    <w:rPr>
      <w:rFonts w:ascii="宋体" w:hAnsi="宋体"/>
      <w:sz w:val="24"/>
    </w:rPr>
  </w:style>
  <w:style w:type="paragraph" w:styleId="9">
    <w:name w:val="Balloon Text"/>
    <w:basedOn w:val="1"/>
    <w:link w:val="25"/>
    <w:qFormat/>
    <w:uiPriority w:val="0"/>
    <w:rPr>
      <w:sz w:val="18"/>
      <w:szCs w:val="18"/>
    </w:rPr>
  </w:style>
  <w:style w:type="paragraph" w:styleId="10">
    <w:name w:val="footer"/>
    <w:basedOn w:val="1"/>
    <w:link w:val="26"/>
    <w:qFormat/>
    <w:uiPriority w:val="99"/>
    <w:pPr>
      <w:tabs>
        <w:tab w:val="center" w:pos="4153"/>
        <w:tab w:val="right" w:pos="8306"/>
      </w:tabs>
      <w:snapToGrid w:val="0"/>
      <w:jc w:val="left"/>
    </w:pPr>
    <w:rPr>
      <w:sz w:val="18"/>
      <w:szCs w:val="18"/>
    </w:rPr>
  </w:style>
  <w:style w:type="paragraph" w:styleId="11">
    <w:name w:val="Subtitle"/>
    <w:basedOn w:val="1"/>
    <w:next w:val="1"/>
    <w:link w:val="28"/>
    <w:qFormat/>
    <w:uiPriority w:val="0"/>
    <w:pPr>
      <w:spacing w:before="240" w:after="60" w:line="312" w:lineRule="auto"/>
      <w:jc w:val="center"/>
      <w:outlineLvl w:val="1"/>
    </w:pPr>
    <w:rPr>
      <w:rFonts w:ascii="Cambria" w:hAnsi="Cambria"/>
      <w:b/>
      <w:bCs/>
      <w:kern w:val="28"/>
      <w:sz w:val="32"/>
      <w:szCs w:val="32"/>
    </w:rPr>
  </w:style>
  <w:style w:type="paragraph" w:styleId="12">
    <w:name w:val="footnote text"/>
    <w:basedOn w:val="1"/>
    <w:qFormat/>
    <w:uiPriority w:val="0"/>
    <w:pPr>
      <w:snapToGrid w:val="0"/>
      <w:jc w:val="left"/>
    </w:pPr>
    <w:rPr>
      <w:rFonts w:ascii="Calibri" w:hAnsi="Calibri" w:eastAsia="宋体" w:cs="Times New Roman"/>
      <w:sz w:val="18"/>
      <w:szCs w:val="18"/>
    </w:rPr>
  </w:style>
  <w:style w:type="paragraph" w:styleId="13">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14">
    <w:name w:val="annotation subject"/>
    <w:basedOn w:val="6"/>
    <w:next w:val="6"/>
    <w:link w:val="29"/>
    <w:qFormat/>
    <w:uiPriority w:val="0"/>
    <w:rPr>
      <w:b/>
      <w:bCs/>
    </w:r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qFormat/>
    <w:uiPriority w:val="0"/>
    <w:rPr>
      <w:b/>
      <w:bCs/>
    </w:rPr>
  </w:style>
  <w:style w:type="character" w:styleId="19">
    <w:name w:val="Emphasis"/>
    <w:qFormat/>
    <w:uiPriority w:val="20"/>
    <w:rPr>
      <w:i/>
      <w:iCs/>
    </w:rPr>
  </w:style>
  <w:style w:type="character" w:styleId="20">
    <w:name w:val="Hyperlink"/>
    <w:unhideWhenUsed/>
    <w:qFormat/>
    <w:uiPriority w:val="99"/>
    <w:rPr>
      <w:color w:val="0000FF"/>
      <w:u w:val="single"/>
    </w:rPr>
  </w:style>
  <w:style w:type="character" w:styleId="21">
    <w:name w:val="annotation reference"/>
    <w:qFormat/>
    <w:uiPriority w:val="0"/>
    <w:rPr>
      <w:sz w:val="21"/>
      <w:szCs w:val="21"/>
    </w:rPr>
  </w:style>
  <w:style w:type="character" w:styleId="22">
    <w:name w:val="footnote reference"/>
    <w:basedOn w:val="17"/>
    <w:qFormat/>
    <w:uiPriority w:val="0"/>
    <w:rPr>
      <w:vertAlign w:val="superscript"/>
    </w:rPr>
  </w:style>
  <w:style w:type="character" w:customStyle="1" w:styleId="23">
    <w:name w:val=" Char Char6"/>
    <w:link w:val="5"/>
    <w:qFormat/>
    <w:uiPriority w:val="9"/>
    <w:rPr>
      <w:rFonts w:ascii="宋体" w:hAnsi="宋体" w:eastAsia="仿宋_GB2312" w:cs="宋体"/>
      <w:bCs/>
      <w:sz w:val="32"/>
      <w:szCs w:val="27"/>
    </w:rPr>
  </w:style>
  <w:style w:type="character" w:customStyle="1" w:styleId="24">
    <w:name w:val=" Char Char2"/>
    <w:link w:val="6"/>
    <w:qFormat/>
    <w:uiPriority w:val="0"/>
    <w:rPr>
      <w:kern w:val="2"/>
      <w:sz w:val="21"/>
      <w:szCs w:val="24"/>
    </w:rPr>
  </w:style>
  <w:style w:type="character" w:customStyle="1" w:styleId="25">
    <w:name w:val=" Char Char"/>
    <w:link w:val="9"/>
    <w:qFormat/>
    <w:uiPriority w:val="0"/>
    <w:rPr>
      <w:kern w:val="2"/>
      <w:sz w:val="18"/>
      <w:szCs w:val="18"/>
    </w:rPr>
  </w:style>
  <w:style w:type="character" w:customStyle="1" w:styleId="26">
    <w:name w:val=" Char Char4"/>
    <w:link w:val="10"/>
    <w:qFormat/>
    <w:uiPriority w:val="99"/>
    <w:rPr>
      <w:kern w:val="2"/>
      <w:sz w:val="18"/>
      <w:szCs w:val="18"/>
    </w:rPr>
  </w:style>
  <w:style w:type="character" w:customStyle="1" w:styleId="27">
    <w:name w:val=" Char Char5"/>
    <w:link w:val="2"/>
    <w:qFormat/>
    <w:uiPriority w:val="99"/>
    <w:rPr>
      <w:kern w:val="2"/>
      <w:sz w:val="18"/>
      <w:szCs w:val="18"/>
    </w:rPr>
  </w:style>
  <w:style w:type="character" w:customStyle="1" w:styleId="28">
    <w:name w:val=" Char Char3"/>
    <w:link w:val="11"/>
    <w:qFormat/>
    <w:uiPriority w:val="0"/>
    <w:rPr>
      <w:rFonts w:ascii="Cambria" w:hAnsi="Cambria" w:cs="Times New Roman"/>
      <w:b/>
      <w:bCs/>
      <w:kern w:val="28"/>
      <w:sz w:val="32"/>
      <w:szCs w:val="32"/>
    </w:rPr>
  </w:style>
  <w:style w:type="character" w:customStyle="1" w:styleId="29">
    <w:name w:val=" Char Char1"/>
    <w:link w:val="14"/>
    <w:qFormat/>
    <w:uiPriority w:val="0"/>
    <w:rPr>
      <w:b/>
      <w:bCs/>
      <w:kern w:val="2"/>
      <w:sz w:val="21"/>
      <w:szCs w:val="24"/>
    </w:rPr>
  </w:style>
  <w:style w:type="character" w:customStyle="1" w:styleId="30">
    <w:name w:val="NormalCharacter"/>
    <w:qFormat/>
    <w:uiPriority w:val="0"/>
    <w:rPr>
      <w:kern w:val="2"/>
      <w:sz w:val="21"/>
      <w:szCs w:val="24"/>
      <w:lang w:val="en-US" w:eastAsia="zh-CN" w:bidi="ar-SA"/>
    </w:rPr>
  </w:style>
  <w:style w:type="paragraph" w:customStyle="1" w:styleId="31">
    <w:name w:val="Plain Text1"/>
    <w:basedOn w:val="1"/>
    <w:qFormat/>
    <w:uiPriority w:val="99"/>
    <w:rPr>
      <w:rFonts w:ascii="宋体" w:hAnsi="Courier New" w:cs="宋体"/>
    </w:rPr>
  </w:style>
  <w:style w:type="character" w:customStyle="1" w:styleId="32">
    <w:name w:val="无间隔 Char"/>
    <w:link w:val="33"/>
    <w:qFormat/>
    <w:uiPriority w:val="1"/>
    <w:rPr>
      <w:rFonts w:ascii="Calibri" w:hAnsi="Calibri"/>
      <w:sz w:val="22"/>
      <w:szCs w:val="22"/>
      <w:lang w:val="en-US" w:eastAsia="zh-CN" w:bidi="ar-SA"/>
    </w:rPr>
  </w:style>
  <w:style w:type="paragraph" w:customStyle="1" w:styleId="33">
    <w:name w:val="无间隔"/>
    <w:link w:val="32"/>
    <w:qFormat/>
    <w:uiPriority w:val="1"/>
    <w:rPr>
      <w:rFonts w:ascii="Calibri" w:hAnsi="Calibri" w:eastAsia="宋体" w:cs="Times New Roman"/>
      <w:sz w:val="22"/>
      <w:szCs w:val="22"/>
      <w:lang w:val="en-US" w:eastAsia="zh-CN" w:bidi="ar-SA"/>
    </w:rPr>
  </w:style>
  <w:style w:type="paragraph" w:customStyle="1" w:styleId="34">
    <w:name w:val="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35">
    <w:name w:val="Char Char Char Char"/>
    <w:basedOn w:val="1"/>
    <w:qFormat/>
    <w:uiPriority w:val="0"/>
    <w:pPr>
      <w:tabs>
        <w:tab w:val="left" w:pos="360"/>
      </w:tabs>
    </w:pPr>
  </w:style>
  <w:style w:type="paragraph" w:customStyle="1" w:styleId="36">
    <w:name w:val="_Style 5"/>
    <w:qFormat/>
    <w:uiPriority w:val="0"/>
    <w:pPr>
      <w:widowControl w:val="0"/>
      <w:ind w:firstLine="200" w:firstLineChars="200"/>
      <w:jc w:val="both"/>
    </w:pPr>
    <w:rPr>
      <w:rFonts w:ascii="Times New Roman" w:hAnsi="Times New Roman" w:eastAsia="宋体" w:cs="黑体"/>
      <w:kern w:val="2"/>
      <w:sz w:val="24"/>
      <w:szCs w:val="22"/>
      <w:lang w:val="en-US" w:eastAsia="zh-CN" w:bidi="ar-SA"/>
    </w:rPr>
  </w:style>
  <w:style w:type="paragraph" w:customStyle="1" w:styleId="37">
    <w:name w:val="Default"/>
    <w:qFormat/>
    <w:uiPriority w:val="0"/>
    <w:pPr>
      <w:widowControl w:val="0"/>
      <w:autoSpaceDE w:val="0"/>
      <w:autoSpaceDN w:val="0"/>
      <w:adjustRightInd w:val="0"/>
    </w:pPr>
    <w:rPr>
      <w:rFonts w:ascii="方正仿宋_GB2312" w:hAnsi="方正仿宋_GB2312" w:eastAsia="宋体" w:cs="方正仿宋_GB2312"/>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49" textRotate="1"/>
    <customShpInfo spid="_x0000_s1029"/>
    <customShpInfo spid="_x0000_s1026"/>
    <customShpInfo spid="_x0000_s1035"/>
    <customShpInfo spid="_x0000_s1034"/>
    <customShpInfo spid="_x0000_s1027"/>
    <customShpInfo spid="_x0000_s1028"/>
    <customShpInfo spid="_x0000_s1036"/>
    <customShpInfo spid="_x0000_s103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21</Pages>
  <Words>562</Words>
  <Characters>569</Characters>
  <Lines>18</Lines>
  <Paragraphs>5</Paragraphs>
  <TotalTime>27</TotalTime>
  <ScaleCrop>false</ScaleCrop>
  <LinksUpToDate>false</LinksUpToDate>
  <CharactersWithSpaces>569</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2017-02-23T04:09:00Z</dcterms:created>
  <dc:creator>China</dc:creator>
  <cp:lastModifiedBy>传入的名字</cp:lastModifiedBy>
  <cp:lastPrinted>2023-06-06T09:23:00Z</cp:lastPrinted>
  <dcterms:modified xsi:type="dcterms:W3CDTF">2024-11-26T08:38:58Z</dcterms:modified>
  <dc:title>关于洋浦新都小学综合大楼建筑地</dc:title>
  <cp:revision>89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594DB1520DE94ABAA1F64F32FBC1FE8E_13</vt:lpwstr>
  </property>
</Properties>
</file>