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bookmarkStart w:id="228" w:name="_GoBack"/>
      <w:bookmarkEnd w:id="228"/>
      <w:bookmarkStart w:id="0" w:name="_Toc11975"/>
      <w:bookmarkStart w:id="1" w:name="_Toc27442"/>
      <w:r>
        <w:rPr>
          <w:rFonts w:hint="eastAsia" w:ascii="方正小标宋简体" w:hAnsi="方正小标宋简体" w:eastAsia="方正小标宋简体" w:cs="方正小标宋简体"/>
          <w:sz w:val="44"/>
          <w:szCs w:val="44"/>
          <w:lang w:val="en-US" w:eastAsia="zh-CN"/>
        </w:rPr>
        <w:t>鼎湖永安肇庆新区物流园一期项目</w:t>
      </w:r>
      <w:bookmarkEnd w:id="0"/>
      <w:bookmarkEnd w:id="1"/>
      <w:bookmarkStart w:id="2" w:name="_Toc6511"/>
      <w:bookmarkStart w:id="3" w:name="_Toc14939"/>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”一般</w:t>
      </w:r>
      <w:r>
        <w:rPr>
          <w:rFonts w:hint="eastAsia" w:ascii="方正小标宋简体" w:hAnsi="方正小标宋简体" w:eastAsia="方正小标宋简体" w:cs="方正小标宋简体"/>
          <w:sz w:val="44"/>
          <w:szCs w:val="44"/>
          <w:lang w:val="en-US" w:eastAsia="zh-CN"/>
        </w:rPr>
        <w:t>物体打击</w:t>
      </w:r>
      <w:r>
        <w:rPr>
          <w:rFonts w:hint="eastAsia" w:ascii="方正小标宋简体" w:hAnsi="方正小标宋简体" w:eastAsia="方正小标宋简体" w:cs="方正小标宋简体"/>
          <w:sz w:val="44"/>
          <w:szCs w:val="44"/>
        </w:rPr>
        <w:t>事故调查报告</w:t>
      </w:r>
      <w:bookmarkEnd w:id="2"/>
      <w:bookmarkEnd w:id="3"/>
    </w:p>
    <w:p>
      <w:pPr>
        <w:pStyle w:val="2"/>
        <w:pageBreakBefore w:val="0"/>
        <w:kinsoku/>
        <w:wordWrap/>
        <w:overflowPunct/>
        <w:topLinePunct w:val="0"/>
        <w:autoSpaceDE/>
        <w:autoSpaceDN/>
        <w:bidi w:val="0"/>
        <w:adjustRightInd/>
        <w:spacing w:line="560" w:lineRule="exact"/>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202</w:t>
      </w:r>
      <w:r>
        <w:rPr>
          <w:rFonts w:hint="eastAsia"/>
          <w:lang w:val="en-US" w:eastAsia="zh-CN"/>
        </w:rPr>
        <w:t>3</w:t>
      </w:r>
      <w:r>
        <w:rPr>
          <w:rFonts w:hint="eastAsia"/>
        </w:rPr>
        <w:t>年</w:t>
      </w:r>
      <w:r>
        <w:rPr>
          <w:rFonts w:hint="eastAsia"/>
          <w:lang w:val="en-US" w:eastAsia="zh-CN"/>
        </w:rPr>
        <w:t>4</w:t>
      </w:r>
      <w:r>
        <w:rPr>
          <w:rFonts w:hint="eastAsia"/>
        </w:rPr>
        <w:t>月</w:t>
      </w:r>
      <w:r>
        <w:rPr>
          <w:rFonts w:hint="eastAsia"/>
          <w:lang w:val="en-US" w:eastAsia="zh-CN"/>
        </w:rPr>
        <w:t>3</w:t>
      </w:r>
      <w:r>
        <w:rPr>
          <w:rFonts w:hint="eastAsia"/>
        </w:rPr>
        <w:t>日</w:t>
      </w:r>
      <w:r>
        <w:rPr>
          <w:rFonts w:hint="eastAsia"/>
          <w:lang w:val="en-US" w:eastAsia="zh-CN"/>
        </w:rPr>
        <w:t>17</w:t>
      </w:r>
      <w:r>
        <w:rPr>
          <w:rFonts w:hint="eastAsia"/>
        </w:rPr>
        <w:t>时许，</w:t>
      </w:r>
      <w:r>
        <w:rPr>
          <w:rFonts w:hint="eastAsia"/>
          <w:lang w:val="en-US" w:eastAsia="zh-CN"/>
        </w:rPr>
        <w:t>肇庆市鼎湖区永安镇</w:t>
      </w:r>
      <w:r>
        <w:rPr>
          <w:rFonts w:hint="eastAsia"/>
        </w:rPr>
        <w:t>肇庆新区物流园</w:t>
      </w:r>
      <w:r>
        <w:rPr>
          <w:rFonts w:hint="eastAsia"/>
          <w:lang w:val="en-US" w:eastAsia="zh-CN"/>
        </w:rPr>
        <w:t>一期项目部A3号仓库二楼平台一辆起吊车起吊钢梁时发生脱落，造成1名钢结构安装工人死亡</w:t>
      </w:r>
      <w:r>
        <w:rPr>
          <w:rFonts w:hint="eastAsia"/>
          <w:lang w:eastAsia="zh-CN"/>
        </w:rPr>
        <w:t>，</w:t>
      </w:r>
      <w:r>
        <w:rPr>
          <w:rFonts w:hint="eastAsia"/>
        </w:rPr>
        <w:t>直接经济损失</w:t>
      </w:r>
      <w:r>
        <w:rPr>
          <w:rFonts w:hint="eastAsia"/>
          <w:lang w:val="en-US" w:eastAsia="zh-CN"/>
        </w:rPr>
        <w:t>190</w:t>
      </w:r>
      <w:r>
        <w:rPr>
          <w:rFonts w:hint="eastAsia"/>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根据《中华人民共和国安全生产法》《</w:t>
      </w:r>
      <w:r>
        <w:rPr>
          <w:rFonts w:hint="eastAsia"/>
          <w:lang w:val="en-US" w:eastAsia="zh-CN"/>
        </w:rPr>
        <w:t>生产安全事故报告和调查处理条例</w:t>
      </w:r>
      <w:r>
        <w:rPr>
          <w:rFonts w:hint="eastAsia"/>
        </w:rPr>
        <w:t>》</w:t>
      </w:r>
      <w:r>
        <w:rPr>
          <w:rFonts w:hint="eastAsia"/>
          <w:lang w:eastAsia="zh-CN"/>
        </w:rPr>
        <w:t>（</w:t>
      </w:r>
      <w:r>
        <w:rPr>
          <w:rFonts w:hint="eastAsia"/>
          <w:lang w:val="en-US" w:eastAsia="zh-CN"/>
        </w:rPr>
        <w:t>国务院第493号令</w:t>
      </w:r>
      <w:r>
        <w:rPr>
          <w:rFonts w:hint="eastAsia"/>
          <w:lang w:eastAsia="zh-CN"/>
        </w:rPr>
        <w:t>）有关</w:t>
      </w:r>
      <w:r>
        <w:rPr>
          <w:rFonts w:hint="eastAsia"/>
        </w:rPr>
        <w:t>规定，经肇庆市</w:t>
      </w:r>
      <w:r>
        <w:rPr>
          <w:rFonts w:hint="eastAsia"/>
          <w:lang w:val="en-US" w:eastAsia="zh-CN"/>
        </w:rPr>
        <w:t>鼎湖区</w:t>
      </w:r>
      <w:r>
        <w:rPr>
          <w:rFonts w:hint="eastAsia"/>
        </w:rPr>
        <w:t>人民政府批准，成立了由</w:t>
      </w:r>
      <w:r>
        <w:rPr>
          <w:rFonts w:hint="eastAsia"/>
          <w:lang w:val="en-US" w:eastAsia="zh-CN"/>
        </w:rPr>
        <w:t>鼎湖区</w:t>
      </w:r>
      <w:r>
        <w:rPr>
          <w:rFonts w:hint="eastAsia"/>
        </w:rPr>
        <w:t>应急局牵头，</w:t>
      </w:r>
      <w:r>
        <w:rPr>
          <w:rFonts w:hint="eastAsia"/>
          <w:lang w:val="en-US" w:eastAsia="zh-CN"/>
        </w:rPr>
        <w:t>区公安分局</w:t>
      </w:r>
      <w:r>
        <w:rPr>
          <w:rFonts w:hint="eastAsia"/>
        </w:rPr>
        <w:t>、</w:t>
      </w:r>
      <w:r>
        <w:rPr>
          <w:rFonts w:hint="eastAsia"/>
          <w:lang w:val="en-US" w:eastAsia="zh-CN"/>
        </w:rPr>
        <w:t>区住建局</w:t>
      </w:r>
      <w:r>
        <w:rPr>
          <w:rFonts w:hint="eastAsia"/>
        </w:rPr>
        <w:t>、</w:t>
      </w:r>
      <w:r>
        <w:rPr>
          <w:rFonts w:hint="eastAsia"/>
          <w:lang w:val="en-US" w:eastAsia="zh-CN"/>
        </w:rPr>
        <w:t>区人社局</w:t>
      </w:r>
      <w:r>
        <w:rPr>
          <w:rFonts w:hint="eastAsia"/>
        </w:rPr>
        <w:t>、</w:t>
      </w:r>
      <w:r>
        <w:rPr>
          <w:rFonts w:hint="eastAsia"/>
          <w:lang w:val="en-US" w:eastAsia="zh-CN"/>
        </w:rPr>
        <w:t>区司法局</w:t>
      </w:r>
      <w:r>
        <w:rPr>
          <w:rFonts w:hint="eastAsia"/>
        </w:rPr>
        <w:t>、</w:t>
      </w:r>
      <w:r>
        <w:rPr>
          <w:rFonts w:hint="eastAsia"/>
          <w:lang w:val="en-US" w:eastAsia="zh-CN"/>
        </w:rPr>
        <w:t>区</w:t>
      </w:r>
      <w:r>
        <w:rPr>
          <w:rFonts w:hint="eastAsia"/>
        </w:rPr>
        <w:t>总工会和</w:t>
      </w:r>
      <w:r>
        <w:rPr>
          <w:rFonts w:hint="eastAsia"/>
          <w:lang w:val="en-US" w:eastAsia="zh-CN"/>
        </w:rPr>
        <w:t>永安镇人民政府</w:t>
      </w:r>
      <w:r>
        <w:rPr>
          <w:rFonts w:hint="eastAsia"/>
        </w:rPr>
        <w:t>派</w:t>
      </w:r>
      <w:r>
        <w:rPr>
          <w:rFonts w:hint="eastAsia"/>
          <w:lang w:val="en-US" w:eastAsia="zh-CN"/>
        </w:rPr>
        <w:t>员</w:t>
      </w:r>
      <w:r>
        <w:rPr>
          <w:rFonts w:hint="eastAsia"/>
        </w:rPr>
        <w:t>组成的</w:t>
      </w:r>
      <w:r>
        <w:rPr>
          <w:rFonts w:hint="eastAsia"/>
          <w:lang w:val="en-US" w:eastAsia="zh-CN"/>
        </w:rPr>
        <w:t>鼎湖区</w:t>
      </w:r>
      <w:r>
        <w:rPr>
          <w:rFonts w:hint="eastAsia"/>
        </w:rPr>
        <w:t>“</w:t>
      </w:r>
      <w:r>
        <w:rPr>
          <w:rFonts w:hint="eastAsia"/>
          <w:lang w:val="en-US" w:eastAsia="zh-CN"/>
        </w:rPr>
        <w:t>4</w:t>
      </w:r>
      <w:r>
        <w:rPr>
          <w:rFonts w:hint="eastAsia"/>
        </w:rPr>
        <w:t>·</w:t>
      </w:r>
      <w:r>
        <w:rPr>
          <w:rFonts w:hint="eastAsia"/>
          <w:lang w:val="en-US" w:eastAsia="zh-CN"/>
        </w:rPr>
        <w:t>3</w:t>
      </w:r>
      <w:r>
        <w:rPr>
          <w:rFonts w:hint="eastAsia"/>
        </w:rPr>
        <w:t>”一般</w:t>
      </w:r>
      <w:r>
        <w:rPr>
          <w:rFonts w:hint="eastAsia"/>
          <w:lang w:val="en-US" w:eastAsia="zh-CN"/>
        </w:rPr>
        <w:t>物体打击</w:t>
      </w:r>
      <w:r>
        <w:rPr>
          <w:rFonts w:hint="eastAsia"/>
        </w:rPr>
        <w:t>事故调查</w:t>
      </w:r>
      <w:r>
        <w:rPr>
          <w:rFonts w:hint="eastAsia"/>
          <w:lang w:val="en-US" w:eastAsia="zh-CN"/>
        </w:rPr>
        <w:t>处理工作</w:t>
      </w:r>
      <w:r>
        <w:rPr>
          <w:rFonts w:hint="eastAsia"/>
        </w:rPr>
        <w:t>组（以下简称调查组），同时邀请</w:t>
      </w:r>
      <w:r>
        <w:rPr>
          <w:rFonts w:hint="eastAsia"/>
          <w:lang w:val="en-US" w:eastAsia="zh-CN"/>
        </w:rPr>
        <w:t>区纪委</w:t>
      </w:r>
      <w:r>
        <w:rPr>
          <w:rFonts w:hint="eastAsia"/>
        </w:rPr>
        <w:t>监委派</w:t>
      </w:r>
      <w:r>
        <w:rPr>
          <w:rFonts w:hint="eastAsia"/>
          <w:lang w:val="en-US" w:eastAsia="zh-CN"/>
        </w:rPr>
        <w:t>员</w:t>
      </w:r>
      <w:r>
        <w:rPr>
          <w:rFonts w:hint="eastAsia"/>
        </w:rPr>
        <w:t>参加。根据调查需要，</w:t>
      </w:r>
      <w:r>
        <w:rPr>
          <w:rFonts w:hint="eastAsia"/>
          <w:lang w:eastAsia="zh-CN"/>
        </w:rPr>
        <w:t>聘请</w:t>
      </w:r>
      <w:r>
        <w:rPr>
          <w:rFonts w:hint="eastAsia"/>
        </w:rPr>
        <w:t>了</w:t>
      </w:r>
      <w:r>
        <w:rPr>
          <w:rFonts w:hint="eastAsia"/>
          <w:lang w:val="en-US" w:eastAsia="zh-CN"/>
        </w:rPr>
        <w:t>工程施工安全、工程检测、工程设计</w:t>
      </w:r>
      <w:r>
        <w:rPr>
          <w:rFonts w:hint="eastAsia"/>
          <w:lang w:eastAsia="zh-CN"/>
        </w:rPr>
        <w:t>领域共计</w:t>
      </w:r>
      <w:r>
        <w:rPr>
          <w:rFonts w:hint="eastAsia"/>
          <w:lang w:val="en-US" w:eastAsia="zh-CN"/>
        </w:rPr>
        <w:t>3名</w:t>
      </w:r>
      <w:r>
        <w:rPr>
          <w:rFonts w:hint="eastAsia"/>
          <w:lang w:eastAsia="zh-CN"/>
        </w:rPr>
        <w:t>专家提供技术支撑服务</w:t>
      </w:r>
      <w:r>
        <w:rPr>
          <w:rFonts w:hint="eastAsi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rPr>
        <w:t>调查组坚持“科学严谨、依法依规、实事求是、注重实效”的原则，通过</w:t>
      </w:r>
      <w:r>
        <w:rPr>
          <w:rFonts w:hint="eastAsia"/>
          <w:lang w:eastAsia="zh-CN"/>
        </w:rPr>
        <w:t>调查</w:t>
      </w:r>
      <w:r>
        <w:rPr>
          <w:rFonts w:hint="eastAsia"/>
        </w:rPr>
        <w:t>询问、现场勘查、</w:t>
      </w:r>
      <w:r>
        <w:rPr>
          <w:rFonts w:hint="eastAsia"/>
          <w:lang w:eastAsia="zh-CN"/>
        </w:rPr>
        <w:t>调查取证、技术鉴定、专家论证、</w:t>
      </w:r>
      <w:r>
        <w:rPr>
          <w:rFonts w:hint="eastAsia"/>
        </w:rPr>
        <w:t>综合分析与讨论等方式，查明了事故发生的经过、原因</w:t>
      </w:r>
      <w:r>
        <w:rPr>
          <w:rFonts w:hint="eastAsia"/>
          <w:lang w:eastAsia="zh-CN"/>
        </w:rPr>
        <w:t>、</w:t>
      </w:r>
      <w:r>
        <w:rPr>
          <w:rFonts w:hint="eastAsia"/>
        </w:rPr>
        <w:t>人员伤亡和直接经济损失情况，认定了事故性质和责任，总结了事故教训，提出了防范和整改措施建议</w:t>
      </w:r>
      <w:r>
        <w:rPr>
          <w:rFonts w:hint="eastAsia"/>
          <w:lang w:eastAsia="zh-CN"/>
        </w:rPr>
        <w:t>。</w:t>
      </w:r>
      <w:r>
        <w:rPr>
          <w:rFonts w:hint="eastAsia"/>
          <w:b/>
          <w:bCs/>
          <w:lang w:val="en-US" w:eastAsia="zh-CN"/>
        </w:rPr>
        <w:t>经调查认定，本起事故是一起因从业人员违规操作、科龙公司安全生产主体责任不落实、技术交底不到位、现场管理不当造成的一般物体打击生产安全责任事故。</w:t>
      </w:r>
    </w:p>
    <w:p>
      <w:pPr>
        <w:pStyle w:val="4"/>
        <w:pageBreakBefore w:val="0"/>
        <w:kinsoku/>
        <w:wordWrap/>
        <w:overflowPunct/>
        <w:topLinePunct w:val="0"/>
        <w:autoSpaceDE/>
        <w:autoSpaceDN/>
        <w:bidi w:val="0"/>
        <w:adjustRightInd/>
        <w:spacing w:line="560" w:lineRule="exact"/>
        <w:textAlignment w:val="auto"/>
        <w:rPr>
          <w:rFonts w:hint="eastAsia"/>
        </w:rPr>
      </w:pPr>
      <w:bookmarkStart w:id="4" w:name="_Toc25990"/>
      <w:bookmarkStart w:id="5" w:name="_Toc24752"/>
      <w:bookmarkStart w:id="6" w:name="_Toc6179"/>
      <w:bookmarkStart w:id="7" w:name="_Toc23765"/>
      <w:r>
        <w:rPr>
          <w:rFonts w:hint="eastAsia"/>
          <w:lang w:val="en-US" w:eastAsia="zh-CN"/>
        </w:rPr>
        <w:t>一</w:t>
      </w:r>
      <w:r>
        <w:rPr>
          <w:rFonts w:hint="eastAsia"/>
          <w:lang w:eastAsia="zh-CN"/>
        </w:rPr>
        <w:t>、</w:t>
      </w:r>
      <w:r>
        <w:rPr>
          <w:rFonts w:hint="eastAsia"/>
        </w:rPr>
        <w:t>事故</w:t>
      </w:r>
      <w:r>
        <w:rPr>
          <w:rFonts w:hint="eastAsia"/>
          <w:lang w:eastAsia="zh-CN"/>
        </w:rPr>
        <w:t>基本情况</w:t>
      </w:r>
      <w:bookmarkEnd w:id="4"/>
      <w:bookmarkEnd w:id="5"/>
      <w:bookmarkEnd w:id="6"/>
      <w:bookmarkEnd w:id="7"/>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8" w:name="_Toc12142"/>
      <w:bookmarkStart w:id="9" w:name="_Toc27591"/>
      <w:bookmarkStart w:id="10" w:name="_Toc6621"/>
      <w:bookmarkStart w:id="11" w:name="_Toc29041"/>
      <w:r>
        <w:rPr>
          <w:rFonts w:hint="eastAsia"/>
          <w:lang w:val="en-US" w:eastAsia="zh-CN"/>
        </w:rPr>
        <w:t>（一）事故项目基本情况</w:t>
      </w:r>
      <w:bookmarkEnd w:id="8"/>
      <w:bookmarkEnd w:id="9"/>
      <w:bookmarkEnd w:id="10"/>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肇庆新区物流园一期项目（以下简称一期项目）地址位于肇庆市肇庆新区工业园，新区中路南侧，滨江大道北侧，疏港大道以东（地块编号XQ-YA0705-A、XQ-YA0706-A），该项目用地面积319766.38平方米，建筑占地面积179112平方米，总建筑面积260629平方米，总计容面积488015平方米；新建四栋单层物流仓库，五栋双层物流仓库，配套高架装卸平台及配套建筑。生产能力：分拣操作量20万件/日，速运操作量2000吨/日，主要设备：横梁货架、分拣设备小件分拣机和矩阵。项目于2022年3月16日开工，计划2024年1月20日竣工。</w:t>
      </w:r>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12" w:name="_Toc31191"/>
      <w:bookmarkStart w:id="13" w:name="_Toc32440"/>
      <w:bookmarkStart w:id="14" w:name="_Toc19060"/>
      <w:bookmarkStart w:id="15" w:name="_Toc259"/>
      <w:r>
        <w:rPr>
          <w:rFonts w:hint="eastAsia"/>
          <w:lang w:val="en-US" w:eastAsia="zh-CN"/>
        </w:rPr>
        <w:t>（二）一期项目参建各方主体基本情况</w:t>
      </w:r>
      <w:bookmarkEnd w:id="12"/>
      <w:bookmarkEnd w:id="13"/>
      <w:bookmarkEnd w:id="14"/>
      <w:bookmarkEnd w:id="15"/>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16" w:name="_Toc4307"/>
      <w:bookmarkStart w:id="17" w:name="_Toc24527"/>
      <w:bookmarkStart w:id="18" w:name="_Toc28888"/>
      <w:bookmarkStart w:id="19" w:name="_Toc1467"/>
      <w:r>
        <w:rPr>
          <w:rFonts w:hint="eastAsia"/>
          <w:lang w:val="en-US" w:eastAsia="zh-CN"/>
        </w:rPr>
        <w:t>1.建设单位</w:t>
      </w:r>
      <w:bookmarkEnd w:id="16"/>
      <w:bookmarkEnd w:id="17"/>
      <w:bookmarkEnd w:id="18"/>
      <w:bookmarkEnd w:id="1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肇庆安程物流有限公司为一期项目的建设单位，法定代表人为邵某，注册资本为30000万元人民币，统一社会信用代码为9****************1，企业地址位于肇庆市鼎湖区桂城*******，所属行业为多式联运和运输代理业，经营范围包含：国内物流运输代理、道路运输、仓储服务（除危险品）、物流服务咨询、商品包装服务、不动产租赁、代收水电费、物业管理、软件开发和软件设计。（依法须经批准的项目,经相关部门批准后方可开展经营活动）。</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20" w:name="_Toc23219"/>
      <w:bookmarkStart w:id="21" w:name="_Toc24153"/>
      <w:bookmarkStart w:id="22" w:name="_Toc13034"/>
      <w:bookmarkStart w:id="23" w:name="_Toc20421"/>
      <w:r>
        <w:rPr>
          <w:rFonts w:hint="eastAsia"/>
          <w:lang w:val="en-US" w:eastAsia="zh-CN"/>
        </w:rPr>
        <w:t>2.施工单位</w:t>
      </w:r>
      <w:bookmarkEnd w:id="20"/>
      <w:bookmarkEnd w:id="21"/>
      <w:bookmarkEnd w:id="22"/>
      <w:bookmarkEnd w:id="2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中兴建设有限公司（以下简称“中兴公司”）为一期项目的施工单位，法定代表人为倪某义，注册资本为33300万元人民币，统一社会信用代码为9****************C，企业地址位于泰兴市*******，所属行业为房屋建筑业，经营范围包含：各类房屋建筑工程、市政公用工程、机电安装工程、建筑装修装饰工程、园林古建筑工程、起重设备安装工程的施工；设备维修；承包境外工程和境内国际招标工程；上述境外工程所需的设备、材料出口；境外工程施工；自营和代理各类商品和技术的进出口业务，但国家限定公司经营和国家禁止进出口的商品及技术除外。房地产开发；对外派遣实施一般经营项目中境外工程所需的劳务人员；建筑材料销售（依法须经批准的项目，经相关部门批准后方可开展经营活动）。</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24" w:name="_Toc31363"/>
      <w:bookmarkStart w:id="25" w:name="_Toc23806"/>
      <w:bookmarkStart w:id="26" w:name="_Toc13694"/>
      <w:bookmarkStart w:id="27" w:name="_Toc25409"/>
      <w:r>
        <w:rPr>
          <w:rFonts w:hint="eastAsia"/>
          <w:lang w:val="en-US" w:eastAsia="zh-CN"/>
        </w:rPr>
        <w:t>3.分包单位</w:t>
      </w:r>
      <w:bookmarkEnd w:id="24"/>
      <w:bookmarkEnd w:id="25"/>
      <w:bookmarkEnd w:id="26"/>
      <w:bookmarkEnd w:id="2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江苏科龙钢结构有限公司（以下简称“科龙公司”）为一期项目的钢结构专业分包单位，法定代表人为谢某，注册资本为8000万元人民币，统一社会信用代码为9****************Q，企业地址位于泰兴市城区*******，所属行业为建筑安装业，经营范围包含：钢结构设计、制作、安装、销售；PC钢构模具加工；静电喷涂锌钢护栏、铝合金塑钢门窗制作、安装；钢结构工程、机电设备安装工程、起重设备安装工程、建筑装饰工程、水电安装工程施工；金属材料、建筑材料销售；建筑机械出租服务；建筑工程劳务分包；大件货物运输、普通货物运输（依法须经批准的项目，经相关部门批准后方可开展经营活动）。</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28" w:name="_Toc25701"/>
      <w:bookmarkStart w:id="29" w:name="_Toc29389"/>
      <w:bookmarkStart w:id="30" w:name="_Toc4928"/>
      <w:bookmarkStart w:id="31" w:name="_Toc3388"/>
      <w:r>
        <w:rPr>
          <w:rFonts w:hint="eastAsia"/>
          <w:lang w:val="en-US" w:eastAsia="zh-CN"/>
        </w:rPr>
        <w:t>4.勘察单位</w:t>
      </w:r>
      <w:bookmarkEnd w:id="28"/>
      <w:bookmarkEnd w:id="29"/>
      <w:bookmarkEnd w:id="30"/>
      <w:bookmarkEnd w:id="3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厦门地质工程勘察院为一期项目的勘察单位，法定代表人为李某海，注册资本为1518万元人民币，统一社会信用代码为9****************C，企业地址位于厦门市思明区*******，所属行业为能源矿产地质勘查，经营范围包含：建设工程勘察设计；测绘服务；固体矿产地质勘查；水、二氧化碳等矿产地质勘查；其他质检技术服务；基础地质勘查；地质勘查技术服务；海洋服务；土石方工程（不含爆破）；未列明的其他建筑业。（依法须经批准的项目，经相关部门批准后方可开展经营活动）。</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32" w:name="_Toc14035"/>
      <w:bookmarkStart w:id="33" w:name="_Toc15652"/>
      <w:bookmarkStart w:id="34" w:name="_Toc31249"/>
      <w:bookmarkStart w:id="35" w:name="_Toc21153"/>
      <w:r>
        <w:rPr>
          <w:rFonts w:hint="eastAsia"/>
          <w:lang w:val="en-US" w:eastAsia="zh-CN"/>
        </w:rPr>
        <w:t>5.监理单位</w:t>
      </w:r>
      <w:bookmarkEnd w:id="32"/>
      <w:bookmarkEnd w:id="33"/>
      <w:bookmarkEnd w:id="34"/>
      <w:bookmarkEnd w:id="3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广东鸿业工程项目管理有限公司（以下简称“鸿业公司”）为一期项目的监理单位，法定代表人为宋某安，注册资本为1000万元人民币，统一社会信用代码为9****************6，企业地址位于东莞市石龙镇*******，所属行业为工程管理服务，经营范围包含：一般项目:工程管理服务;工程造价咨询业务;招投标代理服务。（除依法须经批准的项目外,凭营业执照依法自主开展经营活动）许可项目:建设工程监理;水利工程建设监理。（依法须经批准的项目,经相关部门批准后方可开展经营活动,具体经营项目以相关部门批准文件或许可证件为准）。</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36" w:name="_Toc4629"/>
      <w:bookmarkStart w:id="37" w:name="_Toc8768"/>
      <w:bookmarkStart w:id="38" w:name="_Toc12694"/>
      <w:bookmarkStart w:id="39" w:name="_Toc30528"/>
      <w:r>
        <w:rPr>
          <w:rFonts w:hint="eastAsia"/>
          <w:lang w:val="en-US" w:eastAsia="zh-CN"/>
        </w:rPr>
        <w:t>6.设计单位</w:t>
      </w:r>
      <w:bookmarkEnd w:id="36"/>
      <w:bookmarkEnd w:id="37"/>
      <w:bookmarkEnd w:id="38"/>
      <w:bookmarkEnd w:id="3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广东省轻纺建筑设计院有限公司为一期项目的设计单位，法定代表人为刘某峰，注册资本为1080万元人民币，统一社会信用代码为9****************J，企业地址位于广州市越秀区*******，所属行业为工程管理服务，经营范围包含：工程技术服务（规划管理、勘察、设计、监理除外）；规划设计管理；消防技术服务；技术服务、技术开发、技术咨询、技术交流、技术转让、技术推广；物业管理；办公服务；住房租赁；非居住房地产租赁；特种设备设计；建设工程勘察；建设工程设计；房屋建筑和市政基础设施项目工程总承包。</w:t>
      </w:r>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40" w:name="_Toc106799475"/>
      <w:bookmarkStart w:id="41" w:name="_Toc8695"/>
      <w:bookmarkStart w:id="42" w:name="_Toc8834"/>
      <w:bookmarkStart w:id="43" w:name="_Toc24226"/>
      <w:bookmarkStart w:id="44" w:name="_Toc15982"/>
      <w:r>
        <w:rPr>
          <w:rFonts w:hint="eastAsia"/>
          <w:lang w:eastAsia="zh-CN"/>
        </w:rPr>
        <w:t>（</w:t>
      </w:r>
      <w:r>
        <w:rPr>
          <w:rFonts w:hint="eastAsia"/>
          <w:lang w:val="en-US" w:eastAsia="zh-CN"/>
        </w:rPr>
        <w:t>三</w:t>
      </w:r>
      <w:r>
        <w:rPr>
          <w:rFonts w:hint="eastAsia"/>
          <w:lang w:eastAsia="zh-CN"/>
        </w:rPr>
        <w:t>）</w:t>
      </w:r>
      <w:r>
        <w:rPr>
          <w:rFonts w:hint="eastAsia"/>
        </w:rPr>
        <w:t>事故</w:t>
      </w:r>
      <w:r>
        <w:rPr>
          <w:rFonts w:hint="eastAsia"/>
          <w:lang w:val="en-US" w:eastAsia="zh-CN"/>
        </w:rPr>
        <w:t>现场</w:t>
      </w:r>
      <w:bookmarkEnd w:id="40"/>
      <w:r>
        <w:rPr>
          <w:rFonts w:hint="eastAsia"/>
          <w:lang w:val="en-US" w:eastAsia="zh-CN"/>
        </w:rPr>
        <w:t>及天气情况</w:t>
      </w:r>
      <w:bookmarkEnd w:id="41"/>
      <w:bookmarkEnd w:id="42"/>
      <w:bookmarkEnd w:id="43"/>
      <w:bookmarkEnd w:id="44"/>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45" w:name="_Toc25869"/>
      <w:bookmarkStart w:id="46" w:name="_Toc25860"/>
      <w:bookmarkStart w:id="47" w:name="_Toc27744"/>
      <w:bookmarkStart w:id="48" w:name="_Toc20363"/>
      <w:r>
        <w:rPr>
          <w:rFonts w:hint="eastAsia"/>
          <w:lang w:val="en-US" w:eastAsia="zh-CN"/>
        </w:rPr>
        <w:t>1.事故现场位置</w:t>
      </w:r>
      <w:bookmarkEnd w:id="45"/>
      <w:bookmarkEnd w:id="46"/>
      <w:bookmarkEnd w:id="47"/>
      <w:bookmarkEnd w:id="4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事故发生位置处于A3仓库二楼平台，详见表1</w:t>
      </w:r>
      <w:bookmarkStart w:id="49" w:name="_Toc106799476"/>
      <w:r>
        <w:rPr>
          <w:rFonts w:hint="eastAsia"/>
          <w:lang w:val="en-US" w:eastAsia="zh-CN"/>
        </w:rPr>
        <w:t>。</w:t>
      </w:r>
    </w:p>
    <w:tbl>
      <w:tblPr>
        <w:tblStyle w:val="20"/>
        <w:tblpPr w:leftFromText="180" w:rightFromText="180" w:vertAnchor="text" w:horzAnchor="page" w:tblpX="1743" w:tblpY="1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4"/>
        <w:gridCol w:w="4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8" w:hRule="atLeast"/>
        </w:trPr>
        <w:tc>
          <w:tcPr>
            <w:tcW w:w="852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rPr>
            </w:pPr>
            <w:r>
              <w:rPr>
                <w:rFonts w:hint="eastAsia"/>
              </w:rPr>
              <w:drawing>
                <wp:anchor distT="0" distB="0" distL="114300" distR="114300" simplePos="0" relativeHeight="251665408" behindDoc="0" locked="0" layoutInCell="1" allowOverlap="1">
                  <wp:simplePos x="0" y="0"/>
                  <wp:positionH relativeFrom="column">
                    <wp:posOffset>-62865</wp:posOffset>
                  </wp:positionH>
                  <wp:positionV relativeFrom="page">
                    <wp:posOffset>23495</wp:posOffset>
                  </wp:positionV>
                  <wp:extent cx="5409565" cy="2994025"/>
                  <wp:effectExtent l="0" t="0" r="635" b="15875"/>
                  <wp:wrapSquare wrapText="bothSides"/>
                  <wp:docPr id="7"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9"/>
                          <pic:cNvPicPr>
                            <a:picLocks noChangeAspect="1"/>
                          </pic:cNvPicPr>
                        </pic:nvPicPr>
                        <pic:blipFill>
                          <a:blip r:embed="rId7"/>
                          <a:stretch>
                            <a:fillRect/>
                          </a:stretch>
                        </pic:blipFill>
                        <pic:spPr>
                          <a:xfrm>
                            <a:off x="0" y="0"/>
                            <a:ext cx="5409565" cy="2994025"/>
                          </a:xfrm>
                          <a:prstGeom prst="rect">
                            <a:avLst/>
                          </a:prstGeom>
                          <a:noFill/>
                          <a:ln>
                            <a:noFill/>
                          </a:ln>
                        </pic:spPr>
                      </pic:pic>
                    </a:graphicData>
                  </a:graphic>
                </wp:anchor>
              </w:drawing>
            </w:r>
            <w:r>
              <w:rPr>
                <w:rFonts w:hint="eastAsia"/>
                <w:lang w:val="en-US" w:eastAsia="zh-CN"/>
              </w:rPr>
              <w:t>事故位置示意图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386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rPr>
            </w:pPr>
            <w:r>
              <w:rPr>
                <w:rFonts w:hint="eastAsia"/>
              </w:rPr>
              <w:drawing>
                <wp:anchor distT="0" distB="0" distL="114300" distR="114300" simplePos="0" relativeHeight="251666432" behindDoc="0" locked="0" layoutInCell="1" allowOverlap="1">
                  <wp:simplePos x="0" y="0"/>
                  <wp:positionH relativeFrom="column">
                    <wp:posOffset>-43180</wp:posOffset>
                  </wp:positionH>
                  <wp:positionV relativeFrom="paragraph">
                    <wp:posOffset>19685</wp:posOffset>
                  </wp:positionV>
                  <wp:extent cx="2329815" cy="2317115"/>
                  <wp:effectExtent l="0" t="0" r="13335" b="6985"/>
                  <wp:wrapSquare wrapText="bothSides"/>
                  <wp:docPr id="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0"/>
                          <pic:cNvPicPr>
                            <a:picLocks noChangeAspect="1"/>
                          </pic:cNvPicPr>
                        </pic:nvPicPr>
                        <pic:blipFill>
                          <a:blip r:embed="rId8"/>
                          <a:stretch>
                            <a:fillRect/>
                          </a:stretch>
                        </pic:blipFill>
                        <pic:spPr>
                          <a:xfrm>
                            <a:off x="0" y="0"/>
                            <a:ext cx="2329815" cy="2317115"/>
                          </a:xfrm>
                          <a:prstGeom prst="rect">
                            <a:avLst/>
                          </a:prstGeom>
                          <a:noFill/>
                          <a:ln>
                            <a:noFill/>
                          </a:ln>
                        </pic:spPr>
                      </pic:pic>
                    </a:graphicData>
                  </a:graphic>
                </wp:anchor>
              </w:drawing>
            </w:r>
            <w:r>
              <w:rPr>
                <w:rFonts w:hint="eastAsia"/>
                <w:lang w:val="en-US" w:eastAsia="zh-CN"/>
              </w:rPr>
              <w:t>事发区域平面图</w:t>
            </w:r>
          </w:p>
        </w:tc>
        <w:tc>
          <w:tcPr>
            <w:tcW w:w="466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lang w:val="en-US" w:eastAsia="zh-CN"/>
              </w:rPr>
              <w:drawing>
                <wp:anchor distT="0" distB="0" distL="114300" distR="114300" simplePos="0" relativeHeight="251667456" behindDoc="0" locked="0" layoutInCell="1" allowOverlap="1">
                  <wp:simplePos x="0" y="0"/>
                  <wp:positionH relativeFrom="column">
                    <wp:posOffset>-68580</wp:posOffset>
                  </wp:positionH>
                  <wp:positionV relativeFrom="paragraph">
                    <wp:posOffset>15240</wp:posOffset>
                  </wp:positionV>
                  <wp:extent cx="2958465" cy="2331085"/>
                  <wp:effectExtent l="0" t="0" r="13335" b="12065"/>
                  <wp:wrapSquare wrapText="bothSides"/>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pic:cNvPicPr>
                        </pic:nvPicPr>
                        <pic:blipFill>
                          <a:blip r:embed="rId9"/>
                          <a:stretch>
                            <a:fillRect/>
                          </a:stretch>
                        </pic:blipFill>
                        <pic:spPr>
                          <a:xfrm>
                            <a:off x="0" y="0"/>
                            <a:ext cx="2958465" cy="2331085"/>
                          </a:xfrm>
                          <a:prstGeom prst="rect">
                            <a:avLst/>
                          </a:prstGeom>
                          <a:noFill/>
                          <a:ln>
                            <a:noFill/>
                          </a:ln>
                        </pic:spPr>
                      </pic:pic>
                    </a:graphicData>
                  </a:graphic>
                </wp:anchor>
              </w:drawing>
            </w:r>
            <w:r>
              <w:rPr>
                <w:rFonts w:hint="eastAsia"/>
                <w:lang w:val="en-US" w:eastAsia="zh-CN"/>
              </w:rPr>
              <w:t>现场实景航拍图</w:t>
            </w:r>
          </w:p>
        </w:tc>
      </w:tr>
    </w:tbl>
    <w:p>
      <w:pPr>
        <w:pStyle w:val="7"/>
        <w:pageBreakBefore w:val="0"/>
        <w:kinsoku/>
        <w:wordWrap/>
        <w:overflowPunct/>
        <w:topLinePunct w:val="0"/>
        <w:autoSpaceDE/>
        <w:autoSpaceDN/>
        <w:bidi w:val="0"/>
        <w:adjustRightInd/>
        <w:spacing w:line="560" w:lineRule="exact"/>
        <w:textAlignment w:val="auto"/>
        <w:rPr>
          <w:rFonts w:hint="eastAsia"/>
          <w:lang w:val="en-US" w:eastAsia="zh-CN"/>
        </w:rPr>
      </w:pPr>
      <w:r>
        <w:rPr>
          <w:rFonts w:hint="eastAsia"/>
          <w:lang w:val="en-US" w:eastAsia="zh-CN"/>
        </w:rPr>
        <w:t>表1 事故位置示意表</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50" w:name="_Toc25404"/>
      <w:bookmarkStart w:id="51" w:name="_Toc10387"/>
      <w:bookmarkStart w:id="52" w:name="_Toc22787"/>
      <w:bookmarkStart w:id="53" w:name="_Toc24941"/>
      <w:r>
        <w:rPr>
          <w:rFonts w:hint="eastAsia"/>
          <w:lang w:val="en-US" w:eastAsia="zh-CN"/>
        </w:rPr>
        <w:t>2.当天天气情况</w:t>
      </w:r>
      <w:bookmarkEnd w:id="50"/>
      <w:bookmarkEnd w:id="51"/>
      <w:bookmarkEnd w:id="52"/>
      <w:bookmarkEnd w:id="5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54" w:name="_Toc11640"/>
      <w:bookmarkStart w:id="55" w:name="_Toc16737"/>
      <w:r>
        <w:rPr>
          <w:rFonts w:hint="eastAsia"/>
          <w:lang w:val="en-US" w:eastAsia="zh-CN"/>
        </w:rPr>
        <w:t>根据肇庆市气象服务中心向事故调查组出具的《气象实况查询结果》（NO.2023-13）显示，4月3日17时00分至18时00分，鼎湖区永安镇</w:t>
      </w:r>
      <w:r>
        <w:rPr>
          <w:rFonts w:hint="eastAsia"/>
        </w:rPr>
        <w:t>肇庆新区物流园</w:t>
      </w:r>
      <w:r>
        <w:rPr>
          <w:rFonts w:hint="eastAsia"/>
          <w:lang w:val="en-US" w:eastAsia="zh-CN"/>
        </w:rPr>
        <w:t>一期附近区域出现零星小雨，录得雨量0.2mm，气温介于21.9到22.4℃，最小相对湿度92%，最大瞬时风3.9m/s（偏南风3级），最小能见度3.987千米。</w:t>
      </w:r>
      <w:bookmarkEnd w:id="54"/>
      <w:bookmarkEnd w:id="55"/>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56" w:name="_Toc2148"/>
      <w:bookmarkStart w:id="57" w:name="_Toc95"/>
      <w:bookmarkStart w:id="58" w:name="_Toc7750"/>
      <w:bookmarkStart w:id="59" w:name="_Toc18088"/>
      <w:r>
        <w:rPr>
          <w:rFonts w:hint="eastAsia"/>
          <w:lang w:val="en-US" w:eastAsia="zh-CN"/>
        </w:rPr>
        <w:t>（四）各涉事部件情况</w:t>
      </w:r>
      <w:bookmarkEnd w:id="56"/>
      <w:bookmarkEnd w:id="57"/>
      <w:bookmarkEnd w:id="58"/>
      <w:bookmarkEnd w:id="59"/>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60" w:name="_Toc17346"/>
      <w:bookmarkStart w:id="61" w:name="_Toc21042"/>
      <w:bookmarkStart w:id="62" w:name="_Toc30658"/>
      <w:bookmarkStart w:id="63" w:name="_Toc2969"/>
      <w:r>
        <w:rPr>
          <w:rFonts w:hint="eastAsia"/>
          <w:lang w:val="en-US" w:eastAsia="zh-CN"/>
        </w:rPr>
        <w:t>1.涉事钢梁</w:t>
      </w:r>
      <w:bookmarkEnd w:id="60"/>
      <w:bookmarkEnd w:id="61"/>
      <w:bookmarkEnd w:id="62"/>
      <w:bookmarkEnd w:id="6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64" w:name="_Toc31415"/>
      <w:bookmarkStart w:id="65" w:name="_Toc18314"/>
      <w:r>
        <w:rPr>
          <w:rFonts w:hint="eastAsia"/>
          <w:lang w:val="en-US" w:eastAsia="zh-CN"/>
        </w:rPr>
        <w:t>涉事钢梁规格为长11390mm×宽230mm×高600mm，重量约为723.13kg，截面呈“工”字形。根据2023年2月6日深化的《屋面结构平面布置图一》显示钢梁的编号是GKL3-1（与设计院原蓝图GL3是同一根梁），4月3日下午事发时起吊的钢梁设</w:t>
      </w:r>
      <w:bookmarkEnd w:id="64"/>
      <w:bookmarkEnd w:id="65"/>
      <w:bookmarkStart w:id="66" w:name="_Toc2062"/>
      <w:bookmarkStart w:id="67" w:name="_Toc2986"/>
      <w:r>
        <w:rPr>
          <w:rFonts w:hint="eastAsia"/>
          <w:lang w:val="en-US" w:eastAsia="zh-CN"/>
        </w:rPr>
        <w:t>计位置位于3-6轴上，南北由3-A至3-B 轴，安装就位后则呈</w:t>
      </w:r>
      <w:r>
        <w:rPr>
          <w:rFonts w:hint="eastAsia"/>
        </w:rPr>
        <w:drawing>
          <wp:anchor distT="0" distB="0" distL="114300" distR="114300" simplePos="0" relativeHeight="251664384" behindDoc="0" locked="0" layoutInCell="1" allowOverlap="1">
            <wp:simplePos x="0" y="0"/>
            <wp:positionH relativeFrom="column">
              <wp:posOffset>346075</wp:posOffset>
            </wp:positionH>
            <wp:positionV relativeFrom="page">
              <wp:posOffset>2444115</wp:posOffset>
            </wp:positionV>
            <wp:extent cx="4944745" cy="3102610"/>
            <wp:effectExtent l="0" t="0" r="8255" b="2540"/>
            <wp:wrapSquare wrapText="bothSides"/>
            <wp:docPr id="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5"/>
                    <pic:cNvPicPr>
                      <a:picLocks noChangeAspect="1"/>
                    </pic:cNvPicPr>
                  </pic:nvPicPr>
                  <pic:blipFill>
                    <a:blip r:embed="rId10"/>
                    <a:stretch>
                      <a:fillRect/>
                    </a:stretch>
                  </pic:blipFill>
                  <pic:spPr>
                    <a:xfrm>
                      <a:off x="0" y="0"/>
                      <a:ext cx="4944745" cy="3102610"/>
                    </a:xfrm>
                    <a:prstGeom prst="rect">
                      <a:avLst/>
                    </a:prstGeom>
                    <a:noFill/>
                    <a:ln>
                      <a:noFill/>
                    </a:ln>
                  </pic:spPr>
                </pic:pic>
              </a:graphicData>
            </a:graphic>
          </wp:anchor>
        </w:drawing>
      </w:r>
      <w:r>
        <w:rPr>
          <w:rFonts w:hint="eastAsia"/>
          <w:lang w:val="en-US" w:eastAsia="zh-CN"/>
        </w:rPr>
        <w:t>南北走向，位于夹层办公室二楼屋顶横梁位置。事发时起吊高度约10.6米。钢梁初始摆放位置于安装就位位置呈约90°夹角，详见图1。</w:t>
      </w:r>
      <w:bookmarkEnd w:id="66"/>
      <w:bookmarkEnd w:id="6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p>
    <w:bookmarkEnd w:id="49"/>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pStyle w:val="7"/>
        <w:pageBreakBefore w:val="0"/>
        <w:kinsoku/>
        <w:wordWrap/>
        <w:overflowPunct/>
        <w:topLinePunct w:val="0"/>
        <w:autoSpaceDE/>
        <w:autoSpaceDN/>
        <w:bidi w:val="0"/>
        <w:adjustRightInd/>
        <w:spacing w:line="560" w:lineRule="exact"/>
        <w:textAlignment w:val="auto"/>
        <w:rPr>
          <w:rFonts w:hint="eastAsia"/>
          <w:lang w:val="en-US" w:eastAsia="zh-CN"/>
        </w:rPr>
      </w:pPr>
      <w:r>
        <w:rPr>
          <w:rFonts w:hint="eastAsia"/>
          <w:lang w:val="en-US" w:eastAsia="zh-CN"/>
        </w:rPr>
        <w:t>图1各涉事主体位置关系图</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68" w:name="_Toc4823"/>
      <w:bookmarkStart w:id="69" w:name="_Toc20478"/>
      <w:bookmarkStart w:id="70" w:name="_Toc3153"/>
      <w:bookmarkStart w:id="71" w:name="_Toc24308"/>
      <w:r>
        <w:rPr>
          <w:rFonts w:hint="eastAsia"/>
          <w:lang w:val="en-US" w:eastAsia="zh-CN"/>
        </w:rPr>
        <w:t>2.涉事汽车起重机</w:t>
      </w:r>
      <w:bookmarkEnd w:id="68"/>
      <w:bookmarkEnd w:id="69"/>
      <w:bookmarkEnd w:id="70"/>
      <w:bookmarkEnd w:id="7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72" w:name="_Toc12534"/>
      <w:bookmarkStart w:id="73" w:name="_Toc6676"/>
      <w:r>
        <w:rPr>
          <w:rFonts w:hint="eastAsia"/>
          <w:lang w:val="en-US" w:eastAsia="zh-CN"/>
        </w:rPr>
        <w:t>涉事汽车起重机车牌号码为粤ADN189，由三一汽车制造有限公司制造，型号规格为三一牌SYM5303JQZ（STC200C5），出厂编号TC1020BK0745，车架号为LFCNKB4P9K2010375，持有《起重机械安全检验报告》及《设备合格使用标志》（均在有效期内）。根据技术资料中主臂起升高度曲线，查其起吊重量与工作幅度/</w:t>
      </w:r>
      <w:bookmarkEnd w:id="72"/>
      <w:bookmarkEnd w:id="73"/>
      <w:bookmarkStart w:id="74" w:name="_Toc26155"/>
      <w:bookmarkStart w:id="75" w:name="_Toc10483"/>
      <w:r>
        <w:rPr>
          <w:rFonts w:hint="eastAsia"/>
          <w:lang w:val="en-US" w:eastAsia="zh-CN"/>
        </w:rPr>
        <w:t>工作高度一览表可知：涉事钢梁起吊最大高度为13.6m高，最远距离为11.30m，起吊重量约为1.0吨（其中钢梁为0.73吨），不超过额定起重能力3吨的80%即系2.4吨且吊装高度及工作半径均在安全工作范围内，详见图2。</w:t>
      </w:r>
      <w:bookmarkEnd w:id="74"/>
      <w:bookmarkEnd w:id="75"/>
    </w:p>
    <w:p>
      <w:pPr>
        <w:pStyle w:val="7"/>
        <w:pageBreakBefore w:val="0"/>
        <w:kinsoku/>
        <w:wordWrap/>
        <w:overflowPunct/>
        <w:topLinePunct w:val="0"/>
        <w:autoSpaceDE/>
        <w:autoSpaceDN/>
        <w:bidi w:val="0"/>
        <w:adjustRightInd/>
        <w:spacing w:line="560" w:lineRule="exact"/>
        <w:textAlignment w:val="auto"/>
        <w:rPr>
          <w:rFonts w:hint="eastAsia"/>
          <w:lang w:val="en-US" w:eastAsia="zh-CN"/>
        </w:rPr>
      </w:pPr>
      <w:r>
        <w:rPr>
          <w:rFonts w:hint="eastAsia"/>
        </w:rPr>
        <w:drawing>
          <wp:anchor distT="0" distB="0" distL="114300" distR="114300" simplePos="0" relativeHeight="251661312" behindDoc="0" locked="0" layoutInCell="1" allowOverlap="1">
            <wp:simplePos x="0" y="0"/>
            <wp:positionH relativeFrom="column">
              <wp:posOffset>259715</wp:posOffset>
            </wp:positionH>
            <wp:positionV relativeFrom="paragraph">
              <wp:posOffset>121920</wp:posOffset>
            </wp:positionV>
            <wp:extent cx="5039995" cy="2338070"/>
            <wp:effectExtent l="0" t="0" r="8255" b="5080"/>
            <wp:wrapSquare wrapText="bothSides"/>
            <wp:docPr id="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6"/>
                    <pic:cNvPicPr>
                      <a:picLocks noChangeAspect="1"/>
                    </pic:cNvPicPr>
                  </pic:nvPicPr>
                  <pic:blipFill>
                    <a:blip r:embed="rId11"/>
                    <a:stretch>
                      <a:fillRect/>
                    </a:stretch>
                  </pic:blipFill>
                  <pic:spPr>
                    <a:xfrm>
                      <a:off x="0" y="0"/>
                      <a:ext cx="5039995" cy="2338070"/>
                    </a:xfrm>
                    <a:prstGeom prst="rect">
                      <a:avLst/>
                    </a:prstGeom>
                    <a:noFill/>
                    <a:ln>
                      <a:noFill/>
                    </a:ln>
                  </pic:spPr>
                </pic:pic>
              </a:graphicData>
            </a:graphic>
          </wp:anchor>
        </w:drawing>
      </w:r>
      <w:r>
        <w:rPr>
          <w:rFonts w:hint="eastAsia"/>
          <w:lang w:val="en-US" w:eastAsia="zh-CN"/>
        </w:rPr>
        <w:t>图2 汽车起重机主臂起升高度曲线图</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76" w:name="_Toc22606"/>
      <w:bookmarkStart w:id="77" w:name="_Toc20444"/>
      <w:bookmarkStart w:id="78" w:name="_Toc9274"/>
      <w:bookmarkStart w:id="79" w:name="_Toc1511"/>
      <w:r>
        <w:rPr>
          <w:rFonts w:hint="eastAsia"/>
          <w:lang w:val="en-US" w:eastAsia="zh-CN"/>
        </w:rPr>
        <w:t>3.涉事立柱</w:t>
      </w:r>
      <w:bookmarkEnd w:id="76"/>
      <w:bookmarkEnd w:id="77"/>
      <w:bookmarkEnd w:id="78"/>
      <w:bookmarkEnd w:id="7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80" w:name="_Toc8071"/>
      <w:bookmarkStart w:id="81" w:name="_Toc6929"/>
      <w:r>
        <w:rPr>
          <w:rFonts w:hint="eastAsia"/>
          <w:lang w:val="en-US" w:eastAsia="zh-CN"/>
        </w:rPr>
        <w:t>事发时涉事立柱已安装就位，根据2023年2月6日深化的《柱脚平面布置图一》显示立柱的编号是GKZ3-1（与设计院原蓝图GZ4是同一根柱子）为3-B轴与3-6轴交叉点的二层立柱，全高40533mm，截面宽度为400mm×400mm。涉事钢梁与立柱碰撞痕迹明显，处于二层立柱底部往上约1.6m。</w:t>
      </w:r>
      <w:bookmarkEnd w:id="80"/>
      <w:bookmarkEnd w:id="81"/>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82" w:name="_Toc31492"/>
      <w:bookmarkStart w:id="83" w:name="_Toc6565"/>
      <w:bookmarkStart w:id="84" w:name="_Toc23538"/>
      <w:bookmarkStart w:id="85" w:name="_Toc25024"/>
      <w:r>
        <w:rPr>
          <w:rFonts w:hint="eastAsia"/>
          <w:lang w:val="en-US" w:eastAsia="zh-CN"/>
        </w:rPr>
        <w:t>4.吊带</w:t>
      </w:r>
      <w:bookmarkEnd w:id="82"/>
      <w:bookmarkEnd w:id="83"/>
      <w:bookmarkEnd w:id="84"/>
      <w:bookmarkEnd w:id="8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86" w:name="_Toc3329"/>
      <w:bookmarkStart w:id="87" w:name="_Toc16328"/>
      <w:r>
        <w:rPr>
          <w:rFonts w:hint="eastAsia"/>
          <w:lang w:val="en-US" w:eastAsia="zh-CN"/>
        </w:rPr>
        <w:t>涉事钢梁采用双吊带捆绑的方式起吊（详见图3）。吊带采用6m长国标产品，宽度75mm，厚度10mm，层数4层，单根可以承重3吨。</w:t>
      </w:r>
      <w:bookmarkEnd w:id="86"/>
      <w:bookmarkEnd w:id="87"/>
    </w:p>
    <w:p>
      <w:pPr>
        <w:pStyle w:val="7"/>
        <w:pageBreakBefore w:val="0"/>
        <w:kinsoku/>
        <w:wordWrap/>
        <w:overflowPunct/>
        <w:topLinePunct w:val="0"/>
        <w:autoSpaceDE/>
        <w:autoSpaceDN/>
        <w:bidi w:val="0"/>
        <w:adjustRightInd/>
        <w:spacing w:line="560" w:lineRule="exact"/>
        <w:textAlignment w:val="auto"/>
        <w:rPr>
          <w:rFonts w:hint="eastAsia"/>
          <w:lang w:val="en-US" w:eastAsia="zh-CN"/>
        </w:rPr>
      </w:pPr>
      <w:r>
        <w:rPr>
          <w:rFonts w:hint="eastAsia"/>
        </w:rPr>
        <w:drawing>
          <wp:anchor distT="0" distB="0" distL="114300" distR="114300" simplePos="0" relativeHeight="251663360" behindDoc="0" locked="0" layoutInCell="1" allowOverlap="1">
            <wp:simplePos x="0" y="0"/>
            <wp:positionH relativeFrom="column">
              <wp:posOffset>2785745</wp:posOffset>
            </wp:positionH>
            <wp:positionV relativeFrom="paragraph">
              <wp:posOffset>9525</wp:posOffset>
            </wp:positionV>
            <wp:extent cx="2981325" cy="3543300"/>
            <wp:effectExtent l="0" t="0" r="9525" b="0"/>
            <wp:wrapSquare wrapText="bothSides"/>
            <wp:docPr id="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7"/>
                    <pic:cNvPicPr>
                      <a:picLocks noChangeAspect="1"/>
                    </pic:cNvPicPr>
                  </pic:nvPicPr>
                  <pic:blipFill>
                    <a:blip r:embed="rId12"/>
                    <a:stretch>
                      <a:fillRect/>
                    </a:stretch>
                  </pic:blipFill>
                  <pic:spPr>
                    <a:xfrm>
                      <a:off x="0" y="0"/>
                      <a:ext cx="2981325" cy="3543300"/>
                    </a:xfrm>
                    <a:prstGeom prst="rect">
                      <a:avLst/>
                    </a:prstGeom>
                    <a:noFill/>
                    <a:ln>
                      <a:noFill/>
                    </a:ln>
                  </pic:spPr>
                </pic:pic>
              </a:graphicData>
            </a:graphic>
          </wp:anchor>
        </w:drawing>
      </w:r>
      <w:r>
        <w:rPr>
          <w:rFonts w:hint="eastAsia"/>
          <w:lang w:val="en-US" w:eastAsia="zh-CN"/>
        </w:rPr>
        <w:t xml:space="preserve">图3 </w:t>
      </w:r>
      <w:r>
        <w:rPr>
          <w:rFonts w:hint="eastAsia"/>
        </w:rPr>
        <w:drawing>
          <wp:anchor distT="0" distB="0" distL="114300" distR="114300" simplePos="0" relativeHeight="251662336" behindDoc="0" locked="0" layoutInCell="1" allowOverlap="1">
            <wp:simplePos x="0" y="0"/>
            <wp:positionH relativeFrom="column">
              <wp:posOffset>-200025</wp:posOffset>
            </wp:positionH>
            <wp:positionV relativeFrom="paragraph">
              <wp:posOffset>20320</wp:posOffset>
            </wp:positionV>
            <wp:extent cx="2971800" cy="3533775"/>
            <wp:effectExtent l="0" t="0" r="0" b="9525"/>
            <wp:wrapSquare wrapText="bothSides"/>
            <wp:docPr id="4"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8"/>
                    <pic:cNvPicPr>
                      <a:picLocks noChangeAspect="1"/>
                    </pic:cNvPicPr>
                  </pic:nvPicPr>
                  <pic:blipFill>
                    <a:blip r:embed="rId13"/>
                    <a:stretch>
                      <a:fillRect/>
                    </a:stretch>
                  </pic:blipFill>
                  <pic:spPr>
                    <a:xfrm>
                      <a:off x="0" y="0"/>
                      <a:ext cx="2971800" cy="3533775"/>
                    </a:xfrm>
                    <a:prstGeom prst="rect">
                      <a:avLst/>
                    </a:prstGeom>
                    <a:noFill/>
                    <a:ln>
                      <a:noFill/>
                    </a:ln>
                  </pic:spPr>
                </pic:pic>
              </a:graphicData>
            </a:graphic>
          </wp:anchor>
        </w:drawing>
      </w:r>
      <w:r>
        <w:rPr>
          <w:rFonts w:hint="eastAsia"/>
          <w:lang w:val="en-US" w:eastAsia="zh-CN"/>
        </w:rPr>
        <w:t>涉事钢梁起吊捆绑方式</w:t>
      </w:r>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88" w:name="_Toc32066"/>
      <w:bookmarkStart w:id="89" w:name="_Toc6922"/>
      <w:bookmarkStart w:id="90" w:name="_Toc19880"/>
      <w:bookmarkStart w:id="91" w:name="_Toc10682"/>
      <w:r>
        <w:rPr>
          <w:rFonts w:hint="eastAsia"/>
          <w:lang w:val="en-US" w:eastAsia="zh-CN"/>
        </w:rPr>
        <w:t>（五）各人员情况</w:t>
      </w:r>
      <w:bookmarkEnd w:id="88"/>
      <w:bookmarkEnd w:id="89"/>
      <w:bookmarkEnd w:id="90"/>
      <w:bookmarkEnd w:id="91"/>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92" w:name="_Toc23381"/>
      <w:bookmarkStart w:id="93" w:name="_Toc28647"/>
      <w:bookmarkStart w:id="94" w:name="_Toc18018"/>
      <w:bookmarkStart w:id="95" w:name="_Toc13156"/>
      <w:r>
        <w:rPr>
          <w:rFonts w:hint="eastAsia"/>
          <w:lang w:val="en-US" w:eastAsia="zh-CN"/>
        </w:rPr>
        <w:t>1.吊车司机</w:t>
      </w:r>
      <w:bookmarkEnd w:id="92"/>
      <w:bookmarkEnd w:id="93"/>
      <w:bookmarkEnd w:id="94"/>
      <w:bookmarkEnd w:id="9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lang w:val="en-US" w:eastAsia="zh-CN"/>
        </w:rPr>
        <w:t>高某佳</w:t>
      </w:r>
      <w:r>
        <w:rPr>
          <w:rFonts w:hint="eastAsia"/>
        </w:rPr>
        <w:t>，</w:t>
      </w:r>
      <w:r>
        <w:rPr>
          <w:rFonts w:hint="eastAsia"/>
          <w:lang w:eastAsia="zh-CN"/>
        </w:rPr>
        <w:t>男</w:t>
      </w:r>
      <w:r>
        <w:rPr>
          <w:rFonts w:hint="eastAsia"/>
        </w:rPr>
        <w:t>，</w:t>
      </w:r>
      <w:r>
        <w:rPr>
          <w:rFonts w:hint="eastAsia"/>
          <w:lang w:val="en-US" w:eastAsia="zh-CN"/>
        </w:rPr>
        <w:t>1996年出生，从2021年4月进入科龙公司开始任汽车吊司机，</w:t>
      </w:r>
      <w:r>
        <w:rPr>
          <w:rFonts w:hint="eastAsia"/>
        </w:rPr>
        <w:t>持有</w:t>
      </w:r>
      <w:r>
        <w:rPr>
          <w:rFonts w:hint="eastAsia"/>
          <w:lang w:val="en-US" w:eastAsia="zh-CN"/>
        </w:rPr>
        <w:t>长沙市市场监督管理局核发的起重机司机（限流动式起重机）证书</w:t>
      </w:r>
      <w:r>
        <w:rPr>
          <w:rFonts w:hint="eastAsia"/>
        </w:rPr>
        <w:t>，</w:t>
      </w:r>
      <w:r>
        <w:rPr>
          <w:rFonts w:hint="eastAsia"/>
          <w:lang w:val="en-US" w:eastAsia="zh-CN"/>
        </w:rPr>
        <w:t>证书编号4127271996********</w:t>
      </w:r>
      <w:r>
        <w:rPr>
          <w:rFonts w:hint="eastAsia"/>
        </w:rPr>
        <w:t>，有效期至202</w:t>
      </w:r>
      <w:r>
        <w:rPr>
          <w:rFonts w:hint="eastAsia"/>
          <w:lang w:val="en-US" w:eastAsia="zh-CN"/>
        </w:rPr>
        <w:t>5</w:t>
      </w:r>
      <w:r>
        <w:rPr>
          <w:rFonts w:hint="eastAsia"/>
        </w:rPr>
        <w:t>年</w:t>
      </w:r>
      <w:r>
        <w:rPr>
          <w:rFonts w:hint="eastAsia"/>
          <w:lang w:val="en-US" w:eastAsia="zh-CN"/>
        </w:rPr>
        <w:t>7</w:t>
      </w:r>
      <w:r>
        <w:rPr>
          <w:rFonts w:hint="eastAsia"/>
        </w:rPr>
        <w:t>月。</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96" w:name="_Toc10334"/>
      <w:bookmarkStart w:id="97" w:name="_Toc14133"/>
      <w:bookmarkStart w:id="98" w:name="_Toc22702"/>
      <w:bookmarkStart w:id="99" w:name="_Toc10908"/>
      <w:r>
        <w:rPr>
          <w:rFonts w:hint="eastAsia"/>
          <w:lang w:val="en-US" w:eastAsia="zh-CN"/>
        </w:rPr>
        <w:t>2.司索工</w:t>
      </w:r>
      <w:bookmarkEnd w:id="96"/>
      <w:bookmarkEnd w:id="97"/>
      <w:bookmarkEnd w:id="98"/>
      <w:bookmarkEnd w:id="9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鲜某伟，男，1973年出生，江苏科龙钢结构有限公司的从业人员，持有编号为GKPX202303002090的高空作业车操作证，未持有《建筑起重起重信号司索工证》，主要负责钢结构安装，事发时负责钢梁捆绑及钢梁安装等工作。</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100" w:name="_Toc24112"/>
      <w:bookmarkStart w:id="101" w:name="_Toc16835"/>
      <w:bookmarkStart w:id="102" w:name="_Toc30554"/>
      <w:bookmarkStart w:id="103" w:name="_Toc22912"/>
      <w:r>
        <w:rPr>
          <w:rFonts w:hint="eastAsia"/>
          <w:lang w:val="en-US" w:eastAsia="zh-CN"/>
        </w:rPr>
        <w:t>3.钢结构安装工</w:t>
      </w:r>
      <w:bookmarkEnd w:id="100"/>
      <w:bookmarkEnd w:id="101"/>
      <w:bookmarkEnd w:id="102"/>
      <w:bookmarkEnd w:id="10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杨某，男，1991年出生，为本次事故中死亡人员，江苏科龙钢结构有限公司钢结构安装班组长，持有编号为GKPX202303002091的高空作业车操作证，主要负责钢结构安装。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许某伦，男，1990年出生，江苏科龙钢结构有限公司的从业人员，持有编号为GKPX202304013823的高空作业车操作证，主要负责钢结构安装。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陈某彬，男，1975年出生，江苏科龙钢结构有限公司的从业人员，持有编号为GKPX202303019996的高空作业车操作证，主要负责钢结构安装。</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104" w:name="_Toc21336"/>
      <w:bookmarkStart w:id="105" w:name="_Toc20425"/>
      <w:bookmarkStart w:id="106" w:name="_Toc21544"/>
      <w:bookmarkStart w:id="107" w:name="_Toc13865"/>
      <w:r>
        <w:rPr>
          <w:rFonts w:hint="eastAsia"/>
          <w:lang w:val="en-US" w:eastAsia="zh-CN"/>
        </w:rPr>
        <w:t>4.起重指挥工</w:t>
      </w:r>
      <w:bookmarkEnd w:id="104"/>
      <w:bookmarkEnd w:id="105"/>
      <w:bookmarkEnd w:id="106"/>
      <w:bookmarkEnd w:id="10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张某，男，1978年出生，江苏科龙钢结构有限公司的从业人员，持有长沙市市场监督管理局核发的《建筑起重起重信号司索工证》，证书编号4127271978********，有效期至2025年7月，其主要负责起重指挥信号工作。</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108" w:name="_Toc17861"/>
      <w:bookmarkStart w:id="109" w:name="_Toc4432"/>
      <w:bookmarkStart w:id="110" w:name="_Toc1977"/>
      <w:bookmarkStart w:id="111" w:name="_Toc3669"/>
      <w:r>
        <w:rPr>
          <w:rFonts w:hint="eastAsia"/>
          <w:lang w:val="en-US" w:eastAsia="zh-CN"/>
        </w:rPr>
        <w:t>5.科龙公司主要负责人</w:t>
      </w:r>
      <w:bookmarkEnd w:id="108"/>
      <w:bookmarkEnd w:id="109"/>
      <w:bookmarkEnd w:id="110"/>
      <w:bookmarkEnd w:id="1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lang w:val="en-US" w:eastAsia="zh-CN"/>
        </w:rPr>
        <w:t>谢某，男，1971年出生，江苏科龙钢结构有限公司的主要负责人，对该企业安全生产工作全面负责。</w:t>
      </w:r>
    </w:p>
    <w:p>
      <w:pPr>
        <w:pStyle w:val="6"/>
        <w:pageBreakBefore w:val="0"/>
        <w:kinsoku/>
        <w:wordWrap/>
        <w:overflowPunct/>
        <w:topLinePunct w:val="0"/>
        <w:autoSpaceDE/>
        <w:autoSpaceDN/>
        <w:bidi w:val="0"/>
        <w:adjustRightInd/>
        <w:spacing w:line="560" w:lineRule="exact"/>
        <w:textAlignment w:val="auto"/>
        <w:rPr>
          <w:rFonts w:hint="eastAsia"/>
          <w:lang w:val="en-US" w:eastAsia="zh-CN"/>
        </w:rPr>
      </w:pPr>
      <w:bookmarkStart w:id="112" w:name="_Toc27146"/>
      <w:bookmarkStart w:id="113" w:name="_Toc25879"/>
      <w:bookmarkStart w:id="114" w:name="_Toc30606"/>
      <w:bookmarkStart w:id="115" w:name="_Toc2955"/>
      <w:r>
        <w:rPr>
          <w:rFonts w:hint="eastAsia"/>
          <w:lang w:val="en-US" w:eastAsia="zh-CN"/>
        </w:rPr>
        <w:t>6.鸿业公司监理员</w:t>
      </w:r>
      <w:bookmarkEnd w:id="112"/>
      <w:bookmarkEnd w:id="113"/>
      <w:bookmarkEnd w:id="114"/>
      <w:bookmarkEnd w:id="11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陈某振，男，1999年出生，广东鸿业工程项目管理有限公司的项目监理员，持有广东省建设监理协会核发的监理员证书，证书编号为C22090004，有效期至2025年8月30日，其主要工作是负责对危大作业进行监理，负责Ａ３平台的吊装作业监理工作。</w:t>
      </w:r>
    </w:p>
    <w:p>
      <w:pPr>
        <w:pStyle w:val="4"/>
        <w:pageBreakBefore w:val="0"/>
        <w:kinsoku/>
        <w:wordWrap/>
        <w:overflowPunct/>
        <w:topLinePunct w:val="0"/>
        <w:autoSpaceDE/>
        <w:autoSpaceDN/>
        <w:bidi w:val="0"/>
        <w:adjustRightInd/>
        <w:spacing w:line="560" w:lineRule="exact"/>
        <w:textAlignment w:val="auto"/>
        <w:rPr>
          <w:rFonts w:hint="eastAsia"/>
          <w:lang w:val="en-US" w:eastAsia="zh-CN"/>
        </w:rPr>
      </w:pPr>
      <w:bookmarkStart w:id="116" w:name="_Toc3126"/>
      <w:bookmarkStart w:id="117" w:name="_Toc10656"/>
      <w:bookmarkStart w:id="118" w:name="_Toc20812"/>
      <w:bookmarkStart w:id="119" w:name="_Toc31553"/>
      <w:r>
        <w:rPr>
          <w:rFonts w:hint="eastAsia"/>
          <w:lang w:val="en-US" w:eastAsia="zh-CN"/>
        </w:rPr>
        <w:t>二、事故发生经过及应急处置情况</w:t>
      </w:r>
      <w:bookmarkEnd w:id="116"/>
      <w:bookmarkEnd w:id="117"/>
      <w:bookmarkEnd w:id="118"/>
      <w:bookmarkEnd w:id="119"/>
    </w:p>
    <w:p>
      <w:pPr>
        <w:pStyle w:val="5"/>
        <w:pageBreakBefore w:val="0"/>
        <w:kinsoku/>
        <w:wordWrap/>
        <w:overflowPunct/>
        <w:topLinePunct w:val="0"/>
        <w:autoSpaceDE/>
        <w:autoSpaceDN/>
        <w:bidi w:val="0"/>
        <w:adjustRightInd/>
        <w:spacing w:line="560" w:lineRule="exact"/>
        <w:textAlignment w:val="auto"/>
        <w:rPr>
          <w:rFonts w:hint="eastAsia"/>
        </w:rPr>
      </w:pPr>
      <w:bookmarkStart w:id="120" w:name="_Toc16554"/>
      <w:bookmarkStart w:id="121" w:name="_Toc20878"/>
      <w:bookmarkStart w:id="122" w:name="_Toc31171"/>
      <w:bookmarkStart w:id="123" w:name="_Toc20493"/>
      <w:r>
        <w:rPr>
          <w:rFonts w:hint="eastAsia"/>
        </w:rPr>
        <w:t>（一）事故发生经过</w:t>
      </w:r>
      <w:bookmarkEnd w:id="120"/>
      <w:bookmarkEnd w:id="121"/>
      <w:bookmarkEnd w:id="122"/>
      <w:bookmarkEnd w:id="12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2023年4月3日下午14时许，江苏科龙钢结构有限公司钢结构班组正在Ａ３平台进行货架安装作业。当天各自分工情况：高某佳负责驾驶吊车将钢梁起吊至安装位置，杨某、鲜某伟、陈某彬、许某伦负责用螺栓把起吊好的钢梁进行安装固定，张某负责起重吊装作业捆绑吊具、挂钩摘钩、信号指挥工作，鸿业监理公司的陈某振负责起吊作业的监理旁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16时30分，监理员陈某振发现天色变暗下起零星小雨，于是离开现场并向中兴公司发出《安全隐患整改通知》(编号：GDAQ30308049)“A3平台钢结构吊装时现场有起风，阴天，阵雨，现场作业条件不好，停止施工”；中兴公司接到整改通知书后立即向科龙公司开具《安全隐患整改通知》(编号：GDAQ30309-011)，同时要求A3 平台安装工程立即停止吊装作业。信号指挥张某收到停工指令离开现场，剩下在场的其余5人也停下起吊安装作业，收拾工具及螺栓准备撤离</w:t>
      </w:r>
      <w:r>
        <w:rPr>
          <w:rFonts w:hint="eastAsia"/>
          <w:lang w:eastAsia="zh-CN"/>
        </w:rPr>
        <w:t>。</w:t>
      </w:r>
      <w:r>
        <w:rPr>
          <w:rFonts w:hint="eastAsia"/>
          <w:lang w:val="en-US" w:eastAsia="zh-CN"/>
        </w:rPr>
        <w:t>17时许，在缺少监理旁站及信号指挥的情况下，在场的工人一致认为应该将当天安装任务的最后一根钢梁安装后再收工。于是改由鲜某伟用两条6m长吊带及两个弓形卸扣对涉事钢梁进行绑扎，吊带固定点分别距钢梁两端约2.8m，单根吊带与钢梁夹角为49°，靠近钢梁A端的弓形卸扣并未扭紧锁止螺栓。事发时，杨某站在距离汽车吊驾驶位置左侧2.5 米左右的升降平台车上，其已进入起吊作业危险范围半径内，另外两名安装工站在离杨某右侧约4米的另一台升降平台车上等待安装作业。（各人站位详见图4）</w:t>
      </w:r>
    </w:p>
    <w:p>
      <w:pPr>
        <w:pStyle w:val="7"/>
        <w:pageBreakBefore w:val="0"/>
        <w:kinsoku/>
        <w:wordWrap/>
        <w:overflowPunct/>
        <w:topLinePunct w:val="0"/>
        <w:autoSpaceDE/>
        <w:autoSpaceDN/>
        <w:bidi w:val="0"/>
        <w:adjustRightInd/>
        <w:spacing w:line="560" w:lineRule="exact"/>
        <w:textAlignment w:val="auto"/>
        <w:rPr>
          <w:rFonts w:hint="eastAsia"/>
          <w:lang w:val="en-US" w:eastAsia="zh-CN"/>
        </w:rPr>
      </w:pPr>
      <w:r>
        <w:rPr>
          <w:rFonts w:hint="eastAsia"/>
        </w:rPr>
        <w:drawing>
          <wp:anchor distT="0" distB="0" distL="114300" distR="114300" simplePos="0" relativeHeight="251660288" behindDoc="0" locked="0" layoutInCell="1" allowOverlap="1">
            <wp:simplePos x="0" y="0"/>
            <wp:positionH relativeFrom="column">
              <wp:posOffset>-53975</wp:posOffset>
            </wp:positionH>
            <wp:positionV relativeFrom="page">
              <wp:posOffset>3208655</wp:posOffset>
            </wp:positionV>
            <wp:extent cx="5514340" cy="3381375"/>
            <wp:effectExtent l="0" t="0" r="10160" b="9525"/>
            <wp:wrapSquare wrapText="bothSides"/>
            <wp:docPr id="2" name="图片 37" descr="C:\Users\YJJ\Desktop\图片1(1).png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7" descr="C:\Users\YJJ\Desktop\图片1(1).png图片1(1)"/>
                    <pic:cNvPicPr>
                      <a:picLocks noChangeAspect="1"/>
                    </pic:cNvPicPr>
                  </pic:nvPicPr>
                  <pic:blipFill>
                    <a:blip r:embed="rId14"/>
                    <a:srcRect t="6" b="6"/>
                    <a:stretch>
                      <a:fillRect/>
                    </a:stretch>
                  </pic:blipFill>
                  <pic:spPr>
                    <a:xfrm>
                      <a:off x="0" y="0"/>
                      <a:ext cx="5514340" cy="3381375"/>
                    </a:xfrm>
                    <a:prstGeom prst="rect">
                      <a:avLst/>
                    </a:prstGeom>
                    <a:noFill/>
                    <a:ln>
                      <a:noFill/>
                    </a:ln>
                  </pic:spPr>
                </pic:pic>
              </a:graphicData>
            </a:graphic>
          </wp:anchor>
        </w:drawing>
      </w:r>
      <w:r>
        <w:rPr>
          <w:rFonts w:hint="eastAsia"/>
          <w:lang w:val="en-US" w:eastAsia="zh-CN"/>
        </w:rPr>
        <w:t>图4事发时各人站位示意图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lang w:val="en-US" w:eastAsia="zh-CN"/>
        </w:rPr>
        <w:t>当鲜某伟对涉事钢梁用吊带进行捆绑没有确认钢梁是否绑扎固定好及牵引定位的状态下，高某佳负责驾驶吊机对涉事钢梁进行起吊，一头向南（A端），另一头向北（B端），B端正对着汽车吊驾驶室。当钢梁起吊到离基准地面约7米高位置时，涉事钢梁因被GKZ3-1立柱遮挡，导致高某佳存在视线盲区，无法辨明钢梁是否与立柱保持适当距离，钢梁A端碰到二层立柱，钢梁A端受到碰撞后，没有完全拧紧的弓形卸扣锁止螺栓发生松开脱落，钢梁瞬间向南北倾斜失稳下坠，坠落的钢梁A端先是碰撞到吊车左后第一组轮胎，然后B端砸中最靠近涉事钢梁斜右下方的杨某的右肩膀及其所在的登高车，钢梁A端向上撞击汽车吊后轮护板并使其向上翘曲。</w:t>
      </w:r>
    </w:p>
    <w:p>
      <w:pPr>
        <w:pStyle w:val="5"/>
        <w:pageBreakBefore w:val="0"/>
        <w:kinsoku/>
        <w:wordWrap/>
        <w:overflowPunct/>
        <w:topLinePunct w:val="0"/>
        <w:autoSpaceDE/>
        <w:autoSpaceDN/>
        <w:bidi w:val="0"/>
        <w:adjustRightInd/>
        <w:spacing w:line="560" w:lineRule="exact"/>
        <w:textAlignment w:val="auto"/>
        <w:rPr>
          <w:rFonts w:hint="eastAsia"/>
        </w:rPr>
      </w:pPr>
      <w:bookmarkStart w:id="124" w:name="_Toc21237"/>
      <w:bookmarkStart w:id="125" w:name="_Toc2863"/>
      <w:bookmarkStart w:id="126" w:name="_Toc22911"/>
      <w:bookmarkStart w:id="127" w:name="_Toc15034"/>
      <w:r>
        <w:rPr>
          <w:rFonts w:hint="eastAsia"/>
          <w:lang w:val="en-US" w:eastAsia="zh-CN"/>
        </w:rPr>
        <w:t>（二）</w:t>
      </w:r>
      <w:r>
        <w:rPr>
          <w:rFonts w:hint="eastAsia"/>
        </w:rPr>
        <w:t>应急处置情况</w:t>
      </w:r>
      <w:bookmarkEnd w:id="124"/>
      <w:bookmarkEnd w:id="125"/>
      <w:bookmarkEnd w:id="126"/>
      <w:bookmarkEnd w:id="127"/>
    </w:p>
    <w:p>
      <w:pPr>
        <w:pStyle w:val="6"/>
        <w:pageBreakBefore w:val="0"/>
        <w:kinsoku/>
        <w:wordWrap/>
        <w:overflowPunct/>
        <w:topLinePunct w:val="0"/>
        <w:autoSpaceDE/>
        <w:autoSpaceDN/>
        <w:bidi w:val="0"/>
        <w:adjustRightInd/>
        <w:spacing w:line="560" w:lineRule="exact"/>
        <w:textAlignment w:val="auto"/>
        <w:rPr>
          <w:rFonts w:hint="eastAsia"/>
        </w:rPr>
      </w:pPr>
      <w:bookmarkStart w:id="128" w:name="_Toc16449"/>
      <w:bookmarkStart w:id="129" w:name="_Toc31285"/>
      <w:bookmarkStart w:id="130" w:name="_Toc26384"/>
      <w:bookmarkStart w:id="131" w:name="_Toc32068"/>
      <w:r>
        <w:rPr>
          <w:rFonts w:hint="eastAsia"/>
        </w:rPr>
        <w:t>1</w:t>
      </w:r>
      <w:r>
        <w:rPr>
          <w:rFonts w:hint="eastAsia"/>
          <w:lang w:val="en-US" w:eastAsia="zh-CN"/>
        </w:rPr>
        <w:t>.</w:t>
      </w:r>
      <w:r>
        <w:rPr>
          <w:rFonts w:hint="eastAsia"/>
        </w:rPr>
        <w:t>基本情况。</w:t>
      </w:r>
      <w:bookmarkEnd w:id="128"/>
      <w:bookmarkEnd w:id="129"/>
      <w:bookmarkEnd w:id="130"/>
      <w:bookmarkEnd w:id="13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高某佳等人发现砸到人之后，鲜某伟立即对涉事钢梁进行重新绑扎固定，由高某佳再次操作吊机起吊涉事钢梁，以 A端为支点，将B端吊起来，并且将B端放到距离杨某西面 2 米多的位置，再由现场其余几名的工人一起把被砸中的杨某移到安全位置，并拨打120电话请求救援，同时向其任职的科龙公司主要负责人进行汇报。此时的杨某陷入昏迷，有微弱呼吸，头上安全帽及身上安全带完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132" w:name="_Toc8066"/>
      <w:bookmarkStart w:id="133" w:name="_Toc19621"/>
      <w:r>
        <w:rPr>
          <w:rFonts w:hint="eastAsia"/>
          <w:lang w:val="en-US" w:eastAsia="zh-CN"/>
        </w:rPr>
        <w:t>17时30分许，中兴公司、科龙公司现场负责人均到达现场，</w:t>
      </w:r>
      <w:bookmarkEnd w:id="132"/>
      <w:bookmarkEnd w:id="13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并用警戒线封锁现场。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17时32分许，鼎湖区人民医院救护车到达现场将伤者送往医院，当时陪同人员有杨某的丈人鲜某伟。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17时40分许，永安镇派出所、永安镇人民政府值班领导及相关工作人员到达现场。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134" w:name="_Toc11730"/>
      <w:r>
        <w:rPr>
          <w:rFonts w:hint="eastAsia"/>
          <w:lang w:val="en-US" w:eastAsia="zh-CN"/>
        </w:rPr>
        <w:t>18时许，杨某经抢救无效死亡。</w:t>
      </w:r>
      <w:bookmarkEnd w:id="13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lang w:val="en-US" w:eastAsia="zh-CN"/>
        </w:rPr>
        <w:t>事故发生后，鼎湖区人民政府立即启动应急响应，区主要领导迅速作出指示，要求区应急局会同区住建局、永安镇人民政府等有关职能部门对现场进行应急处置，迅速开展调查，尽快查明事故原因，排查安全隐患，做好善后处理工作及维稳工作。</w:t>
      </w:r>
    </w:p>
    <w:p>
      <w:pPr>
        <w:pStyle w:val="6"/>
        <w:pageBreakBefore w:val="0"/>
        <w:kinsoku/>
        <w:wordWrap/>
        <w:overflowPunct/>
        <w:topLinePunct w:val="0"/>
        <w:autoSpaceDE/>
        <w:autoSpaceDN/>
        <w:bidi w:val="0"/>
        <w:adjustRightInd/>
        <w:spacing w:line="560" w:lineRule="exact"/>
        <w:textAlignment w:val="auto"/>
        <w:rPr>
          <w:rFonts w:hint="eastAsia"/>
        </w:rPr>
      </w:pPr>
      <w:bookmarkStart w:id="135" w:name="_Toc15452"/>
      <w:bookmarkStart w:id="136" w:name="_Toc26246"/>
      <w:bookmarkStart w:id="137" w:name="_Toc11692"/>
      <w:bookmarkStart w:id="138" w:name="_Toc5873"/>
      <w:r>
        <w:rPr>
          <w:rFonts w:hint="eastAsia"/>
          <w:lang w:val="en-US" w:eastAsia="zh-CN"/>
        </w:rPr>
        <w:t>2.</w:t>
      </w:r>
      <w:r>
        <w:rPr>
          <w:rFonts w:hint="eastAsia"/>
        </w:rPr>
        <w:t>应急处置评估。</w:t>
      </w:r>
      <w:bookmarkEnd w:id="135"/>
      <w:bookmarkEnd w:id="136"/>
      <w:bookmarkEnd w:id="137"/>
      <w:bookmarkEnd w:id="138"/>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bookmarkStart w:id="139" w:name="_Toc17059"/>
      <w:bookmarkStart w:id="140" w:name="_Toc14316"/>
      <w:r>
        <w:rPr>
          <w:rStyle w:val="29"/>
          <w:rFonts w:hint="eastAsia"/>
          <w:lang w:eastAsia="zh-CN"/>
        </w:rPr>
        <w:t>（</w:t>
      </w:r>
      <w:r>
        <w:rPr>
          <w:rStyle w:val="29"/>
          <w:rFonts w:hint="eastAsia"/>
          <w:lang w:val="en-US" w:eastAsia="zh-CN"/>
        </w:rPr>
        <w:t>1</w:t>
      </w:r>
      <w:r>
        <w:rPr>
          <w:rStyle w:val="29"/>
          <w:rFonts w:hint="eastAsia"/>
          <w:lang w:eastAsia="zh-CN"/>
        </w:rPr>
        <w:t>）企业应急处置情况</w:t>
      </w:r>
      <w:r>
        <w:rPr>
          <w:rStyle w:val="29"/>
          <w:rFonts w:hint="eastAsia"/>
          <w:lang w:val="en-US" w:eastAsia="zh-CN"/>
        </w:rPr>
        <w:t>。</w:t>
      </w:r>
      <w:bookmarkEnd w:id="139"/>
      <w:bookmarkEnd w:id="140"/>
      <w:r>
        <w:rPr>
          <w:rFonts w:hint="eastAsia"/>
          <w:lang w:eastAsia="zh-CN"/>
        </w:rPr>
        <w:t>事发后，</w:t>
      </w:r>
      <w:r>
        <w:rPr>
          <w:rFonts w:hint="eastAsia"/>
          <w:lang w:val="en-US" w:eastAsia="zh-CN"/>
        </w:rPr>
        <w:t>高某佳等现场工人立即开展前期应急处置工作，发现杨某被钢梁砸中后，立即使用吊车将钢梁吊离，同时拨打120、110呼叫救护车和报警并向所任职的科龙公司进行报告；科龙公司立即派出主要负责人及安全生产管理人员赶往事故现场，并要求在场人员保护好现场。杨某被送达医院后，科龙公司也请求医院对杨某进行全力救治。事故单位事后应急处置得当。</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bookmarkStart w:id="141" w:name="_Toc16269"/>
      <w:bookmarkStart w:id="142" w:name="_Toc12944"/>
      <w:r>
        <w:rPr>
          <w:rStyle w:val="29"/>
          <w:rFonts w:hint="eastAsia"/>
          <w:lang w:val="en-US" w:eastAsia="zh-CN"/>
        </w:rPr>
        <w:t>（2）政府部门应急处置情况。</w:t>
      </w:r>
      <w:bookmarkEnd w:id="141"/>
      <w:bookmarkEnd w:id="142"/>
      <w:r>
        <w:rPr>
          <w:rFonts w:hint="eastAsia"/>
          <w:lang w:val="en-US" w:eastAsia="zh-CN"/>
        </w:rPr>
        <w:t>永安镇人民政府、永安镇派出所、鼎湖区应急局、鼎湖区住建局等有关职能部门及时启动应急响应，突发事件信息报送及时，有效开展事故各项应急处置及善后处理工作，现场处置科学，相关单位配合得当，事故发生后的第3天，事故善后处理工作已全部完成，事故单位事后应急处置得当，政府及相关部门应急救援响应迅速、及时。</w:t>
      </w:r>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143" w:name="_Toc30657"/>
      <w:bookmarkStart w:id="144" w:name="_Toc7066"/>
      <w:bookmarkStart w:id="145" w:name="_Toc693"/>
      <w:r>
        <w:rPr>
          <w:rFonts w:hint="eastAsia"/>
          <w:lang w:val="en-US" w:eastAsia="zh-CN"/>
        </w:rPr>
        <w:t>（三）人员伤亡和直接经济损失情况</w:t>
      </w:r>
      <w:bookmarkEnd w:id="143"/>
      <w:bookmarkEnd w:id="144"/>
      <w:bookmarkEnd w:id="14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lang w:val="en-US" w:eastAsia="zh-CN"/>
        </w:rPr>
        <w:t>事故造成1人死亡，根据《企业职工伤亡事故经济损失统计标准》，核定事故直接经济损失约190万元。</w:t>
      </w:r>
    </w:p>
    <w:p>
      <w:pPr>
        <w:pStyle w:val="4"/>
        <w:pageBreakBefore w:val="0"/>
        <w:kinsoku/>
        <w:wordWrap/>
        <w:overflowPunct/>
        <w:topLinePunct w:val="0"/>
        <w:autoSpaceDE/>
        <w:autoSpaceDN/>
        <w:bidi w:val="0"/>
        <w:adjustRightInd/>
        <w:spacing w:line="560" w:lineRule="exact"/>
        <w:textAlignment w:val="auto"/>
        <w:rPr>
          <w:rFonts w:hint="eastAsia"/>
          <w:lang w:val="en-US" w:eastAsia="zh-CN"/>
        </w:rPr>
      </w:pPr>
      <w:bookmarkStart w:id="146" w:name="_Toc11042"/>
      <w:bookmarkStart w:id="147" w:name="_Toc13003"/>
      <w:bookmarkStart w:id="148" w:name="_Toc20154"/>
      <w:bookmarkStart w:id="149" w:name="_Toc30075"/>
      <w:r>
        <w:rPr>
          <w:rFonts w:hint="eastAsia"/>
          <w:lang w:val="en-US" w:eastAsia="zh-CN"/>
        </w:rPr>
        <w:t>三、事故机理分析</w:t>
      </w:r>
      <w:bookmarkEnd w:id="146"/>
      <w:bookmarkEnd w:id="147"/>
      <w:bookmarkEnd w:id="148"/>
      <w:bookmarkEnd w:id="14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钢梁采用吊带捆绑的形式起吊（如图5），起吊夹角仅为 49°。按照图示计算：设钢梁中心点处重力 G=724kg≈7.1kN，</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rPr>
        <w:drawing>
          <wp:anchor distT="0" distB="0" distL="114300" distR="114300" simplePos="0" relativeHeight="251659264" behindDoc="0" locked="0" layoutInCell="1" allowOverlap="1">
            <wp:simplePos x="0" y="0"/>
            <wp:positionH relativeFrom="column">
              <wp:posOffset>300355</wp:posOffset>
            </wp:positionH>
            <wp:positionV relativeFrom="page">
              <wp:posOffset>5243830</wp:posOffset>
            </wp:positionV>
            <wp:extent cx="4910455" cy="2917190"/>
            <wp:effectExtent l="0" t="0" r="4445" b="16510"/>
            <wp:wrapTopAndBottom/>
            <wp:docPr id="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pic:cNvPicPr>
                      <a:picLocks noChangeAspect="1"/>
                    </pic:cNvPicPr>
                  </pic:nvPicPr>
                  <pic:blipFill>
                    <a:blip r:embed="rId15"/>
                    <a:stretch>
                      <a:fillRect/>
                    </a:stretch>
                  </pic:blipFill>
                  <pic:spPr>
                    <a:xfrm>
                      <a:off x="0" y="0"/>
                      <a:ext cx="4910455" cy="2917190"/>
                    </a:xfrm>
                    <a:prstGeom prst="rect">
                      <a:avLst/>
                    </a:prstGeom>
                    <a:noFill/>
                    <a:ln>
                      <a:noFill/>
                    </a:ln>
                  </pic:spPr>
                </pic:pic>
              </a:graphicData>
            </a:graphic>
          </wp:anchor>
        </w:drawing>
      </w:r>
      <w:r>
        <w:rPr>
          <w:rFonts w:hint="eastAsia"/>
          <w:lang w:val="en-US" w:eastAsia="zh-CN"/>
        </w:rPr>
        <w:t>则吊带纵向力F1=1/2Gcos49°=1.07kN,小于吊带可承受拉力30kN，因此采用捆绑方式时吊带是可以吊起钢梁的。鲜某伟用吊带绑扎钢梁，没有拧紧A端吊带上的弓形卸扣锁止螺栓后示意汽车吊司机高某佳起吊钢梁。但因为此时下雨并伴有风，钢梁被高某佳迅速起吊后且没有司索工拉住钢梁，导致起吊 7m 高后进入吊车司机高某佳视线盲区时，在风吹作用下钢梁碰到编号为GKZ3-1的立柱，碰擦后导致没有拧紧的弓形卸扣螺栓瞬间松脱，最终在重力作用之下钢梁 A 段首先下坠插入驾驶室下的大梁（如图 6），B 端也随即堕落砸中钢梁底下站在登高车上的事故者杨某。</w:t>
      </w:r>
      <w:bookmarkStart w:id="150" w:name="_Toc2266"/>
      <w:bookmarkStart w:id="151" w:name="_Toc25819"/>
    </w:p>
    <w:p>
      <w:pPr>
        <w:pStyle w:val="7"/>
        <w:pageBreakBefore w:val="0"/>
        <w:kinsoku/>
        <w:wordWrap/>
        <w:overflowPunct/>
        <w:topLinePunct w:val="0"/>
        <w:autoSpaceDE/>
        <w:autoSpaceDN/>
        <w:bidi w:val="0"/>
        <w:adjustRightInd/>
        <w:spacing w:line="560" w:lineRule="exact"/>
        <w:textAlignment w:val="auto"/>
        <w:rPr>
          <w:rFonts w:hint="eastAsia"/>
          <w:lang w:val="en-US" w:eastAsia="zh-CN"/>
        </w:rPr>
      </w:pPr>
      <w:r>
        <w:rPr>
          <w:rFonts w:hint="eastAsia"/>
          <w:lang w:val="en-US" w:eastAsia="zh-CN"/>
        </w:rPr>
        <w:t>图6 弓形卸扣螺栓松脱后钢梁A端</w:t>
      </w:r>
      <w:bookmarkEnd w:id="150"/>
      <w:bookmarkEnd w:id="151"/>
    </w:p>
    <w:p>
      <w:pPr>
        <w:pageBreakBefore w:val="0"/>
        <w:kinsoku/>
        <w:wordWrap/>
        <w:overflowPunct/>
        <w:topLinePunct w:val="0"/>
        <w:autoSpaceDE/>
        <w:autoSpaceDN/>
        <w:bidi w:val="0"/>
        <w:adjustRightInd/>
        <w:spacing w:line="560" w:lineRule="exact"/>
        <w:textAlignment w:val="auto"/>
        <w:rPr>
          <w:rFonts w:hint="eastAsia"/>
          <w:lang w:val="en-US" w:eastAsia="zh-CN"/>
        </w:rPr>
      </w:pPr>
    </w:p>
    <w:p>
      <w:pPr>
        <w:pStyle w:val="4"/>
        <w:pageBreakBefore w:val="0"/>
        <w:kinsoku/>
        <w:wordWrap/>
        <w:overflowPunct/>
        <w:topLinePunct w:val="0"/>
        <w:autoSpaceDE/>
        <w:autoSpaceDN/>
        <w:bidi w:val="0"/>
        <w:adjustRightInd/>
        <w:spacing w:line="560" w:lineRule="exact"/>
        <w:textAlignment w:val="auto"/>
        <w:rPr>
          <w:rFonts w:hint="eastAsia"/>
          <w:lang w:val="en-US" w:eastAsia="zh-CN"/>
        </w:rPr>
      </w:pPr>
      <w:bookmarkStart w:id="152" w:name="_Toc7867"/>
      <w:bookmarkStart w:id="153" w:name="_Toc12219"/>
      <w:bookmarkStart w:id="154" w:name="_Toc25486"/>
      <w:bookmarkStart w:id="155" w:name="_Toc16611"/>
      <w:r>
        <w:rPr>
          <w:rFonts w:hint="eastAsia"/>
          <w:lang w:val="en-US" w:eastAsia="zh-CN"/>
        </w:rPr>
        <w:t>四、事故原因及性质</w:t>
      </w:r>
      <w:bookmarkEnd w:id="152"/>
      <w:bookmarkEnd w:id="153"/>
      <w:bookmarkEnd w:id="154"/>
      <w:bookmarkEnd w:id="155"/>
    </w:p>
    <w:p>
      <w:pPr>
        <w:pStyle w:val="5"/>
        <w:pageBreakBefore w:val="0"/>
        <w:kinsoku/>
        <w:wordWrap/>
        <w:overflowPunct/>
        <w:topLinePunct w:val="0"/>
        <w:autoSpaceDE/>
        <w:autoSpaceDN/>
        <w:bidi w:val="0"/>
        <w:adjustRightInd/>
        <w:spacing w:line="560" w:lineRule="exact"/>
        <w:textAlignment w:val="auto"/>
        <w:rPr>
          <w:rFonts w:hint="eastAsia"/>
        </w:rPr>
      </w:pPr>
      <w:bookmarkStart w:id="156" w:name="_Toc25255"/>
      <w:bookmarkStart w:id="157" w:name="_Toc13161"/>
      <w:bookmarkStart w:id="158" w:name="_Toc13731"/>
      <w:bookmarkStart w:id="159" w:name="_Toc3350"/>
      <w:r>
        <w:rPr>
          <w:rFonts w:hint="eastAsia"/>
        </w:rPr>
        <w:t>（一）直接原因</w:t>
      </w:r>
      <w:bookmarkEnd w:id="156"/>
      <w:bookmarkEnd w:id="157"/>
      <w:bookmarkEnd w:id="158"/>
      <w:bookmarkEnd w:id="15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经调查询问、资料调取、</w:t>
      </w:r>
      <w:r>
        <w:rPr>
          <w:rFonts w:hint="eastAsia"/>
          <w:lang w:val="en-US" w:eastAsia="zh-CN"/>
        </w:rPr>
        <w:t>事故</w:t>
      </w:r>
      <w:r>
        <w:rPr>
          <w:rFonts w:hint="eastAsia"/>
        </w:rPr>
        <w:t>机理分析</w:t>
      </w:r>
      <w:r>
        <w:rPr>
          <w:rFonts w:hint="eastAsia"/>
          <w:lang w:eastAsia="zh-CN"/>
        </w:rPr>
        <w:t>，</w:t>
      </w:r>
      <w:r>
        <w:rPr>
          <w:rFonts w:hint="eastAsia"/>
        </w:rPr>
        <w:t>综合分析认定，本起事故的直接原因为：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1.杨某未严格遵守安全施工的规章制度和操作规程</w:t>
      </w:r>
      <w:r>
        <w:rPr>
          <w:rStyle w:val="26"/>
          <w:rFonts w:hint="eastAsia" w:ascii="仿宋_GB2312" w:hAnsi="仿宋_GB2312" w:eastAsia="仿宋_GB2312" w:cs="仿宋_GB2312"/>
          <w:szCs w:val="32"/>
          <w:highlight w:val="none"/>
          <w:lang w:val="en-US" w:eastAsia="zh-CN"/>
        </w:rPr>
        <w:t>[</w:t>
      </w:r>
      <w:r>
        <w:rPr>
          <w:rStyle w:val="26"/>
          <w:rFonts w:hint="eastAsia" w:ascii="仿宋_GB2312" w:hAnsi="仿宋_GB2312" w:eastAsia="仿宋_GB2312" w:cs="仿宋_GB2312"/>
          <w:szCs w:val="32"/>
          <w:highlight w:val="none"/>
          <w:lang w:val="en-US" w:eastAsia="zh-CN"/>
        </w:rPr>
        <w:footnoteReference w:id="0"/>
      </w:r>
      <w:r>
        <w:rPr>
          <w:rStyle w:val="26"/>
          <w:rFonts w:hint="eastAsia" w:ascii="仿宋_GB2312" w:hAnsi="仿宋_GB2312" w:eastAsia="仿宋_GB2312" w:cs="仿宋_GB2312"/>
          <w:szCs w:val="32"/>
          <w:highlight w:val="none"/>
          <w:lang w:val="en-US" w:eastAsia="zh-CN"/>
        </w:rPr>
        <w:t>]</w:t>
      </w:r>
      <w:r>
        <w:rPr>
          <w:rFonts w:hint="eastAsia"/>
          <w:lang w:val="en-US" w:eastAsia="zh-CN"/>
        </w:rPr>
        <w:t>，对本岗位存在的安全风险麻痹大意，在高某佳驾驶汽车起重机将钢梁起吊后违规进入汽车起重机作业半径范围内且站立于钢梁正下方，未及时注意和避让钢梁，从而被钢梁砸中后致使自身受到伤害并死亡。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2.鲜某伟未持有《建筑起重起重信号司索工证》私自从事钢梁捆绑固定工作，未严格按照钢结构吊装专项施工方案规定的方式</w:t>
      </w:r>
      <w:r>
        <w:rPr>
          <w:rStyle w:val="26"/>
          <w:rFonts w:hint="eastAsia" w:ascii="仿宋_GB2312" w:hAnsi="仿宋_GB2312" w:eastAsia="仿宋_GB2312" w:cs="仿宋_GB2312"/>
          <w:szCs w:val="32"/>
          <w:highlight w:val="none"/>
          <w:lang w:val="en-US" w:eastAsia="zh-CN"/>
        </w:rPr>
        <w:t>[</w:t>
      </w:r>
      <w:r>
        <w:rPr>
          <w:rStyle w:val="26"/>
          <w:rFonts w:hint="eastAsia" w:ascii="仿宋_GB2312" w:hAnsi="仿宋_GB2312" w:eastAsia="仿宋_GB2312" w:cs="仿宋_GB2312"/>
          <w:szCs w:val="32"/>
          <w:highlight w:val="none"/>
          <w:lang w:val="en-US" w:eastAsia="zh-CN"/>
        </w:rPr>
        <w:footnoteReference w:id="1"/>
      </w:r>
      <w:r>
        <w:rPr>
          <w:rStyle w:val="26"/>
          <w:rFonts w:hint="eastAsia" w:ascii="仿宋_GB2312" w:hAnsi="仿宋_GB2312" w:eastAsia="仿宋_GB2312" w:cs="仿宋_GB2312"/>
          <w:szCs w:val="32"/>
          <w:highlight w:val="none"/>
          <w:lang w:val="en-US" w:eastAsia="zh-CN"/>
        </w:rPr>
        <w:t>]</w:t>
      </w:r>
      <w:r>
        <w:rPr>
          <w:rFonts w:hint="eastAsia"/>
          <w:lang w:val="en-US" w:eastAsia="zh-CN"/>
        </w:rPr>
        <w:t>，采用焊接吊耳或开吊装孔的方式进行吊装。在采用吊带及弓形卸扣的方式对钢梁进行绑扎固定时，未将弓形卸扣的锁止螺栓拧紧，使钢梁与立柱发生碰撞后，弓形卸扣松脱导致钢梁坠落。</w:t>
      </w:r>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160" w:name="_Toc6005"/>
      <w:bookmarkStart w:id="161" w:name="_Toc10096"/>
      <w:bookmarkStart w:id="162" w:name="_Toc27397"/>
      <w:bookmarkStart w:id="163" w:name="_Toc24712"/>
      <w:r>
        <w:rPr>
          <w:rFonts w:hint="eastAsia"/>
        </w:rPr>
        <w:t>（</w:t>
      </w:r>
      <w:r>
        <w:rPr>
          <w:rFonts w:hint="eastAsia"/>
          <w:lang w:val="en-US" w:eastAsia="zh-CN"/>
        </w:rPr>
        <w:t>二</w:t>
      </w:r>
      <w:r>
        <w:rPr>
          <w:rFonts w:hint="eastAsia"/>
        </w:rPr>
        <w:t>）</w:t>
      </w:r>
      <w:r>
        <w:rPr>
          <w:rFonts w:hint="eastAsia"/>
          <w:lang w:val="en-US" w:eastAsia="zh-CN"/>
        </w:rPr>
        <w:t>间接</w:t>
      </w:r>
      <w:r>
        <w:rPr>
          <w:rFonts w:hint="eastAsia"/>
        </w:rPr>
        <w:t>原因</w:t>
      </w:r>
      <w:bookmarkEnd w:id="160"/>
      <w:bookmarkEnd w:id="161"/>
      <w:bookmarkEnd w:id="162"/>
      <w:bookmarkEnd w:id="16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164" w:name="_Toc6498"/>
      <w:bookmarkStart w:id="165" w:name="_Toc965"/>
      <w:r>
        <w:rPr>
          <w:rFonts w:hint="eastAsia"/>
          <w:lang w:val="en-US" w:eastAsia="zh-CN"/>
        </w:rPr>
        <w:t>1.事发当天进行的起吊作业属危大工程，科龙公司未督促要求现场作业人员严格按照钢结构吊装专项施工方案进行吊装作业，未及时发现并制止事发现场从业人员的违规作业行为</w:t>
      </w:r>
      <w:r>
        <w:rPr>
          <w:rStyle w:val="26"/>
          <w:rFonts w:hint="eastAsia" w:ascii="仿宋_GB2312" w:hAnsi="仿宋_GB2312" w:eastAsia="仿宋_GB2312" w:cs="仿宋_GB2312"/>
          <w:b w:val="0"/>
          <w:bCs w:val="0"/>
          <w:color w:val="auto"/>
          <w:szCs w:val="32"/>
          <w:lang w:val="en-US" w:eastAsia="zh-CN"/>
        </w:rPr>
        <w:t>[</w:t>
      </w:r>
      <w:r>
        <w:rPr>
          <w:rStyle w:val="26"/>
          <w:rFonts w:hint="eastAsia" w:ascii="仿宋_GB2312" w:hAnsi="仿宋_GB2312" w:eastAsia="仿宋_GB2312" w:cs="仿宋_GB2312"/>
          <w:b w:val="0"/>
          <w:bCs w:val="0"/>
          <w:color w:val="auto"/>
          <w:szCs w:val="32"/>
          <w:lang w:val="en-US" w:eastAsia="zh-CN"/>
        </w:rPr>
        <w:footnoteReference w:id="2"/>
      </w:r>
      <w:r>
        <w:rPr>
          <w:rStyle w:val="26"/>
          <w:rFonts w:hint="eastAsia" w:ascii="仿宋_GB2312" w:hAnsi="仿宋_GB2312" w:eastAsia="仿宋_GB2312" w:cs="仿宋_GB2312"/>
          <w:b w:val="0"/>
          <w:bCs w:val="0"/>
          <w:color w:val="auto"/>
          <w:szCs w:val="32"/>
          <w:lang w:val="en-US" w:eastAsia="zh-CN"/>
        </w:rPr>
        <w:t>]</w:t>
      </w:r>
      <w:r>
        <w:rPr>
          <w:rFonts w:hint="eastAsia"/>
          <w:lang w:val="en-US" w:eastAsia="zh-CN"/>
        </w:rPr>
        <w:t>。</w:t>
      </w:r>
      <w:bookmarkEnd w:id="164"/>
      <w:bookmarkEnd w:id="16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lang w:val="en-US" w:eastAsia="zh-CN"/>
        </w:rPr>
        <w:t>2.事发时，天空转暗并下起微雨，高某佳、鲜某伟等人违反吊装作业“十不吊”相关规定进行吊装作业。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3.事发当天，由于受天气影响，鸿业监理公司及中兴公司分别有发出有关停工指令，科龙公司虽有签收，但没有真正执行停工指令，只是通过微信群发出停工的信息，对仍停留在Ａ３平台作业的人员没有进行进一步监管，现场管理不当，对起吊作业的风险辨识和隐患排查治理不到位。</w:t>
      </w:r>
    </w:p>
    <w:p>
      <w:pPr>
        <w:pStyle w:val="4"/>
        <w:pageBreakBefore w:val="0"/>
        <w:kinsoku/>
        <w:wordWrap/>
        <w:overflowPunct/>
        <w:topLinePunct w:val="0"/>
        <w:autoSpaceDE/>
        <w:autoSpaceDN/>
        <w:bidi w:val="0"/>
        <w:adjustRightInd/>
        <w:spacing w:line="560" w:lineRule="exact"/>
        <w:textAlignment w:val="auto"/>
        <w:rPr>
          <w:rFonts w:hint="eastAsia"/>
          <w:lang w:val="en-US" w:eastAsia="zh-CN"/>
        </w:rPr>
      </w:pPr>
      <w:bookmarkStart w:id="166" w:name="_Toc17406"/>
      <w:bookmarkStart w:id="167" w:name="_Toc29747"/>
      <w:bookmarkStart w:id="168" w:name="_Toc13288"/>
      <w:bookmarkStart w:id="169" w:name="_Toc11883"/>
      <w:r>
        <w:rPr>
          <w:rFonts w:hint="eastAsia"/>
          <w:lang w:val="en-US" w:eastAsia="zh-CN"/>
        </w:rPr>
        <w:t>五、主要问题</w:t>
      </w:r>
      <w:bookmarkEnd w:id="166"/>
      <w:bookmarkEnd w:id="167"/>
      <w:bookmarkEnd w:id="168"/>
      <w:bookmarkEnd w:id="16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170" w:name="_Toc17547"/>
      <w:bookmarkStart w:id="171" w:name="_Toc16617"/>
      <w:r>
        <w:rPr>
          <w:rFonts w:hint="eastAsia"/>
          <w:lang w:val="en-US" w:eastAsia="zh-CN"/>
        </w:rPr>
        <w:t>（一）科龙公司安全生产主体责任不落实。一是起吊作业中有未持证的工人上岗从事司索工作</w:t>
      </w:r>
      <w:r>
        <w:rPr>
          <w:rStyle w:val="26"/>
          <w:rFonts w:hint="eastAsia" w:ascii="仿宋_GB2312" w:hAnsi="仿宋_GB2312" w:eastAsia="仿宋_GB2312" w:cs="仿宋_GB2312"/>
          <w:b w:val="0"/>
          <w:bCs w:val="0"/>
          <w:strike w:val="0"/>
          <w:dstrike w:val="0"/>
          <w:kern w:val="0"/>
          <w:szCs w:val="32"/>
          <w:lang w:val="en-US" w:eastAsia="zh-CN" w:bidi="ar-SA"/>
        </w:rPr>
        <w:t>[</w:t>
      </w:r>
      <w:r>
        <w:rPr>
          <w:rStyle w:val="26"/>
          <w:rFonts w:hint="eastAsia" w:ascii="仿宋_GB2312" w:hAnsi="仿宋_GB2312" w:eastAsia="仿宋_GB2312" w:cs="仿宋_GB2312"/>
          <w:b w:val="0"/>
          <w:bCs w:val="0"/>
          <w:strike w:val="0"/>
          <w:dstrike w:val="0"/>
          <w:kern w:val="0"/>
          <w:szCs w:val="32"/>
          <w:lang w:val="en-US" w:eastAsia="zh-CN" w:bidi="ar-SA"/>
        </w:rPr>
        <w:footnoteReference w:id="3"/>
      </w:r>
      <w:r>
        <w:rPr>
          <w:rStyle w:val="26"/>
          <w:rFonts w:hint="eastAsia" w:ascii="仿宋_GB2312" w:hAnsi="仿宋_GB2312" w:eastAsia="仿宋_GB2312" w:cs="仿宋_GB2312"/>
          <w:b w:val="0"/>
          <w:bCs w:val="0"/>
          <w:strike w:val="0"/>
          <w:dstrike w:val="0"/>
          <w:kern w:val="0"/>
          <w:szCs w:val="32"/>
          <w:lang w:val="en-US" w:eastAsia="zh-CN" w:bidi="ar-SA"/>
        </w:rPr>
        <w:t>]</w:t>
      </w:r>
      <w:r>
        <w:rPr>
          <w:rFonts w:hint="eastAsia"/>
          <w:lang w:val="en-US" w:eastAsia="zh-CN"/>
        </w:rPr>
        <w:t>；二是对危大工程施工安全的重要性认识不足未严格督促要求本公司现场安全管理及作业人员履行岗位职责</w:t>
      </w:r>
      <w:r>
        <w:rPr>
          <w:rStyle w:val="26"/>
          <w:rFonts w:hint="eastAsia" w:ascii="仿宋_GB2312" w:hAnsi="仿宋_GB2312" w:eastAsia="仿宋_GB2312" w:cs="仿宋_GB2312"/>
          <w:b w:val="0"/>
          <w:bCs w:val="0"/>
          <w:szCs w:val="32"/>
          <w:highlight w:val="none"/>
          <w:lang w:val="en-US" w:eastAsia="zh-CN"/>
        </w:rPr>
        <w:t>[</w:t>
      </w:r>
      <w:r>
        <w:rPr>
          <w:rStyle w:val="26"/>
          <w:rFonts w:hint="eastAsia" w:ascii="仿宋_GB2312" w:hAnsi="仿宋_GB2312" w:eastAsia="仿宋_GB2312" w:cs="仿宋_GB2312"/>
          <w:b w:val="0"/>
          <w:bCs w:val="0"/>
          <w:szCs w:val="32"/>
          <w:highlight w:val="none"/>
          <w:lang w:val="en-US" w:eastAsia="zh-CN"/>
        </w:rPr>
        <w:footnoteReference w:id="4"/>
      </w:r>
      <w:r>
        <w:rPr>
          <w:rStyle w:val="26"/>
          <w:rFonts w:hint="eastAsia" w:ascii="仿宋_GB2312" w:hAnsi="仿宋_GB2312" w:eastAsia="仿宋_GB2312" w:cs="仿宋_GB2312"/>
          <w:b w:val="0"/>
          <w:bCs w:val="0"/>
          <w:szCs w:val="32"/>
          <w:highlight w:val="none"/>
          <w:lang w:val="en-US" w:eastAsia="zh-CN"/>
        </w:rPr>
        <w:t>]</w:t>
      </w:r>
      <w:r>
        <w:rPr>
          <w:rFonts w:hint="eastAsia"/>
          <w:lang w:val="en-US" w:eastAsia="zh-CN"/>
        </w:rPr>
        <w:t>；三是对从业人员的安全生产教育和培训工作不到位，未有效保证从业人员具备吊装作业必要的安全生产知识及熟悉有关的安全生产规章制度和安全操作规程</w:t>
      </w:r>
      <w:r>
        <w:rPr>
          <w:rStyle w:val="26"/>
          <w:rFonts w:hint="eastAsia" w:ascii="仿宋_GB2312" w:hAnsi="仿宋_GB2312" w:eastAsia="仿宋_GB2312" w:cs="仿宋_GB2312"/>
          <w:b w:val="0"/>
          <w:bCs w:val="0"/>
          <w:szCs w:val="32"/>
          <w:highlight w:val="none"/>
          <w:lang w:val="en-US" w:eastAsia="zh-CN"/>
        </w:rPr>
        <w:t>[</w:t>
      </w:r>
      <w:r>
        <w:rPr>
          <w:rStyle w:val="26"/>
          <w:rFonts w:hint="eastAsia" w:ascii="仿宋_GB2312" w:hAnsi="仿宋_GB2312" w:eastAsia="仿宋_GB2312" w:cs="仿宋_GB2312"/>
          <w:b w:val="0"/>
          <w:bCs w:val="0"/>
          <w:szCs w:val="32"/>
          <w:highlight w:val="none"/>
          <w:lang w:val="en-US" w:eastAsia="zh-CN"/>
        </w:rPr>
        <w:footnoteReference w:id="5"/>
      </w:r>
      <w:r>
        <w:rPr>
          <w:rStyle w:val="26"/>
          <w:rFonts w:hint="eastAsia" w:ascii="仿宋_GB2312" w:hAnsi="仿宋_GB2312" w:eastAsia="仿宋_GB2312" w:cs="仿宋_GB2312"/>
          <w:b w:val="0"/>
          <w:bCs w:val="0"/>
          <w:szCs w:val="32"/>
          <w:highlight w:val="none"/>
          <w:lang w:val="en-US" w:eastAsia="zh-CN"/>
        </w:rPr>
        <w:t>]</w:t>
      </w:r>
      <w:r>
        <w:rPr>
          <w:rFonts w:hint="eastAsia"/>
          <w:lang w:val="en-US" w:eastAsia="zh-CN"/>
        </w:rPr>
        <w:t>；四是在对涉事钢结构班组发出停工指令后，未及时督促并确保现场从业人员按照指令行事。</w:t>
      </w:r>
      <w:bookmarkEnd w:id="170"/>
      <w:bookmarkEnd w:id="171"/>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24"/>
          <w:lang w:val="en-US" w:eastAsia="zh-CN" w:bidi="ar-SA"/>
        </w:rPr>
      </w:pPr>
      <w:r>
        <w:rPr>
          <w:rFonts w:hint="eastAsia" w:ascii="Times New Roman" w:hAnsi="Times New Roman" w:cs="Times New Roman"/>
          <w:kern w:val="2"/>
          <w:sz w:val="32"/>
          <w:szCs w:val="24"/>
          <w:lang w:val="en-US" w:eastAsia="zh-CN" w:bidi="ar-SA"/>
        </w:rPr>
        <w:t>（二）</w:t>
      </w:r>
      <w:r>
        <w:rPr>
          <w:rFonts w:hint="eastAsia" w:ascii="Times New Roman" w:hAnsi="Times New Roman" w:eastAsia="仿宋_GB2312" w:cs="Times New Roman"/>
          <w:kern w:val="2"/>
          <w:sz w:val="32"/>
          <w:szCs w:val="24"/>
          <w:lang w:val="en-US" w:eastAsia="zh-CN" w:bidi="ar-SA"/>
        </w:rPr>
        <w:t>中兴公司对科龙公司安全生产工作统一协调、管理不到位</w:t>
      </w:r>
      <w:r>
        <w:rPr>
          <w:rStyle w:val="26"/>
          <w:rFonts w:hint="eastAsia" w:ascii="仿宋_GB2312" w:hAnsi="仿宋_GB2312" w:eastAsia="仿宋_GB2312" w:cs="仿宋_GB2312"/>
          <w:b w:val="0"/>
          <w:bCs w:val="0"/>
          <w:strike w:val="0"/>
          <w:dstrike w:val="0"/>
          <w:kern w:val="0"/>
          <w:sz w:val="32"/>
          <w:szCs w:val="32"/>
          <w:vertAlign w:val="superscript"/>
          <w:lang w:val="en-US" w:eastAsia="zh-CN" w:bidi="ar-SA"/>
        </w:rPr>
        <w:t>[</w:t>
      </w:r>
      <w:r>
        <w:rPr>
          <w:rStyle w:val="26"/>
          <w:rFonts w:hint="eastAsia" w:ascii="仿宋_GB2312" w:hAnsi="仿宋_GB2312" w:eastAsia="仿宋_GB2312" w:cs="仿宋_GB2312"/>
          <w:b w:val="0"/>
          <w:bCs w:val="0"/>
          <w:strike w:val="0"/>
          <w:dstrike w:val="0"/>
          <w:kern w:val="0"/>
          <w:sz w:val="32"/>
          <w:szCs w:val="32"/>
          <w:vertAlign w:val="superscript"/>
          <w:lang w:val="en-US" w:eastAsia="zh-CN" w:bidi="ar-SA"/>
        </w:rPr>
        <w:footnoteReference w:id="6"/>
      </w:r>
      <w:r>
        <w:rPr>
          <w:rStyle w:val="26"/>
          <w:rFonts w:hint="eastAsia" w:ascii="仿宋_GB2312" w:hAnsi="仿宋_GB2312" w:eastAsia="仿宋_GB2312" w:cs="仿宋_GB2312"/>
          <w:b w:val="0"/>
          <w:bCs w:val="0"/>
          <w:strike w:val="0"/>
          <w:dstrike w:val="0"/>
          <w:kern w:val="0"/>
          <w:sz w:val="32"/>
          <w:szCs w:val="32"/>
          <w:vertAlign w:val="superscript"/>
          <w:lang w:val="en-US" w:eastAsia="zh-CN" w:bidi="ar-SA"/>
        </w:rPr>
        <w:t>]</w:t>
      </w:r>
      <w:r>
        <w:rPr>
          <w:rFonts w:hint="eastAsia" w:ascii="Times New Roman" w:hAnsi="Times New Roman" w:eastAsia="仿宋_GB2312" w:cs="Times New Roman"/>
          <w:kern w:val="2"/>
          <w:sz w:val="32"/>
          <w:szCs w:val="24"/>
          <w:lang w:val="en-US" w:eastAsia="zh-CN" w:bidi="ar-SA"/>
        </w:rPr>
        <w:t>，虽有及时向科龙公司发出停工指令，但未对科龙公司执行停工指令进行跟踪落实</w:t>
      </w:r>
      <w:r>
        <w:rPr>
          <w:rFonts w:hint="eastAsia" w:ascii="Times New Roman" w:hAnsi="Times New Roman" w:cs="Times New Roman"/>
          <w:kern w:val="2"/>
          <w:sz w:val="32"/>
          <w:szCs w:val="24"/>
          <w:lang w:val="en-US" w:eastAsia="zh-CN" w:bidi="ar-SA"/>
        </w:rPr>
        <w:t>。</w:t>
      </w:r>
    </w:p>
    <w:p>
      <w:pPr>
        <w:pStyle w:val="4"/>
        <w:pageBreakBefore w:val="0"/>
        <w:kinsoku/>
        <w:wordWrap/>
        <w:overflowPunct/>
        <w:topLinePunct w:val="0"/>
        <w:autoSpaceDE/>
        <w:autoSpaceDN/>
        <w:bidi w:val="0"/>
        <w:adjustRightInd/>
        <w:spacing w:line="560" w:lineRule="exact"/>
        <w:textAlignment w:val="auto"/>
        <w:rPr>
          <w:rFonts w:hint="eastAsia"/>
        </w:rPr>
      </w:pPr>
      <w:bookmarkStart w:id="172" w:name="_Toc24235"/>
      <w:bookmarkStart w:id="173" w:name="_Toc3210"/>
      <w:bookmarkStart w:id="174" w:name="_Toc2110"/>
      <w:bookmarkStart w:id="175" w:name="_Toc16981"/>
      <w:r>
        <w:rPr>
          <w:rFonts w:hint="eastAsia"/>
          <w:lang w:val="en-US" w:eastAsia="zh-CN"/>
        </w:rPr>
        <w:t>六</w:t>
      </w:r>
      <w:r>
        <w:rPr>
          <w:rFonts w:hint="eastAsia"/>
        </w:rPr>
        <w:t>、</w:t>
      </w:r>
      <w:r>
        <w:rPr>
          <w:rFonts w:hint="eastAsia"/>
          <w:lang w:val="en-US" w:eastAsia="zh-CN"/>
        </w:rPr>
        <w:t>责任认定和</w:t>
      </w:r>
      <w:r>
        <w:rPr>
          <w:rFonts w:hint="eastAsia"/>
        </w:rPr>
        <w:t>处理建议</w:t>
      </w:r>
      <w:bookmarkEnd w:id="172"/>
      <w:bookmarkEnd w:id="173"/>
      <w:bookmarkEnd w:id="174"/>
      <w:bookmarkEnd w:id="175"/>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176" w:name="_Toc2228"/>
      <w:bookmarkStart w:id="177" w:name="_Toc4619"/>
      <w:bookmarkStart w:id="178" w:name="_Toc27083"/>
      <w:bookmarkStart w:id="179" w:name="_Toc10332"/>
      <w:r>
        <w:rPr>
          <w:rFonts w:hint="eastAsia"/>
        </w:rPr>
        <w:t>（一）</w:t>
      </w:r>
      <w:r>
        <w:rPr>
          <w:rFonts w:hint="eastAsia"/>
          <w:lang w:val="en-US" w:eastAsia="zh-CN"/>
        </w:rPr>
        <w:t>建议免予追究责任人员</w:t>
      </w:r>
      <w:bookmarkEnd w:id="176"/>
      <w:bookmarkEnd w:id="177"/>
      <w:bookmarkEnd w:id="178"/>
      <w:bookmarkEnd w:id="17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杨某</w:t>
      </w:r>
      <w:r>
        <w:rPr>
          <w:rFonts w:hint="eastAsia"/>
        </w:rPr>
        <w:t>，</w:t>
      </w:r>
      <w:r>
        <w:rPr>
          <w:rFonts w:hint="eastAsia"/>
          <w:lang w:val="en-US" w:eastAsia="zh-CN"/>
        </w:rPr>
        <w:t>其违规进入汽车起重机作业半径范围内并站立于钢梁正下方是本次事故发生的直接原因之一，因其在事故中死亡，建议免予追究责任。</w:t>
      </w:r>
    </w:p>
    <w:p>
      <w:pPr>
        <w:pStyle w:val="5"/>
        <w:pageBreakBefore w:val="0"/>
        <w:kinsoku/>
        <w:wordWrap/>
        <w:overflowPunct/>
        <w:topLinePunct w:val="0"/>
        <w:autoSpaceDE/>
        <w:autoSpaceDN/>
        <w:bidi w:val="0"/>
        <w:adjustRightInd/>
        <w:spacing w:line="560" w:lineRule="exact"/>
        <w:textAlignment w:val="auto"/>
        <w:rPr>
          <w:rFonts w:hint="default"/>
          <w:lang w:val="en-US" w:eastAsia="zh-CN"/>
        </w:rPr>
      </w:pPr>
      <w:bookmarkStart w:id="180" w:name="_Toc19248"/>
      <w:bookmarkStart w:id="181" w:name="_Toc27776"/>
      <w:bookmarkStart w:id="182" w:name="_Toc22514"/>
      <w:bookmarkStart w:id="183" w:name="_Toc17750"/>
      <w:r>
        <w:rPr>
          <w:rFonts w:hint="eastAsia"/>
        </w:rPr>
        <w:t>（</w:t>
      </w:r>
      <w:r>
        <w:rPr>
          <w:rFonts w:hint="eastAsia"/>
          <w:lang w:eastAsia="zh-CN"/>
        </w:rPr>
        <w:t>二</w:t>
      </w:r>
      <w:r>
        <w:rPr>
          <w:rFonts w:hint="eastAsia"/>
        </w:rPr>
        <w:t>）</w:t>
      </w:r>
      <w:r>
        <w:rPr>
          <w:rFonts w:hint="eastAsia"/>
          <w:lang w:val="en-US" w:eastAsia="zh-CN"/>
        </w:rPr>
        <w:t>建议</w:t>
      </w:r>
      <w:bookmarkEnd w:id="180"/>
      <w:bookmarkEnd w:id="181"/>
      <w:bookmarkEnd w:id="182"/>
      <w:bookmarkEnd w:id="183"/>
      <w:r>
        <w:rPr>
          <w:rFonts w:hint="eastAsia"/>
          <w:lang w:val="en-US" w:eastAsia="zh-CN"/>
        </w:rPr>
        <w:t>给予行政处罚的单位及个人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184" w:name="_Toc12950"/>
      <w:bookmarkStart w:id="185" w:name="_Toc31358"/>
      <w:r>
        <w:rPr>
          <w:rFonts w:hint="eastAsia"/>
          <w:lang w:val="en-US" w:eastAsia="zh-CN"/>
        </w:rPr>
        <w:t>1.科龙公司</w:t>
      </w:r>
      <w:bookmarkEnd w:id="184"/>
      <w:bookmarkEnd w:id="185"/>
      <w:r>
        <w:rPr>
          <w:rFonts w:hint="eastAsia"/>
          <w:lang w:val="en-US" w:eastAsia="zh-CN"/>
        </w:rPr>
        <w:t>，作为一期项目钢结构专业分包单位，安全生产主体责任不落实，未严格按照钢结构吊装专项施工方案进行施工作业，对项目工程缺乏现场管理，对施工从业人员培训不到位、技术交底不充分、现场管理不当，对事故负有责任，建议由鼎湖区应急管理局根据《中华人民共和国安全生产法》第一百一十四条对其依法作出行政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186" w:name="_Toc1633"/>
      <w:bookmarkStart w:id="187" w:name="_Toc4003"/>
      <w:r>
        <w:rPr>
          <w:rFonts w:hint="eastAsia"/>
          <w:lang w:val="en-US" w:eastAsia="zh-CN"/>
        </w:rPr>
        <w:t>2.</w:t>
      </w:r>
      <w:bookmarkEnd w:id="186"/>
      <w:bookmarkEnd w:id="187"/>
      <w:r>
        <w:rPr>
          <w:rFonts w:hint="eastAsia"/>
          <w:lang w:val="en-US" w:eastAsia="zh-CN"/>
        </w:rPr>
        <w:t>谢某，科龙公司主要负责人，负责主持公司的全面工作，未按规定履行主要负责人安全生产职责，导致事故发生，对事故负有责任，建议由鼎湖区应急管理局根据《中华人民共和国安全生产法》第九十五条对其依法作出行政处罚。</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3.中兴公司，作为一期项目钢结构总承包单位，对项目内的安全生产工作进行统一协调、管理不到位，建议由鼎湖区应急管理局根据《中华人民共和国安全生产法》第一百零三条第二款对其依法作出行政处罚。</w:t>
      </w:r>
    </w:p>
    <w:p>
      <w:pPr>
        <w:pStyle w:val="3"/>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4.</w:t>
      </w:r>
      <w:r>
        <w:rPr>
          <w:rFonts w:hint="eastAsia" w:ascii="Times New Roman" w:hAnsi="Times New Roman" w:cs="Times New Roman"/>
          <w:kern w:val="2"/>
          <w:sz w:val="32"/>
          <w:szCs w:val="24"/>
          <w:lang w:val="en-US" w:eastAsia="zh-CN" w:bidi="ar-SA"/>
        </w:rPr>
        <w:t>陈某，中兴公司驻一期项目负责人，负责中兴公司在一期项目的全面工作，对项目内的安全生产工作进行统一协调、管理不到位，建议由鼎湖区应急管理局根据《中华人民共和国安全生产法》第一百零三条第二款对其依法作出行政处罚。</w:t>
      </w:r>
    </w:p>
    <w:p>
      <w:pPr>
        <w:pStyle w:val="5"/>
        <w:pageBreakBefore w:val="0"/>
        <w:kinsoku/>
        <w:wordWrap/>
        <w:overflowPunct/>
        <w:topLinePunct w:val="0"/>
        <w:autoSpaceDE/>
        <w:autoSpaceDN/>
        <w:bidi w:val="0"/>
        <w:adjustRightInd/>
        <w:spacing w:line="560" w:lineRule="exact"/>
        <w:textAlignment w:val="auto"/>
        <w:rPr>
          <w:rFonts w:hint="eastAsia"/>
          <w:lang w:val="en-US" w:eastAsia="zh-CN"/>
        </w:rPr>
      </w:pPr>
      <w:bookmarkStart w:id="188" w:name="_Toc3810"/>
      <w:bookmarkStart w:id="189" w:name="_Toc14352"/>
      <w:bookmarkStart w:id="190" w:name="_Toc26566"/>
      <w:bookmarkStart w:id="191" w:name="_Toc25997"/>
      <w:r>
        <w:rPr>
          <w:rFonts w:hint="eastAsia"/>
          <w:lang w:val="en-US" w:eastAsia="zh-CN"/>
        </w:rPr>
        <w:t>（三）其他处理建议</w:t>
      </w:r>
      <w:bookmarkEnd w:id="188"/>
      <w:bookmarkEnd w:id="189"/>
      <w:bookmarkEnd w:id="190"/>
      <w:bookmarkEnd w:id="19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192" w:name="_Toc26759"/>
      <w:bookmarkStart w:id="193" w:name="_Toc24415"/>
      <w:r>
        <w:rPr>
          <w:rFonts w:hint="eastAsia"/>
          <w:lang w:val="en-US" w:eastAsia="zh-CN"/>
        </w:rPr>
        <w:t>（1）</w:t>
      </w:r>
      <w:bookmarkEnd w:id="192"/>
      <w:bookmarkEnd w:id="193"/>
      <w:r>
        <w:rPr>
          <w:rFonts w:hint="eastAsia"/>
          <w:lang w:val="en-US" w:eastAsia="zh-CN"/>
        </w:rPr>
        <w:t>鲜某伟，涉事项目钢结构安装工人，未落实岗位安全责任，未持有《建筑起重起重信号司索工证》私自上岗从事钢梁捆绑工作，对事故负有责任，建议由科龙公司依据《中华人民共和国安全生产法》第一百零七条等有关法律法规的规定给予批评教育、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194" w:name="_Toc10130"/>
      <w:bookmarkStart w:id="195" w:name="_Toc22126"/>
      <w:r>
        <w:rPr>
          <w:rFonts w:hint="eastAsia"/>
          <w:lang w:val="en-US" w:eastAsia="zh-CN"/>
        </w:rPr>
        <w:t>（2）</w:t>
      </w:r>
      <w:bookmarkEnd w:id="194"/>
      <w:bookmarkEnd w:id="195"/>
      <w:r>
        <w:rPr>
          <w:rFonts w:hint="eastAsia"/>
          <w:lang w:val="en-US" w:eastAsia="zh-CN"/>
        </w:rPr>
        <w:t>高某佳，涉事项目汽车起重机驾驶员，未落实岗位安全责任，违反吊装作业相关规定，在未确认钢梁是否已捆绑固定，吊装作业过程中存在视线盲区且起重指挥员不在场的情况下仍然起吊，对事故负有责任，建议由科龙公司依据《中华人民共和国安全生产法》第一百零七条等有关法律法规的规定给予批评教育、处分。</w:t>
      </w:r>
    </w:p>
    <w:p>
      <w:pPr>
        <w:pStyle w:val="4"/>
        <w:pageBreakBefore w:val="0"/>
        <w:kinsoku/>
        <w:wordWrap/>
        <w:overflowPunct/>
        <w:topLinePunct w:val="0"/>
        <w:autoSpaceDE/>
        <w:autoSpaceDN/>
        <w:bidi w:val="0"/>
        <w:adjustRightInd/>
        <w:spacing w:line="560" w:lineRule="exact"/>
        <w:textAlignment w:val="auto"/>
        <w:rPr>
          <w:rFonts w:hint="eastAsia"/>
        </w:rPr>
      </w:pPr>
      <w:bookmarkStart w:id="196" w:name="_Toc1169"/>
      <w:bookmarkStart w:id="197" w:name="_Toc5282"/>
      <w:bookmarkStart w:id="198" w:name="_Toc9464"/>
      <w:bookmarkStart w:id="199" w:name="_Toc7503"/>
      <w:r>
        <w:rPr>
          <w:rFonts w:hint="eastAsia"/>
          <w:lang w:val="en-US" w:eastAsia="zh-CN"/>
        </w:rPr>
        <w:t>七</w:t>
      </w:r>
      <w:r>
        <w:rPr>
          <w:rFonts w:hint="eastAsia"/>
        </w:rPr>
        <w:t>、事故主要教训</w:t>
      </w:r>
      <w:bookmarkEnd w:id="196"/>
      <w:bookmarkEnd w:id="197"/>
      <w:bookmarkEnd w:id="198"/>
      <w:bookmarkEnd w:id="19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200" w:name="_Toc30154"/>
      <w:bookmarkStart w:id="201" w:name="_Toc5403"/>
      <w:bookmarkStart w:id="202" w:name="_Toc22378"/>
      <w:bookmarkStart w:id="203" w:name="_Toc16827"/>
      <w:r>
        <w:rPr>
          <w:rStyle w:val="28"/>
          <w:rFonts w:hint="eastAsia"/>
          <w:lang w:val="en-US" w:eastAsia="zh-CN"/>
        </w:rPr>
        <w:t>（一）施工单位没有牢固树立安全发展理念，安全生产红线意识不牢固。</w:t>
      </w:r>
      <w:bookmarkEnd w:id="200"/>
      <w:bookmarkEnd w:id="201"/>
      <w:bookmarkEnd w:id="202"/>
      <w:bookmarkEnd w:id="203"/>
      <w:r>
        <w:rPr>
          <w:rFonts w:hint="eastAsia"/>
          <w:lang w:val="en-US" w:eastAsia="zh-CN"/>
        </w:rPr>
        <w:t>施工相关单位未能牢固树立安全生产红线意识，未能落实《中华人民共和国安全生产法》《建设工程安全生产管理条例》《危险性较大的分部分项工程安全管理规定》《广东省住房和城乡建设厅关于房屋市政工程危险性较大的分部分项工程安全管理实施细则》等相关规定要求，除了相关负责人员安全意识不足，存在侥幸心理的原因外，也暴露出施工单位及个人在项目施工过程中安全职责履行不到位、安全教育培训不落实、隐患排查治理不彻底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204" w:name="_Toc3450"/>
      <w:bookmarkStart w:id="205" w:name="_Toc32367"/>
      <w:bookmarkStart w:id="206" w:name="_Toc28410"/>
      <w:bookmarkStart w:id="207" w:name="_Toc1798"/>
      <w:r>
        <w:rPr>
          <w:rStyle w:val="28"/>
          <w:rFonts w:hint="eastAsia"/>
          <w:lang w:val="en-US" w:eastAsia="zh-CN"/>
        </w:rPr>
        <w:t>（二）相关责任人安全生产意识淡薄。</w:t>
      </w:r>
      <w:bookmarkEnd w:id="204"/>
      <w:bookmarkEnd w:id="205"/>
      <w:bookmarkEnd w:id="206"/>
      <w:bookmarkEnd w:id="207"/>
      <w:r>
        <w:rPr>
          <w:rFonts w:hint="eastAsia"/>
          <w:lang w:val="en-US" w:eastAsia="zh-CN"/>
        </w:rPr>
        <w:t>现场施工人员冒险蛮干，虽有依规制定专项施工方案，但方案执行流于形式，现场施工工人凭经验办事，未严格按照安全生产操作规程要求开展吊装作业，事故当天天气阴暗并下雨，明显不利于起吊作业，事故中的汽车吊司机违反吊装作业“十不吊”相关规定，仍然坚持起吊作业，杨某违规进入起重机作业半径范围内、鲜某伟未持《建筑起重起重信号司索工证》从事司索工作、科龙公司及钢结构安装班组未严格执行总包和监理单位发出的停工指令是本次事故发生的原因。</w:t>
      </w:r>
    </w:p>
    <w:p>
      <w:pPr>
        <w:pStyle w:val="4"/>
        <w:pageBreakBefore w:val="0"/>
        <w:kinsoku/>
        <w:wordWrap/>
        <w:overflowPunct/>
        <w:topLinePunct w:val="0"/>
        <w:autoSpaceDE/>
        <w:autoSpaceDN/>
        <w:bidi w:val="0"/>
        <w:adjustRightInd/>
        <w:spacing w:line="560" w:lineRule="exact"/>
        <w:textAlignment w:val="auto"/>
        <w:rPr>
          <w:rFonts w:hint="eastAsia"/>
        </w:rPr>
      </w:pPr>
      <w:bookmarkStart w:id="208" w:name="_Toc8669"/>
      <w:bookmarkStart w:id="209" w:name="_Toc22426"/>
      <w:bookmarkStart w:id="210" w:name="_Toc1582"/>
      <w:bookmarkStart w:id="211" w:name="_Toc21881"/>
      <w:r>
        <w:rPr>
          <w:rFonts w:hint="eastAsia"/>
          <w:lang w:val="en-US" w:eastAsia="zh-CN"/>
        </w:rPr>
        <w:t>八、</w:t>
      </w:r>
      <w:r>
        <w:rPr>
          <w:rFonts w:hint="eastAsia"/>
        </w:rPr>
        <w:t>事故防范和整改措施</w:t>
      </w:r>
      <w:bookmarkEnd w:id="208"/>
      <w:bookmarkEnd w:id="209"/>
      <w:bookmarkEnd w:id="210"/>
      <w:bookmarkEnd w:id="2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eastAsia="zh-CN"/>
        </w:rPr>
      </w:pPr>
      <w:bookmarkStart w:id="212" w:name="_Toc16891"/>
      <w:bookmarkStart w:id="213" w:name="_Toc13167"/>
      <w:bookmarkStart w:id="214" w:name="_Toc7183"/>
      <w:bookmarkStart w:id="215" w:name="_Toc18700"/>
      <w:r>
        <w:rPr>
          <w:rStyle w:val="28"/>
          <w:rFonts w:hint="eastAsia"/>
          <w:lang w:eastAsia="zh-CN"/>
        </w:rPr>
        <w:t>（</w:t>
      </w:r>
      <w:r>
        <w:rPr>
          <w:rStyle w:val="28"/>
          <w:rFonts w:hint="eastAsia"/>
          <w:lang w:val="en-US" w:eastAsia="zh-CN"/>
        </w:rPr>
        <w:t>一</w:t>
      </w:r>
      <w:r>
        <w:rPr>
          <w:rStyle w:val="28"/>
          <w:rFonts w:hint="eastAsia"/>
          <w:lang w:eastAsia="zh-CN"/>
        </w:rPr>
        <w:t>）牢固树立</w:t>
      </w:r>
      <w:r>
        <w:rPr>
          <w:rStyle w:val="28"/>
          <w:rFonts w:hint="eastAsia"/>
          <w:lang w:val="en-US" w:eastAsia="zh-CN"/>
        </w:rPr>
        <w:t>人民至上、生命至上</w:t>
      </w:r>
      <w:r>
        <w:rPr>
          <w:rStyle w:val="28"/>
          <w:rFonts w:hint="eastAsia"/>
          <w:lang w:eastAsia="zh-CN"/>
        </w:rPr>
        <w:t>的理念。</w:t>
      </w:r>
      <w:bookmarkEnd w:id="212"/>
      <w:bookmarkEnd w:id="213"/>
      <w:bookmarkEnd w:id="214"/>
      <w:bookmarkEnd w:id="215"/>
      <w:r>
        <w:rPr>
          <w:rFonts w:hint="eastAsia"/>
          <w:lang w:val="en-US" w:eastAsia="zh-CN"/>
        </w:rPr>
        <w:t>各工程参建单位及属地政府</w:t>
      </w:r>
      <w:r>
        <w:rPr>
          <w:rFonts w:hint="eastAsia"/>
          <w:lang w:eastAsia="zh-CN"/>
        </w:rPr>
        <w:t>要深刻吸取事故教训，认真贯彻落实习近平总书记关于安全生产工作的一系列重要批示指示精神，牢固树立</w:t>
      </w:r>
      <w:r>
        <w:rPr>
          <w:rFonts w:hint="eastAsia"/>
          <w:lang w:val="en-US" w:eastAsia="zh-CN"/>
        </w:rPr>
        <w:t>人民至上、生命至上的发展</w:t>
      </w:r>
      <w:r>
        <w:rPr>
          <w:rFonts w:hint="eastAsia"/>
          <w:lang w:eastAsia="zh-CN"/>
        </w:rPr>
        <w:t>理念，始终坚守“发展决不能以牺牲人的生命为代价”这条红线，建立健全“党政同责、一岗双责、齐抓共管、失职追责”的安全生产责任体系，坚持“管行业必须管安全、管业务必须管安全、管生产经营必须管安全”的原则。全面落实各行业、各环节的安全管理责任，把安全生产工作放在更加突出的位置抓紧抓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216" w:name="_Toc7271"/>
      <w:bookmarkStart w:id="217" w:name="_Toc28367"/>
      <w:bookmarkStart w:id="218" w:name="_Toc12119"/>
      <w:bookmarkStart w:id="219" w:name="_Toc16947"/>
      <w:r>
        <w:rPr>
          <w:rStyle w:val="28"/>
          <w:rFonts w:hint="eastAsia"/>
          <w:lang w:eastAsia="zh-CN"/>
        </w:rPr>
        <w:t>（</w:t>
      </w:r>
      <w:r>
        <w:rPr>
          <w:rStyle w:val="28"/>
          <w:rFonts w:hint="eastAsia"/>
          <w:lang w:val="en-US" w:eastAsia="zh-CN"/>
        </w:rPr>
        <w:t>二</w:t>
      </w:r>
      <w:r>
        <w:rPr>
          <w:rStyle w:val="28"/>
          <w:rFonts w:hint="eastAsia"/>
          <w:lang w:eastAsia="zh-CN"/>
        </w:rPr>
        <w:t>）</w:t>
      </w:r>
      <w:r>
        <w:rPr>
          <w:rStyle w:val="28"/>
          <w:rFonts w:hint="eastAsia"/>
          <w:lang w:val="en-US" w:eastAsia="zh-CN"/>
        </w:rPr>
        <w:t>强化</w:t>
      </w:r>
      <w:r>
        <w:rPr>
          <w:rStyle w:val="28"/>
          <w:rFonts w:hint="eastAsia"/>
          <w:lang w:eastAsia="zh-CN"/>
        </w:rPr>
        <w:t>安全生产</w:t>
      </w:r>
      <w:r>
        <w:rPr>
          <w:rStyle w:val="28"/>
          <w:rFonts w:hint="eastAsia"/>
          <w:lang w:val="en-US" w:eastAsia="zh-CN"/>
        </w:rPr>
        <w:t>行业监管及企业主体</w:t>
      </w:r>
      <w:r>
        <w:rPr>
          <w:rStyle w:val="28"/>
          <w:rFonts w:hint="eastAsia"/>
          <w:lang w:eastAsia="zh-CN"/>
        </w:rPr>
        <w:t>责任。</w:t>
      </w:r>
      <w:bookmarkEnd w:id="216"/>
      <w:bookmarkEnd w:id="217"/>
      <w:bookmarkEnd w:id="218"/>
      <w:bookmarkEnd w:id="219"/>
      <w:r>
        <w:rPr>
          <w:rFonts w:hint="eastAsia"/>
          <w:lang w:val="en-US" w:eastAsia="zh-CN"/>
        </w:rPr>
        <w:t>鼎湖区住建局、永安镇人民政府要加强对辖区内发生事故的在建工程项目的监督管理，</w:t>
      </w:r>
      <w:r>
        <w:rPr>
          <w:rFonts w:hint="eastAsia"/>
          <w:b/>
          <w:bCs/>
          <w:lang w:val="en-US" w:eastAsia="zh-CN"/>
        </w:rPr>
        <w:t>一是</w:t>
      </w:r>
      <w:r>
        <w:rPr>
          <w:rFonts w:hint="eastAsia"/>
          <w:lang w:val="en-US" w:eastAsia="zh-CN"/>
        </w:rPr>
        <w:t>鼎湖区住建局要重点针对事故工程总包单位中兴公司、监理单位鸿业公司、分包单位科龙公司安全生产主体责任落实情况分别进行专项检查，有针对性地检查各参建单位的安全生产主体责任落实情况，</w:t>
      </w:r>
      <w:r>
        <w:rPr>
          <w:rFonts w:hint="eastAsia"/>
          <w:lang w:eastAsia="zh-CN"/>
        </w:rPr>
        <w:t>特别是</w:t>
      </w:r>
      <w:r>
        <w:rPr>
          <w:rFonts w:hint="eastAsia"/>
          <w:lang w:val="en-US" w:eastAsia="zh-CN"/>
        </w:rPr>
        <w:t>危大工程的方案编制、技术交底、安全教育、现场管理等</w:t>
      </w:r>
      <w:r>
        <w:rPr>
          <w:rFonts w:hint="eastAsia"/>
          <w:lang w:eastAsia="zh-CN"/>
        </w:rPr>
        <w:t>，做好</w:t>
      </w:r>
      <w:r>
        <w:rPr>
          <w:rFonts w:hint="eastAsia"/>
          <w:lang w:val="en-US" w:eastAsia="zh-CN"/>
        </w:rPr>
        <w:t>施工项目</w:t>
      </w:r>
      <w:r>
        <w:rPr>
          <w:rFonts w:hint="eastAsia"/>
          <w:lang w:eastAsia="zh-CN"/>
        </w:rPr>
        <w:t>的安全管理工作，</w:t>
      </w:r>
      <w:r>
        <w:rPr>
          <w:rFonts w:hint="eastAsia"/>
          <w:lang w:val="en-US" w:eastAsia="zh-CN"/>
        </w:rPr>
        <w:t>及时将上述工作落实情况报区安委办；</w:t>
      </w:r>
      <w:r>
        <w:rPr>
          <w:rFonts w:hint="eastAsia"/>
          <w:b/>
          <w:bCs/>
          <w:lang w:val="en-US" w:eastAsia="zh-CN"/>
        </w:rPr>
        <w:t>二是</w:t>
      </w:r>
      <w:r>
        <w:rPr>
          <w:rFonts w:hint="eastAsia"/>
          <w:lang w:val="en-US" w:eastAsia="zh-CN"/>
        </w:rPr>
        <w:t>中兴公司</w:t>
      </w:r>
      <w:bookmarkStart w:id="220" w:name="_Toc3624"/>
      <w:bookmarkStart w:id="221" w:name="_Toc28026"/>
      <w:bookmarkStart w:id="222" w:name="_Toc32052"/>
      <w:bookmarkStart w:id="223" w:name="_Toc30570"/>
      <w:r>
        <w:rPr>
          <w:rFonts w:hint="eastAsia"/>
          <w:lang w:val="en-US" w:eastAsia="zh-CN"/>
        </w:rPr>
        <w:t>虽采取一系列举措开展安全生产防范工作，但安全生产责任制落实仍不够到位，建议中兴公司向鼎湖区住建局作出深刻检查，吸取事故教训，进一步加强和改进安全生产工作。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Style w:val="28"/>
          <w:rFonts w:hint="eastAsia"/>
          <w:lang w:eastAsia="zh-CN"/>
        </w:rPr>
        <w:t>（</w:t>
      </w:r>
      <w:r>
        <w:rPr>
          <w:rStyle w:val="28"/>
          <w:rFonts w:hint="eastAsia"/>
          <w:lang w:val="en-US" w:eastAsia="zh-CN"/>
        </w:rPr>
        <w:t>三</w:t>
      </w:r>
      <w:r>
        <w:rPr>
          <w:rStyle w:val="28"/>
          <w:rFonts w:hint="eastAsia"/>
          <w:lang w:eastAsia="zh-CN"/>
        </w:rPr>
        <w:t>）</w:t>
      </w:r>
      <w:r>
        <w:rPr>
          <w:rStyle w:val="28"/>
          <w:rFonts w:hint="eastAsia"/>
          <w:lang w:val="en-US" w:eastAsia="zh-CN"/>
        </w:rPr>
        <w:t>加大施工作业现场的安全隐患排查治理力度。</w:t>
      </w:r>
      <w:bookmarkEnd w:id="220"/>
      <w:bookmarkEnd w:id="221"/>
      <w:bookmarkEnd w:id="222"/>
      <w:bookmarkEnd w:id="223"/>
      <w:r>
        <w:rPr>
          <w:rFonts w:hint="eastAsia"/>
          <w:lang w:val="en-US" w:eastAsia="zh-CN"/>
        </w:rPr>
        <w:t>各工程参建单位要深刻吸取事故教训，采取有力措施，全面排查、排序、排除事故隐患。及时检查、发现和制止现场施工人员违章违规行为，杜绝野蛮施工行为发生；严格按规定编制并执行危险性较大部分分项工程专项施工方案；加强现场检查，及时检查、发现和整治重大安全隐患;杜绝施工中的“三违”作业（违章操作、违章指挥、违反劳动纪律）现象，切实改变施工现场混乱局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224" w:name="_Toc16771"/>
      <w:bookmarkStart w:id="225" w:name="_Toc1006"/>
      <w:bookmarkStart w:id="226" w:name="_Toc22694"/>
      <w:bookmarkStart w:id="227" w:name="_Toc5260"/>
      <w:r>
        <w:rPr>
          <w:rStyle w:val="28"/>
          <w:rFonts w:hint="eastAsia"/>
          <w:lang w:val="en-US" w:eastAsia="zh-CN"/>
        </w:rPr>
        <w:t>（四）加强从业人员安全生产教育和培训。</w:t>
      </w:r>
      <w:bookmarkEnd w:id="224"/>
      <w:bookmarkEnd w:id="225"/>
      <w:bookmarkEnd w:id="226"/>
      <w:bookmarkEnd w:id="227"/>
      <w:r>
        <w:rPr>
          <w:rStyle w:val="28"/>
          <w:rFonts w:hint="eastAsia"/>
          <w:lang w:val="en-US" w:eastAsia="zh-CN"/>
        </w:rPr>
        <w:t>各工程参建单位要</w:t>
      </w:r>
      <w:r>
        <w:rPr>
          <w:rFonts w:hint="eastAsia"/>
          <w:lang w:val="en-US" w:eastAsia="zh-CN"/>
        </w:rPr>
        <w:t>确保每个员工具备必要的安全生产知识，熟悉有关的安全生产规章制度和操作规程，严格执行各项安全技术标准、安全措施，遵守安全技术交底制度的规定，提高各类人员的安全管理水平和安全技术素质。严格按照《中华人民共和国安全生产法》、《建筑施工特种作业人员管理规定》、吊装作业“十不吊”等规定加强起重作业、高处作业等特种作业人员安全管理，落实持证上岗制度。</w:t>
      </w:r>
    </w:p>
    <w:p>
      <w:pPr>
        <w:pStyle w:val="2"/>
        <w:rPr>
          <w:rFonts w:hint="eastAsia"/>
          <w:lang w:val="en-US" w:eastAsia="zh-CN"/>
        </w:rPr>
      </w:pP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p>
    <w:sectPr>
      <w:headerReference r:id="rId4" w:type="default"/>
      <w:footerReference r:id="rId5" w:type="default"/>
      <w:footnotePr>
        <w:numFmt w:val="decimal"/>
      </w:footnotePr>
      <w:pgSz w:w="11906" w:h="16838"/>
      <w:pgMar w:top="2098" w:right="1474" w:bottom="1984" w:left="1587" w:header="851" w:footer="992" w:gutter="0"/>
      <w:pgNumType w:fmt="numberInDash"/>
      <w:cols w:space="72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rPr>
                            <w:t>1</w:t>
                          </w:r>
                          <w:r>
                            <w:rPr>
                              <w:rFonts w:hint="eastAsia" w:ascii="宋体" w:hAnsi="宋体" w:eastAsia="宋体" w:cs="宋体"/>
                              <w:sz w:val="24"/>
                              <w:szCs w:val="24"/>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EkIMcBAACa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UBJHLc48cvPH5dffy6/v5Nl&#10;1qcPUGPafcDENLzzA+bOfkBnpj2oaPMXCRGMI9T5qq4cEhH50Xq1XlcYEhibL4jPHp6HCOm99JZk&#10;o6ERx1dU5aePkMbUOSVXc/5OG1NGaNw/DsTMHpZ7H3vMVhr2w0Ro79sz8ulx8g11uOiUmA8OhcX+&#10;0mzE2djPxjFEfejKFuV6EG6PCZsoveUKI+xUGEdW2E3rlXfi8b1kPfxS2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ZUEkIMcBAACaAwAADgAAAAAAAAABACAAAAAeAQAAZHJzL2Uyb0RvYy54&#10;bWxQSwUGAAAAAAYABgBZAQAAVwU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rPr>
                      <w:t>1</w:t>
                    </w:r>
                    <w:r>
                      <w:rPr>
                        <w:rFonts w:hint="eastAsia" w:ascii="宋体" w:hAnsi="宋体" w:eastAsia="宋体" w:cs="宋体"/>
                        <w:sz w:val="24"/>
                        <w:szCs w:val="24"/>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pPr>
        <w:pStyle w:val="15"/>
        <w:snapToGrid w:val="0"/>
        <w:rPr>
          <w:rFonts w:hint="eastAsia"/>
        </w:rPr>
      </w:pPr>
      <w:r>
        <w:rPr>
          <w:rFonts w:hint="eastAsia" w:cs="Times New Roman"/>
          <w:lang w:val="en-US" w:eastAsia="zh-CN"/>
        </w:rPr>
        <w:t>[</w:t>
      </w:r>
      <w:r>
        <w:rPr>
          <w:rFonts w:hint="eastAsia" w:cs="Times New Roman"/>
          <w:lang w:val="en-US" w:eastAsia="zh-CN"/>
        </w:rPr>
        <w:footnoteRef/>
      </w:r>
      <w:r>
        <w:rPr>
          <w:rFonts w:hint="eastAsia" w:cs="Times New Roman"/>
          <w:lang w:val="en-US" w:eastAsia="zh-CN"/>
        </w:rPr>
        <w:t xml:space="preserve">] </w:t>
      </w:r>
      <w:r>
        <w:rPr>
          <w:rFonts w:hint="eastAsia"/>
          <w:lang w:eastAsia="zh-CN"/>
        </w:rPr>
        <w:t>《</w:t>
      </w:r>
      <w:r>
        <w:rPr>
          <w:rFonts w:hint="eastAsia"/>
          <w:lang w:val="en-US" w:eastAsia="zh-CN"/>
        </w:rPr>
        <w:t>中华人民共和国安全生产法</w:t>
      </w:r>
      <w:r>
        <w:rPr>
          <w:rFonts w:hint="eastAsia"/>
          <w:lang w:eastAsia="zh-CN"/>
        </w:rPr>
        <w:t>》</w:t>
      </w:r>
      <w:r>
        <w:rPr>
          <w:rFonts w:hint="eastAsia"/>
        </w:rPr>
        <w:t>第五十七条</w:t>
      </w:r>
      <w:r>
        <w:rPr>
          <w:rFonts w:hint="eastAsia"/>
          <w:lang w:eastAsia="zh-CN"/>
        </w:rPr>
        <w:t>：</w:t>
      </w:r>
      <w:r>
        <w:rPr>
          <w:rFonts w:hint="eastAsia"/>
        </w:rPr>
        <w:t>从业人员在作业过程中，应当严格落实岗位安全责任，遵守本单位的安全生产规章制度和操作规程，服从管理，正确佩戴和使用劳动防护用品。</w:t>
      </w:r>
    </w:p>
    <w:p>
      <w:pPr>
        <w:pStyle w:val="15"/>
        <w:snapToGrid w:val="0"/>
        <w:ind w:firstLine="360" w:firstLineChars="200"/>
        <w:rPr>
          <w:rFonts w:hint="default"/>
          <w:lang w:val="en-US" w:eastAsia="zh-CN"/>
        </w:rPr>
      </w:pPr>
      <w:r>
        <w:rPr>
          <w:rFonts w:hint="eastAsia" w:cs="Times New Roman"/>
          <w:lang w:val="en-US" w:eastAsia="zh-CN"/>
        </w:rPr>
        <w:t>《建</w:t>
      </w:r>
      <w:r>
        <w:rPr>
          <w:rFonts w:hint="eastAsia"/>
        </w:rPr>
        <w:t>筑施工起重吊装工程安全技术规范</w:t>
      </w:r>
      <w:r>
        <w:rPr>
          <w:rFonts w:hint="eastAsia"/>
          <w:lang w:eastAsia="zh-CN"/>
        </w:rPr>
        <w:t>》（JGJ 276-2012）</w:t>
      </w:r>
      <w:r>
        <w:rPr>
          <w:rFonts w:hint="eastAsia"/>
          <w:lang w:val="en-US" w:eastAsia="zh-CN"/>
        </w:rPr>
        <w:t>3.0.18</w:t>
      </w:r>
      <w:r>
        <w:rPr>
          <w:rFonts w:hint="eastAsia"/>
          <w:lang w:eastAsia="zh-CN"/>
        </w:rPr>
        <w:t>：</w:t>
      </w:r>
      <w:r>
        <w:rPr>
          <w:rFonts w:hint="eastAsia"/>
          <w:lang w:val="en-US" w:eastAsia="zh-CN"/>
        </w:rPr>
        <w:t xml:space="preserve"> ......严禁在已吊起的构件下面或起重臂下旋转范围内作业或行走......</w:t>
      </w:r>
    </w:p>
  </w:footnote>
  <w:footnote w:id="1">
    <w:p>
      <w:pPr>
        <w:pStyle w:val="15"/>
        <w:snapToGrid w:val="0"/>
        <w:rPr>
          <w:rFonts w:hint="default" w:eastAsia="宋体"/>
          <w:lang w:val="en-US" w:eastAsia="zh-CN"/>
        </w:rPr>
      </w:pPr>
      <w:r>
        <w:rPr>
          <w:rFonts w:hint="eastAsia" w:cs="Times New Roman"/>
        </w:rPr>
        <w:t>[</w:t>
      </w:r>
      <w:r>
        <w:rPr>
          <w:rFonts w:hint="eastAsia" w:cs="Times New Roman"/>
        </w:rPr>
        <w:footnoteRef/>
      </w:r>
      <w:r>
        <w:rPr>
          <w:rFonts w:hint="eastAsia" w:cs="Times New Roman"/>
        </w:rPr>
        <w:t xml:space="preserve">] </w:t>
      </w:r>
      <w:r>
        <w:rPr>
          <w:rFonts w:hint="eastAsia" w:cs="Times New Roman"/>
          <w:lang w:eastAsia="zh-CN"/>
        </w:rPr>
        <w:t>《</w:t>
      </w:r>
      <w:r>
        <w:rPr>
          <w:rFonts w:hint="eastAsia"/>
        </w:rPr>
        <w:t>危险性较大的分部分项工程安全管理规定</w:t>
      </w:r>
      <w:r>
        <w:rPr>
          <w:rFonts w:hint="eastAsia"/>
          <w:lang w:eastAsia="zh-CN"/>
        </w:rPr>
        <w:t>》</w:t>
      </w:r>
      <w:r>
        <w:rPr>
          <w:rFonts w:hint="eastAsia"/>
          <w:lang w:val="en-US" w:eastAsia="zh-CN"/>
        </w:rPr>
        <w:t xml:space="preserve"> 第十六条</w:t>
      </w:r>
      <w:r>
        <w:rPr>
          <w:rFonts w:hint="eastAsia"/>
          <w:lang w:eastAsia="zh-CN"/>
        </w:rPr>
        <w:t>：</w:t>
      </w:r>
      <w:r>
        <w:rPr>
          <w:rFonts w:hint="eastAsia"/>
          <w:lang w:val="en-US" w:eastAsia="zh-CN"/>
        </w:rPr>
        <w:t>施工单位应当严格按照专项施工方案组织施工，不得擅自修改专项施工方案。</w:t>
      </w:r>
    </w:p>
  </w:footnote>
  <w:footnote w:id="2">
    <w:p>
      <w:pPr>
        <w:pStyle w:val="15"/>
        <w:snapToGrid w:val="0"/>
        <w:rPr>
          <w:rFonts w:hint="default" w:eastAsia="宋体"/>
          <w:lang w:val="en-US" w:eastAsia="zh-CN"/>
        </w:rPr>
      </w:pPr>
      <w:r>
        <w:rPr>
          <w:rFonts w:hint="eastAsia" w:cs="Times New Roman"/>
        </w:rPr>
        <w:t>[</w:t>
      </w:r>
      <w:r>
        <w:rPr>
          <w:rFonts w:hint="eastAsia" w:cs="Times New Roman"/>
        </w:rPr>
        <w:footnoteRef/>
      </w:r>
      <w:r>
        <w:rPr>
          <w:rFonts w:hint="eastAsia" w:cs="Times New Roman"/>
        </w:rPr>
        <w:t>] 《中华人民共和国安全生产法》第四十一条</w:t>
      </w:r>
      <w:r>
        <w:rPr>
          <w:rFonts w:hint="eastAsia"/>
          <w:lang w:eastAsia="zh-CN"/>
        </w:rPr>
        <w:t>：</w:t>
      </w:r>
      <w:r>
        <w:rPr>
          <w:rFonts w:hint="eastAsia" w:cs="Times New Roman"/>
          <w:lang w:val="en-US" w:eastAsia="zh-CN"/>
        </w:rPr>
        <w:t>...</w:t>
      </w:r>
      <w:r>
        <w:rPr>
          <w:rFonts w:hint="eastAsia" w:cs="Times New Roman"/>
        </w:rPr>
        <w:t>生产经营单位应当建立健全并落实生产安全事故隐患排查治理制度，采取技术、管理措施，及时发现并消除事故隐患</w:t>
      </w:r>
      <w:r>
        <w:rPr>
          <w:rFonts w:hint="eastAsia" w:cs="Times New Roman"/>
          <w:lang w:val="en-US" w:eastAsia="zh-CN"/>
        </w:rPr>
        <w:t>...</w:t>
      </w:r>
    </w:p>
  </w:footnote>
  <w:footnote w:id="3">
    <w:p>
      <w:pPr>
        <w:pStyle w:val="15"/>
        <w:snapToGrid w:val="0"/>
        <w:rPr>
          <w:rFonts w:hint="eastAsia"/>
        </w:rPr>
      </w:pPr>
      <w:r>
        <w:rPr>
          <w:rFonts w:hint="eastAsia" w:cs="Times New Roman"/>
          <w:lang w:val="en-US" w:eastAsia="zh-CN"/>
        </w:rPr>
        <w:t>[</w:t>
      </w:r>
      <w:r>
        <w:rPr>
          <w:rFonts w:hint="eastAsia" w:cs="Times New Roman"/>
          <w:lang w:val="en-US" w:eastAsia="zh-CN"/>
        </w:rPr>
        <w:footnoteRef/>
      </w:r>
      <w:r>
        <w:rPr>
          <w:rFonts w:hint="eastAsia" w:cs="Times New Roman"/>
          <w:lang w:val="en-US" w:eastAsia="zh-CN"/>
        </w:rPr>
        <w:t>] 《中</w:t>
      </w:r>
      <w:r>
        <w:rPr>
          <w:rFonts w:hint="eastAsia"/>
          <w:lang w:val="en-US" w:eastAsia="zh-CN"/>
        </w:rPr>
        <w:t>华人民共和国安全生产法</w:t>
      </w:r>
      <w:r>
        <w:rPr>
          <w:rFonts w:hint="eastAsia"/>
          <w:lang w:eastAsia="zh-CN"/>
        </w:rPr>
        <w:t>》</w:t>
      </w:r>
      <w:r>
        <w:rPr>
          <w:rFonts w:hint="eastAsia"/>
          <w:lang w:val="en-US" w:eastAsia="zh-CN"/>
        </w:rPr>
        <w:t xml:space="preserve"> </w:t>
      </w:r>
      <w:r>
        <w:rPr>
          <w:rFonts w:hint="eastAsia"/>
        </w:rPr>
        <w:t>第三十条</w:t>
      </w:r>
      <w:r>
        <w:rPr>
          <w:rFonts w:hint="eastAsia"/>
          <w:lang w:eastAsia="zh-CN"/>
        </w:rPr>
        <w:t>：</w:t>
      </w:r>
      <w:r>
        <w:rPr>
          <w:rFonts w:hint="eastAsia"/>
        </w:rPr>
        <w:t>生产经营单位的特种作业人员必须按照国家有关规定经专门的安全作业培训，取得相应资格，方可上岗作业。</w:t>
      </w:r>
    </w:p>
    <w:p>
      <w:pPr>
        <w:pStyle w:val="15"/>
        <w:snapToGrid w:val="0"/>
        <w:ind w:firstLine="360" w:firstLineChars="200"/>
        <w:rPr>
          <w:rFonts w:hint="eastAsia"/>
          <w:lang w:val="en-US" w:eastAsia="zh-CN"/>
        </w:rPr>
      </w:pPr>
      <w:r>
        <w:rPr>
          <w:rFonts w:hint="eastAsia"/>
          <w:lang w:eastAsia="zh-CN"/>
        </w:rPr>
        <w:t>《建筑施工特种作业人员管理规定》</w:t>
      </w:r>
      <w:r>
        <w:rPr>
          <w:rFonts w:hint="eastAsia"/>
          <w:lang w:val="en-US" w:eastAsia="zh-CN"/>
        </w:rPr>
        <w:t xml:space="preserve"> </w:t>
      </w:r>
      <w:r>
        <w:rPr>
          <w:rFonts w:hint="eastAsia"/>
          <w:lang w:eastAsia="zh-CN"/>
        </w:rPr>
        <w:t>第三条：建筑施工特种作业包括：</w:t>
      </w:r>
      <w:r>
        <w:rPr>
          <w:rFonts w:hint="eastAsia"/>
          <w:lang w:val="en-US" w:eastAsia="zh-CN"/>
        </w:rPr>
        <w:t>...</w:t>
      </w:r>
      <w:r>
        <w:rPr>
          <w:rFonts w:hint="eastAsia"/>
          <w:lang w:eastAsia="zh-CN"/>
        </w:rPr>
        <w:t>（三）建筑起重信号司索工</w:t>
      </w:r>
      <w:r>
        <w:rPr>
          <w:rFonts w:hint="eastAsia"/>
          <w:lang w:val="en-US" w:eastAsia="zh-CN"/>
        </w:rPr>
        <w:t>...</w:t>
      </w:r>
    </w:p>
    <w:p>
      <w:pPr>
        <w:pStyle w:val="15"/>
        <w:snapToGrid w:val="0"/>
        <w:rPr>
          <w:rFonts w:hint="eastAsia" w:cs="Times New Roman"/>
          <w:lang w:val="en-US" w:eastAsia="zh-CN"/>
        </w:rPr>
      </w:pPr>
      <w:r>
        <w:rPr>
          <w:rFonts w:hint="eastAsia"/>
          <w:lang w:eastAsia="zh-CN"/>
        </w:rPr>
        <w:t>第四条 建筑施工特种作业人员必须经建设主管部门考核合格，取得建筑施工特种作业人员操作资格证书</w:t>
      </w:r>
      <w:r>
        <w:rPr>
          <w:rFonts w:hint="eastAsia" w:cs="Times New Roman"/>
          <w:lang w:val="en-US" w:eastAsia="zh-CN"/>
        </w:rPr>
        <w:t>，方可上岗从事相应作业。</w:t>
      </w:r>
    </w:p>
  </w:footnote>
  <w:footnote w:id="4">
    <w:p>
      <w:pPr>
        <w:pStyle w:val="15"/>
        <w:snapToGrid w:val="0"/>
      </w:pPr>
      <w:r>
        <w:rPr>
          <w:rFonts w:hint="eastAsia" w:cs="Times New Roman"/>
          <w:lang w:val="en-US" w:eastAsia="zh-CN"/>
        </w:rPr>
        <w:t>[</w:t>
      </w:r>
      <w:r>
        <w:rPr>
          <w:rFonts w:hint="eastAsia" w:cs="Times New Roman"/>
          <w:lang w:val="en-US" w:eastAsia="zh-CN"/>
        </w:rPr>
        <w:footnoteRef/>
      </w:r>
      <w:r>
        <w:rPr>
          <w:rFonts w:hint="eastAsia" w:cs="Times New Roman"/>
          <w:lang w:val="en-US" w:eastAsia="zh-CN"/>
        </w:rPr>
        <w:t>] 《中</w:t>
      </w:r>
      <w:r>
        <w:rPr>
          <w:rFonts w:hint="eastAsia"/>
          <w:lang w:val="en-US" w:eastAsia="zh-CN"/>
        </w:rPr>
        <w:t>华人民共和国安全生产法</w:t>
      </w:r>
      <w:r>
        <w:rPr>
          <w:rFonts w:hint="eastAsia"/>
          <w:lang w:eastAsia="zh-CN"/>
        </w:rPr>
        <w:t>》</w:t>
      </w:r>
      <w:r>
        <w:rPr>
          <w:rFonts w:hint="eastAsia"/>
        </w:rPr>
        <w:t>第四十三条</w:t>
      </w:r>
      <w:r>
        <w:rPr>
          <w:rFonts w:hint="eastAsia"/>
          <w:lang w:eastAsia="zh-CN"/>
        </w:rPr>
        <w:t>：</w:t>
      </w:r>
      <w:r>
        <w:rPr>
          <w:rFonts w:hint="eastAsia"/>
        </w:rPr>
        <w:t>生产经营单位进行爆破、吊装、动火、临时用电以及国务院应急管理部门会同国务院有关部门规定的其他危险作业，应当安排专门人员进行现场安全管理，确保操作规程的遵守和安全措施的落实。</w:t>
      </w:r>
    </w:p>
  </w:footnote>
  <w:footnote w:id="5">
    <w:p>
      <w:pPr>
        <w:pStyle w:val="15"/>
        <w:snapToGrid w:val="0"/>
        <w:rPr>
          <w:rFonts w:hint="eastAsia" w:cs="Times New Roman"/>
        </w:rPr>
      </w:pPr>
      <w:r>
        <w:rPr>
          <w:rFonts w:hint="eastAsia" w:cs="Times New Roman"/>
        </w:rPr>
        <w:t>[</w:t>
      </w:r>
      <w:r>
        <w:rPr>
          <w:rFonts w:hint="eastAsia" w:cs="Times New Roman"/>
        </w:rPr>
        <w:footnoteRef/>
      </w:r>
      <w:r>
        <w:rPr>
          <w:rFonts w:hint="eastAsia" w:cs="Times New Roman"/>
        </w:rPr>
        <w:t>] 《中华人民共和国安全生产法》第二十八条</w:t>
      </w:r>
      <w:r>
        <w:rPr>
          <w:rFonts w:hint="eastAsia"/>
          <w:lang w:eastAsia="zh-CN"/>
        </w:rPr>
        <w:t>：</w:t>
      </w:r>
      <w:r>
        <w:rPr>
          <w:rFonts w:hint="eastAsia" w:cs="Times New Roma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6">
    <w:p>
      <w:pPr>
        <w:pStyle w:val="15"/>
        <w:snapToGrid w:val="0"/>
      </w:pPr>
      <w:r>
        <w:rPr>
          <w:rFonts w:hint="eastAsia"/>
        </w:rPr>
        <w:t>[</w:t>
      </w:r>
      <w:r>
        <w:rPr>
          <w:rFonts w:hint="eastAsia"/>
        </w:rPr>
        <w:footnoteRef/>
      </w:r>
      <w:r>
        <w:rPr>
          <w:rFonts w:hint="eastAsia"/>
        </w:rPr>
        <w:t>] 《中华人民共和国安全生产法》第</w:t>
      </w:r>
      <w:r>
        <w:rPr>
          <w:rFonts w:hint="eastAsia"/>
          <w:lang w:val="en-US" w:eastAsia="zh-CN"/>
        </w:rPr>
        <w:t>四十九</w:t>
      </w:r>
      <w:r>
        <w:rPr>
          <w:rFonts w:hint="eastAsia"/>
        </w:rPr>
        <w:t>条</w:t>
      </w:r>
      <w:r>
        <w:rPr>
          <w:rFonts w:hint="eastAsia"/>
          <w:lang w:val="en-US" w:eastAsia="zh-CN"/>
        </w:rPr>
        <w:t>第二款</w:t>
      </w:r>
      <w:r>
        <w:rPr>
          <w:rFonts w:hint="eastAsi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220"/>
  <w:displayHorizontalDrawingGridEvery w:val="1"/>
  <w:displayVerticalDrawingGridEvery w:val="2"/>
  <w:noPunctuationKerning w:val="1"/>
  <w:characterSpacingControl w:val="compressPunctuation"/>
  <w:hdrShapeDefaults>
    <o:shapelayout v:ext="edit">
      <o:idmap v:ext="edit" data="3"/>
    </o:shapelayout>
  </w:hdrShapeDefaults>
  <w:footnotePr>
    <w:footnote w:id="14"/>
    <w:footnote w:id="15"/>
  </w:foot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lMjgwZDdkZWQ0MjAyMTNmMDFhOGFkM2IzNTQxNjMifQ=="/>
  </w:docVars>
  <w:rsids>
    <w:rsidRoot w:val="00172A27"/>
    <w:rsid w:val="00000863"/>
    <w:rsid w:val="00002209"/>
    <w:rsid w:val="00003147"/>
    <w:rsid w:val="0000325B"/>
    <w:rsid w:val="000046C3"/>
    <w:rsid w:val="000078B4"/>
    <w:rsid w:val="00010AF0"/>
    <w:rsid w:val="00010FDB"/>
    <w:rsid w:val="00012D51"/>
    <w:rsid w:val="00012FC9"/>
    <w:rsid w:val="00013336"/>
    <w:rsid w:val="000158D0"/>
    <w:rsid w:val="0002037C"/>
    <w:rsid w:val="00022138"/>
    <w:rsid w:val="00022518"/>
    <w:rsid w:val="00023C4D"/>
    <w:rsid w:val="00023F49"/>
    <w:rsid w:val="0002450C"/>
    <w:rsid w:val="00025B11"/>
    <w:rsid w:val="000278A5"/>
    <w:rsid w:val="000307A6"/>
    <w:rsid w:val="00036054"/>
    <w:rsid w:val="00036E9D"/>
    <w:rsid w:val="000402F3"/>
    <w:rsid w:val="00040995"/>
    <w:rsid w:val="000436F2"/>
    <w:rsid w:val="00045523"/>
    <w:rsid w:val="00045C63"/>
    <w:rsid w:val="0004763F"/>
    <w:rsid w:val="00047E6D"/>
    <w:rsid w:val="00051407"/>
    <w:rsid w:val="00051B6A"/>
    <w:rsid w:val="00051C8D"/>
    <w:rsid w:val="000530EC"/>
    <w:rsid w:val="000535E1"/>
    <w:rsid w:val="00056FA6"/>
    <w:rsid w:val="00057ECD"/>
    <w:rsid w:val="00060F4C"/>
    <w:rsid w:val="0006356A"/>
    <w:rsid w:val="000640CF"/>
    <w:rsid w:val="00065356"/>
    <w:rsid w:val="0006556B"/>
    <w:rsid w:val="00065ADB"/>
    <w:rsid w:val="00065BBA"/>
    <w:rsid w:val="00065D0B"/>
    <w:rsid w:val="00066E0F"/>
    <w:rsid w:val="00070562"/>
    <w:rsid w:val="00071C75"/>
    <w:rsid w:val="00073731"/>
    <w:rsid w:val="00073BE1"/>
    <w:rsid w:val="00081EE8"/>
    <w:rsid w:val="000822A6"/>
    <w:rsid w:val="00082EAA"/>
    <w:rsid w:val="000830F2"/>
    <w:rsid w:val="000833E2"/>
    <w:rsid w:val="00085C3C"/>
    <w:rsid w:val="00086A99"/>
    <w:rsid w:val="00090AF7"/>
    <w:rsid w:val="00090EA2"/>
    <w:rsid w:val="00091BBA"/>
    <w:rsid w:val="00092837"/>
    <w:rsid w:val="0009477D"/>
    <w:rsid w:val="00094CA9"/>
    <w:rsid w:val="000950B5"/>
    <w:rsid w:val="000A4571"/>
    <w:rsid w:val="000A4B92"/>
    <w:rsid w:val="000A4C76"/>
    <w:rsid w:val="000A4E37"/>
    <w:rsid w:val="000A5604"/>
    <w:rsid w:val="000A65CA"/>
    <w:rsid w:val="000A777D"/>
    <w:rsid w:val="000A7945"/>
    <w:rsid w:val="000B216F"/>
    <w:rsid w:val="000B3665"/>
    <w:rsid w:val="000B4D95"/>
    <w:rsid w:val="000B4F47"/>
    <w:rsid w:val="000B7674"/>
    <w:rsid w:val="000C1230"/>
    <w:rsid w:val="000C18BD"/>
    <w:rsid w:val="000C1A72"/>
    <w:rsid w:val="000C5687"/>
    <w:rsid w:val="000C684C"/>
    <w:rsid w:val="000D02E1"/>
    <w:rsid w:val="000D17FD"/>
    <w:rsid w:val="000D1BF1"/>
    <w:rsid w:val="000D1EB0"/>
    <w:rsid w:val="000D2256"/>
    <w:rsid w:val="000D3539"/>
    <w:rsid w:val="000D4D4F"/>
    <w:rsid w:val="000D58C3"/>
    <w:rsid w:val="000D6B51"/>
    <w:rsid w:val="000D6EC7"/>
    <w:rsid w:val="000E0109"/>
    <w:rsid w:val="000E0F08"/>
    <w:rsid w:val="000E112E"/>
    <w:rsid w:val="000E1D41"/>
    <w:rsid w:val="000E40BE"/>
    <w:rsid w:val="000E53E1"/>
    <w:rsid w:val="000E54F3"/>
    <w:rsid w:val="000E6114"/>
    <w:rsid w:val="000E634E"/>
    <w:rsid w:val="000E6A7D"/>
    <w:rsid w:val="000E7638"/>
    <w:rsid w:val="000F0702"/>
    <w:rsid w:val="000F0AE1"/>
    <w:rsid w:val="000F0EFE"/>
    <w:rsid w:val="000F4635"/>
    <w:rsid w:val="000F464D"/>
    <w:rsid w:val="000F6CD2"/>
    <w:rsid w:val="000F728A"/>
    <w:rsid w:val="000F7366"/>
    <w:rsid w:val="001014A9"/>
    <w:rsid w:val="0010305A"/>
    <w:rsid w:val="00103C7A"/>
    <w:rsid w:val="00104D22"/>
    <w:rsid w:val="001060C9"/>
    <w:rsid w:val="001104A2"/>
    <w:rsid w:val="0011081E"/>
    <w:rsid w:val="001109C8"/>
    <w:rsid w:val="00111C59"/>
    <w:rsid w:val="0011383E"/>
    <w:rsid w:val="00113DC3"/>
    <w:rsid w:val="001146AF"/>
    <w:rsid w:val="001154E2"/>
    <w:rsid w:val="00117C77"/>
    <w:rsid w:val="0012030A"/>
    <w:rsid w:val="0012141F"/>
    <w:rsid w:val="00121438"/>
    <w:rsid w:val="001216CD"/>
    <w:rsid w:val="00121851"/>
    <w:rsid w:val="00121FF6"/>
    <w:rsid w:val="00123730"/>
    <w:rsid w:val="00124295"/>
    <w:rsid w:val="00125B43"/>
    <w:rsid w:val="001269E4"/>
    <w:rsid w:val="00127807"/>
    <w:rsid w:val="0013150F"/>
    <w:rsid w:val="00132CE4"/>
    <w:rsid w:val="00133B7D"/>
    <w:rsid w:val="00135C0F"/>
    <w:rsid w:val="001401D8"/>
    <w:rsid w:val="00140311"/>
    <w:rsid w:val="001412DE"/>
    <w:rsid w:val="00145101"/>
    <w:rsid w:val="0014571C"/>
    <w:rsid w:val="001473AA"/>
    <w:rsid w:val="00151C80"/>
    <w:rsid w:val="00152277"/>
    <w:rsid w:val="00162D3F"/>
    <w:rsid w:val="001632C2"/>
    <w:rsid w:val="00163D8A"/>
    <w:rsid w:val="00164953"/>
    <w:rsid w:val="00164E01"/>
    <w:rsid w:val="00165697"/>
    <w:rsid w:val="001677CA"/>
    <w:rsid w:val="00167B85"/>
    <w:rsid w:val="00170B13"/>
    <w:rsid w:val="00174234"/>
    <w:rsid w:val="00176560"/>
    <w:rsid w:val="00176883"/>
    <w:rsid w:val="00176AAF"/>
    <w:rsid w:val="001774DF"/>
    <w:rsid w:val="00177BF4"/>
    <w:rsid w:val="00190E41"/>
    <w:rsid w:val="00195110"/>
    <w:rsid w:val="001967B8"/>
    <w:rsid w:val="001A0FB7"/>
    <w:rsid w:val="001A3BA1"/>
    <w:rsid w:val="001A4AC7"/>
    <w:rsid w:val="001A7967"/>
    <w:rsid w:val="001B0A20"/>
    <w:rsid w:val="001B0F27"/>
    <w:rsid w:val="001B3F2E"/>
    <w:rsid w:val="001B41A7"/>
    <w:rsid w:val="001B4D81"/>
    <w:rsid w:val="001B5DD5"/>
    <w:rsid w:val="001B668F"/>
    <w:rsid w:val="001B70B5"/>
    <w:rsid w:val="001B77F1"/>
    <w:rsid w:val="001C25A0"/>
    <w:rsid w:val="001C39BB"/>
    <w:rsid w:val="001C584B"/>
    <w:rsid w:val="001D2823"/>
    <w:rsid w:val="001D29C7"/>
    <w:rsid w:val="001D55C3"/>
    <w:rsid w:val="001D7AB7"/>
    <w:rsid w:val="001E042D"/>
    <w:rsid w:val="001E0633"/>
    <w:rsid w:val="001E0DAC"/>
    <w:rsid w:val="001E26A0"/>
    <w:rsid w:val="001E3412"/>
    <w:rsid w:val="001E5331"/>
    <w:rsid w:val="001F126C"/>
    <w:rsid w:val="001F138F"/>
    <w:rsid w:val="001F29B3"/>
    <w:rsid w:val="001F7430"/>
    <w:rsid w:val="0020168E"/>
    <w:rsid w:val="0020244D"/>
    <w:rsid w:val="00203FDD"/>
    <w:rsid w:val="00210E26"/>
    <w:rsid w:val="00211FBA"/>
    <w:rsid w:val="002177A6"/>
    <w:rsid w:val="002206C9"/>
    <w:rsid w:val="00222F50"/>
    <w:rsid w:val="002243D6"/>
    <w:rsid w:val="00224C54"/>
    <w:rsid w:val="002305F0"/>
    <w:rsid w:val="00231134"/>
    <w:rsid w:val="00232627"/>
    <w:rsid w:val="00232B7B"/>
    <w:rsid w:val="00233B5C"/>
    <w:rsid w:val="00237D6C"/>
    <w:rsid w:val="00240DF4"/>
    <w:rsid w:val="00241964"/>
    <w:rsid w:val="00242082"/>
    <w:rsid w:val="002434D3"/>
    <w:rsid w:val="00243E30"/>
    <w:rsid w:val="00244876"/>
    <w:rsid w:val="00244B19"/>
    <w:rsid w:val="00245AF5"/>
    <w:rsid w:val="00252154"/>
    <w:rsid w:val="00255B8E"/>
    <w:rsid w:val="00256424"/>
    <w:rsid w:val="00264771"/>
    <w:rsid w:val="00266190"/>
    <w:rsid w:val="0026709A"/>
    <w:rsid w:val="00267EC2"/>
    <w:rsid w:val="00270805"/>
    <w:rsid w:val="002736A5"/>
    <w:rsid w:val="00273CFF"/>
    <w:rsid w:val="0027426E"/>
    <w:rsid w:val="00276716"/>
    <w:rsid w:val="002769F0"/>
    <w:rsid w:val="00276FE5"/>
    <w:rsid w:val="00280BCB"/>
    <w:rsid w:val="002834B9"/>
    <w:rsid w:val="00284738"/>
    <w:rsid w:val="00285B9A"/>
    <w:rsid w:val="00286401"/>
    <w:rsid w:val="00286B85"/>
    <w:rsid w:val="00291265"/>
    <w:rsid w:val="00291CB0"/>
    <w:rsid w:val="00292B78"/>
    <w:rsid w:val="00293306"/>
    <w:rsid w:val="00294ABC"/>
    <w:rsid w:val="00296629"/>
    <w:rsid w:val="00297D84"/>
    <w:rsid w:val="002A3B58"/>
    <w:rsid w:val="002A401C"/>
    <w:rsid w:val="002A7142"/>
    <w:rsid w:val="002A72DC"/>
    <w:rsid w:val="002B1D53"/>
    <w:rsid w:val="002B3896"/>
    <w:rsid w:val="002B4878"/>
    <w:rsid w:val="002B6B94"/>
    <w:rsid w:val="002B74B1"/>
    <w:rsid w:val="002C0DC7"/>
    <w:rsid w:val="002D0372"/>
    <w:rsid w:val="002D03B3"/>
    <w:rsid w:val="002D1673"/>
    <w:rsid w:val="002D3E3E"/>
    <w:rsid w:val="002D4F05"/>
    <w:rsid w:val="002D7280"/>
    <w:rsid w:val="002E0263"/>
    <w:rsid w:val="002E05EB"/>
    <w:rsid w:val="002E2199"/>
    <w:rsid w:val="002E3C7E"/>
    <w:rsid w:val="002E3F55"/>
    <w:rsid w:val="002F1476"/>
    <w:rsid w:val="002F1C20"/>
    <w:rsid w:val="002F4243"/>
    <w:rsid w:val="002F451D"/>
    <w:rsid w:val="002F4DFB"/>
    <w:rsid w:val="002F4F78"/>
    <w:rsid w:val="002F695D"/>
    <w:rsid w:val="002F7945"/>
    <w:rsid w:val="002F7E66"/>
    <w:rsid w:val="00301B68"/>
    <w:rsid w:val="003029ED"/>
    <w:rsid w:val="00304119"/>
    <w:rsid w:val="00306336"/>
    <w:rsid w:val="00310509"/>
    <w:rsid w:val="00315ABC"/>
    <w:rsid w:val="003178DF"/>
    <w:rsid w:val="00317FC7"/>
    <w:rsid w:val="0032032B"/>
    <w:rsid w:val="00320CAD"/>
    <w:rsid w:val="00321CEC"/>
    <w:rsid w:val="00321D90"/>
    <w:rsid w:val="00322DFA"/>
    <w:rsid w:val="0032309B"/>
    <w:rsid w:val="00332020"/>
    <w:rsid w:val="00332674"/>
    <w:rsid w:val="003338D9"/>
    <w:rsid w:val="003339A5"/>
    <w:rsid w:val="0033511F"/>
    <w:rsid w:val="00335B95"/>
    <w:rsid w:val="00336259"/>
    <w:rsid w:val="00340B5F"/>
    <w:rsid w:val="003414E8"/>
    <w:rsid w:val="00342B08"/>
    <w:rsid w:val="00344362"/>
    <w:rsid w:val="0034509C"/>
    <w:rsid w:val="0034602A"/>
    <w:rsid w:val="003479FF"/>
    <w:rsid w:val="00351C9E"/>
    <w:rsid w:val="00353463"/>
    <w:rsid w:val="00361720"/>
    <w:rsid w:val="00364118"/>
    <w:rsid w:val="00364ACB"/>
    <w:rsid w:val="00366124"/>
    <w:rsid w:val="0036623B"/>
    <w:rsid w:val="003670C0"/>
    <w:rsid w:val="00370AC1"/>
    <w:rsid w:val="00373D23"/>
    <w:rsid w:val="00374C43"/>
    <w:rsid w:val="003777F6"/>
    <w:rsid w:val="00381AC5"/>
    <w:rsid w:val="00383F34"/>
    <w:rsid w:val="003849D7"/>
    <w:rsid w:val="00384C5F"/>
    <w:rsid w:val="0038500E"/>
    <w:rsid w:val="00387802"/>
    <w:rsid w:val="003948E8"/>
    <w:rsid w:val="0039562F"/>
    <w:rsid w:val="003964C3"/>
    <w:rsid w:val="00396FC5"/>
    <w:rsid w:val="00397C9D"/>
    <w:rsid w:val="003A1EAF"/>
    <w:rsid w:val="003A2CAF"/>
    <w:rsid w:val="003A5994"/>
    <w:rsid w:val="003A635C"/>
    <w:rsid w:val="003A6878"/>
    <w:rsid w:val="003A7216"/>
    <w:rsid w:val="003A7731"/>
    <w:rsid w:val="003B590C"/>
    <w:rsid w:val="003B6F6E"/>
    <w:rsid w:val="003B7270"/>
    <w:rsid w:val="003B7AC2"/>
    <w:rsid w:val="003C027E"/>
    <w:rsid w:val="003C18A2"/>
    <w:rsid w:val="003C26FB"/>
    <w:rsid w:val="003C3F37"/>
    <w:rsid w:val="003C45BE"/>
    <w:rsid w:val="003C47C1"/>
    <w:rsid w:val="003C4FB0"/>
    <w:rsid w:val="003C622B"/>
    <w:rsid w:val="003C7BB5"/>
    <w:rsid w:val="003C7FCE"/>
    <w:rsid w:val="003D094C"/>
    <w:rsid w:val="003D403B"/>
    <w:rsid w:val="003D4343"/>
    <w:rsid w:val="003D49F2"/>
    <w:rsid w:val="003D4B81"/>
    <w:rsid w:val="003D5CCC"/>
    <w:rsid w:val="003D64CC"/>
    <w:rsid w:val="003D6694"/>
    <w:rsid w:val="003E031D"/>
    <w:rsid w:val="003E33F3"/>
    <w:rsid w:val="003E3CE2"/>
    <w:rsid w:val="003E6426"/>
    <w:rsid w:val="003E7830"/>
    <w:rsid w:val="003F0ED8"/>
    <w:rsid w:val="003F17CB"/>
    <w:rsid w:val="003F17D2"/>
    <w:rsid w:val="003F1E46"/>
    <w:rsid w:val="003F4176"/>
    <w:rsid w:val="003F510E"/>
    <w:rsid w:val="003F5992"/>
    <w:rsid w:val="003F6544"/>
    <w:rsid w:val="003F6BA4"/>
    <w:rsid w:val="003F7521"/>
    <w:rsid w:val="003F7FF8"/>
    <w:rsid w:val="00401103"/>
    <w:rsid w:val="00404AAA"/>
    <w:rsid w:val="004059D8"/>
    <w:rsid w:val="004125F0"/>
    <w:rsid w:val="00413DC5"/>
    <w:rsid w:val="00414023"/>
    <w:rsid w:val="00415C13"/>
    <w:rsid w:val="00415E58"/>
    <w:rsid w:val="00415F35"/>
    <w:rsid w:val="0041767F"/>
    <w:rsid w:val="0041771F"/>
    <w:rsid w:val="00417BA2"/>
    <w:rsid w:val="004206F6"/>
    <w:rsid w:val="00422BBE"/>
    <w:rsid w:val="00423241"/>
    <w:rsid w:val="00423421"/>
    <w:rsid w:val="0042434E"/>
    <w:rsid w:val="00427621"/>
    <w:rsid w:val="00427E31"/>
    <w:rsid w:val="0043111A"/>
    <w:rsid w:val="00432DBD"/>
    <w:rsid w:val="00434244"/>
    <w:rsid w:val="00434F3F"/>
    <w:rsid w:val="00435F7C"/>
    <w:rsid w:val="00436043"/>
    <w:rsid w:val="00436CFD"/>
    <w:rsid w:val="00436F32"/>
    <w:rsid w:val="004431DF"/>
    <w:rsid w:val="00444528"/>
    <w:rsid w:val="004453C5"/>
    <w:rsid w:val="00446EE6"/>
    <w:rsid w:val="00447EAE"/>
    <w:rsid w:val="004514F3"/>
    <w:rsid w:val="00455146"/>
    <w:rsid w:val="0045567A"/>
    <w:rsid w:val="00455AF0"/>
    <w:rsid w:val="00463184"/>
    <w:rsid w:val="004636C2"/>
    <w:rsid w:val="00465BB1"/>
    <w:rsid w:val="00466EAC"/>
    <w:rsid w:val="004720BC"/>
    <w:rsid w:val="00472C4E"/>
    <w:rsid w:val="00475080"/>
    <w:rsid w:val="004767FD"/>
    <w:rsid w:val="004804B1"/>
    <w:rsid w:val="004806D5"/>
    <w:rsid w:val="004808F9"/>
    <w:rsid w:val="00481C61"/>
    <w:rsid w:val="00481CAB"/>
    <w:rsid w:val="00484AE3"/>
    <w:rsid w:val="00484D6B"/>
    <w:rsid w:val="00485ADF"/>
    <w:rsid w:val="004863D9"/>
    <w:rsid w:val="004878D5"/>
    <w:rsid w:val="00491D69"/>
    <w:rsid w:val="00496FD6"/>
    <w:rsid w:val="00497BC4"/>
    <w:rsid w:val="004A2D5E"/>
    <w:rsid w:val="004A3459"/>
    <w:rsid w:val="004A4C63"/>
    <w:rsid w:val="004B01B4"/>
    <w:rsid w:val="004B076B"/>
    <w:rsid w:val="004B0B5B"/>
    <w:rsid w:val="004B370B"/>
    <w:rsid w:val="004B4EB8"/>
    <w:rsid w:val="004B5162"/>
    <w:rsid w:val="004B5ECB"/>
    <w:rsid w:val="004B7B52"/>
    <w:rsid w:val="004C07CC"/>
    <w:rsid w:val="004C0926"/>
    <w:rsid w:val="004C2977"/>
    <w:rsid w:val="004C51AB"/>
    <w:rsid w:val="004C6164"/>
    <w:rsid w:val="004C791F"/>
    <w:rsid w:val="004C7AA5"/>
    <w:rsid w:val="004D0CB3"/>
    <w:rsid w:val="004D34F6"/>
    <w:rsid w:val="004D3B9C"/>
    <w:rsid w:val="004D6874"/>
    <w:rsid w:val="004D750D"/>
    <w:rsid w:val="004D77D7"/>
    <w:rsid w:val="004E1BAA"/>
    <w:rsid w:val="004E2874"/>
    <w:rsid w:val="004E52CF"/>
    <w:rsid w:val="004E579C"/>
    <w:rsid w:val="004F18D3"/>
    <w:rsid w:val="004F71CC"/>
    <w:rsid w:val="004F79E1"/>
    <w:rsid w:val="004F7FEA"/>
    <w:rsid w:val="005008E3"/>
    <w:rsid w:val="00502EE6"/>
    <w:rsid w:val="00503F58"/>
    <w:rsid w:val="00506D35"/>
    <w:rsid w:val="005119F7"/>
    <w:rsid w:val="00512AB1"/>
    <w:rsid w:val="005135D6"/>
    <w:rsid w:val="00513C7A"/>
    <w:rsid w:val="00514E45"/>
    <w:rsid w:val="00516F92"/>
    <w:rsid w:val="0051711B"/>
    <w:rsid w:val="00520210"/>
    <w:rsid w:val="00522779"/>
    <w:rsid w:val="00522C91"/>
    <w:rsid w:val="00523256"/>
    <w:rsid w:val="00523754"/>
    <w:rsid w:val="00525CCB"/>
    <w:rsid w:val="00526E1C"/>
    <w:rsid w:val="00527578"/>
    <w:rsid w:val="00530F0F"/>
    <w:rsid w:val="00530F53"/>
    <w:rsid w:val="00531B21"/>
    <w:rsid w:val="00531FC6"/>
    <w:rsid w:val="00533374"/>
    <w:rsid w:val="00534EDB"/>
    <w:rsid w:val="00535A0B"/>
    <w:rsid w:val="00540E64"/>
    <w:rsid w:val="00542381"/>
    <w:rsid w:val="00543523"/>
    <w:rsid w:val="005507FE"/>
    <w:rsid w:val="00551444"/>
    <w:rsid w:val="0055255D"/>
    <w:rsid w:val="005546DA"/>
    <w:rsid w:val="005549DC"/>
    <w:rsid w:val="00556707"/>
    <w:rsid w:val="0056062E"/>
    <w:rsid w:val="0056164C"/>
    <w:rsid w:val="00565B67"/>
    <w:rsid w:val="005675D7"/>
    <w:rsid w:val="00567FFE"/>
    <w:rsid w:val="00570CAD"/>
    <w:rsid w:val="00571DA0"/>
    <w:rsid w:val="00571ED1"/>
    <w:rsid w:val="0057569D"/>
    <w:rsid w:val="005763A3"/>
    <w:rsid w:val="005778E2"/>
    <w:rsid w:val="005804A7"/>
    <w:rsid w:val="0058051B"/>
    <w:rsid w:val="00583AE9"/>
    <w:rsid w:val="00583C47"/>
    <w:rsid w:val="00584A30"/>
    <w:rsid w:val="00586DF8"/>
    <w:rsid w:val="00587169"/>
    <w:rsid w:val="00587A06"/>
    <w:rsid w:val="00587C90"/>
    <w:rsid w:val="00595CCF"/>
    <w:rsid w:val="005A54ED"/>
    <w:rsid w:val="005A58D5"/>
    <w:rsid w:val="005A70AF"/>
    <w:rsid w:val="005A7990"/>
    <w:rsid w:val="005A7ABB"/>
    <w:rsid w:val="005B07EA"/>
    <w:rsid w:val="005B321D"/>
    <w:rsid w:val="005B3906"/>
    <w:rsid w:val="005B410C"/>
    <w:rsid w:val="005B45A6"/>
    <w:rsid w:val="005B487B"/>
    <w:rsid w:val="005B6902"/>
    <w:rsid w:val="005B7AF7"/>
    <w:rsid w:val="005C1192"/>
    <w:rsid w:val="005C1E83"/>
    <w:rsid w:val="005C212D"/>
    <w:rsid w:val="005C2527"/>
    <w:rsid w:val="005C35EF"/>
    <w:rsid w:val="005C45A2"/>
    <w:rsid w:val="005C4CAC"/>
    <w:rsid w:val="005C611E"/>
    <w:rsid w:val="005C67EB"/>
    <w:rsid w:val="005C7AB0"/>
    <w:rsid w:val="005D00FE"/>
    <w:rsid w:val="005D04BE"/>
    <w:rsid w:val="005D2F37"/>
    <w:rsid w:val="005D35B0"/>
    <w:rsid w:val="005D71FD"/>
    <w:rsid w:val="005E0430"/>
    <w:rsid w:val="005E0CBA"/>
    <w:rsid w:val="005E202A"/>
    <w:rsid w:val="005E31F6"/>
    <w:rsid w:val="005E35D7"/>
    <w:rsid w:val="005E631C"/>
    <w:rsid w:val="005F0238"/>
    <w:rsid w:val="005F1B18"/>
    <w:rsid w:val="005F2086"/>
    <w:rsid w:val="005F2FAB"/>
    <w:rsid w:val="005F43A0"/>
    <w:rsid w:val="005F4607"/>
    <w:rsid w:val="005F6024"/>
    <w:rsid w:val="005F720F"/>
    <w:rsid w:val="005F77BD"/>
    <w:rsid w:val="00603A09"/>
    <w:rsid w:val="00605E35"/>
    <w:rsid w:val="006071E9"/>
    <w:rsid w:val="00607CBA"/>
    <w:rsid w:val="00611481"/>
    <w:rsid w:val="00613DCA"/>
    <w:rsid w:val="00614A50"/>
    <w:rsid w:val="00614FB8"/>
    <w:rsid w:val="00617AE5"/>
    <w:rsid w:val="00621938"/>
    <w:rsid w:val="00623796"/>
    <w:rsid w:val="0062569A"/>
    <w:rsid w:val="00625D79"/>
    <w:rsid w:val="00626C4B"/>
    <w:rsid w:val="00626FE8"/>
    <w:rsid w:val="006330C4"/>
    <w:rsid w:val="006341B0"/>
    <w:rsid w:val="00634C1B"/>
    <w:rsid w:val="00636033"/>
    <w:rsid w:val="00642964"/>
    <w:rsid w:val="00644A44"/>
    <w:rsid w:val="00644E9D"/>
    <w:rsid w:val="006464B8"/>
    <w:rsid w:val="0064749D"/>
    <w:rsid w:val="0065018C"/>
    <w:rsid w:val="00650407"/>
    <w:rsid w:val="00651A4E"/>
    <w:rsid w:val="00652AA5"/>
    <w:rsid w:val="006546B0"/>
    <w:rsid w:val="006553A8"/>
    <w:rsid w:val="0065581D"/>
    <w:rsid w:val="0065669C"/>
    <w:rsid w:val="00657C2E"/>
    <w:rsid w:val="00657F20"/>
    <w:rsid w:val="00662648"/>
    <w:rsid w:val="00663E05"/>
    <w:rsid w:val="0066574B"/>
    <w:rsid w:val="006662BE"/>
    <w:rsid w:val="006710DA"/>
    <w:rsid w:val="00671813"/>
    <w:rsid w:val="006739BF"/>
    <w:rsid w:val="00674956"/>
    <w:rsid w:val="0067539D"/>
    <w:rsid w:val="00677E52"/>
    <w:rsid w:val="00677F1B"/>
    <w:rsid w:val="00680992"/>
    <w:rsid w:val="00682753"/>
    <w:rsid w:val="00683E86"/>
    <w:rsid w:val="00683F8A"/>
    <w:rsid w:val="00685D9D"/>
    <w:rsid w:val="00687206"/>
    <w:rsid w:val="006909AE"/>
    <w:rsid w:val="00690FF7"/>
    <w:rsid w:val="00692387"/>
    <w:rsid w:val="0069357B"/>
    <w:rsid w:val="00694879"/>
    <w:rsid w:val="00697E0E"/>
    <w:rsid w:val="006A0BE9"/>
    <w:rsid w:val="006A1406"/>
    <w:rsid w:val="006A2065"/>
    <w:rsid w:val="006A3D38"/>
    <w:rsid w:val="006A43AC"/>
    <w:rsid w:val="006A4E51"/>
    <w:rsid w:val="006A5154"/>
    <w:rsid w:val="006A7AF1"/>
    <w:rsid w:val="006B1338"/>
    <w:rsid w:val="006B401B"/>
    <w:rsid w:val="006B4A87"/>
    <w:rsid w:val="006B4FB4"/>
    <w:rsid w:val="006C0D25"/>
    <w:rsid w:val="006C0F46"/>
    <w:rsid w:val="006C197E"/>
    <w:rsid w:val="006C1EF3"/>
    <w:rsid w:val="006C21F0"/>
    <w:rsid w:val="006C240B"/>
    <w:rsid w:val="006C3992"/>
    <w:rsid w:val="006C4FB7"/>
    <w:rsid w:val="006C6379"/>
    <w:rsid w:val="006C7F4C"/>
    <w:rsid w:val="006D0EB5"/>
    <w:rsid w:val="006D45B9"/>
    <w:rsid w:val="006D4B41"/>
    <w:rsid w:val="006D5523"/>
    <w:rsid w:val="006D7F8C"/>
    <w:rsid w:val="006D7FEA"/>
    <w:rsid w:val="006E167E"/>
    <w:rsid w:val="006E197C"/>
    <w:rsid w:val="006E5A4E"/>
    <w:rsid w:val="006E6302"/>
    <w:rsid w:val="006E78C0"/>
    <w:rsid w:val="006F0045"/>
    <w:rsid w:val="006F130A"/>
    <w:rsid w:val="006F38F3"/>
    <w:rsid w:val="006F3D94"/>
    <w:rsid w:val="006F4036"/>
    <w:rsid w:val="006F484F"/>
    <w:rsid w:val="006F626D"/>
    <w:rsid w:val="006F6EC7"/>
    <w:rsid w:val="006F794D"/>
    <w:rsid w:val="00701A70"/>
    <w:rsid w:val="00705C0B"/>
    <w:rsid w:val="00707B9B"/>
    <w:rsid w:val="00710039"/>
    <w:rsid w:val="0071089F"/>
    <w:rsid w:val="00710962"/>
    <w:rsid w:val="00710986"/>
    <w:rsid w:val="00715825"/>
    <w:rsid w:val="007174CD"/>
    <w:rsid w:val="00720C2B"/>
    <w:rsid w:val="007224DD"/>
    <w:rsid w:val="00727627"/>
    <w:rsid w:val="00733DE9"/>
    <w:rsid w:val="00734BE2"/>
    <w:rsid w:val="0073511E"/>
    <w:rsid w:val="007367A0"/>
    <w:rsid w:val="00736C89"/>
    <w:rsid w:val="00736F42"/>
    <w:rsid w:val="00741BC4"/>
    <w:rsid w:val="00743784"/>
    <w:rsid w:val="007448E2"/>
    <w:rsid w:val="00745F64"/>
    <w:rsid w:val="007469A2"/>
    <w:rsid w:val="007547B1"/>
    <w:rsid w:val="00755506"/>
    <w:rsid w:val="0075602A"/>
    <w:rsid w:val="00757639"/>
    <w:rsid w:val="007578DE"/>
    <w:rsid w:val="007623F3"/>
    <w:rsid w:val="00763383"/>
    <w:rsid w:val="007638BD"/>
    <w:rsid w:val="00763FB9"/>
    <w:rsid w:val="0076484B"/>
    <w:rsid w:val="007650FA"/>
    <w:rsid w:val="007653FB"/>
    <w:rsid w:val="007713C1"/>
    <w:rsid w:val="00771F81"/>
    <w:rsid w:val="0077446F"/>
    <w:rsid w:val="00786100"/>
    <w:rsid w:val="00786B45"/>
    <w:rsid w:val="007876AE"/>
    <w:rsid w:val="007876DB"/>
    <w:rsid w:val="00790FC8"/>
    <w:rsid w:val="00793677"/>
    <w:rsid w:val="00795E48"/>
    <w:rsid w:val="0079680C"/>
    <w:rsid w:val="0079787B"/>
    <w:rsid w:val="007A0562"/>
    <w:rsid w:val="007A237D"/>
    <w:rsid w:val="007A4A79"/>
    <w:rsid w:val="007A6CA6"/>
    <w:rsid w:val="007A70F5"/>
    <w:rsid w:val="007A74EA"/>
    <w:rsid w:val="007B0398"/>
    <w:rsid w:val="007B0DED"/>
    <w:rsid w:val="007B1558"/>
    <w:rsid w:val="007B2571"/>
    <w:rsid w:val="007B2861"/>
    <w:rsid w:val="007B3B0E"/>
    <w:rsid w:val="007B456B"/>
    <w:rsid w:val="007B4E39"/>
    <w:rsid w:val="007C031D"/>
    <w:rsid w:val="007C0870"/>
    <w:rsid w:val="007C0BA8"/>
    <w:rsid w:val="007C2A31"/>
    <w:rsid w:val="007C471B"/>
    <w:rsid w:val="007C5ABA"/>
    <w:rsid w:val="007C78D2"/>
    <w:rsid w:val="007D0CDA"/>
    <w:rsid w:val="007D32C6"/>
    <w:rsid w:val="007D370E"/>
    <w:rsid w:val="007D3CD5"/>
    <w:rsid w:val="007D52A5"/>
    <w:rsid w:val="007D6B59"/>
    <w:rsid w:val="007D6F49"/>
    <w:rsid w:val="007D77EE"/>
    <w:rsid w:val="007E0EAA"/>
    <w:rsid w:val="007E1D64"/>
    <w:rsid w:val="007E4FA1"/>
    <w:rsid w:val="007E500A"/>
    <w:rsid w:val="007E5373"/>
    <w:rsid w:val="007E7A11"/>
    <w:rsid w:val="007F071C"/>
    <w:rsid w:val="007F1093"/>
    <w:rsid w:val="007F1C02"/>
    <w:rsid w:val="007F3C75"/>
    <w:rsid w:val="007F53C2"/>
    <w:rsid w:val="007F6AA6"/>
    <w:rsid w:val="0080129E"/>
    <w:rsid w:val="00807255"/>
    <w:rsid w:val="00807C5E"/>
    <w:rsid w:val="008106C3"/>
    <w:rsid w:val="008127F8"/>
    <w:rsid w:val="00813022"/>
    <w:rsid w:val="00814917"/>
    <w:rsid w:val="00821CA1"/>
    <w:rsid w:val="00822F73"/>
    <w:rsid w:val="0082383C"/>
    <w:rsid w:val="00824E09"/>
    <w:rsid w:val="00825D89"/>
    <w:rsid w:val="00826F67"/>
    <w:rsid w:val="0083015E"/>
    <w:rsid w:val="0083023F"/>
    <w:rsid w:val="00830583"/>
    <w:rsid w:val="00831DB6"/>
    <w:rsid w:val="0083274F"/>
    <w:rsid w:val="00835022"/>
    <w:rsid w:val="00836526"/>
    <w:rsid w:val="00842F48"/>
    <w:rsid w:val="008440FE"/>
    <w:rsid w:val="008459FB"/>
    <w:rsid w:val="0085001C"/>
    <w:rsid w:val="00850277"/>
    <w:rsid w:val="008508BF"/>
    <w:rsid w:val="00850E33"/>
    <w:rsid w:val="00851A05"/>
    <w:rsid w:val="00854177"/>
    <w:rsid w:val="00860422"/>
    <w:rsid w:val="00860CA7"/>
    <w:rsid w:val="008619D2"/>
    <w:rsid w:val="0086243B"/>
    <w:rsid w:val="0086314E"/>
    <w:rsid w:val="00863EC8"/>
    <w:rsid w:val="00866618"/>
    <w:rsid w:val="00866EF6"/>
    <w:rsid w:val="0086779E"/>
    <w:rsid w:val="0087034C"/>
    <w:rsid w:val="00872E14"/>
    <w:rsid w:val="00874035"/>
    <w:rsid w:val="00876EB0"/>
    <w:rsid w:val="008777E6"/>
    <w:rsid w:val="00880EE1"/>
    <w:rsid w:val="008825B1"/>
    <w:rsid w:val="00882807"/>
    <w:rsid w:val="00887C6F"/>
    <w:rsid w:val="00897E88"/>
    <w:rsid w:val="008A0D3D"/>
    <w:rsid w:val="008A0F20"/>
    <w:rsid w:val="008A522F"/>
    <w:rsid w:val="008B1D1E"/>
    <w:rsid w:val="008B29DA"/>
    <w:rsid w:val="008B4AF5"/>
    <w:rsid w:val="008B5ADD"/>
    <w:rsid w:val="008B6ACB"/>
    <w:rsid w:val="008B7E43"/>
    <w:rsid w:val="008D0763"/>
    <w:rsid w:val="008D076D"/>
    <w:rsid w:val="008D17F4"/>
    <w:rsid w:val="008D470A"/>
    <w:rsid w:val="008D4808"/>
    <w:rsid w:val="008D4C98"/>
    <w:rsid w:val="008D5884"/>
    <w:rsid w:val="008D666B"/>
    <w:rsid w:val="008E1C4A"/>
    <w:rsid w:val="008E33F6"/>
    <w:rsid w:val="008E3C04"/>
    <w:rsid w:val="008E3D33"/>
    <w:rsid w:val="008E5462"/>
    <w:rsid w:val="008E5600"/>
    <w:rsid w:val="008E563A"/>
    <w:rsid w:val="008F0E04"/>
    <w:rsid w:val="008F210F"/>
    <w:rsid w:val="008F25F4"/>
    <w:rsid w:val="008F3FF0"/>
    <w:rsid w:val="008F536B"/>
    <w:rsid w:val="008F6717"/>
    <w:rsid w:val="008F79A7"/>
    <w:rsid w:val="0090005D"/>
    <w:rsid w:val="00900835"/>
    <w:rsid w:val="00901F87"/>
    <w:rsid w:val="00902649"/>
    <w:rsid w:val="00904632"/>
    <w:rsid w:val="00910985"/>
    <w:rsid w:val="009112D3"/>
    <w:rsid w:val="009114DF"/>
    <w:rsid w:val="00913A8D"/>
    <w:rsid w:val="00914538"/>
    <w:rsid w:val="00914B40"/>
    <w:rsid w:val="009163A3"/>
    <w:rsid w:val="009168F8"/>
    <w:rsid w:val="0092168B"/>
    <w:rsid w:val="00921975"/>
    <w:rsid w:val="0092208C"/>
    <w:rsid w:val="00923C9E"/>
    <w:rsid w:val="00924DEA"/>
    <w:rsid w:val="00927404"/>
    <w:rsid w:val="0093252C"/>
    <w:rsid w:val="00932652"/>
    <w:rsid w:val="00932940"/>
    <w:rsid w:val="00934249"/>
    <w:rsid w:val="00934B45"/>
    <w:rsid w:val="00935AE9"/>
    <w:rsid w:val="00935C49"/>
    <w:rsid w:val="00936AB9"/>
    <w:rsid w:val="00937236"/>
    <w:rsid w:val="00937382"/>
    <w:rsid w:val="009418FB"/>
    <w:rsid w:val="00941ACE"/>
    <w:rsid w:val="009464C0"/>
    <w:rsid w:val="009468A6"/>
    <w:rsid w:val="00947378"/>
    <w:rsid w:val="00951D84"/>
    <w:rsid w:val="0095344D"/>
    <w:rsid w:val="00955842"/>
    <w:rsid w:val="00955FD3"/>
    <w:rsid w:val="009563E1"/>
    <w:rsid w:val="00956E2D"/>
    <w:rsid w:val="009579A2"/>
    <w:rsid w:val="009579F1"/>
    <w:rsid w:val="0096069D"/>
    <w:rsid w:val="00961361"/>
    <w:rsid w:val="009635E4"/>
    <w:rsid w:val="0096442C"/>
    <w:rsid w:val="00964BBD"/>
    <w:rsid w:val="0096716E"/>
    <w:rsid w:val="00970216"/>
    <w:rsid w:val="009744D3"/>
    <w:rsid w:val="00976880"/>
    <w:rsid w:val="00977003"/>
    <w:rsid w:val="00977DB9"/>
    <w:rsid w:val="009809CD"/>
    <w:rsid w:val="00984624"/>
    <w:rsid w:val="009857C3"/>
    <w:rsid w:val="009861E4"/>
    <w:rsid w:val="009872A4"/>
    <w:rsid w:val="00987479"/>
    <w:rsid w:val="00987D2F"/>
    <w:rsid w:val="00992AFC"/>
    <w:rsid w:val="00992E28"/>
    <w:rsid w:val="00995210"/>
    <w:rsid w:val="009979B4"/>
    <w:rsid w:val="009A2624"/>
    <w:rsid w:val="009A2A11"/>
    <w:rsid w:val="009A2E23"/>
    <w:rsid w:val="009A63CD"/>
    <w:rsid w:val="009A6C95"/>
    <w:rsid w:val="009B0100"/>
    <w:rsid w:val="009B5DE2"/>
    <w:rsid w:val="009B7382"/>
    <w:rsid w:val="009C2D84"/>
    <w:rsid w:val="009C3E93"/>
    <w:rsid w:val="009C69F6"/>
    <w:rsid w:val="009D6242"/>
    <w:rsid w:val="009D6473"/>
    <w:rsid w:val="009D6B60"/>
    <w:rsid w:val="009D6EAB"/>
    <w:rsid w:val="009E0D7B"/>
    <w:rsid w:val="009E3895"/>
    <w:rsid w:val="009E3DA9"/>
    <w:rsid w:val="009E409A"/>
    <w:rsid w:val="009E4D19"/>
    <w:rsid w:val="009E5CAF"/>
    <w:rsid w:val="009E6846"/>
    <w:rsid w:val="009E79A2"/>
    <w:rsid w:val="009F2510"/>
    <w:rsid w:val="009F4D14"/>
    <w:rsid w:val="009F5521"/>
    <w:rsid w:val="009F79BD"/>
    <w:rsid w:val="00A014FD"/>
    <w:rsid w:val="00A02D64"/>
    <w:rsid w:val="00A04DBF"/>
    <w:rsid w:val="00A10E88"/>
    <w:rsid w:val="00A129C2"/>
    <w:rsid w:val="00A134C8"/>
    <w:rsid w:val="00A16A65"/>
    <w:rsid w:val="00A17725"/>
    <w:rsid w:val="00A20401"/>
    <w:rsid w:val="00A20856"/>
    <w:rsid w:val="00A25005"/>
    <w:rsid w:val="00A25D33"/>
    <w:rsid w:val="00A261A2"/>
    <w:rsid w:val="00A27E28"/>
    <w:rsid w:val="00A27EF9"/>
    <w:rsid w:val="00A3092F"/>
    <w:rsid w:val="00A32141"/>
    <w:rsid w:val="00A33C7D"/>
    <w:rsid w:val="00A3617A"/>
    <w:rsid w:val="00A3643F"/>
    <w:rsid w:val="00A40170"/>
    <w:rsid w:val="00A41C87"/>
    <w:rsid w:val="00A42058"/>
    <w:rsid w:val="00A42E00"/>
    <w:rsid w:val="00A4316C"/>
    <w:rsid w:val="00A43FFE"/>
    <w:rsid w:val="00A445BA"/>
    <w:rsid w:val="00A44861"/>
    <w:rsid w:val="00A44BD3"/>
    <w:rsid w:val="00A4751B"/>
    <w:rsid w:val="00A510FB"/>
    <w:rsid w:val="00A5129A"/>
    <w:rsid w:val="00A51CA4"/>
    <w:rsid w:val="00A51E54"/>
    <w:rsid w:val="00A524AF"/>
    <w:rsid w:val="00A52DE3"/>
    <w:rsid w:val="00A5335F"/>
    <w:rsid w:val="00A540F9"/>
    <w:rsid w:val="00A54A3C"/>
    <w:rsid w:val="00A55273"/>
    <w:rsid w:val="00A61514"/>
    <w:rsid w:val="00A7092A"/>
    <w:rsid w:val="00A73FBB"/>
    <w:rsid w:val="00A7614C"/>
    <w:rsid w:val="00A76EDA"/>
    <w:rsid w:val="00A7772F"/>
    <w:rsid w:val="00A83B69"/>
    <w:rsid w:val="00A84705"/>
    <w:rsid w:val="00A86590"/>
    <w:rsid w:val="00A86767"/>
    <w:rsid w:val="00A90D93"/>
    <w:rsid w:val="00A937B3"/>
    <w:rsid w:val="00A94A03"/>
    <w:rsid w:val="00A971E8"/>
    <w:rsid w:val="00AA1B33"/>
    <w:rsid w:val="00AA430E"/>
    <w:rsid w:val="00AA530B"/>
    <w:rsid w:val="00AA6271"/>
    <w:rsid w:val="00AA6901"/>
    <w:rsid w:val="00AB071D"/>
    <w:rsid w:val="00AB0DFD"/>
    <w:rsid w:val="00AB2B5F"/>
    <w:rsid w:val="00AB3130"/>
    <w:rsid w:val="00AB33C6"/>
    <w:rsid w:val="00AB3796"/>
    <w:rsid w:val="00AB5B68"/>
    <w:rsid w:val="00AB753E"/>
    <w:rsid w:val="00AC0519"/>
    <w:rsid w:val="00AC0A24"/>
    <w:rsid w:val="00AC2C56"/>
    <w:rsid w:val="00AC34F3"/>
    <w:rsid w:val="00AC3FBA"/>
    <w:rsid w:val="00AC537E"/>
    <w:rsid w:val="00AC6054"/>
    <w:rsid w:val="00AC653D"/>
    <w:rsid w:val="00AD036D"/>
    <w:rsid w:val="00AD1658"/>
    <w:rsid w:val="00AD1A2A"/>
    <w:rsid w:val="00AD231A"/>
    <w:rsid w:val="00AD2CE4"/>
    <w:rsid w:val="00AD37F8"/>
    <w:rsid w:val="00AD5F4C"/>
    <w:rsid w:val="00AD76F1"/>
    <w:rsid w:val="00AE2313"/>
    <w:rsid w:val="00AE33AF"/>
    <w:rsid w:val="00AF188D"/>
    <w:rsid w:val="00AF206B"/>
    <w:rsid w:val="00AF20EF"/>
    <w:rsid w:val="00AF239C"/>
    <w:rsid w:val="00AF2E3A"/>
    <w:rsid w:val="00AF2F20"/>
    <w:rsid w:val="00AF569C"/>
    <w:rsid w:val="00AF606F"/>
    <w:rsid w:val="00AF6D4F"/>
    <w:rsid w:val="00B00FE8"/>
    <w:rsid w:val="00B0373F"/>
    <w:rsid w:val="00B06797"/>
    <w:rsid w:val="00B06877"/>
    <w:rsid w:val="00B07B95"/>
    <w:rsid w:val="00B11263"/>
    <w:rsid w:val="00B15356"/>
    <w:rsid w:val="00B15786"/>
    <w:rsid w:val="00B205D8"/>
    <w:rsid w:val="00B216B8"/>
    <w:rsid w:val="00B252EF"/>
    <w:rsid w:val="00B3011F"/>
    <w:rsid w:val="00B32039"/>
    <w:rsid w:val="00B325A9"/>
    <w:rsid w:val="00B331A9"/>
    <w:rsid w:val="00B33412"/>
    <w:rsid w:val="00B33462"/>
    <w:rsid w:val="00B342EC"/>
    <w:rsid w:val="00B379A8"/>
    <w:rsid w:val="00B37DEE"/>
    <w:rsid w:val="00B4007D"/>
    <w:rsid w:val="00B404AD"/>
    <w:rsid w:val="00B41CA1"/>
    <w:rsid w:val="00B41D02"/>
    <w:rsid w:val="00B43D45"/>
    <w:rsid w:val="00B452E4"/>
    <w:rsid w:val="00B4560E"/>
    <w:rsid w:val="00B46CBC"/>
    <w:rsid w:val="00B5274F"/>
    <w:rsid w:val="00B54D78"/>
    <w:rsid w:val="00B558B6"/>
    <w:rsid w:val="00B56C59"/>
    <w:rsid w:val="00B64D0F"/>
    <w:rsid w:val="00B64EEB"/>
    <w:rsid w:val="00B661D0"/>
    <w:rsid w:val="00B6647B"/>
    <w:rsid w:val="00B71385"/>
    <w:rsid w:val="00B743E8"/>
    <w:rsid w:val="00B74689"/>
    <w:rsid w:val="00B74D46"/>
    <w:rsid w:val="00B75CE4"/>
    <w:rsid w:val="00B7629A"/>
    <w:rsid w:val="00B80A0A"/>
    <w:rsid w:val="00B80F65"/>
    <w:rsid w:val="00B82194"/>
    <w:rsid w:val="00B834EA"/>
    <w:rsid w:val="00B84A72"/>
    <w:rsid w:val="00B86CBE"/>
    <w:rsid w:val="00B876C0"/>
    <w:rsid w:val="00B92C23"/>
    <w:rsid w:val="00B953D6"/>
    <w:rsid w:val="00B95E36"/>
    <w:rsid w:val="00B9663B"/>
    <w:rsid w:val="00B97130"/>
    <w:rsid w:val="00BA0017"/>
    <w:rsid w:val="00BA1D11"/>
    <w:rsid w:val="00BA23D7"/>
    <w:rsid w:val="00BA41A0"/>
    <w:rsid w:val="00BA4367"/>
    <w:rsid w:val="00BA7AA0"/>
    <w:rsid w:val="00BB2094"/>
    <w:rsid w:val="00BB2C78"/>
    <w:rsid w:val="00BB31D9"/>
    <w:rsid w:val="00BB35E4"/>
    <w:rsid w:val="00BB642D"/>
    <w:rsid w:val="00BC1B50"/>
    <w:rsid w:val="00BC27A6"/>
    <w:rsid w:val="00BC3844"/>
    <w:rsid w:val="00BC42C3"/>
    <w:rsid w:val="00BC73F8"/>
    <w:rsid w:val="00BD00A1"/>
    <w:rsid w:val="00BD25F8"/>
    <w:rsid w:val="00BD521A"/>
    <w:rsid w:val="00BD5684"/>
    <w:rsid w:val="00BD5E39"/>
    <w:rsid w:val="00BD6FE6"/>
    <w:rsid w:val="00BE0992"/>
    <w:rsid w:val="00BE15D1"/>
    <w:rsid w:val="00BE62F4"/>
    <w:rsid w:val="00BE63BA"/>
    <w:rsid w:val="00BE65DB"/>
    <w:rsid w:val="00BE6974"/>
    <w:rsid w:val="00BE7DBC"/>
    <w:rsid w:val="00BE7DE7"/>
    <w:rsid w:val="00BE7FD9"/>
    <w:rsid w:val="00BF0F4B"/>
    <w:rsid w:val="00BF12BB"/>
    <w:rsid w:val="00BF39B5"/>
    <w:rsid w:val="00BF6150"/>
    <w:rsid w:val="00BF678E"/>
    <w:rsid w:val="00BF7DD4"/>
    <w:rsid w:val="00C018F7"/>
    <w:rsid w:val="00C07499"/>
    <w:rsid w:val="00C079C3"/>
    <w:rsid w:val="00C10ECE"/>
    <w:rsid w:val="00C14860"/>
    <w:rsid w:val="00C1492B"/>
    <w:rsid w:val="00C15D84"/>
    <w:rsid w:val="00C218B0"/>
    <w:rsid w:val="00C23379"/>
    <w:rsid w:val="00C24F25"/>
    <w:rsid w:val="00C25D24"/>
    <w:rsid w:val="00C26FDD"/>
    <w:rsid w:val="00C27A1C"/>
    <w:rsid w:val="00C300EC"/>
    <w:rsid w:val="00C30D3C"/>
    <w:rsid w:val="00C334A2"/>
    <w:rsid w:val="00C343AC"/>
    <w:rsid w:val="00C349D7"/>
    <w:rsid w:val="00C4018F"/>
    <w:rsid w:val="00C40AF8"/>
    <w:rsid w:val="00C42674"/>
    <w:rsid w:val="00C4339D"/>
    <w:rsid w:val="00C44BCE"/>
    <w:rsid w:val="00C4679C"/>
    <w:rsid w:val="00C473AE"/>
    <w:rsid w:val="00C51709"/>
    <w:rsid w:val="00C6101C"/>
    <w:rsid w:val="00C62BA0"/>
    <w:rsid w:val="00C63D01"/>
    <w:rsid w:val="00C651B9"/>
    <w:rsid w:val="00C65BEF"/>
    <w:rsid w:val="00C66ACA"/>
    <w:rsid w:val="00C70D5B"/>
    <w:rsid w:val="00C73E47"/>
    <w:rsid w:val="00C74322"/>
    <w:rsid w:val="00C757D2"/>
    <w:rsid w:val="00C774D5"/>
    <w:rsid w:val="00C80015"/>
    <w:rsid w:val="00C801AD"/>
    <w:rsid w:val="00C84AEE"/>
    <w:rsid w:val="00C85C21"/>
    <w:rsid w:val="00C86133"/>
    <w:rsid w:val="00C87A07"/>
    <w:rsid w:val="00C9268B"/>
    <w:rsid w:val="00C944DC"/>
    <w:rsid w:val="00C94768"/>
    <w:rsid w:val="00C97368"/>
    <w:rsid w:val="00CA1A4C"/>
    <w:rsid w:val="00CA48CB"/>
    <w:rsid w:val="00CA4999"/>
    <w:rsid w:val="00CB1886"/>
    <w:rsid w:val="00CB20BF"/>
    <w:rsid w:val="00CB2656"/>
    <w:rsid w:val="00CB2A76"/>
    <w:rsid w:val="00CB50DD"/>
    <w:rsid w:val="00CB66D0"/>
    <w:rsid w:val="00CB6F53"/>
    <w:rsid w:val="00CC01EE"/>
    <w:rsid w:val="00CC02A1"/>
    <w:rsid w:val="00CC0D77"/>
    <w:rsid w:val="00CC34DF"/>
    <w:rsid w:val="00CC5755"/>
    <w:rsid w:val="00CC5AB4"/>
    <w:rsid w:val="00CD0795"/>
    <w:rsid w:val="00CD091B"/>
    <w:rsid w:val="00CD41A8"/>
    <w:rsid w:val="00CD4CD9"/>
    <w:rsid w:val="00CD50BE"/>
    <w:rsid w:val="00CE29BF"/>
    <w:rsid w:val="00CE3407"/>
    <w:rsid w:val="00CE4E03"/>
    <w:rsid w:val="00CE6BD3"/>
    <w:rsid w:val="00CE71F4"/>
    <w:rsid w:val="00CF1354"/>
    <w:rsid w:val="00CF1689"/>
    <w:rsid w:val="00CF1989"/>
    <w:rsid w:val="00CF30C6"/>
    <w:rsid w:val="00CF3542"/>
    <w:rsid w:val="00CF461B"/>
    <w:rsid w:val="00CF59B5"/>
    <w:rsid w:val="00CF5C1A"/>
    <w:rsid w:val="00CF60EA"/>
    <w:rsid w:val="00D0025D"/>
    <w:rsid w:val="00D00DF3"/>
    <w:rsid w:val="00D0137D"/>
    <w:rsid w:val="00D01B61"/>
    <w:rsid w:val="00D02125"/>
    <w:rsid w:val="00D04D40"/>
    <w:rsid w:val="00D051CF"/>
    <w:rsid w:val="00D07F51"/>
    <w:rsid w:val="00D100E6"/>
    <w:rsid w:val="00D1119D"/>
    <w:rsid w:val="00D13EC0"/>
    <w:rsid w:val="00D1645A"/>
    <w:rsid w:val="00D217F9"/>
    <w:rsid w:val="00D27263"/>
    <w:rsid w:val="00D301DB"/>
    <w:rsid w:val="00D307D3"/>
    <w:rsid w:val="00D313B6"/>
    <w:rsid w:val="00D31980"/>
    <w:rsid w:val="00D328C9"/>
    <w:rsid w:val="00D37C80"/>
    <w:rsid w:val="00D405BE"/>
    <w:rsid w:val="00D42E25"/>
    <w:rsid w:val="00D42E39"/>
    <w:rsid w:val="00D443F1"/>
    <w:rsid w:val="00D44597"/>
    <w:rsid w:val="00D461D8"/>
    <w:rsid w:val="00D46E16"/>
    <w:rsid w:val="00D47FA6"/>
    <w:rsid w:val="00D47FFD"/>
    <w:rsid w:val="00D50DCB"/>
    <w:rsid w:val="00D52ED3"/>
    <w:rsid w:val="00D533D4"/>
    <w:rsid w:val="00D53C45"/>
    <w:rsid w:val="00D60967"/>
    <w:rsid w:val="00D63066"/>
    <w:rsid w:val="00D63868"/>
    <w:rsid w:val="00D64567"/>
    <w:rsid w:val="00D64DB2"/>
    <w:rsid w:val="00D65F88"/>
    <w:rsid w:val="00D67BD5"/>
    <w:rsid w:val="00D730C6"/>
    <w:rsid w:val="00D73FE6"/>
    <w:rsid w:val="00D80EDF"/>
    <w:rsid w:val="00D81115"/>
    <w:rsid w:val="00D811FF"/>
    <w:rsid w:val="00D82725"/>
    <w:rsid w:val="00D82FFE"/>
    <w:rsid w:val="00D855EB"/>
    <w:rsid w:val="00D86989"/>
    <w:rsid w:val="00D87BBF"/>
    <w:rsid w:val="00D913CA"/>
    <w:rsid w:val="00D925CF"/>
    <w:rsid w:val="00D92C0E"/>
    <w:rsid w:val="00D94C93"/>
    <w:rsid w:val="00D95543"/>
    <w:rsid w:val="00D95B80"/>
    <w:rsid w:val="00D96062"/>
    <w:rsid w:val="00D96C43"/>
    <w:rsid w:val="00D97787"/>
    <w:rsid w:val="00DA1121"/>
    <w:rsid w:val="00DA2643"/>
    <w:rsid w:val="00DA308B"/>
    <w:rsid w:val="00DA3450"/>
    <w:rsid w:val="00DA5C58"/>
    <w:rsid w:val="00DA6450"/>
    <w:rsid w:val="00DA6CC7"/>
    <w:rsid w:val="00DA7406"/>
    <w:rsid w:val="00DA749A"/>
    <w:rsid w:val="00DA7A59"/>
    <w:rsid w:val="00DB1A9D"/>
    <w:rsid w:val="00DB259E"/>
    <w:rsid w:val="00DB4646"/>
    <w:rsid w:val="00DB51AB"/>
    <w:rsid w:val="00DB56C2"/>
    <w:rsid w:val="00DB69B6"/>
    <w:rsid w:val="00DC1F63"/>
    <w:rsid w:val="00DC49DD"/>
    <w:rsid w:val="00DC50EA"/>
    <w:rsid w:val="00DC6BF7"/>
    <w:rsid w:val="00DC7131"/>
    <w:rsid w:val="00DD0399"/>
    <w:rsid w:val="00DD3160"/>
    <w:rsid w:val="00DD3865"/>
    <w:rsid w:val="00DD521F"/>
    <w:rsid w:val="00DD523C"/>
    <w:rsid w:val="00DD5B3E"/>
    <w:rsid w:val="00DD7FD7"/>
    <w:rsid w:val="00DE2FE9"/>
    <w:rsid w:val="00DE38E0"/>
    <w:rsid w:val="00DE711B"/>
    <w:rsid w:val="00DE7BED"/>
    <w:rsid w:val="00DF0F7D"/>
    <w:rsid w:val="00DF1695"/>
    <w:rsid w:val="00DF2349"/>
    <w:rsid w:val="00DF3C13"/>
    <w:rsid w:val="00DF52D9"/>
    <w:rsid w:val="00DF57EC"/>
    <w:rsid w:val="00DF6440"/>
    <w:rsid w:val="00DF7A5C"/>
    <w:rsid w:val="00E00847"/>
    <w:rsid w:val="00E01EB6"/>
    <w:rsid w:val="00E02D44"/>
    <w:rsid w:val="00E04F00"/>
    <w:rsid w:val="00E05EA6"/>
    <w:rsid w:val="00E0678A"/>
    <w:rsid w:val="00E06C21"/>
    <w:rsid w:val="00E10233"/>
    <w:rsid w:val="00E1032F"/>
    <w:rsid w:val="00E1139A"/>
    <w:rsid w:val="00E11638"/>
    <w:rsid w:val="00E12B48"/>
    <w:rsid w:val="00E12C56"/>
    <w:rsid w:val="00E143E8"/>
    <w:rsid w:val="00E15605"/>
    <w:rsid w:val="00E16D44"/>
    <w:rsid w:val="00E178C8"/>
    <w:rsid w:val="00E211B4"/>
    <w:rsid w:val="00E21D31"/>
    <w:rsid w:val="00E23EB6"/>
    <w:rsid w:val="00E23FA4"/>
    <w:rsid w:val="00E24839"/>
    <w:rsid w:val="00E2578B"/>
    <w:rsid w:val="00E25ADC"/>
    <w:rsid w:val="00E27355"/>
    <w:rsid w:val="00E27511"/>
    <w:rsid w:val="00E31B89"/>
    <w:rsid w:val="00E32D74"/>
    <w:rsid w:val="00E36B2B"/>
    <w:rsid w:val="00E36C73"/>
    <w:rsid w:val="00E3783D"/>
    <w:rsid w:val="00E40E67"/>
    <w:rsid w:val="00E4154C"/>
    <w:rsid w:val="00E42357"/>
    <w:rsid w:val="00E42F9F"/>
    <w:rsid w:val="00E43079"/>
    <w:rsid w:val="00E45BC8"/>
    <w:rsid w:val="00E4769E"/>
    <w:rsid w:val="00E47A8B"/>
    <w:rsid w:val="00E47B95"/>
    <w:rsid w:val="00E52D37"/>
    <w:rsid w:val="00E60962"/>
    <w:rsid w:val="00E60B68"/>
    <w:rsid w:val="00E60F9C"/>
    <w:rsid w:val="00E645DD"/>
    <w:rsid w:val="00E6539D"/>
    <w:rsid w:val="00E6570F"/>
    <w:rsid w:val="00E66451"/>
    <w:rsid w:val="00E70D40"/>
    <w:rsid w:val="00E710A4"/>
    <w:rsid w:val="00E71FD1"/>
    <w:rsid w:val="00E723A9"/>
    <w:rsid w:val="00E73093"/>
    <w:rsid w:val="00E73D43"/>
    <w:rsid w:val="00E74E6E"/>
    <w:rsid w:val="00E76179"/>
    <w:rsid w:val="00E765DB"/>
    <w:rsid w:val="00E8295E"/>
    <w:rsid w:val="00E82BB0"/>
    <w:rsid w:val="00E82BCE"/>
    <w:rsid w:val="00E83A09"/>
    <w:rsid w:val="00E84742"/>
    <w:rsid w:val="00E86274"/>
    <w:rsid w:val="00E87C79"/>
    <w:rsid w:val="00E90709"/>
    <w:rsid w:val="00E913E5"/>
    <w:rsid w:val="00E91A0E"/>
    <w:rsid w:val="00E91F84"/>
    <w:rsid w:val="00E92109"/>
    <w:rsid w:val="00E92C61"/>
    <w:rsid w:val="00E92C6F"/>
    <w:rsid w:val="00E95179"/>
    <w:rsid w:val="00E95574"/>
    <w:rsid w:val="00EA09AC"/>
    <w:rsid w:val="00EA0CEA"/>
    <w:rsid w:val="00EB08BF"/>
    <w:rsid w:val="00EB0D48"/>
    <w:rsid w:val="00EB26D0"/>
    <w:rsid w:val="00EB286E"/>
    <w:rsid w:val="00EB44DC"/>
    <w:rsid w:val="00EB6877"/>
    <w:rsid w:val="00EB7C79"/>
    <w:rsid w:val="00EC1127"/>
    <w:rsid w:val="00EC15B8"/>
    <w:rsid w:val="00EC3509"/>
    <w:rsid w:val="00EC359A"/>
    <w:rsid w:val="00EC3D25"/>
    <w:rsid w:val="00EC5558"/>
    <w:rsid w:val="00EC6D3E"/>
    <w:rsid w:val="00EC73D9"/>
    <w:rsid w:val="00ED02ED"/>
    <w:rsid w:val="00ED06FC"/>
    <w:rsid w:val="00ED115A"/>
    <w:rsid w:val="00ED58CC"/>
    <w:rsid w:val="00ED6F07"/>
    <w:rsid w:val="00EE4515"/>
    <w:rsid w:val="00EE48EC"/>
    <w:rsid w:val="00EE5807"/>
    <w:rsid w:val="00EE6DFE"/>
    <w:rsid w:val="00EF47A6"/>
    <w:rsid w:val="00EF63D0"/>
    <w:rsid w:val="00EF7EBA"/>
    <w:rsid w:val="00EF7FA1"/>
    <w:rsid w:val="00F00F51"/>
    <w:rsid w:val="00F011A4"/>
    <w:rsid w:val="00F018EC"/>
    <w:rsid w:val="00F02AE1"/>
    <w:rsid w:val="00F03D6B"/>
    <w:rsid w:val="00F04CE4"/>
    <w:rsid w:val="00F06CB7"/>
    <w:rsid w:val="00F07D01"/>
    <w:rsid w:val="00F07F88"/>
    <w:rsid w:val="00F1081D"/>
    <w:rsid w:val="00F10E4A"/>
    <w:rsid w:val="00F12BA5"/>
    <w:rsid w:val="00F14B9D"/>
    <w:rsid w:val="00F14E0B"/>
    <w:rsid w:val="00F14E95"/>
    <w:rsid w:val="00F15718"/>
    <w:rsid w:val="00F15F28"/>
    <w:rsid w:val="00F17BB2"/>
    <w:rsid w:val="00F204D8"/>
    <w:rsid w:val="00F21060"/>
    <w:rsid w:val="00F2110E"/>
    <w:rsid w:val="00F2205D"/>
    <w:rsid w:val="00F223DF"/>
    <w:rsid w:val="00F23EBD"/>
    <w:rsid w:val="00F258C5"/>
    <w:rsid w:val="00F307A6"/>
    <w:rsid w:val="00F32C3E"/>
    <w:rsid w:val="00F34234"/>
    <w:rsid w:val="00F345A3"/>
    <w:rsid w:val="00F36B56"/>
    <w:rsid w:val="00F41940"/>
    <w:rsid w:val="00F43E23"/>
    <w:rsid w:val="00F4546D"/>
    <w:rsid w:val="00F46866"/>
    <w:rsid w:val="00F469DB"/>
    <w:rsid w:val="00F50CDF"/>
    <w:rsid w:val="00F522AE"/>
    <w:rsid w:val="00F57201"/>
    <w:rsid w:val="00F57FD1"/>
    <w:rsid w:val="00F6086B"/>
    <w:rsid w:val="00F60C5E"/>
    <w:rsid w:val="00F6127C"/>
    <w:rsid w:val="00F64858"/>
    <w:rsid w:val="00F64C69"/>
    <w:rsid w:val="00F66577"/>
    <w:rsid w:val="00F66A4A"/>
    <w:rsid w:val="00F711DB"/>
    <w:rsid w:val="00F7254C"/>
    <w:rsid w:val="00F74854"/>
    <w:rsid w:val="00F759D8"/>
    <w:rsid w:val="00F76EC2"/>
    <w:rsid w:val="00F814D4"/>
    <w:rsid w:val="00F822B6"/>
    <w:rsid w:val="00F82BD8"/>
    <w:rsid w:val="00F82E35"/>
    <w:rsid w:val="00F84871"/>
    <w:rsid w:val="00F848A6"/>
    <w:rsid w:val="00F85FE5"/>
    <w:rsid w:val="00F9095C"/>
    <w:rsid w:val="00F909EE"/>
    <w:rsid w:val="00F91171"/>
    <w:rsid w:val="00F928AD"/>
    <w:rsid w:val="00F94279"/>
    <w:rsid w:val="00F944AD"/>
    <w:rsid w:val="00F95460"/>
    <w:rsid w:val="00F956F8"/>
    <w:rsid w:val="00F95B99"/>
    <w:rsid w:val="00FA118F"/>
    <w:rsid w:val="00FA19FC"/>
    <w:rsid w:val="00FA7222"/>
    <w:rsid w:val="00FB0D9B"/>
    <w:rsid w:val="00FB4648"/>
    <w:rsid w:val="00FB5DEE"/>
    <w:rsid w:val="00FB7708"/>
    <w:rsid w:val="00FC115A"/>
    <w:rsid w:val="00FC17A1"/>
    <w:rsid w:val="00FC3327"/>
    <w:rsid w:val="00FC344C"/>
    <w:rsid w:val="00FC4F5B"/>
    <w:rsid w:val="00FC7DA2"/>
    <w:rsid w:val="00FD0232"/>
    <w:rsid w:val="00FD0345"/>
    <w:rsid w:val="00FD1DD0"/>
    <w:rsid w:val="00FD2CA8"/>
    <w:rsid w:val="00FD7B88"/>
    <w:rsid w:val="00FD7DAE"/>
    <w:rsid w:val="00FE37B0"/>
    <w:rsid w:val="00FE4699"/>
    <w:rsid w:val="00FE5248"/>
    <w:rsid w:val="00FE729F"/>
    <w:rsid w:val="00FF1F8F"/>
    <w:rsid w:val="00FF2615"/>
    <w:rsid w:val="00FF27F3"/>
    <w:rsid w:val="00FF5327"/>
    <w:rsid w:val="00FF66DE"/>
    <w:rsid w:val="00FF7535"/>
    <w:rsid w:val="01016ECD"/>
    <w:rsid w:val="0111332B"/>
    <w:rsid w:val="021322F4"/>
    <w:rsid w:val="02912D23"/>
    <w:rsid w:val="031859F9"/>
    <w:rsid w:val="03347BE0"/>
    <w:rsid w:val="03A54357"/>
    <w:rsid w:val="03A77A0C"/>
    <w:rsid w:val="03B51364"/>
    <w:rsid w:val="03E34A1A"/>
    <w:rsid w:val="03EB08B0"/>
    <w:rsid w:val="03FB7150"/>
    <w:rsid w:val="044E63DD"/>
    <w:rsid w:val="057505BD"/>
    <w:rsid w:val="059A4822"/>
    <w:rsid w:val="05F16B00"/>
    <w:rsid w:val="0615739D"/>
    <w:rsid w:val="07577A2C"/>
    <w:rsid w:val="076667C0"/>
    <w:rsid w:val="076843FB"/>
    <w:rsid w:val="07BE02A5"/>
    <w:rsid w:val="07C52EC0"/>
    <w:rsid w:val="07CE0362"/>
    <w:rsid w:val="07CF54A4"/>
    <w:rsid w:val="0850578D"/>
    <w:rsid w:val="08C274AC"/>
    <w:rsid w:val="08DE4188"/>
    <w:rsid w:val="091240D4"/>
    <w:rsid w:val="09277E44"/>
    <w:rsid w:val="09DC238B"/>
    <w:rsid w:val="0A1C313E"/>
    <w:rsid w:val="0A5A3D87"/>
    <w:rsid w:val="0A617704"/>
    <w:rsid w:val="0A8E31A5"/>
    <w:rsid w:val="0B9D5997"/>
    <w:rsid w:val="0BF55942"/>
    <w:rsid w:val="0C6E19B0"/>
    <w:rsid w:val="0CB37DE0"/>
    <w:rsid w:val="0CB55BF4"/>
    <w:rsid w:val="0D373633"/>
    <w:rsid w:val="0D471E60"/>
    <w:rsid w:val="0D9337AC"/>
    <w:rsid w:val="0E0D0CC1"/>
    <w:rsid w:val="0EAD6FF1"/>
    <w:rsid w:val="0ED92C1D"/>
    <w:rsid w:val="102D6AA9"/>
    <w:rsid w:val="103C3BAA"/>
    <w:rsid w:val="10610944"/>
    <w:rsid w:val="106827A2"/>
    <w:rsid w:val="11586CA6"/>
    <w:rsid w:val="12820B01"/>
    <w:rsid w:val="12855BF7"/>
    <w:rsid w:val="12E93BC3"/>
    <w:rsid w:val="12F5486D"/>
    <w:rsid w:val="139972FD"/>
    <w:rsid w:val="13F515D5"/>
    <w:rsid w:val="14410BAA"/>
    <w:rsid w:val="14E77123"/>
    <w:rsid w:val="15235454"/>
    <w:rsid w:val="15830D6B"/>
    <w:rsid w:val="15AA552C"/>
    <w:rsid w:val="15AF4B27"/>
    <w:rsid w:val="15FB48D5"/>
    <w:rsid w:val="160A46F1"/>
    <w:rsid w:val="192330B3"/>
    <w:rsid w:val="19813E2D"/>
    <w:rsid w:val="19BD7D47"/>
    <w:rsid w:val="19D76D7C"/>
    <w:rsid w:val="19F55B6B"/>
    <w:rsid w:val="1AF72674"/>
    <w:rsid w:val="1B912594"/>
    <w:rsid w:val="1BAC2C7D"/>
    <w:rsid w:val="1BCF469C"/>
    <w:rsid w:val="1C3C27B0"/>
    <w:rsid w:val="1CF007FA"/>
    <w:rsid w:val="1D061746"/>
    <w:rsid w:val="1F060964"/>
    <w:rsid w:val="1F3B4249"/>
    <w:rsid w:val="1F625DCA"/>
    <w:rsid w:val="1F8C63E4"/>
    <w:rsid w:val="20C052C9"/>
    <w:rsid w:val="20D65B1C"/>
    <w:rsid w:val="20E2391F"/>
    <w:rsid w:val="212748B7"/>
    <w:rsid w:val="221321E6"/>
    <w:rsid w:val="22403EDF"/>
    <w:rsid w:val="228521FE"/>
    <w:rsid w:val="228B6461"/>
    <w:rsid w:val="24B56038"/>
    <w:rsid w:val="2543476F"/>
    <w:rsid w:val="25D35685"/>
    <w:rsid w:val="261A3384"/>
    <w:rsid w:val="26463B4E"/>
    <w:rsid w:val="26774CF8"/>
    <w:rsid w:val="269F1C4A"/>
    <w:rsid w:val="26D32E08"/>
    <w:rsid w:val="2701635C"/>
    <w:rsid w:val="272C5573"/>
    <w:rsid w:val="284748D7"/>
    <w:rsid w:val="287152C8"/>
    <w:rsid w:val="28E15F03"/>
    <w:rsid w:val="29DB2014"/>
    <w:rsid w:val="2A095E55"/>
    <w:rsid w:val="2AE11E69"/>
    <w:rsid w:val="2AFF1215"/>
    <w:rsid w:val="2B433D82"/>
    <w:rsid w:val="2BA323B6"/>
    <w:rsid w:val="2BC5497C"/>
    <w:rsid w:val="2BDE1BFD"/>
    <w:rsid w:val="2D213B56"/>
    <w:rsid w:val="2DBB6BD0"/>
    <w:rsid w:val="2F8C0C36"/>
    <w:rsid w:val="2F9C3B4A"/>
    <w:rsid w:val="2F9F78B1"/>
    <w:rsid w:val="2FE548E0"/>
    <w:rsid w:val="30285733"/>
    <w:rsid w:val="30323F4E"/>
    <w:rsid w:val="3067219A"/>
    <w:rsid w:val="30853266"/>
    <w:rsid w:val="3086007A"/>
    <w:rsid w:val="30881F4F"/>
    <w:rsid w:val="30DA18A3"/>
    <w:rsid w:val="30E14CC2"/>
    <w:rsid w:val="3116499B"/>
    <w:rsid w:val="322841FB"/>
    <w:rsid w:val="32836B94"/>
    <w:rsid w:val="332C4A8E"/>
    <w:rsid w:val="335031B4"/>
    <w:rsid w:val="33C0692A"/>
    <w:rsid w:val="33DA56A3"/>
    <w:rsid w:val="341948D6"/>
    <w:rsid w:val="354E7592"/>
    <w:rsid w:val="35B11463"/>
    <w:rsid w:val="35BA6A56"/>
    <w:rsid w:val="35EE0582"/>
    <w:rsid w:val="360D0B38"/>
    <w:rsid w:val="36B669B1"/>
    <w:rsid w:val="36B96DF9"/>
    <w:rsid w:val="374F6AB1"/>
    <w:rsid w:val="379F347C"/>
    <w:rsid w:val="388B0E5E"/>
    <w:rsid w:val="38D00761"/>
    <w:rsid w:val="38F465E5"/>
    <w:rsid w:val="393B426D"/>
    <w:rsid w:val="39883509"/>
    <w:rsid w:val="39B1616E"/>
    <w:rsid w:val="3A575008"/>
    <w:rsid w:val="3C8C1FB4"/>
    <w:rsid w:val="3D881AE6"/>
    <w:rsid w:val="3DC228BC"/>
    <w:rsid w:val="3DC43F31"/>
    <w:rsid w:val="3E417FE9"/>
    <w:rsid w:val="3EA63C4E"/>
    <w:rsid w:val="3F0A2B5B"/>
    <w:rsid w:val="3F1176F7"/>
    <w:rsid w:val="400C0812"/>
    <w:rsid w:val="402551C5"/>
    <w:rsid w:val="403B5037"/>
    <w:rsid w:val="408F6F3E"/>
    <w:rsid w:val="40A52262"/>
    <w:rsid w:val="40CA21D5"/>
    <w:rsid w:val="41124628"/>
    <w:rsid w:val="41B47F8B"/>
    <w:rsid w:val="41EA3241"/>
    <w:rsid w:val="424F170A"/>
    <w:rsid w:val="429709E4"/>
    <w:rsid w:val="434046B5"/>
    <w:rsid w:val="43EB29F8"/>
    <w:rsid w:val="43FC2FC8"/>
    <w:rsid w:val="44A156A4"/>
    <w:rsid w:val="45BC3B61"/>
    <w:rsid w:val="46381116"/>
    <w:rsid w:val="46717777"/>
    <w:rsid w:val="46B101D5"/>
    <w:rsid w:val="47A91AF3"/>
    <w:rsid w:val="47CB6E29"/>
    <w:rsid w:val="47E04B60"/>
    <w:rsid w:val="47FE00BB"/>
    <w:rsid w:val="48EA6263"/>
    <w:rsid w:val="496E2916"/>
    <w:rsid w:val="49783B1C"/>
    <w:rsid w:val="4A3E1ABB"/>
    <w:rsid w:val="4A793C39"/>
    <w:rsid w:val="4B4E14F3"/>
    <w:rsid w:val="4B522F8D"/>
    <w:rsid w:val="4C052B37"/>
    <w:rsid w:val="4C1B09B5"/>
    <w:rsid w:val="4C9008D3"/>
    <w:rsid w:val="4D92798E"/>
    <w:rsid w:val="4DA80A3C"/>
    <w:rsid w:val="4E172CF0"/>
    <w:rsid w:val="4E3554E5"/>
    <w:rsid w:val="4E5C1CD2"/>
    <w:rsid w:val="4EED6307"/>
    <w:rsid w:val="4F621ABC"/>
    <w:rsid w:val="4F767264"/>
    <w:rsid w:val="4F8204D3"/>
    <w:rsid w:val="4FF7439C"/>
    <w:rsid w:val="5005422B"/>
    <w:rsid w:val="5063780A"/>
    <w:rsid w:val="50A86B10"/>
    <w:rsid w:val="51091964"/>
    <w:rsid w:val="5137367D"/>
    <w:rsid w:val="513C488F"/>
    <w:rsid w:val="51E972D9"/>
    <w:rsid w:val="51EC14BD"/>
    <w:rsid w:val="52271799"/>
    <w:rsid w:val="52710238"/>
    <w:rsid w:val="53B623D7"/>
    <w:rsid w:val="54031251"/>
    <w:rsid w:val="547E0444"/>
    <w:rsid w:val="54A93047"/>
    <w:rsid w:val="54B0732F"/>
    <w:rsid w:val="55566408"/>
    <w:rsid w:val="557C1D5B"/>
    <w:rsid w:val="56EF3822"/>
    <w:rsid w:val="570A52A7"/>
    <w:rsid w:val="572557A6"/>
    <w:rsid w:val="57DB3D5B"/>
    <w:rsid w:val="58914C0C"/>
    <w:rsid w:val="58B93882"/>
    <w:rsid w:val="594D4389"/>
    <w:rsid w:val="597738A2"/>
    <w:rsid w:val="59B3356E"/>
    <w:rsid w:val="5A194A52"/>
    <w:rsid w:val="5A6C4147"/>
    <w:rsid w:val="5AE46909"/>
    <w:rsid w:val="5AF424B7"/>
    <w:rsid w:val="5B31261E"/>
    <w:rsid w:val="5B410634"/>
    <w:rsid w:val="5B8E3F10"/>
    <w:rsid w:val="5C5C1228"/>
    <w:rsid w:val="5D470EF7"/>
    <w:rsid w:val="5F293AE5"/>
    <w:rsid w:val="5F637ECE"/>
    <w:rsid w:val="5F645003"/>
    <w:rsid w:val="5F89124D"/>
    <w:rsid w:val="5FA315CE"/>
    <w:rsid w:val="605C7F02"/>
    <w:rsid w:val="60605EAF"/>
    <w:rsid w:val="609855E1"/>
    <w:rsid w:val="60F97459"/>
    <w:rsid w:val="61665CAF"/>
    <w:rsid w:val="61965316"/>
    <w:rsid w:val="628D471E"/>
    <w:rsid w:val="629F365F"/>
    <w:rsid w:val="63243A70"/>
    <w:rsid w:val="645E1433"/>
    <w:rsid w:val="654E795E"/>
    <w:rsid w:val="65CB63BA"/>
    <w:rsid w:val="666174E3"/>
    <w:rsid w:val="668B6A18"/>
    <w:rsid w:val="670A24E8"/>
    <w:rsid w:val="675B4007"/>
    <w:rsid w:val="6768711E"/>
    <w:rsid w:val="679113BD"/>
    <w:rsid w:val="67B914D9"/>
    <w:rsid w:val="681B76C2"/>
    <w:rsid w:val="683738B8"/>
    <w:rsid w:val="68665186"/>
    <w:rsid w:val="68854544"/>
    <w:rsid w:val="694D5875"/>
    <w:rsid w:val="6A62171F"/>
    <w:rsid w:val="6ABA1136"/>
    <w:rsid w:val="6AF47D8A"/>
    <w:rsid w:val="6B051967"/>
    <w:rsid w:val="6BAE124D"/>
    <w:rsid w:val="6C727C43"/>
    <w:rsid w:val="6D283FF8"/>
    <w:rsid w:val="6D557674"/>
    <w:rsid w:val="6E342AAC"/>
    <w:rsid w:val="6E9F3902"/>
    <w:rsid w:val="6EE77369"/>
    <w:rsid w:val="6F5B41B7"/>
    <w:rsid w:val="702C67F6"/>
    <w:rsid w:val="70A010C3"/>
    <w:rsid w:val="70A4704D"/>
    <w:rsid w:val="71E02FB1"/>
    <w:rsid w:val="72781462"/>
    <w:rsid w:val="729D23B2"/>
    <w:rsid w:val="72D81CA6"/>
    <w:rsid w:val="736D5D8F"/>
    <w:rsid w:val="73713E16"/>
    <w:rsid w:val="73EE3112"/>
    <w:rsid w:val="75026424"/>
    <w:rsid w:val="763D3A5D"/>
    <w:rsid w:val="76D36168"/>
    <w:rsid w:val="7703303E"/>
    <w:rsid w:val="77271DC3"/>
    <w:rsid w:val="779C6012"/>
    <w:rsid w:val="783335CD"/>
    <w:rsid w:val="78D25D6B"/>
    <w:rsid w:val="78D31F5F"/>
    <w:rsid w:val="78E63323"/>
    <w:rsid w:val="79014598"/>
    <w:rsid w:val="791407CA"/>
    <w:rsid w:val="791B0E64"/>
    <w:rsid w:val="79241812"/>
    <w:rsid w:val="7AB466DB"/>
    <w:rsid w:val="7BD545AE"/>
    <w:rsid w:val="7C423FE9"/>
    <w:rsid w:val="7D2738CF"/>
    <w:rsid w:val="7D5F5A53"/>
    <w:rsid w:val="7D637131"/>
    <w:rsid w:val="7D6401AF"/>
    <w:rsid w:val="7D7D2F2E"/>
    <w:rsid w:val="7E192680"/>
    <w:rsid w:val="7E414FF4"/>
    <w:rsid w:val="7E427493"/>
    <w:rsid w:val="7E6441F8"/>
    <w:rsid w:val="7F0D3D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4">
    <w:name w:val="heading 1"/>
    <w:basedOn w:val="1"/>
    <w:next w:val="1"/>
    <w:link w:val="27"/>
    <w:qFormat/>
    <w:uiPriority w:val="0"/>
    <w:pPr>
      <w:keepNext/>
      <w:keepLines/>
      <w:spacing w:beforeLines="0" w:beforeAutospacing="0" w:afterLines="0" w:afterAutospacing="0" w:line="560" w:lineRule="exact"/>
      <w:ind w:firstLine="643" w:firstLineChars="200"/>
      <w:outlineLvl w:val="0"/>
    </w:pPr>
    <w:rPr>
      <w:rFonts w:ascii="黑体" w:hAnsi="黑体" w:eastAsia="黑体"/>
      <w:kern w:val="44"/>
    </w:rPr>
  </w:style>
  <w:style w:type="paragraph" w:styleId="5">
    <w:name w:val="heading 2"/>
    <w:basedOn w:val="1"/>
    <w:next w:val="1"/>
    <w:link w:val="28"/>
    <w:unhideWhenUsed/>
    <w:qFormat/>
    <w:uiPriority w:val="0"/>
    <w:pPr>
      <w:keepNext/>
      <w:keepLines/>
      <w:spacing w:beforeLines="0" w:beforeAutospacing="0" w:afterLines="0" w:afterAutospacing="0" w:line="560" w:lineRule="exact"/>
      <w:ind w:firstLine="643" w:firstLineChars="200"/>
      <w:outlineLvl w:val="1"/>
    </w:pPr>
    <w:rPr>
      <w:rFonts w:ascii="楷体_GB2312" w:hAnsi="楷体_GB2312" w:eastAsia="楷体_GB2312"/>
    </w:rPr>
  </w:style>
  <w:style w:type="paragraph" w:styleId="6">
    <w:name w:val="heading 3"/>
    <w:basedOn w:val="1"/>
    <w:next w:val="1"/>
    <w:link w:val="29"/>
    <w:qFormat/>
    <w:uiPriority w:val="9"/>
    <w:pPr>
      <w:widowControl/>
      <w:spacing w:beforeAutospacing="0" w:afterAutospacing="0" w:line="560" w:lineRule="exact"/>
      <w:ind w:firstLine="643" w:firstLineChars="200"/>
      <w:jc w:val="left"/>
      <w:outlineLvl w:val="2"/>
    </w:pPr>
    <w:rPr>
      <w:b/>
      <w:bCs/>
      <w:kern w:val="0"/>
      <w:szCs w:val="27"/>
    </w:rPr>
  </w:style>
  <w:style w:type="paragraph" w:styleId="7">
    <w:name w:val="heading 4"/>
    <w:basedOn w:val="1"/>
    <w:next w:val="1"/>
    <w:link w:val="30"/>
    <w:unhideWhenUsed/>
    <w:qFormat/>
    <w:uiPriority w:val="0"/>
    <w:pPr>
      <w:keepNext/>
      <w:keepLines/>
      <w:snapToGrid w:val="0"/>
      <w:spacing w:beforeLines="0" w:beforeAutospacing="0" w:afterLines="0" w:afterAutospacing="0" w:line="560" w:lineRule="exact"/>
      <w:jc w:val="center"/>
      <w:outlineLvl w:val="3"/>
    </w:pPr>
    <w:rPr>
      <w:rFonts w:ascii="宋体" w:hAnsi="宋体" w:eastAsia="宋体"/>
      <w:sz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qFormat/>
    <w:uiPriority w:val="0"/>
    <w:pPr>
      <w:snapToGrid w:val="0"/>
    </w:pPr>
    <w:rPr>
      <w:rFonts w:ascii="宋体" w:hAnsi="宋体"/>
      <w:sz w:val="24"/>
    </w:rPr>
  </w:style>
  <w:style w:type="paragraph" w:styleId="8">
    <w:name w:val="annotation text"/>
    <w:basedOn w:val="1"/>
    <w:link w:val="31"/>
    <w:qFormat/>
    <w:uiPriority w:val="0"/>
    <w:pPr>
      <w:jc w:val="left"/>
    </w:pPr>
  </w:style>
  <w:style w:type="paragraph" w:styleId="9">
    <w:name w:val="toc 3"/>
    <w:basedOn w:val="1"/>
    <w:next w:val="1"/>
    <w:qFormat/>
    <w:uiPriority w:val="0"/>
    <w:pPr>
      <w:ind w:left="840" w:leftChars="400"/>
    </w:pPr>
  </w:style>
  <w:style w:type="paragraph" w:styleId="10">
    <w:name w:val="Balloon Text"/>
    <w:basedOn w:val="1"/>
    <w:link w:val="32"/>
    <w:qFormat/>
    <w:uiPriority w:val="0"/>
    <w:rPr>
      <w:sz w:val="18"/>
      <w:szCs w:val="18"/>
    </w:rPr>
  </w:style>
  <w:style w:type="paragraph" w:styleId="11">
    <w:name w:val="footer"/>
    <w:basedOn w:val="1"/>
    <w:link w:val="33"/>
    <w:qFormat/>
    <w:uiPriority w:val="99"/>
    <w:pPr>
      <w:tabs>
        <w:tab w:val="center" w:pos="4153"/>
        <w:tab w:val="right" w:pos="8306"/>
      </w:tabs>
      <w:snapToGrid w:val="0"/>
      <w:jc w:val="left"/>
    </w:pPr>
    <w:rPr>
      <w:sz w:val="18"/>
      <w:szCs w:val="18"/>
    </w:rPr>
  </w:style>
  <w:style w:type="paragraph" w:styleId="12">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5">
    <w:name w:val="footnote text"/>
    <w:basedOn w:val="1"/>
    <w:qFormat/>
    <w:uiPriority w:val="0"/>
    <w:pPr>
      <w:snapToGrid w:val="0"/>
      <w:jc w:val="left"/>
    </w:pPr>
    <w:rPr>
      <w:rFonts w:ascii="Calibri" w:hAnsi="Calibri" w:eastAsia="宋体" w:cs="Times New Roman"/>
      <w:sz w:val="18"/>
      <w:szCs w:val="18"/>
    </w:rPr>
  </w:style>
  <w:style w:type="paragraph" w:styleId="16">
    <w:name w:val="toc 2"/>
    <w:basedOn w:val="1"/>
    <w:next w:val="1"/>
    <w:qFormat/>
    <w:uiPriority w:val="0"/>
    <w:pPr>
      <w:ind w:left="420" w:leftChars="200"/>
    </w:p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annotation subject"/>
    <w:basedOn w:val="8"/>
    <w:next w:val="8"/>
    <w:link w:val="36"/>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bCs/>
    </w:rPr>
  </w:style>
  <w:style w:type="character" w:styleId="23">
    <w:name w:val="Emphasis"/>
    <w:qFormat/>
    <w:uiPriority w:val="20"/>
    <w:rPr>
      <w:i/>
      <w:iCs/>
    </w:rPr>
  </w:style>
  <w:style w:type="character" w:styleId="24">
    <w:name w:val="Hyperlink"/>
    <w:unhideWhenUsed/>
    <w:qFormat/>
    <w:uiPriority w:val="99"/>
    <w:rPr>
      <w:color w:val="0000FF"/>
      <w:u w:val="single"/>
    </w:rPr>
  </w:style>
  <w:style w:type="character" w:styleId="25">
    <w:name w:val="annotation reference"/>
    <w:qFormat/>
    <w:uiPriority w:val="0"/>
    <w:rPr>
      <w:sz w:val="21"/>
      <w:szCs w:val="21"/>
    </w:rPr>
  </w:style>
  <w:style w:type="character" w:styleId="26">
    <w:name w:val="footnote reference"/>
    <w:basedOn w:val="21"/>
    <w:qFormat/>
    <w:uiPriority w:val="0"/>
    <w:rPr>
      <w:vertAlign w:val="superscript"/>
    </w:rPr>
  </w:style>
  <w:style w:type="character" w:customStyle="1" w:styleId="27">
    <w:name w:val="标题 1 Char"/>
    <w:link w:val="4"/>
    <w:qFormat/>
    <w:uiPriority w:val="0"/>
    <w:rPr>
      <w:rFonts w:ascii="黑体" w:hAnsi="黑体" w:eastAsia="黑体"/>
      <w:kern w:val="44"/>
    </w:rPr>
  </w:style>
  <w:style w:type="character" w:customStyle="1" w:styleId="28">
    <w:name w:val="标题 2 Char"/>
    <w:link w:val="5"/>
    <w:qFormat/>
    <w:uiPriority w:val="0"/>
    <w:rPr>
      <w:rFonts w:ascii="楷体_GB2312" w:hAnsi="楷体_GB2312" w:eastAsia="楷体_GB2312"/>
    </w:rPr>
  </w:style>
  <w:style w:type="character" w:customStyle="1" w:styleId="29">
    <w:name w:val=" Char Char6"/>
    <w:link w:val="6"/>
    <w:qFormat/>
    <w:uiPriority w:val="9"/>
    <w:rPr>
      <w:rFonts w:ascii="仿宋_GB2312" w:hAnsi="仿宋_GB2312" w:eastAsia="仿宋_GB2312" w:cs="宋体"/>
      <w:b/>
      <w:bCs/>
      <w:sz w:val="32"/>
      <w:szCs w:val="27"/>
    </w:rPr>
  </w:style>
  <w:style w:type="character" w:customStyle="1" w:styleId="30">
    <w:name w:val="标题 4 Char"/>
    <w:link w:val="7"/>
    <w:qFormat/>
    <w:uiPriority w:val="0"/>
    <w:rPr>
      <w:rFonts w:ascii="宋体" w:hAnsi="宋体" w:eastAsia="宋体"/>
      <w:sz w:val="28"/>
    </w:rPr>
  </w:style>
  <w:style w:type="character" w:customStyle="1" w:styleId="31">
    <w:name w:val=" Char Char2"/>
    <w:link w:val="8"/>
    <w:qFormat/>
    <w:uiPriority w:val="0"/>
    <w:rPr>
      <w:kern w:val="2"/>
      <w:sz w:val="21"/>
      <w:szCs w:val="24"/>
    </w:rPr>
  </w:style>
  <w:style w:type="character" w:customStyle="1" w:styleId="32">
    <w:name w:val=" Char Char"/>
    <w:link w:val="10"/>
    <w:qFormat/>
    <w:uiPriority w:val="0"/>
    <w:rPr>
      <w:kern w:val="2"/>
      <w:sz w:val="18"/>
      <w:szCs w:val="18"/>
    </w:rPr>
  </w:style>
  <w:style w:type="character" w:customStyle="1" w:styleId="33">
    <w:name w:val=" Char Char4"/>
    <w:link w:val="11"/>
    <w:qFormat/>
    <w:uiPriority w:val="99"/>
    <w:rPr>
      <w:kern w:val="2"/>
      <w:sz w:val="18"/>
      <w:szCs w:val="18"/>
    </w:rPr>
  </w:style>
  <w:style w:type="character" w:customStyle="1" w:styleId="34">
    <w:name w:val=" Char Char5"/>
    <w:link w:val="12"/>
    <w:qFormat/>
    <w:uiPriority w:val="99"/>
    <w:rPr>
      <w:kern w:val="2"/>
      <w:sz w:val="18"/>
      <w:szCs w:val="18"/>
    </w:rPr>
  </w:style>
  <w:style w:type="character" w:customStyle="1" w:styleId="35">
    <w:name w:val=" Char Char3"/>
    <w:link w:val="14"/>
    <w:qFormat/>
    <w:uiPriority w:val="0"/>
    <w:rPr>
      <w:rFonts w:ascii="Cambria" w:hAnsi="Cambria" w:cs="Times New Roman"/>
      <w:b/>
      <w:bCs/>
      <w:kern w:val="28"/>
      <w:sz w:val="32"/>
      <w:szCs w:val="32"/>
    </w:rPr>
  </w:style>
  <w:style w:type="character" w:customStyle="1" w:styleId="36">
    <w:name w:val=" Char Char1"/>
    <w:link w:val="18"/>
    <w:qFormat/>
    <w:uiPriority w:val="0"/>
    <w:rPr>
      <w:b/>
      <w:bCs/>
      <w:kern w:val="2"/>
      <w:sz w:val="21"/>
      <w:szCs w:val="24"/>
    </w:rPr>
  </w:style>
  <w:style w:type="character" w:customStyle="1" w:styleId="37">
    <w:name w:val="无间隔 Char"/>
    <w:link w:val="38"/>
    <w:qFormat/>
    <w:uiPriority w:val="1"/>
    <w:rPr>
      <w:rFonts w:ascii="Calibri" w:hAnsi="Calibri"/>
      <w:sz w:val="22"/>
      <w:szCs w:val="22"/>
      <w:lang w:val="en-US" w:eastAsia="zh-CN" w:bidi="ar-SA"/>
    </w:rPr>
  </w:style>
  <w:style w:type="paragraph" w:customStyle="1" w:styleId="38">
    <w:name w:val="无间隔"/>
    <w:link w:val="37"/>
    <w:qFormat/>
    <w:uiPriority w:val="1"/>
    <w:rPr>
      <w:rFonts w:ascii="Calibri" w:hAnsi="Calibri" w:eastAsia="宋体" w:cs="Times New Roman"/>
      <w:sz w:val="22"/>
      <w:szCs w:val="22"/>
      <w:lang w:val="en-US" w:eastAsia="zh-CN" w:bidi="ar-SA"/>
    </w:rPr>
  </w:style>
  <w:style w:type="paragraph" w:customStyle="1" w:styleId="39">
    <w:name w:val="Char Char Char Char"/>
    <w:basedOn w:val="1"/>
    <w:qFormat/>
    <w:uiPriority w:val="0"/>
    <w:pPr>
      <w:tabs>
        <w:tab w:val="left" w:pos="360"/>
      </w:tabs>
    </w:pPr>
  </w:style>
  <w:style w:type="paragraph" w:customStyle="1" w:styleId="40">
    <w:name w:val="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1">
    <w:name w:val="_Style 5"/>
    <w:qFormat/>
    <w:uiPriority w:val="0"/>
    <w:pPr>
      <w:widowControl w:val="0"/>
      <w:ind w:firstLine="200" w:firstLineChars="200"/>
      <w:jc w:val="both"/>
    </w:pPr>
    <w:rPr>
      <w:rFonts w:ascii="Times New Roman" w:hAnsi="Times New Roman" w:eastAsia="宋体" w:cs="黑体"/>
      <w:kern w:val="2"/>
      <w:sz w:val="24"/>
      <w:szCs w:val="22"/>
      <w:lang w:val="en-US" w:eastAsia="zh-CN" w:bidi="ar-SA"/>
    </w:rPr>
  </w:style>
  <w:style w:type="paragraph" w:customStyle="1" w:styleId="42">
    <w:name w:val="WPSOffice手动目录 1"/>
    <w:qFormat/>
    <w:uiPriority w:val="0"/>
    <w:pPr>
      <w:ind w:leftChars="0"/>
    </w:pPr>
    <w:rPr>
      <w:rFonts w:ascii="Times New Roman" w:hAnsi="Times New Roman" w:eastAsia="宋体" w:cs="Times New Roman"/>
      <w:sz w:val="20"/>
      <w:szCs w:val="20"/>
    </w:rPr>
  </w:style>
  <w:style w:type="paragraph" w:customStyle="1" w:styleId="43">
    <w:name w:val="WPSOffice手动目录 2"/>
    <w:qFormat/>
    <w:uiPriority w:val="0"/>
    <w:pPr>
      <w:ind w:leftChars="200"/>
    </w:pPr>
    <w:rPr>
      <w:rFonts w:ascii="Times New Roman" w:hAnsi="Times New Roman" w:eastAsia="宋体" w:cs="Times New Roman"/>
      <w:sz w:val="20"/>
      <w:szCs w:val="20"/>
    </w:rPr>
  </w:style>
  <w:style w:type="paragraph" w:customStyle="1" w:styleId="4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23</Pages>
  <Words>8695</Words>
  <Characters>9352</Characters>
  <Lines>18</Lines>
  <Paragraphs>5</Paragraphs>
  <TotalTime>57</TotalTime>
  <ScaleCrop>false</ScaleCrop>
  <LinksUpToDate>false</LinksUpToDate>
  <CharactersWithSpaces>9370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2017-02-23T04:09:00Z</dcterms:created>
  <dc:creator>China</dc:creator>
  <cp:lastModifiedBy>传入的名字</cp:lastModifiedBy>
  <cp:lastPrinted>2023-07-28T03:23:00Z</cp:lastPrinted>
  <dcterms:modified xsi:type="dcterms:W3CDTF">2023-08-25T03:07:30Z</dcterms:modified>
  <dc:title>关于洋浦新都小学综合大楼建筑地</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0EA62B7CB246489D86D91121A9098F97_13</vt:lpwstr>
  </property>
</Properties>
</file>