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E96B6B">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6FA00265">
      <w:pPr>
        <w:pStyle w:val="4"/>
        <w:keepNext w:val="0"/>
        <w:keepLines w:val="0"/>
        <w:pageBreakBefore w:val="0"/>
        <w:widowControl w:val="0"/>
        <w:kinsoku/>
        <w:wordWrap/>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4D717455">
      <w:pPr>
        <w:pStyle w:val="6"/>
        <w:keepNext w:val="0"/>
        <w:keepLines w:val="0"/>
        <w:pageBreakBefore w:val="0"/>
        <w:widowControl w:val="0"/>
        <w:kinsoku/>
        <w:wordWrap/>
        <w:overflowPunct/>
        <w:topLinePunct w:val="0"/>
        <w:autoSpaceDE/>
        <w:autoSpaceDN/>
        <w:bidi w:val="0"/>
        <w:adjustRightInd/>
        <w:snapToGrid/>
        <w:spacing w:line="560" w:lineRule="exact"/>
        <w:jc w:val="center"/>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sz w:val="44"/>
          <w:szCs w:val="44"/>
          <w:lang w:val="en-US" w:eastAsia="zh-CN"/>
        </w:rPr>
        <w:t>吉州白塘</w:t>
      </w:r>
      <w:r>
        <w:rPr>
          <w:rFonts w:hint="eastAsia" w:ascii="方正小标宋简体" w:hAnsi="方正小标宋简体" w:eastAsia="方正小标宋简体" w:cs="方正小标宋简体"/>
          <w:b w:val="0"/>
          <w:bCs/>
          <w:sz w:val="44"/>
          <w:szCs w:val="44"/>
          <w:lang w:val="en-US" w:eastAsia="zh-CN"/>
        </w:rPr>
        <w:t>吉安双胞胎饲料有限公司</w:t>
      </w:r>
    </w:p>
    <w:p w14:paraId="121EFD78">
      <w:pPr>
        <w:pStyle w:val="6"/>
        <w:keepNext w:val="0"/>
        <w:keepLines w:val="0"/>
        <w:pageBreakBefore w:val="0"/>
        <w:widowControl w:val="0"/>
        <w:kinsoku/>
        <w:wordWrap/>
        <w:overflowPunct/>
        <w:topLinePunct w:val="0"/>
        <w:autoSpaceDE/>
        <w:autoSpaceDN/>
        <w:bidi w:val="0"/>
        <w:adjustRightInd/>
        <w:snapToGrid/>
        <w:spacing w:line="560" w:lineRule="exact"/>
        <w:jc w:val="center"/>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rPr>
        <w:t>“</w:t>
      </w:r>
      <w:r>
        <w:rPr>
          <w:rFonts w:hint="eastAsia" w:ascii="方正小标宋简体" w:hAnsi="方正小标宋简体" w:eastAsia="方正小标宋简体" w:cs="方正小标宋简体"/>
          <w:b w:val="0"/>
          <w:bCs/>
          <w:sz w:val="44"/>
          <w:szCs w:val="44"/>
          <w:lang w:val="en-US" w:eastAsia="zh-CN"/>
        </w:rPr>
        <w:t>6</w:t>
      </w:r>
      <w:r>
        <w:rPr>
          <w:rFonts w:hint="eastAsia" w:ascii="方正小标宋简体" w:hAnsi="方正小标宋简体" w:eastAsia="方正小标宋简体" w:cs="方正小标宋简体"/>
          <w:b w:val="0"/>
          <w:bCs/>
          <w:sz w:val="44"/>
          <w:szCs w:val="44"/>
        </w:rPr>
        <w:t>·</w:t>
      </w:r>
      <w:r>
        <w:rPr>
          <w:rFonts w:hint="eastAsia" w:ascii="方正小标宋简体" w:hAnsi="方正小标宋简体" w:eastAsia="方正小标宋简体" w:cs="方正小标宋简体"/>
          <w:b w:val="0"/>
          <w:bCs/>
          <w:sz w:val="44"/>
          <w:szCs w:val="44"/>
          <w:lang w:val="en-US" w:eastAsia="zh-CN"/>
        </w:rPr>
        <w:t>5</w:t>
      </w:r>
      <w:r>
        <w:rPr>
          <w:rFonts w:hint="eastAsia" w:ascii="方正小标宋简体" w:hAnsi="方正小标宋简体" w:eastAsia="方正小标宋简体" w:cs="方正小标宋简体"/>
          <w:b w:val="0"/>
          <w:bCs/>
          <w:sz w:val="44"/>
          <w:szCs w:val="44"/>
        </w:rPr>
        <w:t>”</w:t>
      </w:r>
      <w:r>
        <w:rPr>
          <w:rFonts w:hint="eastAsia" w:ascii="方正小标宋简体" w:hAnsi="方正小标宋简体" w:eastAsia="方正小标宋简体" w:cs="方正小标宋简体"/>
          <w:b w:val="0"/>
          <w:bCs/>
          <w:sz w:val="44"/>
          <w:szCs w:val="44"/>
          <w:lang w:val="en-US" w:eastAsia="zh-CN"/>
        </w:rPr>
        <w:t>一般机械伤害</w:t>
      </w:r>
      <w:r>
        <w:rPr>
          <w:rFonts w:hint="eastAsia" w:ascii="方正小标宋简体" w:hAnsi="方正小标宋简体" w:eastAsia="方正小标宋简体" w:cs="方正小标宋简体"/>
          <w:b w:val="0"/>
          <w:bCs/>
          <w:sz w:val="44"/>
          <w:szCs w:val="44"/>
        </w:rPr>
        <w:t>事故</w:t>
      </w:r>
    </w:p>
    <w:p w14:paraId="7AF4723C">
      <w:pPr>
        <w:pStyle w:val="6"/>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调查报告</w:t>
      </w:r>
    </w:p>
    <w:p w14:paraId="4406E26F">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36A45A4A">
      <w:pPr>
        <w:pStyle w:val="4"/>
        <w:keepNext w:val="0"/>
        <w:keepLines w:val="0"/>
        <w:pageBreakBefore w:val="0"/>
        <w:widowControl w:val="0"/>
        <w:kinsoku/>
        <w:wordWrap/>
        <w:topLinePunct w:val="0"/>
        <w:autoSpaceDE/>
        <w:autoSpaceDN/>
        <w:bidi w:val="0"/>
        <w:adjustRightInd/>
        <w:snapToGrid/>
        <w:spacing w:line="560" w:lineRule="exact"/>
        <w:ind w:left="0" w:leftChars="0" w:firstLine="560" w:firstLineChars="200"/>
        <w:jc w:val="both"/>
        <w:textAlignment w:val="auto"/>
      </w:pPr>
    </w:p>
    <w:p w14:paraId="68F33DF1">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0C371838">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6770879A">
      <w:pPr>
        <w:pStyle w:val="4"/>
        <w:keepNext w:val="0"/>
        <w:keepLines w:val="0"/>
        <w:pageBreakBefore w:val="0"/>
        <w:widowControl w:val="0"/>
        <w:kinsoku/>
        <w:wordWrap/>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35871845">
      <w:pPr>
        <w:pStyle w:val="4"/>
        <w:keepNext w:val="0"/>
        <w:keepLines w:val="0"/>
        <w:pageBreakBefore w:val="0"/>
        <w:widowControl w:val="0"/>
        <w:kinsoku/>
        <w:wordWrap/>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5F5E2751">
      <w:pPr>
        <w:pStyle w:val="4"/>
        <w:keepNext w:val="0"/>
        <w:keepLines w:val="0"/>
        <w:pageBreakBefore w:val="0"/>
        <w:widowControl w:val="0"/>
        <w:kinsoku/>
        <w:wordWrap/>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0E54ACB2">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7B0842FF">
      <w:pPr>
        <w:pStyle w:val="4"/>
        <w:keepNext w:val="0"/>
        <w:keepLines w:val="0"/>
        <w:pageBreakBefore w:val="0"/>
        <w:widowControl w:val="0"/>
        <w:kinsoku/>
        <w:wordWrap/>
        <w:topLinePunct w:val="0"/>
        <w:autoSpaceDE/>
        <w:autoSpaceDN/>
        <w:bidi w:val="0"/>
        <w:spacing w:line="560" w:lineRule="exact"/>
        <w:ind w:left="0" w:leftChars="0" w:firstLine="880" w:firstLineChars="200"/>
        <w:rPr>
          <w:rFonts w:ascii="方正小标宋简体" w:hAnsi="方正小标宋简体" w:eastAsia="方正小标宋简体" w:cs="方正小标宋简体"/>
          <w:sz w:val="44"/>
          <w:szCs w:val="44"/>
        </w:rPr>
      </w:pPr>
    </w:p>
    <w:p w14:paraId="0C32D679">
      <w:pPr>
        <w:pStyle w:val="4"/>
        <w:keepNext w:val="0"/>
        <w:keepLines w:val="0"/>
        <w:pageBreakBefore w:val="0"/>
        <w:widowControl w:val="0"/>
        <w:kinsoku/>
        <w:wordWrap/>
        <w:topLinePunct w:val="0"/>
        <w:autoSpaceDE/>
        <w:autoSpaceDN/>
        <w:bidi w:val="0"/>
        <w:spacing w:line="560" w:lineRule="exact"/>
        <w:ind w:left="0" w:leftChars="0" w:firstLine="880" w:firstLineChars="200"/>
        <w:rPr>
          <w:rFonts w:ascii="方正小标宋简体" w:hAnsi="方正小标宋简体" w:eastAsia="方正小标宋简体" w:cs="方正小标宋简体"/>
          <w:sz w:val="44"/>
          <w:szCs w:val="44"/>
        </w:rPr>
      </w:pPr>
    </w:p>
    <w:p w14:paraId="183627EF">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3FC88B9B">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hint="eastAsia" w:ascii="方正小标宋简体" w:hAnsi="方正小标宋简体" w:eastAsia="方正小标宋简体" w:cs="方正小标宋简体"/>
          <w:sz w:val="44"/>
          <w:szCs w:val="44"/>
          <w:lang w:val="en-US" w:eastAsia="zh-CN"/>
        </w:rPr>
      </w:pPr>
    </w:p>
    <w:p w14:paraId="37ED4458">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center"/>
        <w:textAlignment w:val="auto"/>
        <w:rPr>
          <w:rFonts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吉州</w:t>
      </w:r>
      <w:r>
        <w:rPr>
          <w:rFonts w:hint="eastAsia" w:ascii="楷体_GB2312" w:hAnsi="楷体_GB2312" w:eastAsia="楷体_GB2312" w:cs="楷体_GB2312"/>
          <w:b/>
          <w:bCs/>
          <w:sz w:val="32"/>
          <w:szCs w:val="32"/>
        </w:rPr>
        <w:t>区政府调查组</w:t>
      </w:r>
    </w:p>
    <w:p w14:paraId="73166281">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jc w:val="center"/>
        <w:textAlignment w:val="auto"/>
        <w:rPr>
          <w:rFonts w:ascii="方正楷体_GB2312" w:hAnsi="方正楷体_GB2312" w:eastAsia="方正楷体_GB2312" w:cs="方正楷体_GB2312"/>
          <w:b/>
          <w:bCs/>
          <w:sz w:val="32"/>
          <w:szCs w:val="32"/>
        </w:rPr>
      </w:pPr>
      <w:r>
        <w:rPr>
          <w:rFonts w:hint="eastAsia" w:ascii="楷体_GB2312" w:hAnsi="楷体_GB2312" w:eastAsia="楷体_GB2312" w:cs="楷体_GB2312"/>
          <w:b/>
          <w:bCs/>
          <w:sz w:val="32"/>
          <w:szCs w:val="32"/>
        </w:rPr>
        <w:t>202</w:t>
      </w:r>
      <w:r>
        <w:rPr>
          <w:rFonts w:hint="eastAsia" w:ascii="楷体_GB2312" w:hAnsi="楷体_GB2312" w:eastAsia="楷体_GB2312" w:cs="楷体_GB2312"/>
          <w:b/>
          <w:bCs/>
          <w:sz w:val="32"/>
          <w:szCs w:val="32"/>
          <w:lang w:val="en-US" w:eastAsia="zh-CN"/>
        </w:rPr>
        <w:t>5</w:t>
      </w:r>
      <w:r>
        <w:rPr>
          <w:rFonts w:hint="eastAsia" w:ascii="楷体_GB2312" w:hAnsi="楷体_GB2312" w:eastAsia="楷体_GB2312" w:cs="楷体_GB2312"/>
          <w:b/>
          <w:bCs/>
          <w:sz w:val="32"/>
          <w:szCs w:val="32"/>
        </w:rPr>
        <w:t>年</w:t>
      </w:r>
      <w:r>
        <w:rPr>
          <w:rFonts w:hint="eastAsia" w:ascii="楷体_GB2312" w:hAnsi="楷体_GB2312" w:eastAsia="楷体_GB2312" w:cs="楷体_GB2312"/>
          <w:b/>
          <w:bCs/>
          <w:sz w:val="32"/>
          <w:szCs w:val="32"/>
          <w:lang w:val="en-US" w:eastAsia="zh-CN"/>
        </w:rPr>
        <w:t>8</w:t>
      </w:r>
      <w:r>
        <w:rPr>
          <w:rFonts w:hint="eastAsia" w:ascii="楷体_GB2312" w:hAnsi="楷体_GB2312" w:eastAsia="楷体_GB2312" w:cs="楷体_GB2312"/>
          <w:b/>
          <w:bCs/>
          <w:sz w:val="32"/>
          <w:szCs w:val="32"/>
        </w:rPr>
        <w:t>月</w:t>
      </w:r>
    </w:p>
    <w:p w14:paraId="2EB96886">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3720C86F">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12DE8ED8">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80" w:firstLineChars="200"/>
        <w:jc w:val="both"/>
        <w:textAlignment w:val="auto"/>
        <w:rPr>
          <w:rFonts w:ascii="方正小标宋简体" w:hAnsi="方正小标宋简体" w:eastAsia="方正小标宋简体" w:cs="方正小标宋简体"/>
          <w:sz w:val="44"/>
          <w:szCs w:val="44"/>
        </w:rPr>
      </w:pPr>
    </w:p>
    <w:p w14:paraId="5F5BC137">
      <w:pPr>
        <w:pStyle w:val="6"/>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ascii="方正小标宋简体" w:hAnsi="方正小标宋简体" w:eastAsia="方正小标宋简体" w:cs="方正小标宋简体"/>
          <w:sz w:val="44"/>
          <w:szCs w:val="44"/>
        </w:rPr>
      </w:pPr>
    </w:p>
    <w:p w14:paraId="335988B9">
      <w:pPr>
        <w:pStyle w:val="4"/>
        <w:keepNext w:val="0"/>
        <w:keepLines w:val="0"/>
        <w:pageBreakBefore w:val="0"/>
        <w:widowControl w:val="0"/>
        <w:kinsoku/>
        <w:wordWrap/>
        <w:topLinePunct w:val="0"/>
        <w:autoSpaceDE/>
        <w:autoSpaceDN/>
        <w:bidi w:val="0"/>
        <w:adjustRightInd/>
        <w:snapToGrid/>
        <w:spacing w:line="560" w:lineRule="exact"/>
        <w:ind w:left="0" w:leftChars="0" w:firstLine="643" w:firstLineChars="200"/>
        <w:jc w:val="both"/>
        <w:textAlignment w:val="auto"/>
        <w:rPr>
          <w:b/>
          <w:bCs/>
          <w:sz w:val="32"/>
          <w:szCs w:val="32"/>
        </w:rPr>
        <w:sectPr>
          <w:pgSz w:w="11906" w:h="16838"/>
          <w:pgMar w:top="1440" w:right="1519" w:bottom="1440" w:left="1576" w:header="851" w:footer="992" w:gutter="0"/>
          <w:pgNumType w:fmt="decimal" w:start="1"/>
          <w:cols w:space="720" w:num="1"/>
          <w:formProt w:val="0"/>
          <w:docGrid w:type="lines" w:linePitch="312" w:charSpace="43007"/>
        </w:sectPr>
      </w:pPr>
    </w:p>
    <w:p w14:paraId="1BE032C4">
      <w:pPr>
        <w:pStyle w:val="4"/>
        <w:keepNext w:val="0"/>
        <w:keepLines w:val="0"/>
        <w:pageBreakBefore w:val="0"/>
        <w:widowControl w:val="0"/>
        <w:kinsoku/>
        <w:wordWrap/>
        <w:topLinePunct w:val="0"/>
        <w:autoSpaceDE/>
        <w:autoSpaceDN/>
        <w:bidi w:val="0"/>
        <w:adjustRightInd/>
        <w:snapToGrid/>
        <w:spacing w:line="560" w:lineRule="exact"/>
        <w:ind w:left="0" w:leftChars="0" w:firstLine="0" w:firstLineChars="0"/>
        <w:jc w:val="center"/>
        <w:textAlignment w:val="auto"/>
        <w:rPr>
          <w:rFonts w:hint="default" w:eastAsia="宋体"/>
          <w:b/>
          <w:bCs/>
          <w:sz w:val="32"/>
          <w:szCs w:val="32"/>
          <w:lang w:val="en-US" w:eastAsia="zh-CN"/>
        </w:rPr>
      </w:pPr>
      <w:r>
        <w:rPr>
          <w:rFonts w:hint="eastAsia"/>
          <w:b/>
          <w:bCs/>
          <w:sz w:val="32"/>
          <w:szCs w:val="32"/>
        </w:rPr>
        <w:t>目</w:t>
      </w:r>
      <w:r>
        <w:rPr>
          <w:rFonts w:hint="eastAsia"/>
          <w:b/>
          <w:bCs/>
          <w:sz w:val="32"/>
          <w:szCs w:val="32"/>
          <w:lang w:eastAsia="zh-CN"/>
        </w:rPr>
        <w:t>　</w:t>
      </w:r>
      <w:r>
        <w:rPr>
          <w:rFonts w:hint="eastAsia"/>
          <w:b/>
          <w:bCs/>
          <w:sz w:val="32"/>
          <w:szCs w:val="32"/>
        </w:rPr>
        <w:t>录</w:t>
      </w:r>
    </w:p>
    <w:p w14:paraId="00E4316C">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黑体" w:hAnsi="黑体" w:eastAsia="黑体" w:cs="黑体"/>
          <w:b w:val="0"/>
          <w:bCs w:val="0"/>
          <w:sz w:val="24"/>
          <w:szCs w:val="24"/>
        </w:rPr>
        <w:t>一、事故基本情况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w:t>
      </w:r>
    </w:p>
    <w:p w14:paraId="412C0827">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rPr>
        <w:t>（一）</w:t>
      </w:r>
      <w:r>
        <w:rPr>
          <w:rFonts w:hint="eastAsia" w:ascii="宋体" w:hAnsi="宋体" w:eastAsia="宋体" w:cs="宋体"/>
          <w:b w:val="0"/>
          <w:bCs w:val="0"/>
          <w:sz w:val="24"/>
          <w:szCs w:val="24"/>
          <w:lang w:val="en-US" w:eastAsia="zh-CN"/>
        </w:rPr>
        <w:t>事故单位</w:t>
      </w:r>
      <w:r>
        <w:rPr>
          <w:rFonts w:hint="eastAsia" w:ascii="宋体" w:hAnsi="宋体" w:eastAsia="宋体" w:cs="宋体"/>
          <w:b w:val="0"/>
          <w:bCs w:val="0"/>
          <w:sz w:val="24"/>
          <w:szCs w:val="24"/>
        </w:rPr>
        <w:t>概况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w:t>
      </w:r>
    </w:p>
    <w:p w14:paraId="0D0F215E">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（二）</w:t>
      </w:r>
      <w:r>
        <w:rPr>
          <w:rFonts w:hint="eastAsia" w:ascii="宋体" w:hAnsi="宋体" w:eastAsia="宋体" w:cs="宋体"/>
          <w:b w:val="0"/>
          <w:bCs w:val="0"/>
          <w:sz w:val="24"/>
          <w:szCs w:val="24"/>
          <w:lang w:val="en-US" w:eastAsia="zh-CN"/>
        </w:rPr>
        <w:t>事故发生单位安全管理情况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2</w:t>
      </w:r>
    </w:p>
    <w:p w14:paraId="043B51BA">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rPr>
        <w:t>（三）</w:t>
      </w:r>
      <w:r>
        <w:rPr>
          <w:rFonts w:hint="eastAsia" w:ascii="宋体" w:hAnsi="宋体" w:eastAsia="宋体" w:cs="宋体"/>
          <w:b w:val="0"/>
          <w:bCs w:val="0"/>
          <w:sz w:val="24"/>
          <w:szCs w:val="24"/>
          <w:lang w:val="en-US" w:eastAsia="zh-CN"/>
        </w:rPr>
        <w:t>事故发生经过</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2</w:t>
      </w:r>
    </w:p>
    <w:p w14:paraId="24DE06C5">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（四）</w:t>
      </w:r>
      <w:r>
        <w:rPr>
          <w:rFonts w:hint="eastAsia" w:ascii="宋体" w:hAnsi="宋体" w:eastAsia="宋体" w:cs="宋体"/>
          <w:b w:val="0"/>
          <w:bCs w:val="0"/>
          <w:sz w:val="24"/>
          <w:szCs w:val="24"/>
          <w:lang w:val="en-US" w:eastAsia="zh-CN"/>
        </w:rPr>
        <w:t>事故现场情况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4</w:t>
      </w:r>
    </w:p>
    <w:p w14:paraId="2895D5F0">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五</w:t>
      </w:r>
      <w:r>
        <w:rPr>
          <w:rFonts w:hint="eastAsia" w:ascii="宋体" w:hAnsi="宋体" w:eastAsia="宋体" w:cs="宋体"/>
          <w:b w:val="0"/>
          <w:bCs w:val="0"/>
          <w:sz w:val="24"/>
          <w:szCs w:val="24"/>
        </w:rPr>
        <w:t>）人员伤亡和直接经济损失情</w:t>
      </w:r>
      <w:r>
        <w:rPr>
          <w:rFonts w:hint="eastAsia" w:ascii="宋体" w:hAnsi="宋体" w:eastAsia="宋体" w:cs="宋体"/>
          <w:b w:val="0"/>
          <w:bCs w:val="0"/>
          <w:sz w:val="24"/>
          <w:szCs w:val="24"/>
          <w:lang w:val="en-US" w:eastAsia="zh-CN"/>
        </w:rPr>
        <w:t>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5</w:t>
      </w:r>
    </w:p>
    <w:p w14:paraId="06907D44">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黑体" w:hAnsi="黑体" w:eastAsia="黑体" w:cs="黑体"/>
          <w:b w:val="0"/>
          <w:bCs w:val="0"/>
          <w:sz w:val="24"/>
          <w:szCs w:val="24"/>
        </w:rPr>
        <w:t>二、事故应急处置评估情况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5</w:t>
      </w:r>
    </w:p>
    <w:p w14:paraId="4C5AE078">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（一）事故信息接报及响应情况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5</w:t>
      </w:r>
    </w:p>
    <w:p w14:paraId="77471F8C">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（二）事故现场应急处置情况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6</w:t>
      </w:r>
    </w:p>
    <w:p w14:paraId="39A155FB">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（三）医疗救助善后情况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6</w:t>
      </w:r>
    </w:p>
    <w:p w14:paraId="6511CBA0">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（四）事故应急处置评估</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6</w:t>
      </w:r>
    </w:p>
    <w:p w14:paraId="6ABFC11F">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黑体" w:hAnsi="黑体" w:eastAsia="黑体" w:cs="黑体"/>
          <w:b w:val="0"/>
          <w:bCs w:val="0"/>
          <w:sz w:val="24"/>
          <w:szCs w:val="24"/>
        </w:rPr>
        <w:t>三、事故原因分析</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6</w:t>
      </w:r>
    </w:p>
    <w:p w14:paraId="68722FC0">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（一）直接原因分析</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7</w:t>
      </w:r>
    </w:p>
    <w:p w14:paraId="7D26C39F">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（二）间接原因分析</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7</w:t>
      </w:r>
    </w:p>
    <w:p w14:paraId="261878FF">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eastAsia"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四、有关责任单位存在的问题</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7</w:t>
      </w:r>
    </w:p>
    <w:p w14:paraId="0199008A">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五、对有关责任人员和责任单位的处理意见</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9</w:t>
      </w:r>
    </w:p>
    <w:p w14:paraId="3DAD74B5">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（一）对事故有关责任人员的行政处罚建议</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9</w:t>
      </w:r>
    </w:p>
    <w:p w14:paraId="31F6B4D3">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（二）对事故责任单位的行政处罚</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12</w:t>
      </w:r>
    </w:p>
    <w:p w14:paraId="05F9FF87">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（三）对其他处理意见</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14</w:t>
      </w:r>
    </w:p>
    <w:p w14:paraId="78A564D2">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六、事故主要教训</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14</w:t>
      </w:r>
    </w:p>
    <w:p w14:paraId="349A5FAF">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560" w:lineRule="exact"/>
        <w:ind w:left="0" w:leftChars="0" w:firstLine="480" w:firstLineChars="200"/>
        <w:jc w:val="both"/>
        <w:textAlignment w:val="auto"/>
        <w:rPr>
          <w:rFonts w:hint="default"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七、事故整改和防范措施</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15</w:t>
      </w:r>
    </w:p>
    <w:p w14:paraId="526BAB57">
      <w:pPr>
        <w:pStyle w:val="4"/>
        <w:keepNext w:val="0"/>
        <w:keepLines w:val="0"/>
        <w:pageBreakBefore w:val="0"/>
        <w:widowControl w:val="0"/>
        <w:kinsoku/>
        <w:wordWrap/>
        <w:topLinePunct w:val="0"/>
        <w:autoSpaceDE/>
        <w:autoSpaceDN/>
        <w:bidi w:val="0"/>
        <w:adjustRightInd/>
        <w:snapToGrid/>
        <w:spacing w:line="560" w:lineRule="exact"/>
        <w:ind w:left="0" w:leftChars="0" w:firstLine="482" w:firstLineChars="200"/>
        <w:jc w:val="both"/>
        <w:textAlignment w:val="auto"/>
        <w:rPr>
          <w:rFonts w:ascii="宋体" w:hAnsi="宋体" w:cs="宋体"/>
          <w:b/>
          <w:sz w:val="24"/>
        </w:rPr>
      </w:pPr>
    </w:p>
    <w:p w14:paraId="7D5380C8">
      <w:pPr>
        <w:pStyle w:val="6"/>
        <w:keepNext w:val="0"/>
        <w:keepLines w:val="0"/>
        <w:pageBreakBefore w:val="0"/>
        <w:widowControl w:val="0"/>
        <w:tabs>
          <w:tab w:val="left" w:pos="8091"/>
        </w:tabs>
        <w:kinsoku/>
        <w:wordWrap/>
        <w:overflowPunct w:val="0"/>
        <w:topLinePunct w:val="0"/>
        <w:autoSpaceDE/>
        <w:autoSpaceDN/>
        <w:bidi w:val="0"/>
        <w:adjustRightInd/>
        <w:snapToGrid/>
        <w:spacing w:line="560" w:lineRule="exact"/>
        <w:ind w:left="0" w:leftChars="0" w:firstLine="482" w:firstLineChars="200"/>
        <w:jc w:val="both"/>
        <w:textAlignment w:val="auto"/>
        <w:rPr>
          <w:rFonts w:hint="default" w:ascii="宋体" w:hAnsi="宋体" w:eastAsia="宋体" w:cs="宋体"/>
          <w:b/>
          <w:sz w:val="24"/>
          <w:szCs w:val="24"/>
          <w:lang w:val="en-US" w:eastAsia="zh-CN"/>
        </w:rPr>
        <w:sectPr>
          <w:footerReference r:id="rId5" w:type="default"/>
          <w:pgSz w:w="11906" w:h="16838"/>
          <w:pgMar w:top="1440" w:right="1519" w:bottom="1440" w:left="1576" w:header="851" w:footer="992" w:gutter="0"/>
          <w:pgNumType w:fmt="decimal" w:start="1"/>
          <w:cols w:space="720" w:num="1"/>
          <w:formProt w:val="0"/>
          <w:docGrid w:type="lines" w:linePitch="312" w:charSpace="43007"/>
        </w:sectPr>
      </w:pPr>
    </w:p>
    <w:p w14:paraId="0E623F23">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auto"/>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2025年6月5日，11时13分许</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吉安双胞胎饲料有限公司生产车间发生一起机械伤害事故，造成1人死亡，直接经济损失约123万元。</w:t>
      </w:r>
    </w:p>
    <w:p w14:paraId="2326090A">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依据《中华人民共和国安全生产法》和《生产安全事故报告和调查处理条例》（国务院令第493号）等有关法律法规，吉州区政府</w:t>
      </w:r>
      <w:r>
        <w:rPr>
          <w:rFonts w:hint="eastAsia" w:ascii="仿宋_GB2312" w:eastAsia="仿宋_GB2312"/>
          <w:color w:val="000000"/>
          <w:sz w:val="32"/>
          <w:szCs w:val="32"/>
        </w:rPr>
        <w:t>成立</w:t>
      </w:r>
      <w:r>
        <w:rPr>
          <w:rFonts w:hint="eastAsia" w:ascii="仿宋_GB2312" w:hAnsi="仿宋" w:eastAsia="仿宋_GB2312"/>
          <w:sz w:val="32"/>
          <w:szCs w:val="32"/>
        </w:rPr>
        <w:t>由区应急管理局</w:t>
      </w:r>
      <w:r>
        <w:rPr>
          <w:rFonts w:hint="eastAsia" w:ascii="仿宋_GB2312" w:hAnsi="仿宋" w:eastAsia="仿宋_GB2312"/>
          <w:sz w:val="32"/>
          <w:szCs w:val="32"/>
          <w:lang w:val="en-US" w:eastAsia="zh-CN"/>
        </w:rPr>
        <w:t>牵头</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白塘街道、</w:t>
      </w:r>
      <w:r>
        <w:rPr>
          <w:rFonts w:hint="eastAsia" w:ascii="仿宋_GB2312" w:hAnsi="仿宋" w:eastAsia="仿宋_GB2312"/>
          <w:sz w:val="32"/>
          <w:szCs w:val="32"/>
        </w:rPr>
        <w:t>区公安分局、</w:t>
      </w:r>
      <w:r>
        <w:rPr>
          <w:rFonts w:hint="eastAsia" w:ascii="仿宋_GB2312" w:hAnsi="仿宋" w:eastAsia="仿宋_GB2312"/>
          <w:sz w:val="32"/>
          <w:szCs w:val="32"/>
          <w:lang w:val="en-US" w:eastAsia="zh-CN"/>
        </w:rPr>
        <w:t>区工信局、</w:t>
      </w:r>
      <w:r>
        <w:rPr>
          <w:rFonts w:hint="eastAsia" w:ascii="仿宋_GB2312" w:hAnsi="仿宋" w:eastAsia="仿宋_GB2312"/>
          <w:sz w:val="32"/>
          <w:szCs w:val="32"/>
        </w:rPr>
        <w:t>区总工会、区人社局、</w:t>
      </w:r>
      <w:r>
        <w:rPr>
          <w:rFonts w:hint="eastAsia" w:ascii="仿宋_GB2312" w:hAnsi="仿宋" w:eastAsia="仿宋_GB2312"/>
          <w:sz w:val="32"/>
          <w:szCs w:val="32"/>
          <w:lang w:val="en-US" w:eastAsia="zh-CN"/>
        </w:rPr>
        <w:t>区工业园管委会</w:t>
      </w:r>
      <w:r>
        <w:rPr>
          <w:rFonts w:hint="eastAsia" w:ascii="仿宋_GB2312" w:hAnsi="仿宋" w:eastAsia="仿宋_GB2312"/>
          <w:sz w:val="32"/>
          <w:szCs w:val="32"/>
        </w:rPr>
        <w:t>等部门组成的</w:t>
      </w:r>
      <w:r>
        <w:rPr>
          <w:rFonts w:hint="eastAsia" w:ascii="仿宋_GB2312" w:eastAsia="仿宋_GB2312"/>
          <w:color w:val="000000"/>
          <w:sz w:val="32"/>
          <w:szCs w:val="32"/>
          <w:lang w:val="en-US" w:eastAsia="zh-CN"/>
        </w:rPr>
        <w:t>吉安双胞胎饲料有限公司</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6</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”一般</w:t>
      </w:r>
      <w:r>
        <w:rPr>
          <w:rFonts w:hint="eastAsia" w:ascii="仿宋_GB2312" w:eastAsia="仿宋_GB2312"/>
          <w:color w:val="000000"/>
          <w:sz w:val="32"/>
          <w:szCs w:val="32"/>
          <w:lang w:val="en-US" w:eastAsia="zh-CN"/>
        </w:rPr>
        <w:t>机械伤害</w:t>
      </w:r>
      <w:r>
        <w:rPr>
          <w:rFonts w:hint="eastAsia" w:ascii="仿宋_GB2312" w:eastAsia="仿宋_GB2312"/>
          <w:color w:val="000000"/>
          <w:sz w:val="32"/>
          <w:szCs w:val="32"/>
        </w:rPr>
        <w:t>事故调查组</w:t>
      </w:r>
      <w:r>
        <w:rPr>
          <w:rFonts w:ascii="仿宋_GB2312" w:hAnsi="仿宋_GB2312" w:eastAsia="仿宋_GB2312" w:cs="仿宋_GB2312"/>
          <w:sz w:val="32"/>
          <w:szCs w:val="32"/>
        </w:rPr>
        <w:t>（以下简称事故调查组），负责事故调查工作，并邀请区纪委监委派员参加。</w:t>
      </w:r>
    </w:p>
    <w:p w14:paraId="046CC6B2">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事故调查组按照“科学严谨、依法依规、实事求是、注重实效”和“四不放过”的原则，认真开展事故调查工作。通过现场勘查、问询调查、查阅有关资料和综合分析，查清了事故发生经过、原因，认定了事故性质和责任。</w:t>
      </w:r>
    </w:p>
    <w:p w14:paraId="439F2E66">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经调查认定：</w:t>
      </w:r>
      <w:r>
        <w:rPr>
          <w:rFonts w:hint="eastAsia" w:ascii="仿宋_GB2312" w:eastAsia="仿宋_GB2312"/>
          <w:color w:val="000000"/>
          <w:sz w:val="32"/>
          <w:szCs w:val="32"/>
          <w:lang w:val="en-US" w:eastAsia="zh-CN"/>
        </w:rPr>
        <w:t>吉安双胞胎饲料有限公司</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6</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”一般</w:t>
      </w:r>
      <w:r>
        <w:rPr>
          <w:rFonts w:hint="eastAsia" w:ascii="仿宋_GB2312" w:eastAsia="仿宋_GB2312"/>
          <w:color w:val="000000"/>
          <w:sz w:val="32"/>
          <w:szCs w:val="32"/>
          <w:lang w:val="en-US" w:eastAsia="zh-CN"/>
        </w:rPr>
        <w:t>机械伤害</w:t>
      </w:r>
      <w:r>
        <w:rPr>
          <w:rFonts w:hint="eastAsia" w:ascii="仿宋_GB2312" w:eastAsia="仿宋_GB2312"/>
          <w:color w:val="000000"/>
          <w:sz w:val="32"/>
          <w:szCs w:val="32"/>
        </w:rPr>
        <w:t>事故，</w:t>
      </w:r>
      <w:r>
        <w:rPr>
          <w:rFonts w:hint="eastAsia" w:ascii="仿宋_GB2312" w:eastAsia="仿宋_GB2312"/>
          <w:color w:val="000000"/>
          <w:sz w:val="32"/>
          <w:szCs w:val="32"/>
          <w:lang w:val="en-US" w:eastAsia="zh-CN"/>
        </w:rPr>
        <w:t>是一起因作业人员违章操作、企业安全生产</w:t>
      </w:r>
      <w:r>
        <w:rPr>
          <w:rFonts w:hint="eastAsia" w:ascii="仿宋_GB2312" w:hAnsi="仿宋_GB2312" w:eastAsia="仿宋_GB2312" w:cs="仿宋_GB2312"/>
          <w:sz w:val="32"/>
          <w:szCs w:val="32"/>
          <w:lang w:val="en-US" w:eastAsia="zh-CN"/>
        </w:rPr>
        <w:t>主体责任落实不到位</w:t>
      </w:r>
      <w:r>
        <w:rPr>
          <w:rFonts w:hint="eastAsia" w:ascii="仿宋_GB2312" w:eastAsia="仿宋_GB2312"/>
          <w:color w:val="000000"/>
          <w:sz w:val="32"/>
          <w:szCs w:val="32"/>
          <w:lang w:val="en-US" w:eastAsia="zh-CN"/>
        </w:rPr>
        <w:t>，造成的一般生产安全责任事故。现将有关情况报告如下：</w:t>
      </w:r>
    </w:p>
    <w:p w14:paraId="5E2D441D">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ascii="黑体" w:hAnsi="黑体" w:eastAsia="黑体" w:cs="黑体"/>
          <w:b/>
          <w:sz w:val="32"/>
          <w:szCs w:val="32"/>
        </w:rPr>
      </w:pPr>
      <w:r>
        <w:rPr>
          <w:rFonts w:ascii="黑体" w:hAnsi="黑体" w:eastAsia="黑体" w:cs="黑体"/>
          <w:b/>
          <w:sz w:val="32"/>
          <w:szCs w:val="32"/>
        </w:rPr>
        <w:t>一、</w:t>
      </w:r>
      <w:r>
        <w:rPr>
          <w:rFonts w:hint="eastAsia" w:ascii="黑体" w:hAnsi="黑体" w:eastAsia="黑体" w:cs="黑体"/>
          <w:b/>
          <w:sz w:val="32"/>
          <w:szCs w:val="32"/>
        </w:rPr>
        <w:t>事故</w:t>
      </w:r>
      <w:r>
        <w:rPr>
          <w:rFonts w:ascii="黑体" w:hAnsi="黑体" w:eastAsia="黑体" w:cs="黑体"/>
          <w:b/>
          <w:sz w:val="32"/>
          <w:szCs w:val="32"/>
        </w:rPr>
        <w:t>基本情况</w:t>
      </w:r>
    </w:p>
    <w:p w14:paraId="21CC36C2">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ascii="楷体" w:hAnsi="楷体" w:eastAsia="楷体" w:cs="楷体"/>
          <w:b/>
          <w:bCs w:val="0"/>
          <w:sz w:val="32"/>
          <w:szCs w:val="32"/>
        </w:rPr>
      </w:pPr>
      <w:r>
        <w:rPr>
          <w:rFonts w:ascii="楷体" w:hAnsi="楷体" w:eastAsia="楷体" w:cs="楷体"/>
          <w:b/>
          <w:bCs w:val="0"/>
          <w:sz w:val="32"/>
          <w:szCs w:val="32"/>
        </w:rPr>
        <w:t>（一）</w:t>
      </w:r>
      <w:r>
        <w:rPr>
          <w:rFonts w:hint="eastAsia" w:ascii="楷体" w:hAnsi="楷体" w:eastAsia="楷体" w:cs="楷体"/>
          <w:b/>
          <w:bCs w:val="0"/>
          <w:sz w:val="32"/>
          <w:szCs w:val="32"/>
          <w:lang w:val="en-US" w:eastAsia="zh-CN"/>
        </w:rPr>
        <w:t>事故单位</w:t>
      </w:r>
      <w:r>
        <w:rPr>
          <w:rFonts w:ascii="楷体" w:hAnsi="楷体" w:eastAsia="楷体" w:cs="楷体"/>
          <w:b/>
          <w:bCs w:val="0"/>
          <w:sz w:val="32"/>
          <w:szCs w:val="32"/>
        </w:rPr>
        <w:t>概况</w:t>
      </w:r>
    </w:p>
    <w:p w14:paraId="030652FB">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ascii="仿宋_GB2312" w:hAnsi="仿宋_GB2312" w:eastAsia="仿宋_GB2312" w:cs="仿宋_GB2312"/>
          <w:color w:val="000000"/>
          <w:kern w:val="0"/>
          <w:sz w:val="32"/>
          <w:szCs w:val="32"/>
        </w:rPr>
      </w:pPr>
      <w:r>
        <w:rPr>
          <w:rFonts w:hint="eastAsia" w:ascii="仿宋_GB2312" w:eastAsia="仿宋_GB2312"/>
          <w:b/>
          <w:bCs/>
          <w:color w:val="000000"/>
          <w:sz w:val="32"/>
          <w:szCs w:val="32"/>
          <w:lang w:val="en-US" w:eastAsia="zh-CN"/>
        </w:rPr>
        <w:t>吉安双胞胎饲料有限公司</w:t>
      </w:r>
      <w:r>
        <w:rPr>
          <w:rFonts w:ascii="仿宋_GB2312" w:hAnsi="仿宋_GB2312" w:eastAsia="仿宋_GB2312" w:cs="仿宋_GB2312"/>
          <w:sz w:val="32"/>
          <w:szCs w:val="32"/>
        </w:rPr>
        <w:t>（以下简称</w:t>
      </w:r>
      <w:r>
        <w:rPr>
          <w:rFonts w:hint="eastAsia" w:ascii="仿宋_GB2312" w:hAnsi="仿宋_GB2312" w:eastAsia="仿宋_GB2312" w:cs="仿宋_GB2312"/>
          <w:sz w:val="32"/>
          <w:szCs w:val="32"/>
          <w:lang w:val="en-US" w:eastAsia="zh-CN"/>
        </w:rPr>
        <w:t>双胞胎公司</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kern w:val="0"/>
          <w:sz w:val="32"/>
          <w:szCs w:val="32"/>
          <w:lang w:val="en-US" w:eastAsia="zh-CN"/>
        </w:rPr>
        <w:t>，</w:t>
      </w:r>
      <w:r>
        <w:rPr>
          <w:rFonts w:ascii="仿宋_GB2312" w:hAnsi="仿宋_GB2312" w:eastAsia="仿宋_GB2312" w:cs="仿宋_GB2312"/>
          <w:color w:val="000000"/>
          <w:kern w:val="0"/>
          <w:sz w:val="32"/>
          <w:szCs w:val="32"/>
        </w:rPr>
        <w:t>统一社会信用代码：</w:t>
      </w:r>
      <w:r>
        <w:rPr>
          <w:rFonts w:hint="eastAsia" w:ascii="仿宋_GB2312" w:hAnsi="仿宋_GB2312" w:eastAsia="仿宋_GB2312" w:cs="仿宋_GB2312"/>
          <w:color w:val="000000"/>
          <w:kern w:val="0"/>
          <w:sz w:val="32"/>
          <w:szCs w:val="32"/>
          <w:lang w:val="en-US" w:eastAsia="zh-CN"/>
        </w:rPr>
        <w:t>91360800MA37PJLL22</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lang w:val="en-US" w:eastAsia="zh-CN"/>
        </w:rPr>
        <w:t>企业类型：有限责任公司（自然人投资或控股），</w:t>
      </w:r>
      <w:r>
        <w:rPr>
          <w:rFonts w:ascii="仿宋_GB2312" w:hAnsi="仿宋_GB2312" w:eastAsia="仿宋_GB2312" w:cs="仿宋_GB2312"/>
          <w:color w:val="000000"/>
          <w:kern w:val="0"/>
          <w:sz w:val="32"/>
          <w:szCs w:val="32"/>
        </w:rPr>
        <w:t>法定代表人：</w:t>
      </w:r>
      <w:r>
        <w:rPr>
          <w:rFonts w:hint="eastAsia" w:ascii="仿宋_GB2312" w:hAnsi="仿宋_GB2312" w:eastAsia="仿宋_GB2312" w:cs="仿宋_GB2312"/>
          <w:color w:val="000000"/>
          <w:kern w:val="0"/>
          <w:sz w:val="32"/>
          <w:szCs w:val="32"/>
          <w:lang w:val="en-US" w:eastAsia="zh-CN"/>
        </w:rPr>
        <w:t>陈某明</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成立</w:t>
      </w:r>
      <w:r>
        <w:rPr>
          <w:rFonts w:hint="eastAsia" w:ascii="仿宋_GB2312" w:hAnsi="仿宋_GB2312" w:eastAsia="仿宋_GB2312" w:cs="仿宋_GB2312"/>
          <w:color w:val="000000"/>
          <w:kern w:val="0"/>
          <w:sz w:val="32"/>
          <w:szCs w:val="32"/>
          <w:lang w:val="en-US" w:eastAsia="zh-CN"/>
        </w:rPr>
        <w:t>日期：2018年1月25日，</w:t>
      </w:r>
      <w:r>
        <w:rPr>
          <w:rFonts w:hint="eastAsia" w:ascii="仿宋_GB2312" w:hAnsi="仿宋_GB2312" w:eastAsia="仿宋_GB2312" w:cs="仿宋_GB2312"/>
          <w:b w:val="0"/>
          <w:bCs w:val="0"/>
          <w:sz w:val="32"/>
          <w:szCs w:val="32"/>
          <w:lang w:val="en-US" w:eastAsia="zh-CN"/>
        </w:rPr>
        <w:t>经营范围：饲料生产销售；饲料原料销售；饲料研发及技术咨询；兽用药品出售（依法须经批准的项目，经相关部门批准后方可开展经营活动）。</w:t>
      </w:r>
      <w:r>
        <w:rPr>
          <w:rFonts w:ascii="仿宋_GB2312" w:hAnsi="仿宋_GB2312" w:eastAsia="仿宋_GB2312" w:cs="仿宋_GB2312"/>
          <w:color w:val="000000"/>
          <w:kern w:val="0"/>
          <w:sz w:val="32"/>
          <w:szCs w:val="32"/>
        </w:rPr>
        <w:t>注册地址：</w:t>
      </w:r>
      <w:r>
        <w:rPr>
          <w:rFonts w:hint="eastAsia" w:ascii="仿宋_GB2312" w:hAnsi="仿宋_GB2312" w:eastAsia="仿宋_GB2312" w:cs="仿宋_GB2312"/>
          <w:color w:val="000000"/>
          <w:kern w:val="0"/>
          <w:sz w:val="32"/>
          <w:szCs w:val="32"/>
          <w:lang w:val="en-US" w:eastAsia="zh-CN"/>
        </w:rPr>
        <w:t>江西省吉安市吉州区工业园翠屏路旁</w:t>
      </w:r>
      <w:r>
        <w:rPr>
          <w:rFonts w:hint="eastAsia" w:ascii="仿宋_GB2312" w:hAnsi="仿宋_GB2312" w:eastAsia="仿宋_GB2312" w:cs="仿宋_GB2312"/>
          <w:color w:val="000000"/>
          <w:kern w:val="0"/>
          <w:sz w:val="32"/>
          <w:szCs w:val="32"/>
        </w:rPr>
        <w:t>。</w:t>
      </w:r>
    </w:p>
    <w:p w14:paraId="6C86B189">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ascii="楷体" w:hAnsi="楷体" w:eastAsia="楷体" w:cs="楷体"/>
          <w:b/>
          <w:sz w:val="32"/>
          <w:szCs w:val="32"/>
        </w:rPr>
      </w:pPr>
      <w:r>
        <w:rPr>
          <w:rFonts w:ascii="楷体" w:hAnsi="楷体" w:eastAsia="楷体" w:cs="楷体"/>
          <w:b/>
          <w:sz w:val="32"/>
          <w:szCs w:val="32"/>
        </w:rPr>
        <w:t>（</w:t>
      </w:r>
      <w:r>
        <w:rPr>
          <w:rFonts w:hint="eastAsia" w:ascii="楷体" w:hAnsi="楷体" w:eastAsia="楷体" w:cs="楷体"/>
          <w:b/>
          <w:sz w:val="32"/>
          <w:szCs w:val="32"/>
          <w:lang w:val="en-US" w:eastAsia="zh-CN"/>
        </w:rPr>
        <w:t>二</w:t>
      </w:r>
      <w:r>
        <w:rPr>
          <w:rFonts w:ascii="楷体" w:hAnsi="楷体" w:eastAsia="楷体" w:cs="楷体"/>
          <w:b/>
          <w:sz w:val="32"/>
          <w:szCs w:val="32"/>
        </w:rPr>
        <w:t>）</w:t>
      </w:r>
      <w:r>
        <w:rPr>
          <w:rFonts w:hint="eastAsia" w:ascii="楷体" w:hAnsi="楷体" w:eastAsia="楷体" w:cs="楷体"/>
          <w:b/>
          <w:sz w:val="32"/>
          <w:szCs w:val="32"/>
        </w:rPr>
        <w:t>事故发生单位安全管理情况</w:t>
      </w:r>
    </w:p>
    <w:p w14:paraId="1277EBF8">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该公司成立了安全生产委员会，由曾某贵担任安委会主任、王某萍担任安委会执行员，成员有：综合经理罗某、品管经理钟某、生产经理邓某华、生产班长肖某瑞、设备班长周某清、财经经理何某文。兼职安全员王某萍。</w:t>
      </w:r>
    </w:p>
    <w:p w14:paraId="263B7323">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该公司安全生产管理责任落实不到位。安全生产规章制度、操作规程缺失，未制定事发设备检维修操作规程；安全生产教育和培训不到位，未按规定如实记录安全生产教育和培训的时间、内容以及考核结果等情况，从业人员对有关的安全生产规章制度和安全操作规程不熟悉；安全风险辨识缺项，未辨识涉事设备维修作业存在机械伤害风险，未做好安全防护措施；检维修作业管理混乱，事发当天涉事车间同时进行3处检维修作业，且存在上下交叉作业的情况，各作业现场未做到统一管理，中控人员违规启动挂牌停用设备。</w:t>
      </w:r>
    </w:p>
    <w:p w14:paraId="4C4D4F5B">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ascii="仿宋_GB2312" w:hAnsi="仿宋_GB2312" w:eastAsia="楷体" w:cs="仿宋_GB2312"/>
          <w:color w:val="000000"/>
          <w:kern w:val="0"/>
          <w:sz w:val="32"/>
          <w:szCs w:val="32"/>
        </w:rPr>
      </w:pPr>
      <w:r>
        <w:rPr>
          <w:rFonts w:hint="eastAsia" w:ascii="楷体" w:hAnsi="楷体" w:eastAsia="楷体" w:cs="楷体"/>
          <w:b/>
          <w:sz w:val="32"/>
          <w:szCs w:val="32"/>
        </w:rPr>
        <w:t>（</w:t>
      </w:r>
      <w:r>
        <w:rPr>
          <w:rFonts w:hint="eastAsia" w:ascii="楷体" w:hAnsi="楷体" w:eastAsia="楷体" w:cs="楷体"/>
          <w:b/>
          <w:sz w:val="32"/>
          <w:szCs w:val="32"/>
          <w:lang w:val="en-US" w:eastAsia="zh-CN"/>
        </w:rPr>
        <w:t>三</w:t>
      </w:r>
      <w:r>
        <w:rPr>
          <w:rFonts w:hint="eastAsia" w:ascii="楷体" w:hAnsi="楷体" w:eastAsia="楷体" w:cs="楷体"/>
          <w:b/>
          <w:sz w:val="32"/>
          <w:szCs w:val="32"/>
        </w:rPr>
        <w:t>）</w:t>
      </w:r>
      <w:r>
        <w:rPr>
          <w:rFonts w:ascii="楷体" w:hAnsi="楷体" w:eastAsia="楷体" w:cs="楷体"/>
          <w:b/>
          <w:sz w:val="32"/>
          <w:szCs w:val="32"/>
        </w:rPr>
        <w:t>事故发生经过</w:t>
      </w:r>
    </w:p>
    <w:p w14:paraId="75503A82">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生产二班夜班自6月4日20时至6月5日8时，在6月5日6时许二班中控员齐某宇发现5号粉料机跳闸，对该设备停机挂牌。同时通知另一名中控人员贾某涛去查粉碎机跳闸原因，经检查发现5粉碎机配套沉降室（编号G513）绞龙皮带断裂，于是通知机修员谢某顺将皮带更换好进行试机，发现皮带打滑无法带动绞龙运行。经贾某涛和二班班长吴某富进一步检查发现5号粉碎机缓冲斗和下方G513沉降室因绞龙停止运行导致物料堆积严重蔓延至上方缓冲斗，造成堵机。其2人开始清理5号粉碎机缓冲斗内堆积的物料，清理物料过程中发现粉碎机里的隔离板、锤片、筛网损坏并捡到一块铁片，有部分铁块掉入下方G513沉降室卡住绞龙导致绞龙停机。7时45分许，吴某富就在公司设备工作群报修。</w:t>
      </w:r>
    </w:p>
    <w:p w14:paraId="7AB1B475">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月5日8时与生产一班交班时，将5号粉料机G513沉降室堵机故障告知中控员朱某国、郭某保。朱某国将5号粉料机G513沉降室堵机故障告知一班班长肖某瑞。8时30分许肖某瑞组织一班人员欧阳某平和易某驷对5号粉料机G513沉降室进行清理，肖某瑞、欧阳某平进入沉降室部清理，易某驷在沉降室外铲料，同时机修员廖某生在一楼维修位于G513沉降室正上方5号粉碎机，另一机修员曾某琪在对5号粉碎机旁边4号投料口绞龙维修。4号粉碎机投料口绞龙维修完成曾某琪到中控室摘牌。同时告知生产车间主任邓某华，邓某华与曾某琪前往查看。11时13分许，邓某华通过对讲机通知中控员朱某国，启动4号投料口绞龙。朱某国误操作启动了G513沉降室绞龙（该设备未摘牌），此时G513机沉降室内肖某瑞正清理卡在绞龙的铁片，绞龙突然启动将肖某瑞卷入。朱某国在启动G513机沉降室绞龙十多秒后，在对讲机内听到呼救声，朱某国立即关停了G513沉降室绞龙。现场人员立即对肖某瑞进行救援，同时拨打了119救援电话和120急救电话。在消防人员的救援下13时10分许肖某瑞从绞龙中被救出，送往吉安市中心人民医院救治，14时01分许医院宣布抢救无效死亡。</w:t>
      </w:r>
    </w:p>
    <w:p w14:paraId="33D73FB1">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ascii="楷体" w:hAnsi="楷体" w:eastAsia="楷体" w:cs="楷体"/>
          <w:b/>
          <w:sz w:val="32"/>
          <w:szCs w:val="32"/>
        </w:rPr>
      </w:pPr>
      <w:r>
        <w:rPr>
          <w:rFonts w:hint="eastAsia" w:ascii="楷体" w:hAnsi="楷体" w:eastAsia="楷体" w:cs="楷体"/>
          <w:b/>
          <w:sz w:val="32"/>
          <w:szCs w:val="32"/>
        </w:rPr>
        <w:t>（</w:t>
      </w:r>
      <w:r>
        <w:rPr>
          <w:rFonts w:hint="eastAsia" w:ascii="楷体" w:hAnsi="楷体" w:eastAsia="楷体" w:cs="楷体"/>
          <w:b/>
          <w:sz w:val="32"/>
          <w:szCs w:val="32"/>
          <w:lang w:val="en-US" w:eastAsia="zh-CN"/>
        </w:rPr>
        <w:t>四</w:t>
      </w:r>
      <w:r>
        <w:rPr>
          <w:rFonts w:hint="eastAsia" w:ascii="楷体" w:hAnsi="楷体" w:eastAsia="楷体" w:cs="楷体"/>
          <w:b/>
          <w:sz w:val="32"/>
          <w:szCs w:val="32"/>
        </w:rPr>
        <w:t>）事故现场情况</w:t>
      </w:r>
    </w:p>
    <w:p w14:paraId="02C65AE6">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经现场勘查：</w:t>
      </w:r>
      <w:r>
        <w:rPr>
          <w:rFonts w:hint="eastAsia" w:ascii="仿宋_GB2312" w:hAnsi="仿宋_GB2312" w:eastAsia="仿宋_GB2312" w:cs="仿宋_GB2312"/>
          <w:color w:val="000000"/>
          <w:kern w:val="0"/>
          <w:sz w:val="32"/>
          <w:szCs w:val="32"/>
          <w:lang w:val="en-US" w:eastAsia="zh-CN"/>
        </w:rPr>
        <w:t>吉安双胞胎饲料有限公司，生产车间地上五层地下一层，砖混结构。事故发生于地下一层，事故设备为编号G513的沉降室，沉降室留有检修口，车间机械设备运行噪声较大。</w:t>
      </w:r>
    </w:p>
    <w:p w14:paraId="3B7076A9">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二层中控室悬挂了中控岗位职责、中控岗位操作规定、农业转基因生物中控岗位安全管理制度、班长岗位职责、现场质量巡查制度、生产设备管理制度、中控风险告知牌、自由人岗位职责、生产线清洗操作规程。进门右侧安装一台摄像头，通过查看监控视频记录了中控员启动G513沉降室绞龙时间在6月5日11时13分许。</w:t>
      </w:r>
    </w:p>
    <w:p w14:paraId="2632F50E">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ascii="楷体" w:hAnsi="楷体" w:eastAsia="楷体" w:cs="楷体"/>
          <w:b/>
          <w:sz w:val="32"/>
          <w:szCs w:val="32"/>
        </w:rPr>
      </w:pPr>
      <w:r>
        <w:rPr>
          <w:rFonts w:ascii="楷体" w:hAnsi="楷体" w:eastAsia="楷体" w:cs="楷体"/>
          <w:b/>
          <w:sz w:val="32"/>
          <w:szCs w:val="32"/>
        </w:rPr>
        <w:t>（</w:t>
      </w:r>
      <w:r>
        <w:rPr>
          <w:rFonts w:hint="eastAsia" w:ascii="楷体" w:hAnsi="楷体" w:eastAsia="楷体" w:cs="楷体"/>
          <w:b/>
          <w:sz w:val="32"/>
          <w:szCs w:val="32"/>
          <w:lang w:val="en-US" w:eastAsia="zh-CN"/>
        </w:rPr>
        <w:t>五</w:t>
      </w:r>
      <w:r>
        <w:rPr>
          <w:rFonts w:ascii="楷体" w:hAnsi="楷体" w:eastAsia="楷体" w:cs="楷体"/>
          <w:b/>
          <w:sz w:val="32"/>
          <w:szCs w:val="32"/>
        </w:rPr>
        <w:t>）</w:t>
      </w:r>
      <w:r>
        <w:rPr>
          <w:rFonts w:hint="eastAsia" w:ascii="楷体" w:hAnsi="楷体" w:eastAsia="楷体" w:cs="楷体"/>
          <w:b/>
          <w:sz w:val="32"/>
          <w:szCs w:val="32"/>
        </w:rPr>
        <w:t>人员伤亡和直接经济损失情况</w:t>
      </w:r>
    </w:p>
    <w:p w14:paraId="06044C65">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ascii="仿宋_GB2312" w:hAnsi="仿宋_GB2312" w:eastAsia="仿宋_GB2312" w:cs="仿宋_GB2312"/>
          <w:color w:val="FF0000"/>
          <w:sz w:val="32"/>
          <w:szCs w:val="32"/>
        </w:rPr>
      </w:pPr>
      <w:r>
        <w:rPr>
          <w:rFonts w:hint="eastAsia" w:ascii="仿宋_GB2312" w:hAnsi="仿宋_GB2312" w:eastAsia="仿宋_GB2312" w:cs="仿宋_GB2312"/>
          <w:color w:val="000000"/>
          <w:kern w:val="0"/>
          <w:sz w:val="32"/>
          <w:szCs w:val="32"/>
        </w:rPr>
        <w:t>事故造成1人死亡，</w:t>
      </w:r>
      <w:r>
        <w:rPr>
          <w:rFonts w:ascii="仿宋_GB2312" w:hAnsi="仿宋_GB2312" w:eastAsia="仿宋_GB2312" w:cs="仿宋_GB2312"/>
          <w:sz w:val="32"/>
          <w:szCs w:val="32"/>
        </w:rPr>
        <w:t>依据《企业职工伤亡事故经济损失统计标准》（GB6721-1986）等标准和规定统计，核定本起事故直接经济损失约</w:t>
      </w:r>
      <w:r>
        <w:rPr>
          <w:rFonts w:hint="eastAsia" w:ascii="仿宋_GB2312" w:hAnsi="仿宋_GB2312" w:eastAsia="仿宋_GB2312" w:cs="仿宋_GB2312"/>
          <w:sz w:val="32"/>
          <w:szCs w:val="32"/>
          <w:lang w:val="en-US" w:eastAsia="zh-CN"/>
        </w:rPr>
        <w:t>123</w:t>
      </w:r>
      <w:r>
        <w:rPr>
          <w:rFonts w:ascii="仿宋_GB2312" w:hAnsi="仿宋_GB2312" w:eastAsia="仿宋_GB2312" w:cs="仿宋_GB2312"/>
          <w:sz w:val="32"/>
          <w:szCs w:val="32"/>
        </w:rPr>
        <w:t>万元（不含事故罚款</w:t>
      </w:r>
      <w:r>
        <w:rPr>
          <w:rFonts w:hint="eastAsia" w:ascii="仿宋_GB2312" w:hAnsi="仿宋_GB2312" w:eastAsia="仿宋_GB2312" w:cs="仿宋_GB2312"/>
          <w:sz w:val="32"/>
          <w:szCs w:val="32"/>
          <w:lang w:val="en-US" w:eastAsia="zh-CN"/>
        </w:rPr>
        <w:t>和人道赔偿</w:t>
      </w:r>
      <w:r>
        <w:rPr>
          <w:rFonts w:ascii="仿宋_GB2312" w:hAnsi="仿宋_GB2312" w:eastAsia="仿宋_GB2312" w:cs="仿宋_GB2312"/>
          <w:sz w:val="32"/>
          <w:szCs w:val="32"/>
        </w:rPr>
        <w:t>）。</w:t>
      </w:r>
    </w:p>
    <w:p w14:paraId="7B53BAF1">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ascii="楷体" w:hAnsi="楷体" w:eastAsia="楷体" w:cs="楷体"/>
          <w:b/>
          <w:color w:val="FF0000"/>
          <w:sz w:val="32"/>
          <w:szCs w:val="32"/>
        </w:rPr>
      </w:pPr>
      <w:r>
        <w:rPr>
          <w:rFonts w:hint="eastAsia" w:ascii="黑体" w:hAnsi="黑体" w:eastAsia="黑体" w:cs="黑体"/>
          <w:b/>
          <w:sz w:val="32"/>
          <w:szCs w:val="32"/>
        </w:rPr>
        <w:t>二、事故应急处置评估情况</w:t>
      </w:r>
    </w:p>
    <w:p w14:paraId="203273D3">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ascii="楷体" w:hAnsi="楷体" w:eastAsia="楷体" w:cs="楷体"/>
          <w:b/>
          <w:sz w:val="32"/>
          <w:szCs w:val="32"/>
        </w:rPr>
      </w:pPr>
      <w:r>
        <w:rPr>
          <w:rFonts w:hint="eastAsia" w:ascii="楷体" w:hAnsi="楷体" w:eastAsia="楷体" w:cs="楷体"/>
          <w:b/>
          <w:sz w:val="32"/>
          <w:szCs w:val="32"/>
        </w:rPr>
        <w:t>（一）事故信息接报及响应情况</w:t>
      </w:r>
    </w:p>
    <w:p w14:paraId="62132FB4">
      <w:pPr>
        <w:pStyle w:val="4"/>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lang w:val="en-US" w:eastAsia="zh-CN"/>
        </w:rPr>
        <w:t>事故发生后，现场人员立即上报企业负责人，该企业负责人上报了园区管委会和区应急管理局，应急管理局值班人员接到报告后第一时间向区人民政府和市应急管理部门上报事故情况，同时立即安排人员赶赴现场应急处置。</w:t>
      </w:r>
    </w:p>
    <w:p w14:paraId="460CB919">
      <w:pPr>
        <w:pStyle w:val="4"/>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hint="eastAsia" w:ascii="仿宋_GB2312" w:hAnsi="仿宋_GB2312" w:eastAsia="仿宋_GB2312" w:cs="仿宋_GB2312"/>
          <w:sz w:val="32"/>
          <w:szCs w:val="32"/>
          <w:lang w:val="en-US" w:eastAsia="zh-CN"/>
        </w:rPr>
      </w:pPr>
      <w:r>
        <w:rPr>
          <w:rFonts w:hint="eastAsia" w:ascii="楷体" w:hAnsi="楷体" w:eastAsia="楷体" w:cs="楷体"/>
          <w:b/>
          <w:sz w:val="32"/>
          <w:szCs w:val="32"/>
        </w:rPr>
        <w:t>（二）事故现场应急处置情况</w:t>
      </w:r>
    </w:p>
    <w:p w14:paraId="03C67F9C">
      <w:pPr>
        <w:pStyle w:val="4"/>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发生事故后，现场人员第一时间关停了事故设备，立即拨打了119救援电话和120急救电话，并打开厂区应急通道，同时组织人员对伤者展开救援。119接到求救电话，救援人员第一时间赶到现场在企业的协助下将伤者从沉降室绞龙救出。政府部门接到报告立即安排人员赴现场了解情况并组织进行现场应急救援处置，公安部门</w:t>
      </w:r>
      <w:r>
        <w:rPr>
          <w:rFonts w:hint="eastAsia" w:ascii="仿宋_GB2312" w:hAnsi="仿宋_GB2312" w:eastAsia="仿宋_GB2312" w:cs="仿宋_GB2312"/>
          <w:sz w:val="32"/>
          <w:szCs w:val="32"/>
        </w:rPr>
        <w:t>对事故现场进行管控。</w:t>
      </w:r>
    </w:p>
    <w:p w14:paraId="27A6AC17">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ascii="楷体" w:hAnsi="楷体" w:eastAsia="楷体" w:cs="楷体"/>
          <w:b/>
          <w:sz w:val="32"/>
          <w:szCs w:val="32"/>
        </w:rPr>
      </w:pPr>
      <w:r>
        <w:rPr>
          <w:rFonts w:hint="eastAsia" w:ascii="楷体" w:hAnsi="楷体" w:eastAsia="楷体" w:cs="楷体"/>
          <w:b/>
          <w:sz w:val="32"/>
          <w:szCs w:val="32"/>
        </w:rPr>
        <w:t>（三）医疗救助善后情况</w:t>
      </w:r>
    </w:p>
    <w:p w14:paraId="1B4BC8C4">
      <w:pPr>
        <w:pStyle w:val="4"/>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rPr>
        <w:t>120</w:t>
      </w:r>
      <w:r>
        <w:rPr>
          <w:rFonts w:hint="eastAsia" w:ascii="仿宋_GB2312" w:hAnsi="仿宋_GB2312" w:eastAsia="仿宋_GB2312" w:cs="仿宋_GB2312"/>
          <w:sz w:val="32"/>
          <w:szCs w:val="32"/>
          <w:lang w:val="en-US" w:eastAsia="zh-CN"/>
        </w:rPr>
        <w:t>接到</w:t>
      </w:r>
      <w:r>
        <w:rPr>
          <w:rFonts w:hint="eastAsia" w:ascii="仿宋_GB2312" w:hAnsi="仿宋_GB2312" w:eastAsia="仿宋_GB2312" w:cs="仿宋_GB2312"/>
          <w:sz w:val="32"/>
          <w:szCs w:val="32"/>
        </w:rPr>
        <w:t>急救报警后立即赶往事故现场，</w:t>
      </w:r>
      <w:r>
        <w:rPr>
          <w:rFonts w:hint="eastAsia" w:ascii="仿宋_GB2312" w:hAnsi="仿宋_GB2312" w:eastAsia="仿宋_GB2312" w:cs="仿宋_GB2312"/>
          <w:sz w:val="32"/>
          <w:szCs w:val="32"/>
          <w:lang w:val="en-US" w:eastAsia="zh-CN"/>
        </w:rPr>
        <w:t>在现场救援的同时</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val="en-US" w:eastAsia="zh-CN"/>
        </w:rPr>
        <w:t>伤者</w:t>
      </w:r>
      <w:r>
        <w:rPr>
          <w:rFonts w:hint="eastAsia" w:ascii="仿宋_GB2312" w:hAnsi="仿宋_GB2312" w:eastAsia="仿宋_GB2312" w:cs="仿宋_GB2312"/>
          <w:sz w:val="32"/>
          <w:szCs w:val="32"/>
          <w:lang w:eastAsia="zh-CN"/>
        </w:rPr>
        <w:t>进行了</w:t>
      </w:r>
      <w:r>
        <w:rPr>
          <w:rFonts w:hint="eastAsia" w:ascii="仿宋_GB2312" w:hAnsi="仿宋_GB2312" w:eastAsia="仿宋_GB2312" w:cs="仿宋_GB2312"/>
          <w:sz w:val="32"/>
          <w:szCs w:val="32"/>
          <w:lang w:val="en-US" w:eastAsia="zh-CN"/>
        </w:rPr>
        <w:t>现场处置，死者被救出立即送往医院进行</w:t>
      </w:r>
      <w:r>
        <w:rPr>
          <w:rFonts w:hint="eastAsia" w:ascii="仿宋_GB2312" w:hAnsi="仿宋_GB2312" w:eastAsia="仿宋_GB2312" w:cs="仿宋_GB2312"/>
          <w:sz w:val="32"/>
          <w:szCs w:val="32"/>
          <w:lang w:eastAsia="zh-CN"/>
        </w:rPr>
        <w:t>抢救，</w:t>
      </w:r>
      <w:r>
        <w:rPr>
          <w:rFonts w:hint="eastAsia" w:ascii="仿宋_GB2312" w:hAnsi="仿宋_GB2312" w:eastAsia="仿宋_GB2312" w:cs="仿宋_GB2312"/>
          <w:sz w:val="32"/>
          <w:szCs w:val="32"/>
          <w:lang w:val="en-US" w:eastAsia="zh-CN"/>
        </w:rPr>
        <w:t>经抢救无效，14时01分许，肖某瑞在医院死亡。事后双胞胎公司</w:t>
      </w:r>
      <w:r>
        <w:rPr>
          <w:rFonts w:hint="eastAsia" w:ascii="仿宋_GB2312" w:hAnsi="仿宋_GB2312" w:eastAsia="仿宋_GB2312" w:cs="仿宋_GB2312"/>
          <w:sz w:val="32"/>
          <w:szCs w:val="32"/>
        </w:rPr>
        <w:t>对该起事故进行了善后处理，对死者家属做了安抚工作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并签署了死亡补偿协议。</w:t>
      </w:r>
    </w:p>
    <w:p w14:paraId="2C94BFD4">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ascii="楷体" w:hAnsi="楷体" w:eastAsia="楷体" w:cs="楷体"/>
          <w:b/>
          <w:sz w:val="32"/>
          <w:szCs w:val="32"/>
        </w:rPr>
      </w:pPr>
      <w:r>
        <w:rPr>
          <w:rFonts w:hint="eastAsia" w:ascii="楷体" w:hAnsi="楷体" w:eastAsia="楷体" w:cs="楷体"/>
          <w:b/>
          <w:sz w:val="32"/>
          <w:szCs w:val="32"/>
        </w:rPr>
        <w:t>（四）事故应急处置评估</w:t>
      </w:r>
    </w:p>
    <w:p w14:paraId="03DFCF6A">
      <w:pPr>
        <w:pStyle w:val="4"/>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经调查评估，企业及时上报了事故情况，政府有关部门第一时间赶赴现场指挥救援，妥善做好了现场救援和善后处置工作，未发生次生事故。从企业自救情况来看，双胞胎公司在第一时间组织了人员对伤者进行了救援并拨打119救援电话和120急救电话，处置得当。</w:t>
      </w:r>
    </w:p>
    <w:p w14:paraId="23973B8B">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ascii="黑体" w:hAnsi="黑体" w:eastAsia="黑体" w:cs="黑体"/>
          <w:b/>
          <w:sz w:val="32"/>
          <w:szCs w:val="32"/>
        </w:rPr>
      </w:pPr>
      <w:r>
        <w:rPr>
          <w:rFonts w:hint="eastAsia" w:ascii="黑体" w:hAnsi="黑体" w:eastAsia="黑体" w:cs="黑体"/>
          <w:b/>
          <w:sz w:val="32"/>
          <w:szCs w:val="32"/>
        </w:rPr>
        <w:t>三、事故原因分析</w:t>
      </w:r>
    </w:p>
    <w:p w14:paraId="6154C41F">
      <w:pPr>
        <w:pStyle w:val="4"/>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事故直接原因：肖某瑞在G513沉降室内进行故障排除作业时，因中控操作人员违规启动绞龙致使肖某瑞被卷入，受到挤压后导致死亡。</w:t>
      </w:r>
    </w:p>
    <w:p w14:paraId="3D6189D9">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ascii="楷体" w:hAnsi="楷体" w:eastAsia="楷体" w:cs="楷体"/>
          <w:b/>
          <w:sz w:val="32"/>
          <w:szCs w:val="32"/>
        </w:rPr>
      </w:pPr>
      <w:r>
        <w:rPr>
          <w:rFonts w:hint="eastAsia" w:ascii="楷体" w:hAnsi="楷体" w:eastAsia="楷体" w:cs="楷体"/>
          <w:b/>
          <w:sz w:val="32"/>
          <w:szCs w:val="32"/>
        </w:rPr>
        <w:t>（一）直接原因分析</w:t>
      </w:r>
    </w:p>
    <w:p w14:paraId="5D80257B">
      <w:pPr>
        <w:pStyle w:val="4"/>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一是作业人员在G513沉降室故障排除作业前，未严格落实安全防护措施，导致作业现场存在严重安全风险。</w:t>
      </w:r>
    </w:p>
    <w:p w14:paraId="1ED67C77">
      <w:pPr>
        <w:pStyle w:val="4"/>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二是中控人员违反“谁挂牌断电谁摘牌送电”的安全管理规定，违规启动挂牌停用设备。</w:t>
      </w:r>
    </w:p>
    <w:p w14:paraId="728D72CC">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hint="eastAsia" w:ascii="楷体" w:hAnsi="楷体" w:eastAsia="楷体" w:cs="楷体"/>
          <w:b/>
          <w:sz w:val="32"/>
          <w:szCs w:val="32"/>
        </w:rPr>
      </w:pPr>
      <w:r>
        <w:rPr>
          <w:rFonts w:hint="eastAsia" w:ascii="楷体" w:hAnsi="楷体" w:eastAsia="楷体" w:cs="楷体"/>
          <w:b/>
          <w:sz w:val="32"/>
          <w:szCs w:val="32"/>
        </w:rPr>
        <w:t>（二）间接原因分析</w:t>
      </w:r>
    </w:p>
    <w:p w14:paraId="4FD83B1E">
      <w:pPr>
        <w:pStyle w:val="4"/>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双胞胎公司安全生产责任主体落实不到位：</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val="0"/>
          <w:bCs w:val="0"/>
          <w:sz w:val="32"/>
          <w:szCs w:val="32"/>
          <w:lang w:val="en-US" w:eastAsia="zh-CN"/>
        </w:rPr>
        <w:t>有限空间清理检维修作业未按规定审批，未制定作业方案，风险辨识不到位，对存在的安全风险未采取安全防护措施</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b w:val="0"/>
          <w:bCs w:val="0"/>
          <w:sz w:val="32"/>
          <w:szCs w:val="32"/>
          <w:lang w:val="en-US" w:eastAsia="zh-CN"/>
        </w:rPr>
        <w:t>多台设备同时检维修交叉作业管理混乱未安排专人现场管理，涉事设备检维修时未按规定未切断电源、从业人员违规启动停机挂牌检修设备，存在冒险作业、违章作业；</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sz w:val="32"/>
          <w:szCs w:val="32"/>
          <w:lang w:val="en-US" w:eastAsia="zh-CN"/>
        </w:rPr>
        <w:t>安全生产规章制度安全技术操作规程不完善。粉碎机沉降室检维修及清理作业职责不清，未建立相关的安全技术操作规程，作业人员无章可循；</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sz w:val="32"/>
          <w:szCs w:val="32"/>
          <w:lang w:val="en-US" w:eastAsia="zh-CN"/>
        </w:rPr>
        <w:t>安全生产教育和培训不到位，未如实记录安全生产教育和培训的时间、内容以及考核结果等情况，导致员工对安全风险辨识能力缺失。</w:t>
      </w:r>
    </w:p>
    <w:p w14:paraId="45158C56">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ascii="黑体" w:hAnsi="黑体" w:eastAsia="黑体" w:cs="黑体"/>
          <w:b/>
          <w:sz w:val="32"/>
          <w:szCs w:val="32"/>
        </w:rPr>
      </w:pPr>
      <w:r>
        <w:rPr>
          <w:rFonts w:hint="eastAsia" w:ascii="黑体" w:hAnsi="黑体" w:eastAsia="黑体" w:cs="黑体"/>
          <w:b/>
          <w:sz w:val="32"/>
          <w:szCs w:val="32"/>
        </w:rPr>
        <w:t>四、有关责任单位存在的问题</w:t>
      </w:r>
    </w:p>
    <w:p w14:paraId="4FBE5EE1">
      <w:pPr>
        <w:pStyle w:val="4"/>
        <w:keepNext w:val="0"/>
        <w:keepLines w:val="0"/>
        <w:pageBreakBefore w:val="0"/>
        <w:widowControl w:val="0"/>
        <w:kinsoku/>
        <w:wordWrap/>
        <w:topLinePunct w:val="0"/>
        <w:autoSpaceDE/>
        <w:autoSpaceDN/>
        <w:bidi w:val="0"/>
        <w:adjustRightInd/>
        <w:snapToGrid/>
        <w:spacing w:line="550" w:lineRule="exact"/>
        <w:ind w:left="0" w:leftChars="0" w:firstLine="643"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双胞胎公司</w:t>
      </w:r>
      <w:r>
        <w:rPr>
          <w:rFonts w:hint="eastAsia" w:ascii="仿宋_GB2312" w:hAnsi="仿宋_GB2312" w:eastAsia="仿宋_GB2312" w:cs="仿宋_GB2312"/>
          <w:sz w:val="32"/>
          <w:szCs w:val="32"/>
        </w:rPr>
        <w:t>，安全生产主体责任落实不到位，</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val="0"/>
          <w:bCs w:val="0"/>
          <w:sz w:val="32"/>
          <w:szCs w:val="32"/>
          <w:lang w:val="en-US" w:eastAsia="zh-CN"/>
        </w:rPr>
        <w:t>存在从业人员违反操作规程，有限空间作业未按规定审批、未制定作业方案，对有限空间内存在的机械伤害风险未识别，未落实安全措施，从业人员违规启动停机挂牌检修设备</w:t>
      </w:r>
      <w:r>
        <w:rPr>
          <w:rStyle w:val="17"/>
          <w:rFonts w:hint="eastAsia" w:ascii="仿宋_GB2312" w:hAnsi="仿宋_GB2312" w:eastAsia="仿宋_GB2312" w:cs="仿宋_GB2312"/>
          <w:sz w:val="32"/>
          <w:szCs w:val="32"/>
          <w:lang w:val="en-US" w:eastAsia="zh-CN"/>
        </w:rPr>
        <w:t>[</w:t>
      </w:r>
      <w:r>
        <w:rPr>
          <w:rStyle w:val="17"/>
          <w:rFonts w:hint="eastAsia" w:ascii="仿宋_GB2312" w:hAnsi="仿宋_GB2312" w:eastAsia="仿宋_GB2312" w:cs="仿宋_GB2312"/>
          <w:sz w:val="32"/>
          <w:szCs w:val="32"/>
          <w:lang w:val="en-US" w:eastAsia="zh-CN"/>
        </w:rPr>
        <w:footnoteReference w:id="0"/>
      </w:r>
      <w:r>
        <w:rPr>
          <w:rStyle w:val="17"/>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存在安全生产规章制度操作规程不完善及缺失</w:t>
      </w:r>
      <w:r>
        <w:rPr>
          <w:rStyle w:val="17"/>
          <w:rFonts w:hint="eastAsia" w:ascii="仿宋_GB2312" w:hAnsi="仿宋_GB2312" w:eastAsia="仿宋_GB2312" w:cs="仿宋_GB2312"/>
          <w:sz w:val="32"/>
          <w:szCs w:val="32"/>
        </w:rPr>
        <w:t>[</w:t>
      </w:r>
      <w:r>
        <w:rPr>
          <w:rStyle w:val="17"/>
          <w:rFonts w:hint="eastAsia" w:ascii="仿宋_GB2312" w:hAnsi="仿宋_GB2312" w:eastAsia="仿宋_GB2312" w:cs="仿宋_GB2312"/>
          <w:sz w:val="32"/>
          <w:szCs w:val="32"/>
        </w:rPr>
        <w:footnoteReference w:id="1"/>
      </w:r>
      <w:r>
        <w:rPr>
          <w:rStyle w:val="17"/>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sz w:val="32"/>
          <w:szCs w:val="32"/>
          <w:lang w:val="en-US" w:eastAsia="zh-CN"/>
        </w:rPr>
        <w:t>存在对从业人员安全生产教育培训不到位，未建立安全生产教育和培训档案，未如实记录安全生产教育和培训的时间、内容，以及考核结果等情况</w:t>
      </w:r>
      <w:r>
        <w:rPr>
          <w:rStyle w:val="17"/>
          <w:rFonts w:hint="eastAsia" w:ascii="仿宋_GB2312" w:hAnsi="仿宋_GB2312" w:eastAsia="仿宋_GB2312" w:cs="仿宋_GB2312"/>
          <w:sz w:val="32"/>
          <w:szCs w:val="32"/>
        </w:rPr>
        <w:t>[</w:t>
      </w:r>
      <w:r>
        <w:rPr>
          <w:rStyle w:val="17"/>
          <w:rFonts w:hint="eastAsia" w:ascii="仿宋_GB2312" w:hAnsi="仿宋_GB2312" w:eastAsia="仿宋_GB2312" w:cs="仿宋_GB2312"/>
          <w:sz w:val="32"/>
          <w:szCs w:val="32"/>
        </w:rPr>
        <w:footnoteReference w:id="2"/>
      </w:r>
      <w:r>
        <w:rPr>
          <w:rStyle w:val="17"/>
          <w:rFonts w:hint="eastAsia" w:ascii="仿宋_GB2312" w:hAnsi="仿宋_GB2312" w:eastAsia="仿宋_GB2312" w:cs="仿宋_GB2312"/>
          <w:sz w:val="32"/>
          <w:szCs w:val="32"/>
        </w:rPr>
        <w:t>]</w:t>
      </w:r>
      <w:r>
        <w:rPr>
          <w:rFonts w:hint="eastAsia" w:ascii="仿宋_GB2312" w:hAnsi="仿宋_GB2312" w:eastAsia="仿宋_GB2312" w:cs="仿宋_GB2312"/>
          <w:b/>
          <w:bCs/>
          <w:color w:val="auto"/>
          <w:sz w:val="32"/>
          <w:szCs w:val="32"/>
          <w:lang w:val="en-US" w:eastAsia="zh-CN"/>
        </w:rPr>
        <w:t>四是</w:t>
      </w:r>
      <w:r>
        <w:rPr>
          <w:rFonts w:hint="eastAsia" w:ascii="仿宋_GB2312" w:hAnsi="仿宋_GB2312" w:eastAsia="仿宋_GB2312" w:cs="仿宋_GB2312"/>
          <w:sz w:val="32"/>
          <w:szCs w:val="32"/>
          <w:lang w:val="en-US" w:eastAsia="zh-CN"/>
        </w:rPr>
        <w:t>存在落实企业风险评估和控制管理制度不到位。未识别到机械设备检维修作业存在的机械伤害风险，未告知从业人员及采取相应的管控措施</w:t>
      </w:r>
      <w:r>
        <w:rPr>
          <w:rStyle w:val="17"/>
          <w:rFonts w:hint="eastAsia" w:ascii="仿宋_GB2312" w:hAnsi="仿宋_GB2312" w:eastAsia="仿宋_GB2312" w:cs="仿宋_GB2312"/>
          <w:sz w:val="32"/>
          <w:szCs w:val="32"/>
          <w:lang w:val="en-US" w:eastAsia="zh-CN"/>
        </w:rPr>
        <w:t>[</w:t>
      </w:r>
      <w:r>
        <w:rPr>
          <w:rStyle w:val="17"/>
          <w:rFonts w:hint="eastAsia" w:ascii="仿宋_GB2312" w:hAnsi="仿宋_GB2312" w:eastAsia="仿宋_GB2312" w:cs="仿宋_GB2312"/>
          <w:sz w:val="32"/>
          <w:szCs w:val="32"/>
          <w:lang w:val="en-US" w:eastAsia="zh-CN"/>
        </w:rPr>
        <w:footnoteReference w:id="3"/>
      </w:r>
      <w:r>
        <w:rPr>
          <w:rStyle w:val="17"/>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w:t>
      </w:r>
    </w:p>
    <w:p w14:paraId="3B83DA7A">
      <w:pPr>
        <w:pStyle w:val="4"/>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ascii="黑体" w:hAnsi="黑体" w:eastAsia="黑体" w:cs="黑体"/>
          <w:b/>
          <w:sz w:val="32"/>
          <w:szCs w:val="32"/>
        </w:rPr>
      </w:pPr>
      <w:r>
        <w:rPr>
          <w:rFonts w:hint="eastAsia" w:ascii="黑体" w:hAnsi="黑体" w:eastAsia="黑体" w:cs="黑体"/>
          <w:b/>
          <w:sz w:val="32"/>
          <w:szCs w:val="32"/>
        </w:rPr>
        <w:t>五、对有关责任人员和责任单位的处理意见</w:t>
      </w:r>
    </w:p>
    <w:p w14:paraId="2F841FFC">
      <w:pPr>
        <w:pStyle w:val="4"/>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hint="eastAsia" w:ascii="楷体" w:hAnsi="楷体" w:eastAsia="楷体" w:cs="楷体"/>
          <w:b/>
          <w:sz w:val="32"/>
          <w:szCs w:val="32"/>
        </w:rPr>
      </w:pPr>
      <w:r>
        <w:rPr>
          <w:rFonts w:hint="eastAsia" w:ascii="楷体" w:hAnsi="楷体" w:eastAsia="楷体" w:cs="楷体"/>
          <w:b/>
          <w:sz w:val="32"/>
          <w:szCs w:val="32"/>
        </w:rPr>
        <w:t>（一）对事故有关责任人员的行政处罚建议</w:t>
      </w:r>
    </w:p>
    <w:p w14:paraId="55A02706">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550" w:lineRule="exact"/>
        <w:ind w:left="0" w:leftChars="0" w:right="0" w:rightChars="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lang w:val="en-US" w:eastAsia="zh-CN"/>
        </w:rPr>
        <w:t>曾某贵</w:t>
      </w:r>
      <w:r>
        <w:rPr>
          <w:rFonts w:ascii="仿宋_GB2312" w:hAnsi="仿宋_GB2312" w:eastAsia="仿宋_GB2312" w:cs="仿宋_GB2312"/>
          <w:sz w:val="32"/>
          <w:szCs w:val="32"/>
        </w:rPr>
        <w:t>，</w:t>
      </w:r>
      <w:r>
        <w:rPr>
          <w:rFonts w:hint="eastAsia" w:ascii="仿宋_GB2312" w:eastAsia="仿宋_GB2312"/>
          <w:color w:val="000000"/>
          <w:sz w:val="32"/>
          <w:szCs w:val="32"/>
          <w:lang w:val="en-US" w:eastAsia="zh-CN"/>
        </w:rPr>
        <w:t>吉安双胞胎饲料有限公司</w:t>
      </w:r>
      <w:r>
        <w:rPr>
          <w:rFonts w:hint="eastAsia" w:ascii="仿宋_GB2312" w:hAnsi="仿宋_GB2312" w:eastAsia="仿宋_GB2312" w:cs="仿宋_GB2312"/>
          <w:bCs/>
          <w:sz w:val="32"/>
          <w:szCs w:val="32"/>
          <w:lang w:val="en-US" w:eastAsia="zh-CN"/>
        </w:rPr>
        <w:t>厂长，履行主要负责人安全生产工作职责不到位。</w:t>
      </w:r>
      <w:r>
        <w:rPr>
          <w:rFonts w:hint="eastAsia" w:ascii="仿宋_GB2312" w:eastAsia="仿宋_GB2312"/>
          <w:color w:val="000000"/>
          <w:sz w:val="32"/>
          <w:szCs w:val="32"/>
          <w:lang w:val="en-US" w:eastAsia="zh-CN"/>
        </w:rPr>
        <w:t>未有效落实全员安全生产责任制，未组织及时更新安全生产规章制度和操作规程，未有效实施本单位安全生产教育和培训计划，未落实安全风险分级管控和隐患排查治理双重预防工作机制，导致涉事员工对岗位安全风险认识不到位、安全防范措施落实不到位。</w:t>
      </w:r>
      <w:r>
        <w:rPr>
          <w:rFonts w:hint="eastAsia" w:ascii="仿宋_GB2312" w:hAnsi="仿宋_GB2312" w:eastAsia="仿宋_GB2312" w:cs="仿宋_GB2312"/>
          <w:b w:val="0"/>
          <w:bCs w:val="0"/>
          <w:color w:val="auto"/>
          <w:kern w:val="0"/>
          <w:sz w:val="32"/>
          <w:szCs w:val="32"/>
          <w:lang w:val="en-US" w:eastAsia="zh-CN" w:bidi="hi-IN"/>
        </w:rPr>
        <w:t>其行为违反了《中华人民共和国安全生产法》第五条</w:t>
      </w:r>
      <w:r>
        <w:rPr>
          <w:rStyle w:val="17"/>
          <w:rFonts w:hint="eastAsia" w:ascii="仿宋_GB2312" w:hAnsi="仿宋_GB2312" w:eastAsia="仿宋_GB2312" w:cs="仿宋_GB2312"/>
          <w:kern w:val="2"/>
          <w:sz w:val="32"/>
          <w:szCs w:val="32"/>
          <w:lang w:val="en-US" w:eastAsia="zh-CN" w:bidi="ar-SA"/>
        </w:rPr>
        <w:t>[</w:t>
      </w:r>
      <w:r>
        <w:rPr>
          <w:rStyle w:val="17"/>
          <w:rFonts w:hint="eastAsia" w:ascii="仿宋_GB2312" w:hAnsi="仿宋_GB2312" w:eastAsia="仿宋_GB2312" w:cs="仿宋_GB2312"/>
          <w:kern w:val="2"/>
          <w:sz w:val="32"/>
          <w:szCs w:val="32"/>
          <w:lang w:val="en-US" w:eastAsia="zh-CN" w:bidi="ar-SA"/>
        </w:rPr>
        <w:footnoteReference w:id="4"/>
      </w:r>
      <w:r>
        <w:rPr>
          <w:rStyle w:val="17"/>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b w:val="0"/>
          <w:bCs w:val="0"/>
          <w:color w:val="auto"/>
          <w:kern w:val="0"/>
          <w:sz w:val="32"/>
          <w:szCs w:val="32"/>
          <w:lang w:val="en-US" w:eastAsia="zh-CN" w:bidi="hi-IN"/>
        </w:rPr>
        <w:t>、第二十一条第一款、第二项、第三项、第五项</w:t>
      </w:r>
      <w:r>
        <w:rPr>
          <w:rStyle w:val="17"/>
          <w:rFonts w:hint="eastAsia" w:ascii="仿宋_GB2312" w:hAnsi="仿宋_GB2312" w:eastAsia="仿宋_GB2312" w:cs="仿宋_GB2312"/>
          <w:kern w:val="2"/>
          <w:sz w:val="32"/>
          <w:szCs w:val="32"/>
          <w:lang w:val="en-US" w:eastAsia="zh-CN" w:bidi="ar-SA"/>
        </w:rPr>
        <w:t>[</w:t>
      </w:r>
      <w:r>
        <w:rPr>
          <w:rStyle w:val="17"/>
          <w:rFonts w:hint="eastAsia" w:ascii="仿宋_GB2312" w:hAnsi="仿宋_GB2312" w:eastAsia="仿宋_GB2312" w:cs="仿宋_GB2312"/>
          <w:kern w:val="2"/>
          <w:sz w:val="32"/>
          <w:szCs w:val="32"/>
          <w:lang w:val="en-US" w:eastAsia="zh-CN" w:bidi="ar-SA"/>
        </w:rPr>
        <w:footnoteReference w:id="5"/>
      </w:r>
      <w:r>
        <w:rPr>
          <w:rStyle w:val="17"/>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b w:val="0"/>
          <w:bCs w:val="0"/>
          <w:color w:val="auto"/>
          <w:kern w:val="0"/>
          <w:sz w:val="32"/>
          <w:szCs w:val="32"/>
          <w:lang w:val="en-US" w:eastAsia="zh-CN" w:bidi="hi-IN"/>
        </w:rPr>
        <w:t>等规定，对该起事故的发生负有主要领导责任。建议由吉州区应急管理局依据《中华人民共和国安全生产法》第九十五条</w:t>
      </w:r>
      <w:r>
        <w:rPr>
          <w:rStyle w:val="17"/>
          <w:rFonts w:hint="eastAsia" w:ascii="仿宋_GB2312" w:hAnsi="仿宋_GB2312" w:eastAsia="仿宋_GB2312" w:cs="仿宋_GB2312"/>
          <w:b w:val="0"/>
          <w:bCs/>
          <w:color w:val="auto"/>
          <w:kern w:val="2"/>
          <w:sz w:val="32"/>
          <w:szCs w:val="32"/>
          <w:lang w:val="en-US" w:eastAsia="zh-CN" w:bidi="ar-SA"/>
        </w:rPr>
        <w:t>[</w:t>
      </w:r>
      <w:r>
        <w:rPr>
          <w:rStyle w:val="17"/>
          <w:rFonts w:hint="eastAsia" w:ascii="仿宋_GB2312" w:hAnsi="仿宋_GB2312" w:eastAsia="仿宋_GB2312" w:cs="仿宋_GB2312"/>
          <w:b w:val="0"/>
          <w:bCs/>
          <w:color w:val="auto"/>
          <w:kern w:val="2"/>
          <w:sz w:val="32"/>
          <w:szCs w:val="32"/>
          <w:lang w:val="en-US" w:eastAsia="zh-CN" w:bidi="ar-SA"/>
        </w:rPr>
        <w:footnoteReference w:id="6"/>
      </w:r>
      <w:r>
        <w:rPr>
          <w:rStyle w:val="17"/>
          <w:rFonts w:hint="eastAsia" w:ascii="仿宋_GB2312" w:hAnsi="仿宋_GB2312" w:eastAsia="仿宋_GB2312" w:cs="仿宋_GB2312"/>
          <w:b w:val="0"/>
          <w:bCs/>
          <w:color w:val="auto"/>
          <w:kern w:val="2"/>
          <w:sz w:val="32"/>
          <w:szCs w:val="32"/>
          <w:lang w:val="en-US" w:eastAsia="zh-CN" w:bidi="ar-SA"/>
        </w:rPr>
        <w:t>]</w:t>
      </w:r>
      <w:r>
        <w:rPr>
          <w:rFonts w:hint="eastAsia" w:ascii="仿宋_GB2312" w:hAnsi="仿宋_GB2312" w:eastAsia="仿宋_GB2312" w:cs="仿宋_GB2312"/>
          <w:b w:val="0"/>
          <w:bCs w:val="0"/>
          <w:color w:val="auto"/>
          <w:kern w:val="0"/>
          <w:sz w:val="32"/>
          <w:szCs w:val="32"/>
          <w:lang w:val="en-US" w:eastAsia="zh-CN" w:bidi="hi-IN"/>
        </w:rPr>
        <w:t>的有关规定处以罚款。</w:t>
      </w:r>
    </w:p>
    <w:p w14:paraId="7E74DE05">
      <w:pPr>
        <w:pStyle w:val="20"/>
        <w:keepNext w:val="0"/>
        <w:keepLines w:val="0"/>
        <w:pageBreakBefore w:val="0"/>
        <w:widowControl w:val="0"/>
        <w:kinsoku/>
        <w:wordWrap/>
        <w:topLinePunct w:val="0"/>
        <w:autoSpaceDE/>
        <w:autoSpaceDN/>
        <w:bidi w:val="0"/>
        <w:adjustRightInd/>
        <w:snapToGrid/>
        <w:spacing w:line="550" w:lineRule="exact"/>
        <w:ind w:left="0" w:leftChars="0" w:firstLine="640" w:firstLineChars="200"/>
        <w:jc w:val="both"/>
        <w:textAlignment w:val="baseline"/>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bCs/>
          <w:sz w:val="32"/>
          <w:szCs w:val="32"/>
          <w:lang w:val="en-US" w:eastAsia="zh-CN"/>
        </w:rPr>
        <w:t>邓某华，</w:t>
      </w:r>
      <w:r>
        <w:rPr>
          <w:rFonts w:hint="eastAsia" w:ascii="仿宋_GB2312" w:eastAsia="仿宋_GB2312"/>
          <w:color w:val="000000"/>
          <w:sz w:val="32"/>
          <w:szCs w:val="32"/>
          <w:lang w:val="en-US" w:eastAsia="zh-CN"/>
        </w:rPr>
        <w:t>吉安双胞胎饲料有限公司</w:t>
      </w:r>
      <w:r>
        <w:rPr>
          <w:rFonts w:hint="eastAsia" w:ascii="仿宋_GB2312" w:hAnsi="仿宋_GB2312" w:eastAsia="仿宋_GB2312" w:cs="仿宋_GB2312"/>
          <w:bCs/>
          <w:sz w:val="32"/>
          <w:szCs w:val="32"/>
          <w:lang w:val="en-US" w:eastAsia="zh-CN"/>
        </w:rPr>
        <w:t>生产车间负责人。落实车间负责人安全管理职责不到位，</w:t>
      </w:r>
      <w:r>
        <w:rPr>
          <w:rFonts w:hint="eastAsia" w:ascii="仿宋_GB2312" w:hAnsi="仿宋_GB2312" w:eastAsia="仿宋_GB2312" w:cs="仿宋_GB2312"/>
          <w:sz w:val="32"/>
          <w:szCs w:val="32"/>
        </w:rPr>
        <w:t>组织或者参与拟订本单位安全生产规章制度、操作规程</w:t>
      </w:r>
      <w:r>
        <w:rPr>
          <w:rFonts w:hint="eastAsia" w:ascii="仿宋_GB2312" w:hAnsi="仿宋_GB2312" w:eastAsia="仿宋_GB2312" w:cs="仿宋_GB2312"/>
          <w:sz w:val="32"/>
          <w:szCs w:val="32"/>
          <w:lang w:val="en-US" w:eastAsia="zh-CN"/>
        </w:rPr>
        <w:t>职责不到位，</w:t>
      </w:r>
      <w:r>
        <w:rPr>
          <w:rFonts w:hint="eastAsia" w:ascii="仿宋_GB2312" w:hAnsi="仿宋_GB2312" w:eastAsia="仿宋_GB2312" w:cs="仿宋_GB2312"/>
          <w:bCs/>
          <w:sz w:val="32"/>
          <w:szCs w:val="32"/>
          <w:lang w:val="en-US" w:eastAsia="zh-CN"/>
        </w:rPr>
        <w:t>组织参与本单位安全生产教育和培训</w:t>
      </w:r>
      <w:r>
        <w:rPr>
          <w:rFonts w:hint="eastAsia" w:ascii="仿宋_GB2312" w:hAnsi="仿宋_GB2312" w:eastAsia="仿宋_GB2312" w:cs="仿宋_GB2312"/>
          <w:sz w:val="32"/>
          <w:szCs w:val="32"/>
          <w:lang w:val="en-US" w:eastAsia="zh-CN"/>
        </w:rPr>
        <w:t>职责</w:t>
      </w:r>
      <w:r>
        <w:rPr>
          <w:rFonts w:hint="eastAsia" w:ascii="仿宋_GB2312" w:hAnsi="仿宋_GB2312" w:eastAsia="仿宋_GB2312" w:cs="仿宋_GB2312"/>
          <w:bCs/>
          <w:sz w:val="32"/>
          <w:szCs w:val="32"/>
          <w:lang w:val="en-US" w:eastAsia="zh-CN"/>
        </w:rPr>
        <w:t>不到位，未如实记录安全生产教育和培训情况；组织</w:t>
      </w:r>
      <w:r>
        <w:rPr>
          <w:rFonts w:hint="eastAsia" w:ascii="仿宋_GB2312" w:hAnsi="仿宋_GB2312" w:eastAsia="仿宋_GB2312" w:cs="仿宋_GB2312"/>
          <w:sz w:val="32"/>
          <w:szCs w:val="32"/>
        </w:rPr>
        <w:t>开展危险源辨识和评估，督促落实本单位重大危险源的安全管理措施</w:t>
      </w:r>
      <w:r>
        <w:rPr>
          <w:rFonts w:hint="eastAsia" w:ascii="仿宋_GB2312" w:hAnsi="仿宋_GB2312" w:eastAsia="仿宋_GB2312" w:cs="仿宋_GB2312"/>
          <w:sz w:val="32"/>
          <w:szCs w:val="32"/>
          <w:lang w:val="en-US" w:eastAsia="zh-CN"/>
        </w:rPr>
        <w:t>职责不到位；未及时制止和纠正违反操作规程的行为。</w:t>
      </w:r>
      <w:r>
        <w:rPr>
          <w:rFonts w:hint="eastAsia" w:ascii="仿宋_GB2312" w:hAnsi="仿宋_GB2312" w:eastAsia="仿宋_GB2312" w:cs="仿宋_GB2312"/>
          <w:bCs/>
          <w:sz w:val="32"/>
          <w:szCs w:val="32"/>
          <w:lang w:val="en-US" w:eastAsia="zh-CN"/>
        </w:rPr>
        <w:t>其行为违反了</w:t>
      </w:r>
      <w:r>
        <w:rPr>
          <w:rFonts w:ascii="仿宋_GB2312" w:hAnsi="仿宋_GB2312" w:eastAsia="仿宋_GB2312" w:cs="仿宋_GB2312"/>
          <w:bCs/>
          <w:sz w:val="32"/>
          <w:szCs w:val="32"/>
        </w:rPr>
        <w:t>《中华人民共和国安全生产法》</w:t>
      </w:r>
      <w:r>
        <w:rPr>
          <w:rFonts w:hint="eastAsia" w:ascii="仿宋_GB2312" w:hAnsi="仿宋_GB2312" w:eastAsia="仿宋_GB2312" w:cs="仿宋_GB2312"/>
          <w:bCs/>
          <w:sz w:val="32"/>
          <w:szCs w:val="32"/>
          <w:lang w:val="en-US" w:eastAsia="zh-CN"/>
        </w:rPr>
        <w:t>第二十五条第一款，第二项、第三项、第六项</w:t>
      </w:r>
      <w:r>
        <w:rPr>
          <w:rStyle w:val="17"/>
          <w:rFonts w:hint="eastAsia" w:ascii="仿宋_GB2312" w:hAnsi="仿宋_GB2312" w:eastAsia="仿宋_GB2312" w:cs="仿宋_GB2312"/>
          <w:bCs/>
          <w:sz w:val="32"/>
          <w:szCs w:val="32"/>
          <w:lang w:val="en-US" w:eastAsia="zh-CN"/>
        </w:rPr>
        <w:t>[</w:t>
      </w:r>
      <w:r>
        <w:rPr>
          <w:rStyle w:val="17"/>
          <w:rFonts w:hint="eastAsia" w:ascii="仿宋_GB2312" w:hAnsi="仿宋_GB2312" w:eastAsia="仿宋_GB2312" w:cs="仿宋_GB2312"/>
          <w:bCs/>
          <w:sz w:val="32"/>
          <w:szCs w:val="32"/>
          <w:lang w:val="en-US" w:eastAsia="zh-CN"/>
        </w:rPr>
        <w:footnoteReference w:id="7"/>
      </w:r>
      <w:r>
        <w:rPr>
          <w:rStyle w:val="17"/>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sz w:val="32"/>
          <w:szCs w:val="32"/>
          <w:lang w:val="en-US" w:eastAsia="zh-CN"/>
        </w:rPr>
        <w:t>，第二十六条第一款</w:t>
      </w:r>
      <w:r>
        <w:rPr>
          <w:rStyle w:val="17"/>
          <w:rFonts w:hint="eastAsia" w:ascii="仿宋_GB2312" w:hAnsi="仿宋_GB2312" w:eastAsia="仿宋_GB2312" w:cs="仿宋_GB2312"/>
          <w:bCs/>
          <w:sz w:val="32"/>
          <w:szCs w:val="32"/>
          <w:lang w:val="en-US" w:eastAsia="zh-CN"/>
        </w:rPr>
        <w:t>[</w:t>
      </w:r>
      <w:r>
        <w:rPr>
          <w:rStyle w:val="17"/>
          <w:rFonts w:hint="eastAsia" w:ascii="仿宋_GB2312" w:hAnsi="仿宋_GB2312" w:eastAsia="仿宋_GB2312" w:cs="仿宋_GB2312"/>
          <w:bCs/>
          <w:sz w:val="32"/>
          <w:szCs w:val="32"/>
          <w:lang w:val="en-US" w:eastAsia="zh-CN"/>
        </w:rPr>
        <w:footnoteReference w:id="8"/>
      </w:r>
      <w:r>
        <w:rPr>
          <w:rStyle w:val="17"/>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sz w:val="32"/>
          <w:szCs w:val="32"/>
          <w:lang w:val="en-US" w:eastAsia="zh-CN"/>
        </w:rPr>
        <w:t>的规定，对该起事故的发生负有安全管理责任。建议由吉州区应急管理局依据《中华人民共和国安全生产法》第九十六条</w:t>
      </w:r>
      <w:r>
        <w:rPr>
          <w:rStyle w:val="17"/>
          <w:rFonts w:hint="eastAsia" w:ascii="仿宋_GB2312" w:hAnsi="仿宋_GB2312" w:eastAsia="仿宋_GB2312" w:cs="仿宋_GB2312"/>
          <w:bCs/>
          <w:sz w:val="32"/>
          <w:szCs w:val="32"/>
          <w:lang w:val="en-US" w:eastAsia="zh-CN"/>
        </w:rPr>
        <w:t>[</w:t>
      </w:r>
      <w:r>
        <w:rPr>
          <w:rStyle w:val="17"/>
          <w:rFonts w:hint="eastAsia" w:ascii="仿宋_GB2312" w:hAnsi="仿宋_GB2312" w:eastAsia="仿宋_GB2312" w:cs="仿宋_GB2312"/>
          <w:bCs/>
          <w:sz w:val="32"/>
          <w:szCs w:val="32"/>
          <w:lang w:val="en-US" w:eastAsia="zh-CN"/>
        </w:rPr>
        <w:footnoteReference w:id="9"/>
      </w:r>
      <w:r>
        <w:rPr>
          <w:rStyle w:val="17"/>
          <w:rFonts w:hint="eastAsia" w:ascii="仿宋_GB2312" w:hAnsi="仿宋_GB2312" w:eastAsia="仿宋_GB2312" w:cs="仿宋_GB2312"/>
          <w:bCs/>
          <w:sz w:val="32"/>
          <w:szCs w:val="32"/>
          <w:lang w:val="en-US" w:eastAsia="zh-CN"/>
        </w:rPr>
        <w:t>]</w:t>
      </w:r>
      <w:r>
        <w:rPr>
          <w:rFonts w:hint="eastAsia" w:ascii="仿宋_GB2312" w:hAnsi="仿宋_GB2312" w:eastAsia="仿宋_GB2312" w:cs="仿宋_GB2312"/>
          <w:bCs/>
          <w:sz w:val="32"/>
          <w:szCs w:val="32"/>
          <w:lang w:val="en-US" w:eastAsia="zh-CN"/>
        </w:rPr>
        <w:t>的有关规定处以罚款。</w:t>
      </w:r>
    </w:p>
    <w:p w14:paraId="01013B07">
      <w:pPr>
        <w:pStyle w:val="20"/>
        <w:keepNext w:val="0"/>
        <w:keepLines w:val="0"/>
        <w:pageBreakBefore w:val="0"/>
        <w:widowControl w:val="0"/>
        <w:kinsoku/>
        <w:wordWrap/>
        <w:topLinePunct w:val="0"/>
        <w:autoSpaceDE/>
        <w:autoSpaceDN/>
        <w:bidi w:val="0"/>
        <w:adjustRightInd/>
        <w:snapToGrid/>
        <w:spacing w:line="550" w:lineRule="exact"/>
        <w:ind w:left="0" w:leftChars="0" w:firstLine="640" w:firstLineChars="200"/>
        <w:jc w:val="both"/>
        <w:textAlignment w:val="baseline"/>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3、王某萍，</w:t>
      </w:r>
      <w:r>
        <w:rPr>
          <w:rFonts w:hint="eastAsia" w:ascii="仿宋_GB2312" w:eastAsia="仿宋_GB2312"/>
          <w:color w:val="000000"/>
          <w:sz w:val="32"/>
          <w:szCs w:val="32"/>
          <w:lang w:val="en-US" w:eastAsia="zh-CN"/>
        </w:rPr>
        <w:t>吉安双胞胎饲料有限公司</w:t>
      </w:r>
      <w:r>
        <w:rPr>
          <w:rFonts w:hint="eastAsia" w:ascii="仿宋_GB2312" w:hAnsi="仿宋_GB2312" w:eastAsia="仿宋_GB2312" w:cs="仿宋_GB2312"/>
          <w:bCs/>
          <w:sz w:val="32"/>
          <w:szCs w:val="32"/>
          <w:lang w:val="en-US" w:eastAsia="zh-CN"/>
        </w:rPr>
        <w:t>安全员，落实安全管理职责不到位。</w:t>
      </w:r>
      <w:r>
        <w:rPr>
          <w:rFonts w:hint="eastAsia" w:ascii="仿宋_GB2312" w:hAnsi="仿宋_GB2312" w:eastAsia="仿宋_GB2312" w:cs="仿宋_GB2312"/>
          <w:sz w:val="32"/>
          <w:szCs w:val="32"/>
        </w:rPr>
        <w:t>组织或者参与拟订本单位安全生产规章制度、操作规程</w:t>
      </w:r>
      <w:r>
        <w:rPr>
          <w:rFonts w:hint="eastAsia" w:ascii="仿宋_GB2312" w:hAnsi="仿宋_GB2312" w:eastAsia="仿宋_GB2312" w:cs="仿宋_GB2312"/>
          <w:sz w:val="32"/>
          <w:szCs w:val="32"/>
          <w:lang w:val="en-US" w:eastAsia="zh-CN"/>
        </w:rPr>
        <w:t>职责不到位；</w:t>
      </w:r>
      <w:r>
        <w:rPr>
          <w:rFonts w:hint="eastAsia" w:ascii="仿宋_GB2312" w:hAnsi="仿宋_GB2312" w:eastAsia="仿宋_GB2312" w:cs="仿宋_GB2312"/>
          <w:bCs/>
          <w:sz w:val="32"/>
          <w:szCs w:val="32"/>
          <w:lang w:val="en-US" w:eastAsia="zh-CN"/>
        </w:rPr>
        <w:t>组织参与全厂安全生产教育和培训</w:t>
      </w:r>
      <w:r>
        <w:rPr>
          <w:rFonts w:hint="eastAsia" w:ascii="仿宋_GB2312" w:hAnsi="仿宋_GB2312" w:eastAsia="仿宋_GB2312" w:cs="仿宋_GB2312"/>
          <w:sz w:val="32"/>
          <w:szCs w:val="32"/>
          <w:lang w:val="en-US" w:eastAsia="zh-CN"/>
        </w:rPr>
        <w:t>职责</w:t>
      </w:r>
      <w:r>
        <w:rPr>
          <w:rFonts w:hint="eastAsia" w:ascii="仿宋_GB2312" w:hAnsi="仿宋_GB2312" w:eastAsia="仿宋_GB2312" w:cs="仿宋_GB2312"/>
          <w:bCs/>
          <w:sz w:val="32"/>
          <w:szCs w:val="32"/>
          <w:lang w:val="en-US" w:eastAsia="zh-CN"/>
        </w:rPr>
        <w:t>不到位，未如实记录安全生产教育和培训情况；组织</w:t>
      </w:r>
      <w:r>
        <w:rPr>
          <w:rFonts w:hint="eastAsia" w:ascii="仿宋_GB2312" w:hAnsi="仿宋_GB2312" w:eastAsia="仿宋_GB2312" w:cs="仿宋_GB2312"/>
          <w:sz w:val="32"/>
          <w:szCs w:val="32"/>
        </w:rPr>
        <w:t>开展危险源辨识和评估，督促落实本单位重大危险源的安全管理措施</w:t>
      </w:r>
      <w:r>
        <w:rPr>
          <w:rFonts w:hint="eastAsia" w:ascii="仿宋_GB2312" w:hAnsi="仿宋_GB2312" w:eastAsia="仿宋_GB2312" w:cs="仿宋_GB2312"/>
          <w:sz w:val="32"/>
          <w:szCs w:val="32"/>
          <w:lang w:val="en-US" w:eastAsia="zh-CN"/>
        </w:rPr>
        <w:t>职责不到位；未及时制止和纠正违反操作规程的行为。</w:t>
      </w:r>
      <w:r>
        <w:rPr>
          <w:rFonts w:hint="eastAsia" w:ascii="仿宋_GB2312" w:hAnsi="仿宋_GB2312" w:eastAsia="仿宋_GB2312" w:cs="仿宋_GB2312"/>
          <w:bCs/>
          <w:sz w:val="32"/>
          <w:szCs w:val="32"/>
          <w:lang w:val="en-US" w:eastAsia="zh-CN"/>
        </w:rPr>
        <w:t>其行为违反了</w:t>
      </w:r>
      <w:r>
        <w:rPr>
          <w:rFonts w:ascii="仿宋_GB2312" w:hAnsi="仿宋_GB2312" w:eastAsia="仿宋_GB2312" w:cs="仿宋_GB2312"/>
          <w:bCs/>
          <w:sz w:val="32"/>
          <w:szCs w:val="32"/>
        </w:rPr>
        <w:t>《中华人民共和国安全生产法》</w:t>
      </w:r>
      <w:r>
        <w:rPr>
          <w:rFonts w:hint="eastAsia" w:ascii="仿宋_GB2312" w:hAnsi="仿宋_GB2312" w:eastAsia="仿宋_GB2312" w:cs="仿宋_GB2312"/>
          <w:bCs/>
          <w:sz w:val="32"/>
          <w:szCs w:val="32"/>
          <w:lang w:val="en-US" w:eastAsia="zh-CN"/>
        </w:rPr>
        <w:t>第二十五条第一款，第二项、第三项、第六项，第二十六条第一款的规定</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val="en-US" w:eastAsia="zh-CN"/>
        </w:rPr>
        <w:t>该起</w:t>
      </w:r>
      <w:r>
        <w:rPr>
          <w:rFonts w:hint="eastAsia" w:ascii="仿宋_GB2312" w:hAnsi="仿宋_GB2312" w:eastAsia="仿宋_GB2312" w:cs="仿宋_GB2312"/>
          <w:sz w:val="32"/>
          <w:szCs w:val="32"/>
        </w:rPr>
        <w:t>事故的发生负有</w:t>
      </w:r>
      <w:r>
        <w:rPr>
          <w:rFonts w:hint="eastAsia" w:ascii="仿宋_GB2312" w:hAnsi="仿宋_GB2312" w:eastAsia="仿宋_GB2312" w:cs="仿宋_GB2312"/>
          <w:sz w:val="32"/>
          <w:szCs w:val="32"/>
          <w:lang w:val="en-US" w:eastAsia="zh-CN"/>
        </w:rPr>
        <w:t>安全管理</w:t>
      </w:r>
      <w:r>
        <w:rPr>
          <w:rFonts w:hint="eastAsia" w:ascii="仿宋_GB2312" w:hAnsi="仿宋_GB2312" w:eastAsia="仿宋_GB2312" w:cs="仿宋_GB2312"/>
          <w:sz w:val="32"/>
          <w:szCs w:val="32"/>
        </w:rPr>
        <w:t>责任。建议由</w:t>
      </w:r>
      <w:r>
        <w:rPr>
          <w:rFonts w:hint="eastAsia" w:ascii="仿宋_GB2312" w:hAnsi="仿宋_GB2312" w:eastAsia="仿宋_GB2312" w:cs="仿宋_GB2312"/>
          <w:sz w:val="32"/>
          <w:szCs w:val="32"/>
          <w:lang w:val="en-US" w:eastAsia="zh-CN"/>
        </w:rPr>
        <w:t>吉州区应急</w:t>
      </w:r>
      <w:r>
        <w:rPr>
          <w:rFonts w:hint="eastAsia" w:ascii="仿宋_GB2312" w:hAnsi="仿宋_GB2312" w:eastAsia="仿宋_GB2312" w:cs="仿宋_GB2312"/>
          <w:sz w:val="32"/>
          <w:szCs w:val="32"/>
        </w:rPr>
        <w:t>管理局依据《中华人民共和国安全生产法</w:t>
      </w:r>
      <w:r>
        <w:rPr>
          <w:rFonts w:hint="eastAsia" w:ascii="仿宋_GB2312" w:hAnsi="仿宋_GB2312" w:eastAsia="仿宋_GB2312" w:cs="仿宋_GB2312"/>
          <w:sz w:val="32"/>
          <w:szCs w:val="32"/>
          <w:lang w:eastAsia="zh-CN"/>
        </w:rPr>
        <w:t>》第</w:t>
      </w:r>
      <w:r>
        <w:rPr>
          <w:rFonts w:hint="eastAsia" w:ascii="仿宋_GB2312" w:hAnsi="仿宋_GB2312" w:eastAsia="仿宋_GB2312" w:cs="仿宋_GB2312"/>
          <w:sz w:val="32"/>
          <w:szCs w:val="32"/>
        </w:rPr>
        <w:t>九十</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条的有关规定</w:t>
      </w:r>
      <w:r>
        <w:rPr>
          <w:rFonts w:hint="eastAsia" w:ascii="仿宋_GB2312" w:hAnsi="仿宋_GB2312" w:eastAsia="仿宋_GB2312" w:cs="仿宋_GB2312"/>
          <w:sz w:val="32"/>
          <w:szCs w:val="32"/>
          <w:lang w:val="en-US" w:eastAsia="zh-CN"/>
        </w:rPr>
        <w:t>处以罚款</w:t>
      </w:r>
      <w:r>
        <w:rPr>
          <w:rFonts w:hint="eastAsia" w:ascii="仿宋_GB2312" w:hAnsi="仿宋_GB2312" w:eastAsia="仿宋_GB2312" w:cs="仿宋_GB2312"/>
          <w:sz w:val="32"/>
          <w:szCs w:val="32"/>
        </w:rPr>
        <w:t>。</w:t>
      </w:r>
    </w:p>
    <w:p w14:paraId="64467B1B">
      <w:pPr>
        <w:pStyle w:val="20"/>
        <w:keepNext w:val="0"/>
        <w:keepLines w:val="0"/>
        <w:pageBreakBefore w:val="0"/>
        <w:widowControl w:val="0"/>
        <w:kinsoku/>
        <w:wordWrap/>
        <w:topLinePunct w:val="0"/>
        <w:autoSpaceDE/>
        <w:autoSpaceDN/>
        <w:bidi w:val="0"/>
        <w:adjustRightInd/>
        <w:snapToGrid/>
        <w:spacing w:line="550" w:lineRule="exact"/>
        <w:ind w:left="0" w:leftChars="0" w:firstLine="643" w:firstLineChars="200"/>
        <w:jc w:val="both"/>
        <w:textAlignment w:val="baseline"/>
        <w:rPr>
          <w:rFonts w:hint="default" w:ascii="仿宋_GB2312" w:hAnsi="仿宋_GB2312" w:eastAsia="楷体" w:cs="仿宋_GB2312"/>
          <w:bCs/>
          <w:sz w:val="32"/>
          <w:szCs w:val="32"/>
          <w:lang w:val="en-US" w:eastAsia="zh-CN"/>
        </w:rPr>
      </w:pPr>
      <w:r>
        <w:rPr>
          <w:rFonts w:hint="eastAsia" w:ascii="楷体" w:hAnsi="楷体" w:eastAsia="楷体" w:cs="楷体"/>
          <w:b/>
          <w:sz w:val="32"/>
          <w:szCs w:val="32"/>
          <w:lang w:val="en-US" w:eastAsia="zh-CN"/>
        </w:rPr>
        <w:t>（二）对事故责任</w:t>
      </w:r>
      <w:r>
        <w:rPr>
          <w:rFonts w:hint="eastAsia" w:ascii="楷体" w:hAnsi="楷体" w:eastAsia="楷体" w:cs="楷体"/>
          <w:b/>
          <w:sz w:val="32"/>
          <w:szCs w:val="32"/>
        </w:rPr>
        <w:t>单位</w:t>
      </w:r>
      <w:r>
        <w:rPr>
          <w:rFonts w:hint="eastAsia" w:ascii="楷体" w:hAnsi="楷体" w:eastAsia="楷体" w:cs="楷体"/>
          <w:b/>
          <w:sz w:val="32"/>
          <w:szCs w:val="32"/>
          <w:lang w:val="en-US" w:eastAsia="zh-CN"/>
        </w:rPr>
        <w:t>的行政处罚</w:t>
      </w:r>
    </w:p>
    <w:p w14:paraId="296321C9">
      <w:pPr>
        <w:keepNext w:val="0"/>
        <w:keepLines w:val="0"/>
        <w:pageBreakBefore w:val="0"/>
        <w:widowControl w:val="0"/>
        <w:kinsoku/>
        <w:wordWrap/>
        <w:overflowPunct/>
        <w:topLinePunct w:val="0"/>
        <w:autoSpaceDE/>
        <w:autoSpaceDN/>
        <w:bidi w:val="0"/>
        <w:adjustRightInd/>
        <w:snapToGrid/>
        <w:spacing w:line="550" w:lineRule="exact"/>
        <w:ind w:left="0" w:leftChars="0" w:firstLine="643"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b/>
          <w:bCs/>
          <w:sz w:val="32"/>
          <w:szCs w:val="32"/>
          <w:lang w:val="en-US" w:eastAsia="zh-CN"/>
        </w:rPr>
        <w:t>吉安双胞胎饲料有限公司</w:t>
      </w:r>
      <w:r>
        <w:rPr>
          <w:rFonts w:hint="eastAsia" w:ascii="仿宋_GB2312" w:hAnsi="仿宋_GB2312" w:eastAsia="仿宋_GB2312" w:cs="仿宋_GB2312"/>
          <w:sz w:val="32"/>
          <w:szCs w:val="32"/>
        </w:rPr>
        <w:t>，安全生产责任主体落实不到位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val="0"/>
          <w:bCs w:val="0"/>
          <w:sz w:val="32"/>
          <w:szCs w:val="32"/>
          <w:lang w:val="en-US" w:eastAsia="zh-CN"/>
        </w:rPr>
        <w:t>有限空间检维修、机械设备维修试机违规作业，安全生产</w:t>
      </w:r>
      <w:r>
        <w:rPr>
          <w:rFonts w:hint="eastAsia" w:ascii="仿宋_GB2312" w:hAnsi="仿宋_GB2312" w:eastAsia="仿宋_GB2312" w:cs="仿宋_GB2312"/>
          <w:sz w:val="32"/>
          <w:szCs w:val="32"/>
          <w:lang w:val="en-US" w:eastAsia="zh-CN"/>
        </w:rPr>
        <w:t>管理不到位；</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sz w:val="32"/>
          <w:szCs w:val="32"/>
          <w:lang w:val="en-US" w:eastAsia="zh-CN"/>
        </w:rPr>
        <w:t>安全生产规章制度和安全技术操作规程不完善及缺失</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lang w:val="en-US" w:eastAsia="zh-CN"/>
        </w:rPr>
        <w:t>对从业人员安全生产教育培训不到位，未建立安全生产教育和培训档案，未如实记录安全生产教育和培训的时间、内容，以及考核结果等情况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sz w:val="32"/>
          <w:szCs w:val="32"/>
          <w:lang w:val="en-US" w:eastAsia="zh-CN"/>
        </w:rPr>
        <w:t>受限空间检维修作业，未按规定进行审批、</w:t>
      </w:r>
      <w:r>
        <w:rPr>
          <w:rFonts w:hint="eastAsia" w:ascii="仿宋_GB2312" w:hAnsi="仿宋_GB2312" w:eastAsia="仿宋_GB2312" w:cs="仿宋_GB2312"/>
          <w:b w:val="0"/>
          <w:bCs w:val="0"/>
          <w:sz w:val="32"/>
          <w:szCs w:val="32"/>
          <w:lang w:val="en-US" w:eastAsia="zh-CN"/>
        </w:rPr>
        <w:t>未制定作业方案、</w:t>
      </w:r>
      <w:r>
        <w:rPr>
          <w:rFonts w:hint="eastAsia" w:ascii="仿宋_GB2312" w:hAnsi="仿宋_GB2312" w:eastAsia="仿宋_GB2312" w:cs="仿宋_GB2312"/>
          <w:sz w:val="32"/>
          <w:szCs w:val="32"/>
          <w:lang w:val="en-US" w:eastAsia="zh-CN"/>
        </w:rPr>
        <w:t>风险辨识不到位、对存在的机械伤害安全防护措施落实不到位。</w:t>
      </w:r>
      <w:r>
        <w:rPr>
          <w:rFonts w:hint="eastAsia" w:ascii="仿宋_GB2312" w:hAnsi="仿宋_GB2312" w:eastAsia="仿宋_GB2312" w:cs="仿宋_GB2312"/>
          <w:color w:val="auto"/>
          <w:sz w:val="32"/>
          <w:szCs w:val="32"/>
        </w:rPr>
        <w:t>其行为违反了《</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eastAsia="zh-CN"/>
        </w:rPr>
        <w:t>华人民共和国</w:t>
      </w:r>
      <w:r>
        <w:rPr>
          <w:rFonts w:hint="eastAsia" w:ascii="仿宋_GB2312" w:hAnsi="仿宋_GB2312" w:eastAsia="仿宋_GB2312" w:cs="仿宋_GB2312"/>
          <w:color w:val="auto"/>
          <w:sz w:val="32"/>
          <w:szCs w:val="32"/>
          <w:lang w:val="en-US" w:eastAsia="zh-CN"/>
        </w:rPr>
        <w:t>安</w:t>
      </w:r>
      <w:r>
        <w:rPr>
          <w:rFonts w:hint="eastAsia" w:ascii="仿宋_GB2312" w:hAnsi="仿宋_GB2312" w:eastAsia="仿宋_GB2312" w:cs="仿宋_GB2312"/>
          <w:color w:val="auto"/>
          <w:sz w:val="32"/>
          <w:szCs w:val="32"/>
          <w:lang w:eastAsia="zh-CN"/>
        </w:rPr>
        <w:t>全生产法</w:t>
      </w:r>
      <w:r>
        <w:rPr>
          <w:rFonts w:hint="eastAsia" w:ascii="仿宋_GB2312" w:hAnsi="仿宋_GB2312" w:eastAsia="仿宋_GB2312" w:cs="仿宋_GB2312"/>
          <w:color w:val="auto"/>
          <w:sz w:val="32"/>
          <w:szCs w:val="32"/>
        </w:rPr>
        <w:t>》第</w:t>
      </w:r>
      <w:r>
        <w:rPr>
          <w:rFonts w:hint="eastAsia" w:ascii="仿宋_GB2312" w:hAnsi="仿宋_GB2312" w:eastAsia="仿宋_GB2312" w:cs="仿宋_GB2312"/>
          <w:color w:val="auto"/>
          <w:sz w:val="32"/>
          <w:szCs w:val="32"/>
          <w:lang w:val="en-US" w:eastAsia="zh-CN"/>
        </w:rPr>
        <w:t>四十三</w:t>
      </w:r>
      <w:r>
        <w:rPr>
          <w:rFonts w:hint="eastAsia" w:ascii="仿宋_GB2312" w:hAnsi="仿宋_GB2312" w:eastAsia="仿宋_GB2312" w:cs="仿宋_GB2312"/>
          <w:color w:val="auto"/>
          <w:sz w:val="32"/>
          <w:szCs w:val="32"/>
        </w:rPr>
        <w:t>条</w:t>
      </w:r>
      <w:r>
        <w:rPr>
          <w:rStyle w:val="17"/>
          <w:rFonts w:hint="eastAsia" w:ascii="仿宋_GB2312" w:hAnsi="仿宋_GB2312" w:eastAsia="仿宋_GB2312" w:cs="仿宋_GB2312"/>
          <w:color w:val="auto"/>
          <w:sz w:val="32"/>
          <w:szCs w:val="32"/>
        </w:rPr>
        <w:t>[</w:t>
      </w:r>
      <w:r>
        <w:rPr>
          <w:rStyle w:val="17"/>
          <w:rFonts w:hint="eastAsia" w:ascii="仿宋_GB2312" w:hAnsi="仿宋_GB2312" w:eastAsia="仿宋_GB2312" w:cs="仿宋_GB2312"/>
          <w:color w:val="auto"/>
          <w:sz w:val="32"/>
          <w:szCs w:val="32"/>
        </w:rPr>
        <w:footnoteReference w:id="10"/>
      </w:r>
      <w:r>
        <w:rPr>
          <w:rStyle w:val="17"/>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、第四条</w:t>
      </w:r>
      <w:r>
        <w:rPr>
          <w:rFonts w:hint="eastAsia" w:ascii="仿宋_GB2312" w:hAnsi="仿宋_GB2312" w:eastAsia="仿宋_GB2312" w:cs="仿宋_GB2312"/>
          <w:color w:val="auto"/>
          <w:sz w:val="32"/>
          <w:szCs w:val="32"/>
          <w:lang w:val="en-US" w:eastAsia="zh-CN"/>
        </w:rPr>
        <w:t>第一款</w:t>
      </w:r>
      <w:r>
        <w:rPr>
          <w:rStyle w:val="17"/>
          <w:rFonts w:hint="eastAsia" w:ascii="仿宋_GB2312" w:hAnsi="仿宋_GB2312" w:eastAsia="仿宋_GB2312" w:cs="仿宋_GB2312"/>
          <w:color w:val="auto"/>
          <w:sz w:val="32"/>
          <w:szCs w:val="32"/>
        </w:rPr>
        <w:t>[</w:t>
      </w:r>
      <w:r>
        <w:rPr>
          <w:rStyle w:val="17"/>
          <w:rFonts w:hint="eastAsia" w:ascii="仿宋_GB2312" w:hAnsi="仿宋_GB2312" w:eastAsia="仿宋_GB2312" w:cs="仿宋_GB2312"/>
          <w:color w:val="auto"/>
          <w:sz w:val="32"/>
          <w:szCs w:val="32"/>
        </w:rPr>
        <w:footnoteReference w:id="11"/>
      </w:r>
      <w:r>
        <w:rPr>
          <w:rStyle w:val="17"/>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第二十八条第一、四款</w:t>
      </w:r>
      <w:r>
        <w:rPr>
          <w:rStyle w:val="17"/>
          <w:rFonts w:hint="eastAsia" w:ascii="仿宋_GB2312" w:hAnsi="仿宋_GB2312" w:eastAsia="仿宋_GB2312" w:cs="仿宋_GB2312"/>
          <w:color w:val="auto"/>
          <w:sz w:val="32"/>
          <w:szCs w:val="32"/>
          <w:lang w:val="en-US" w:eastAsia="zh-CN"/>
        </w:rPr>
        <w:t>[</w:t>
      </w:r>
      <w:r>
        <w:rPr>
          <w:rStyle w:val="17"/>
          <w:rFonts w:hint="eastAsia" w:ascii="仿宋_GB2312" w:hAnsi="仿宋_GB2312" w:eastAsia="仿宋_GB2312" w:cs="仿宋_GB2312"/>
          <w:color w:val="auto"/>
          <w:sz w:val="32"/>
          <w:szCs w:val="32"/>
          <w:lang w:val="en-US" w:eastAsia="zh-CN"/>
        </w:rPr>
        <w:footnoteReference w:id="12"/>
      </w:r>
      <w:r>
        <w:rPr>
          <w:rStyle w:val="17"/>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、第四十四条</w:t>
      </w:r>
      <w:r>
        <w:rPr>
          <w:rStyle w:val="17"/>
          <w:rFonts w:hint="eastAsia" w:ascii="仿宋_GB2312" w:hAnsi="仿宋_GB2312" w:eastAsia="仿宋_GB2312" w:cs="仿宋_GB2312"/>
          <w:color w:val="auto"/>
          <w:sz w:val="32"/>
          <w:szCs w:val="32"/>
          <w:lang w:val="en-US" w:eastAsia="zh-CN"/>
        </w:rPr>
        <w:t>[</w:t>
      </w:r>
      <w:r>
        <w:rPr>
          <w:rStyle w:val="17"/>
          <w:rFonts w:hint="eastAsia" w:ascii="仿宋_GB2312" w:hAnsi="仿宋_GB2312" w:eastAsia="仿宋_GB2312" w:cs="仿宋_GB2312"/>
          <w:color w:val="auto"/>
          <w:sz w:val="32"/>
          <w:szCs w:val="32"/>
          <w:lang w:val="en-US" w:eastAsia="zh-CN"/>
        </w:rPr>
        <w:footnoteReference w:id="13"/>
      </w:r>
      <w:r>
        <w:rPr>
          <w:rStyle w:val="17"/>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，《江西省安全生产条例》第二十五条</w:t>
      </w:r>
      <w:r>
        <w:rPr>
          <w:rStyle w:val="17"/>
          <w:rFonts w:hint="eastAsia" w:ascii="仿宋_GB2312" w:hAnsi="仿宋_GB2312" w:eastAsia="仿宋_GB2312" w:cs="仿宋_GB2312"/>
          <w:color w:val="auto"/>
          <w:sz w:val="32"/>
          <w:szCs w:val="32"/>
          <w:lang w:val="en-US" w:eastAsia="zh-CN"/>
        </w:rPr>
        <w:t>[</w:t>
      </w:r>
      <w:r>
        <w:rPr>
          <w:rStyle w:val="17"/>
          <w:rFonts w:hint="eastAsia" w:ascii="仿宋_GB2312" w:hAnsi="仿宋_GB2312" w:eastAsia="仿宋_GB2312" w:cs="仿宋_GB2312"/>
          <w:color w:val="auto"/>
          <w:sz w:val="32"/>
          <w:szCs w:val="32"/>
          <w:lang w:val="en-US" w:eastAsia="zh-CN"/>
        </w:rPr>
        <w:footnoteReference w:id="14"/>
      </w:r>
      <w:r>
        <w:rPr>
          <w:rStyle w:val="17"/>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相关</w:t>
      </w:r>
      <w:r>
        <w:rPr>
          <w:rFonts w:hint="eastAsia" w:ascii="仿宋_GB2312" w:hAnsi="仿宋_GB2312" w:eastAsia="仿宋_GB2312" w:cs="仿宋_GB2312"/>
          <w:color w:val="auto"/>
          <w:sz w:val="32"/>
          <w:szCs w:val="32"/>
        </w:rPr>
        <w:t>规定，对事</w:t>
      </w:r>
      <w:r>
        <w:rPr>
          <w:rFonts w:hint="eastAsia" w:ascii="仿宋_GB2312" w:hAnsi="仿宋_GB2312" w:eastAsia="仿宋_GB2312" w:cs="仿宋_GB2312"/>
          <w:color w:val="auto"/>
          <w:sz w:val="32"/>
          <w:szCs w:val="32"/>
          <w:lang w:val="en-US" w:eastAsia="zh-CN"/>
        </w:rPr>
        <w:t>故的发生</w:t>
      </w:r>
      <w:r>
        <w:rPr>
          <w:rFonts w:hint="eastAsia" w:ascii="仿宋_GB2312" w:hAnsi="仿宋_GB2312" w:eastAsia="仿宋_GB2312" w:cs="仿宋_GB2312"/>
          <w:sz w:val="32"/>
          <w:szCs w:val="32"/>
        </w:rPr>
        <w:t>负有责任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建议由</w:t>
      </w:r>
      <w:r>
        <w:rPr>
          <w:rFonts w:hint="eastAsia" w:ascii="仿宋_GB2312" w:hAnsi="仿宋_GB2312" w:eastAsia="仿宋_GB2312" w:cs="仿宋_GB2312"/>
          <w:sz w:val="32"/>
          <w:szCs w:val="32"/>
          <w:lang w:val="en-US" w:eastAsia="zh-CN"/>
        </w:rPr>
        <w:t>吉州区</w:t>
      </w:r>
      <w:r>
        <w:rPr>
          <w:rFonts w:hint="eastAsia" w:ascii="仿宋_GB2312" w:hAnsi="仿宋_GB2312" w:eastAsia="仿宋_GB2312" w:cs="仿宋_GB2312"/>
          <w:color w:val="000000" w:themeColor="text1"/>
          <w:sz w:val="32"/>
          <w:szCs w:val="32"/>
          <w14:textFill>
            <w14:solidFill>
              <w14:schemeClr w14:val="tx1"/>
            </w14:solidFill>
          </w14:textFill>
        </w:rPr>
        <w:t>应急管理局依据《</w:t>
      </w:r>
      <w:r>
        <w:rPr>
          <w:rFonts w:hint="eastAsia" w:ascii="仿宋_GB2312" w:hAnsi="仿宋_GB2312" w:eastAsia="仿宋_GB2312" w:cs="仿宋_GB2312"/>
          <w:color w:val="000000" w:themeColor="text1"/>
          <w:sz w:val="32"/>
          <w:szCs w:val="32"/>
          <w:lang w:eastAsia="zh-CN"/>
          <w14:textFill>
            <w14:solidFill>
              <w14:schemeClr w14:val="tx1"/>
            </w14:solidFill>
          </w14:textFill>
        </w:rPr>
        <w:t>中华人民共和国安全生产法</w:t>
      </w:r>
      <w:r>
        <w:rPr>
          <w:rFonts w:hint="eastAsia" w:ascii="仿宋_GB2312" w:hAnsi="仿宋_GB2312" w:eastAsia="仿宋_GB2312" w:cs="仿宋_GB2312"/>
          <w:color w:val="000000" w:themeColor="text1"/>
          <w:sz w:val="32"/>
          <w:szCs w:val="32"/>
          <w14:textFill>
            <w14:solidFill>
              <w14:schemeClr w14:val="tx1"/>
            </w14:solidFill>
          </w14:textFill>
        </w:rPr>
        <w:t>》第一百一十四条第一款</w:t>
      </w:r>
      <w:r>
        <w:rPr>
          <w:rStyle w:val="17"/>
          <w:rFonts w:hint="eastAsia" w:ascii="仿宋_GB2312" w:hAnsi="仿宋_GB2312" w:eastAsia="仿宋_GB2312" w:cs="仿宋_GB2312"/>
          <w:color w:val="000000" w:themeColor="text1"/>
          <w:sz w:val="32"/>
          <w:szCs w:val="32"/>
          <w14:textFill>
            <w14:solidFill>
              <w14:schemeClr w14:val="tx1"/>
            </w14:solidFill>
          </w14:textFill>
        </w:rPr>
        <w:t>[</w:t>
      </w:r>
      <w:r>
        <w:rPr>
          <w:rStyle w:val="17"/>
          <w:rFonts w:hint="eastAsia" w:ascii="仿宋_GB2312" w:hAnsi="仿宋_GB2312" w:eastAsia="仿宋_GB2312" w:cs="仿宋_GB2312"/>
          <w:color w:val="000000" w:themeColor="text1"/>
          <w:sz w:val="32"/>
          <w:szCs w:val="32"/>
          <w14:textFill>
            <w14:solidFill>
              <w14:schemeClr w14:val="tx1"/>
            </w14:solidFill>
          </w14:textFill>
        </w:rPr>
        <w:footnoteReference w:id="15"/>
      </w:r>
      <w:r>
        <w:rPr>
          <w:rStyle w:val="17"/>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的有关规定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处以罚款</w:t>
      </w:r>
      <w:r>
        <w:rPr>
          <w:rFonts w:hint="eastAsia" w:ascii="仿宋_GB2312" w:hAnsi="仿宋_GB2312" w:eastAsia="仿宋_GB2312" w:cs="仿宋_GB2312"/>
          <w:color w:val="000000" w:themeColor="text1"/>
          <w:sz w:val="32"/>
          <w:szCs w:val="32"/>
          <w14:textFill>
            <w14:solidFill>
              <w14:schemeClr w14:val="tx1"/>
            </w14:solidFill>
          </w14:textFill>
        </w:rPr>
        <w:t>。</w:t>
      </w:r>
    </w:p>
    <w:p w14:paraId="17B181E0">
      <w:pPr>
        <w:pStyle w:val="4"/>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hint="eastAsia" w:ascii="楷体" w:hAnsi="楷体" w:eastAsia="楷体" w:cs="楷体"/>
          <w:b/>
          <w:color w:val="auto"/>
          <w:sz w:val="32"/>
          <w:szCs w:val="32"/>
          <w:lang w:val="en-US" w:eastAsia="zh-CN"/>
        </w:rPr>
      </w:pPr>
      <w:r>
        <w:rPr>
          <w:rFonts w:hint="eastAsia" w:ascii="楷体" w:hAnsi="楷体" w:eastAsia="楷体" w:cs="楷体"/>
          <w:b/>
          <w:color w:val="auto"/>
          <w:sz w:val="32"/>
          <w:szCs w:val="32"/>
          <w:lang w:val="en-US" w:eastAsia="zh-CN"/>
        </w:rPr>
        <w:t>（三）对其他人员处理意见</w:t>
      </w:r>
    </w:p>
    <w:p w14:paraId="60B448B4">
      <w:pPr>
        <w:pStyle w:val="20"/>
        <w:keepNext w:val="0"/>
        <w:keepLines w:val="0"/>
        <w:pageBreakBefore w:val="0"/>
        <w:widowControl w:val="0"/>
        <w:kinsoku/>
        <w:wordWrap/>
        <w:topLinePunct w:val="0"/>
        <w:autoSpaceDE/>
        <w:autoSpaceDN/>
        <w:bidi w:val="0"/>
        <w:adjustRightInd/>
        <w:snapToGrid/>
        <w:spacing w:line="550" w:lineRule="exact"/>
        <w:ind w:left="0" w:leftChars="0" w:firstLine="643"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朱某国</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Cs/>
          <w:sz w:val="32"/>
          <w:szCs w:val="32"/>
          <w:lang w:val="en-US" w:eastAsia="zh-CN"/>
        </w:rPr>
        <w:t>双胞胎公司中控室操作员</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未遵守操作规程，违规启动正在进行清理检维修作业设备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其行为违反了《中华人民共和国安全生产法》第五十七条</w:t>
      </w:r>
      <w:r>
        <w:rPr>
          <w:rStyle w:val="17"/>
          <w:rFonts w:hint="eastAsia" w:ascii="仿宋_GB2312" w:hAnsi="仿宋_GB2312" w:eastAsia="仿宋_GB2312" w:cs="仿宋_GB2312"/>
          <w:sz w:val="32"/>
          <w:szCs w:val="32"/>
          <w:lang w:val="en-US" w:eastAsia="zh-CN"/>
        </w:rPr>
        <w:t>[</w:t>
      </w:r>
      <w:r>
        <w:rPr>
          <w:rStyle w:val="17"/>
          <w:rFonts w:hint="eastAsia" w:ascii="仿宋_GB2312" w:hAnsi="仿宋_GB2312" w:eastAsia="仿宋_GB2312" w:cs="仿宋_GB2312"/>
          <w:sz w:val="32"/>
          <w:szCs w:val="32"/>
          <w:lang w:val="en-US" w:eastAsia="zh-CN"/>
        </w:rPr>
        <w:footnoteReference w:id="16"/>
      </w:r>
      <w:r>
        <w:rPr>
          <w:rStyle w:val="17"/>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的规定，建议由双胞胎公司依据《中华人民共和国安全生产法》第一百零七条</w:t>
      </w:r>
      <w:r>
        <w:rPr>
          <w:rStyle w:val="17"/>
          <w:rFonts w:hint="eastAsia" w:ascii="仿宋_GB2312" w:hAnsi="仿宋_GB2312" w:eastAsia="仿宋_GB2312" w:cs="仿宋_GB2312"/>
          <w:sz w:val="32"/>
          <w:szCs w:val="32"/>
          <w:lang w:val="en-US" w:eastAsia="zh-CN"/>
        </w:rPr>
        <w:t>[</w:t>
      </w:r>
      <w:r>
        <w:rPr>
          <w:rStyle w:val="17"/>
          <w:rFonts w:hint="eastAsia" w:ascii="仿宋_GB2312" w:hAnsi="仿宋_GB2312" w:eastAsia="仿宋_GB2312" w:cs="仿宋_GB2312"/>
          <w:sz w:val="32"/>
          <w:szCs w:val="32"/>
          <w:lang w:val="en-US" w:eastAsia="zh-CN"/>
        </w:rPr>
        <w:footnoteReference w:id="17"/>
      </w:r>
      <w:r>
        <w:rPr>
          <w:rStyle w:val="17"/>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的规定进行处理。</w:t>
      </w:r>
    </w:p>
    <w:p w14:paraId="4F3D4F0F">
      <w:pPr>
        <w:pStyle w:val="4"/>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ascii="黑体" w:hAnsi="黑体" w:eastAsia="黑体" w:cs="黑体"/>
          <w:b/>
          <w:sz w:val="32"/>
          <w:szCs w:val="32"/>
        </w:rPr>
      </w:pPr>
      <w:r>
        <w:rPr>
          <w:rFonts w:hint="eastAsia" w:ascii="黑体" w:hAnsi="黑体" w:eastAsia="黑体" w:cs="黑体"/>
          <w:b/>
          <w:sz w:val="32"/>
          <w:szCs w:val="32"/>
        </w:rPr>
        <w:t>六、事故主要教训</w:t>
      </w:r>
    </w:p>
    <w:p w14:paraId="28CAC1EB">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baseline"/>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该企业对安全发展理念的贯彻落实不牢固。制度建立及落实不全面，对机械安全风险的分析研判存在严重缺失，在源头把控上，未能有效识别并控制机械设备清理检维修作业中的潜在危险，导致检维修作业安全防护措施不足，增加了员工直接接触危险部件机会的概率。对设备的检维修作业疏于管理，中控室工作环境噪声过大导致操作人员不能清晰地听清对讲机传来的内容，隐患排查治理机制形同虚设，对潜在的隐患和风险排查不到位未能及时处理，使得风险没被发现。安全生产规章制度的缺失、对从业人员的安全培训教育不到位等因素，从而最终酿成事故。</w:t>
      </w:r>
    </w:p>
    <w:p w14:paraId="5634C43A">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textAlignment w:val="baseline"/>
        <w:rPr>
          <w:rFonts w:ascii="黑体" w:hAnsi="黑体" w:eastAsia="黑体" w:cs="黑体"/>
          <w:b/>
          <w:sz w:val="32"/>
          <w:szCs w:val="32"/>
        </w:rPr>
      </w:pPr>
      <w:r>
        <w:rPr>
          <w:rFonts w:hint="eastAsia" w:ascii="黑体" w:hAnsi="黑体" w:eastAsia="黑体" w:cs="黑体"/>
          <w:b/>
          <w:sz w:val="32"/>
          <w:szCs w:val="32"/>
        </w:rPr>
        <w:t>七、事故整改和防范措施</w:t>
      </w:r>
    </w:p>
    <w:p w14:paraId="012584C1">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baseline"/>
        <w:rPr>
          <w:rFonts w:ascii="仿宋_GB2312" w:hAnsi="仿宋_GB2312" w:eastAsia="仿宋_GB2312" w:cs="仿宋_GB2312"/>
          <w:color w:val="000000"/>
          <w:kern w:val="0"/>
          <w:sz w:val="32"/>
          <w:szCs w:val="32"/>
        </w:rPr>
      </w:pPr>
      <w:r>
        <w:rPr>
          <w:rFonts w:ascii="仿宋_GB2312" w:hAnsi="仿宋_GB2312" w:eastAsia="仿宋_GB2312" w:cs="仿宋_GB2312"/>
          <w:color w:val="000000"/>
          <w:kern w:val="0"/>
          <w:sz w:val="32"/>
          <w:szCs w:val="32"/>
        </w:rPr>
        <w:t>针对这起事故暴露出的问题，为深刻吸取事故教训，进一步强化安全生产，有效防范类似事故重复发生，提出如下建议措施：</w:t>
      </w:r>
    </w:p>
    <w:p w14:paraId="13DA0B7F">
      <w:pPr>
        <w:pStyle w:val="6"/>
        <w:keepNext w:val="0"/>
        <w:keepLines w:val="0"/>
        <w:pageBreakBefore w:val="0"/>
        <w:widowControl w:val="0"/>
        <w:numPr>
          <w:ilvl w:val="0"/>
          <w:numId w:val="0"/>
        </w:numPr>
        <w:kinsoku/>
        <w:wordWrap/>
        <w:overflowPunct w:val="0"/>
        <w:topLinePunct w:val="0"/>
        <w:autoSpaceDE/>
        <w:autoSpaceDN/>
        <w:bidi w:val="0"/>
        <w:adjustRightInd/>
        <w:snapToGrid/>
        <w:spacing w:line="550" w:lineRule="exact"/>
        <w:ind w:left="0" w:leftChars="0" w:firstLine="643" w:firstLineChars="200"/>
        <w:jc w:val="both"/>
        <w:textAlignment w:val="baseline"/>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b/>
          <w:bCs/>
          <w:color w:val="000000"/>
          <w:kern w:val="0"/>
          <w:sz w:val="32"/>
          <w:szCs w:val="32"/>
          <w:lang w:val="en-US" w:eastAsia="zh-CN"/>
        </w:rPr>
        <w:t>双胞胎公司：</w:t>
      </w:r>
      <w:r>
        <w:rPr>
          <w:rFonts w:hint="default" w:ascii="仿宋_GB2312" w:hAnsi="仿宋_GB2312" w:eastAsia="仿宋_GB2312" w:cs="仿宋_GB2312"/>
          <w:color w:val="000000"/>
          <w:kern w:val="0"/>
          <w:sz w:val="32"/>
          <w:szCs w:val="32"/>
          <w:lang w:eastAsia="zh-CN"/>
        </w:rPr>
        <w:t>应</w:t>
      </w:r>
      <w:r>
        <w:rPr>
          <w:rFonts w:hint="eastAsia" w:ascii="仿宋_GB2312" w:hAnsi="仿宋_GB2312" w:eastAsia="仿宋_GB2312" w:cs="仿宋_GB2312"/>
          <w:color w:val="000000"/>
          <w:kern w:val="0"/>
          <w:sz w:val="32"/>
          <w:szCs w:val="32"/>
          <w:lang w:val="en-US" w:eastAsia="zh-CN"/>
        </w:rPr>
        <w:t>深刻总结事故教训，加强企业的管理</w:t>
      </w:r>
      <w:r>
        <w:rPr>
          <w:rFonts w:hint="default" w:ascii="仿宋_GB2312" w:hAnsi="仿宋_GB2312" w:eastAsia="仿宋_GB2312" w:cs="仿宋_GB2312"/>
          <w:color w:val="000000"/>
          <w:kern w:val="0"/>
          <w:sz w:val="32"/>
          <w:szCs w:val="32"/>
          <w:lang w:eastAsia="zh-CN"/>
        </w:rPr>
        <w:t>,从以下六个方面加强安全生产管理工作</w:t>
      </w:r>
      <w:r>
        <w:rPr>
          <w:rFonts w:hint="eastAsia" w:ascii="仿宋_GB2312" w:hAnsi="仿宋_GB2312" w:eastAsia="仿宋_GB2312" w:cs="仿宋_GB2312"/>
          <w:color w:val="000000"/>
          <w:kern w:val="0"/>
          <w:sz w:val="32"/>
          <w:szCs w:val="32"/>
          <w:lang w:val="en-US" w:eastAsia="zh-CN"/>
        </w:rPr>
        <w:t>：</w:t>
      </w:r>
    </w:p>
    <w:p w14:paraId="6F0742CB">
      <w:pPr>
        <w:pStyle w:val="6"/>
        <w:keepNext w:val="0"/>
        <w:keepLines w:val="0"/>
        <w:pageBreakBefore w:val="0"/>
        <w:widowControl w:val="0"/>
        <w:numPr>
          <w:ilvl w:val="0"/>
          <w:numId w:val="0"/>
        </w:numPr>
        <w:kinsoku/>
        <w:wordWrap/>
        <w:overflowPunct w:val="0"/>
        <w:topLinePunct w:val="0"/>
        <w:autoSpaceDE/>
        <w:autoSpaceDN/>
        <w:bidi w:val="0"/>
        <w:adjustRightInd/>
        <w:snapToGrid/>
        <w:spacing w:line="550" w:lineRule="exact"/>
        <w:ind w:left="0" w:leftChars="0" w:firstLine="640" w:firstLineChars="200"/>
        <w:jc w:val="both"/>
        <w:textAlignment w:val="baseline"/>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1.</w:t>
      </w:r>
      <w:r>
        <w:rPr>
          <w:rFonts w:ascii="仿宋_GB2312" w:hAnsi="仿宋_GB2312" w:eastAsia="仿宋_GB2312" w:cs="仿宋_GB2312"/>
          <w:color w:val="000000"/>
          <w:kern w:val="0"/>
          <w:sz w:val="32"/>
          <w:szCs w:val="32"/>
        </w:rPr>
        <w:t>强化安全发展理念教育：组织全公司范围内的安全发展理念培训，从高层到基层员工，深刻理解“安全第一，预防为主”的核心意义，将安全生产作为企业运营的基石，确保每位员工都能将安全意识</w:t>
      </w:r>
      <w:r>
        <w:rPr>
          <w:rFonts w:hint="eastAsia" w:ascii="仿宋_GB2312" w:hAnsi="仿宋_GB2312" w:eastAsia="仿宋_GB2312" w:cs="仿宋_GB2312"/>
          <w:color w:val="000000"/>
          <w:kern w:val="0"/>
          <w:sz w:val="32"/>
          <w:szCs w:val="32"/>
          <w:lang w:eastAsia="zh-CN"/>
        </w:rPr>
        <w:t>内化于心、外化于行</w:t>
      </w:r>
      <w:r>
        <w:rPr>
          <w:rFonts w:ascii="仿宋_GB2312" w:hAnsi="仿宋_GB2312" w:eastAsia="仿宋_GB2312" w:cs="仿宋_GB2312"/>
          <w:color w:val="000000"/>
          <w:kern w:val="0"/>
          <w:sz w:val="32"/>
          <w:szCs w:val="32"/>
        </w:rPr>
        <w:t>。</w:t>
      </w:r>
    </w:p>
    <w:p w14:paraId="39DBDDDF">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baseline"/>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2.</w:t>
      </w:r>
      <w:r>
        <w:rPr>
          <w:rFonts w:ascii="仿宋_GB2312" w:hAnsi="仿宋_GB2312" w:eastAsia="仿宋_GB2312" w:cs="仿宋_GB2312"/>
          <w:color w:val="000000"/>
          <w:kern w:val="0"/>
          <w:sz w:val="32"/>
          <w:szCs w:val="32"/>
        </w:rPr>
        <w:t>完善机械安全风险分析与控制：聘请专业安全评估机构</w:t>
      </w:r>
      <w:r>
        <w:rPr>
          <w:rFonts w:hint="eastAsia" w:ascii="仿宋_GB2312" w:hAnsi="仿宋_GB2312" w:eastAsia="仿宋_GB2312" w:cs="仿宋_GB2312"/>
          <w:color w:val="000000"/>
          <w:kern w:val="0"/>
          <w:sz w:val="32"/>
          <w:szCs w:val="32"/>
          <w:lang w:val="en-US" w:eastAsia="zh-CN"/>
        </w:rPr>
        <w:t>或专业人士</w:t>
      </w:r>
      <w:r>
        <w:rPr>
          <w:rFonts w:ascii="仿宋_GB2312" w:hAnsi="仿宋_GB2312" w:eastAsia="仿宋_GB2312" w:cs="仿宋_GB2312"/>
          <w:color w:val="000000"/>
          <w:kern w:val="0"/>
          <w:sz w:val="32"/>
          <w:szCs w:val="32"/>
        </w:rPr>
        <w:t>进行全面机械安全风险评估，识别作业</w:t>
      </w:r>
      <w:r>
        <w:rPr>
          <w:rFonts w:hint="eastAsia" w:ascii="仿宋_GB2312" w:hAnsi="仿宋_GB2312" w:eastAsia="仿宋_GB2312" w:cs="仿宋_GB2312"/>
          <w:color w:val="000000"/>
          <w:kern w:val="0"/>
          <w:sz w:val="32"/>
          <w:szCs w:val="32"/>
          <w:lang w:val="en-US" w:eastAsia="zh-CN"/>
        </w:rPr>
        <w:t>过程</w:t>
      </w:r>
      <w:r>
        <w:rPr>
          <w:rFonts w:ascii="仿宋_GB2312" w:hAnsi="仿宋_GB2312" w:eastAsia="仿宋_GB2312" w:cs="仿宋_GB2312"/>
          <w:color w:val="000000"/>
          <w:kern w:val="0"/>
          <w:sz w:val="32"/>
          <w:szCs w:val="32"/>
        </w:rPr>
        <w:t>中的潜在危险点，制定针对性的风险控制措施。加强安全防护设施的建设与维护，确保员工</w:t>
      </w:r>
      <w:r>
        <w:rPr>
          <w:rFonts w:hint="eastAsia" w:ascii="仿宋_GB2312" w:hAnsi="仿宋_GB2312" w:eastAsia="仿宋_GB2312" w:cs="仿宋_GB2312"/>
          <w:color w:val="000000"/>
          <w:kern w:val="0"/>
          <w:sz w:val="32"/>
          <w:szCs w:val="32"/>
          <w:lang w:val="en-US" w:eastAsia="zh-CN"/>
        </w:rPr>
        <w:t>人身和财产安全</w:t>
      </w:r>
      <w:r>
        <w:rPr>
          <w:rFonts w:ascii="仿宋_GB2312" w:hAnsi="仿宋_GB2312" w:eastAsia="仿宋_GB2312" w:cs="仿宋_GB2312"/>
          <w:color w:val="000000"/>
          <w:kern w:val="0"/>
          <w:sz w:val="32"/>
          <w:szCs w:val="32"/>
        </w:rPr>
        <w:t>，同时设置明显的安全警示标识。</w:t>
      </w:r>
    </w:p>
    <w:p w14:paraId="39855480">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baseline"/>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3.优化工作环境以提升通信质量：降低中控室噪声，确保环境安静，改善对讲机通话清晰度，保障作业人员沟通顺畅，消除因沟通不畅引发的误操作风险。</w:t>
      </w:r>
    </w:p>
    <w:p w14:paraId="0F05524C">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baseline"/>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4.</w:t>
      </w:r>
      <w:r>
        <w:rPr>
          <w:rFonts w:ascii="仿宋_GB2312" w:hAnsi="仿宋_GB2312" w:eastAsia="仿宋_GB2312" w:cs="仿宋_GB2312"/>
          <w:color w:val="000000"/>
          <w:kern w:val="0"/>
          <w:sz w:val="32"/>
          <w:szCs w:val="32"/>
        </w:rPr>
        <w:t>建立健全隐患排查治理机制：</w:t>
      </w:r>
      <w:r>
        <w:rPr>
          <w:rFonts w:hint="eastAsia" w:ascii="仿宋_GB2312" w:hAnsi="仿宋_GB2312" w:eastAsia="仿宋_GB2312" w:cs="仿宋_GB2312"/>
          <w:color w:val="000000"/>
          <w:kern w:val="0"/>
          <w:sz w:val="32"/>
          <w:szCs w:val="32"/>
          <w:lang w:val="en-US" w:eastAsia="zh-CN"/>
        </w:rPr>
        <w:t>落实公司安防委职责</w:t>
      </w:r>
      <w:r>
        <w:rPr>
          <w:rFonts w:ascii="仿宋_GB2312" w:hAnsi="仿宋_GB2312" w:eastAsia="仿宋_GB2312" w:cs="仿宋_GB2312"/>
          <w:color w:val="000000"/>
          <w:kern w:val="0"/>
          <w:sz w:val="32"/>
          <w:szCs w:val="32"/>
        </w:rPr>
        <w:t>，定期进行全面的安全检查，确保隐患早发现、早报告、早治理。建立隐患排查治理台账，跟踪整改情况直至隐患完全消除。对于排查出的重大隐患，应立即采取临时控制措施，并制定详细整改方案限时整改。</w:t>
      </w:r>
    </w:p>
    <w:p w14:paraId="1866FA64">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baseline"/>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lang w:val="en-US" w:eastAsia="zh-CN"/>
        </w:rPr>
        <w:t>5.</w:t>
      </w:r>
      <w:r>
        <w:rPr>
          <w:rFonts w:ascii="仿宋_GB2312" w:hAnsi="仿宋_GB2312" w:eastAsia="仿宋_GB2312" w:cs="仿宋_GB2312"/>
          <w:color w:val="000000"/>
          <w:kern w:val="0"/>
          <w:sz w:val="32"/>
          <w:szCs w:val="32"/>
        </w:rPr>
        <w:t>完善安全生产规章制度与操作规程：结合企业实际情况，制定或修订安全生产规章制度和操作规程，确保其科学、有效、易于执行。规章制度和操作规程，便于员工随时查阅学习。</w:t>
      </w:r>
    </w:p>
    <w:p w14:paraId="6CE88C70">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baseline"/>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val="en-US" w:eastAsia="zh-CN"/>
        </w:rPr>
        <w:t>6.</w:t>
      </w:r>
      <w:r>
        <w:rPr>
          <w:rFonts w:ascii="仿宋_GB2312" w:hAnsi="仿宋_GB2312" w:eastAsia="仿宋_GB2312" w:cs="仿宋_GB2312"/>
          <w:color w:val="000000"/>
          <w:kern w:val="0"/>
          <w:sz w:val="32"/>
          <w:szCs w:val="32"/>
        </w:rPr>
        <w:t>加强安全教育培训：对所有从业人员进行定期的安全教育培训，特别是对新入职员工和转岗员工，要进行系统的安全教育和岗位技能培训，</w:t>
      </w:r>
      <w:r>
        <w:rPr>
          <w:rFonts w:hint="eastAsia" w:ascii="仿宋_GB2312" w:hAnsi="仿宋_GB2312" w:eastAsia="仿宋_GB2312" w:cs="仿宋_GB2312"/>
          <w:color w:val="000000"/>
          <w:kern w:val="0"/>
          <w:sz w:val="32"/>
          <w:szCs w:val="32"/>
          <w:lang w:val="en-US" w:eastAsia="zh-CN"/>
        </w:rPr>
        <w:t>及机械设备的检维修作业操作规程健全防护措施，</w:t>
      </w:r>
      <w:r>
        <w:rPr>
          <w:rFonts w:ascii="仿宋_GB2312" w:hAnsi="仿宋_GB2312" w:eastAsia="仿宋_GB2312" w:cs="仿宋_GB2312"/>
          <w:color w:val="000000"/>
          <w:kern w:val="0"/>
          <w:sz w:val="32"/>
          <w:szCs w:val="32"/>
        </w:rPr>
        <w:t>确保每位员工都熟悉安全操作规程，掌握必要的应急处置技能</w:t>
      </w:r>
      <w:r>
        <w:rPr>
          <w:rFonts w:hint="eastAsia" w:ascii="仿宋_GB2312" w:hAnsi="仿宋_GB2312" w:eastAsia="仿宋_GB2312" w:cs="仿宋_GB2312"/>
          <w:color w:val="000000"/>
          <w:kern w:val="0"/>
          <w:sz w:val="32"/>
          <w:szCs w:val="32"/>
          <w:lang w:eastAsia="zh-CN"/>
        </w:rPr>
        <w:t>。</w:t>
      </w:r>
    </w:p>
    <w:p w14:paraId="7136C342">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rPr>
          <w:rFonts w:hint="eastAsia" w:ascii="仿宋_GB2312" w:hAnsi="仿宋_GB2312" w:eastAsia="仿宋_GB2312" w:cs="仿宋_GB2312"/>
          <w:color w:val="000000"/>
          <w:kern w:val="0"/>
          <w:sz w:val="32"/>
          <w:szCs w:val="32"/>
          <w:lang w:val="en-US" w:eastAsia="zh-CN"/>
        </w:rPr>
      </w:pPr>
      <w:r>
        <w:rPr>
          <w:rFonts w:hint="default" w:ascii="仿宋_GB2312" w:hAnsi="仿宋_GB2312" w:eastAsia="仿宋_GB2312" w:cs="仿宋_GB2312"/>
          <w:b/>
          <w:bCs/>
          <w:color w:val="auto"/>
          <w:kern w:val="0"/>
          <w:sz w:val="32"/>
          <w:szCs w:val="32"/>
          <w:lang w:eastAsia="zh-CN"/>
        </w:rPr>
        <w:t>江西吉州工业</w:t>
      </w:r>
      <w:r>
        <w:rPr>
          <w:rFonts w:hint="eastAsia" w:ascii="仿宋_GB2312" w:hAnsi="仿宋_GB2312" w:eastAsia="仿宋_GB2312" w:cs="仿宋_GB2312"/>
          <w:b/>
          <w:bCs/>
          <w:color w:val="auto"/>
          <w:kern w:val="0"/>
          <w:sz w:val="32"/>
          <w:szCs w:val="32"/>
          <w:lang w:val="en-US" w:eastAsia="zh-CN"/>
        </w:rPr>
        <w:t>园</w:t>
      </w:r>
      <w:r>
        <w:rPr>
          <w:rFonts w:hint="default" w:ascii="仿宋_GB2312" w:hAnsi="仿宋_GB2312" w:eastAsia="仿宋_GB2312" w:cs="仿宋_GB2312"/>
          <w:b/>
          <w:bCs/>
          <w:color w:val="auto"/>
          <w:kern w:val="0"/>
          <w:sz w:val="32"/>
          <w:szCs w:val="32"/>
          <w:lang w:eastAsia="zh-CN"/>
          <w:woUserID w:val="1"/>
        </w:rPr>
        <w:t>区</w:t>
      </w:r>
      <w:r>
        <w:rPr>
          <w:rFonts w:hint="eastAsia" w:ascii="仿宋_GB2312" w:hAnsi="仿宋_GB2312" w:eastAsia="仿宋_GB2312" w:cs="仿宋_GB2312"/>
          <w:b/>
          <w:bCs/>
          <w:color w:val="auto"/>
          <w:kern w:val="0"/>
          <w:sz w:val="32"/>
          <w:szCs w:val="32"/>
          <w:lang w:val="en-US" w:eastAsia="zh-CN"/>
        </w:rPr>
        <w:t>管</w:t>
      </w:r>
      <w:r>
        <w:rPr>
          <w:rFonts w:hint="default" w:ascii="仿宋_GB2312" w:hAnsi="仿宋_GB2312" w:eastAsia="仿宋_GB2312" w:cs="仿宋_GB2312"/>
          <w:b/>
          <w:bCs/>
          <w:color w:val="auto"/>
          <w:kern w:val="0"/>
          <w:sz w:val="32"/>
          <w:szCs w:val="32"/>
          <w:lang w:eastAsia="zh-CN"/>
          <w:woUserID w:val="1"/>
        </w:rPr>
        <w:t>理委员</w:t>
      </w:r>
      <w:r>
        <w:rPr>
          <w:rFonts w:hint="eastAsia" w:ascii="仿宋_GB2312" w:hAnsi="仿宋_GB2312" w:eastAsia="仿宋_GB2312" w:cs="仿宋_GB2312"/>
          <w:b/>
          <w:bCs/>
          <w:color w:val="auto"/>
          <w:kern w:val="0"/>
          <w:sz w:val="32"/>
          <w:szCs w:val="32"/>
          <w:lang w:val="en-US" w:eastAsia="zh-CN"/>
        </w:rPr>
        <w:t>会：</w:t>
      </w:r>
      <w:r>
        <w:rPr>
          <w:rFonts w:hint="eastAsia" w:ascii="仿宋_GB2312" w:hAnsi="仿宋_GB2312" w:eastAsia="仿宋_GB2312" w:cs="仿宋_GB2312"/>
          <w:color w:val="000000"/>
          <w:kern w:val="0"/>
          <w:sz w:val="32"/>
          <w:szCs w:val="32"/>
          <w:lang w:val="en-US" w:eastAsia="zh-CN"/>
        </w:rPr>
        <w:t>园区管委会应深刻汲取事故教训，致力于强化安全监管与服务指导，并积极推广安全发展理念：</w:t>
      </w:r>
    </w:p>
    <w:p w14:paraId="26861D81">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baseline"/>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1.组织专题培训与宣讲：要深入企业举办安全发展理念专题培训，引导企业树立正确的生产安全观，从源头上遏制事故的发生。</w:t>
      </w:r>
    </w:p>
    <w:p w14:paraId="2F957C70">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baseline"/>
        <w:rPr>
          <w:rFonts w:hint="default"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2.利用专业机构进行全面风险评估：充分依托园区聘请的安全管家，对园区内所有企业进行全面的风险评估，精准识别潜在危险点，并据此提出具有针对性的风险防控措施。</w:t>
      </w:r>
    </w:p>
    <w:p w14:paraId="7585D5A8">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both"/>
        <w:textAlignment w:val="baseline"/>
        <w:rPr>
          <w:rFonts w:hint="default"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3.加强重点作业场所的安全排查：特别要关注机械作业、动火作业、有限空间作业等危险性较大的作业场所，要求企业建立健全机械安全风险研判机制，确保各类风险得到有效控制，保障生产安全。</w:t>
      </w:r>
    </w:p>
    <w:p w14:paraId="17D591FE">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3"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val="0"/>
          <w:sz w:val="32"/>
          <w:szCs w:val="32"/>
          <w:lang w:val="en-US" w:eastAsia="zh-CN"/>
        </w:rPr>
        <w:t>其他：</w:t>
      </w:r>
      <w:r>
        <w:rPr>
          <w:rFonts w:hint="eastAsia" w:ascii="仿宋_GB2312" w:hAnsi="仿宋_GB2312" w:eastAsia="仿宋_GB2312" w:cs="仿宋_GB2312"/>
          <w:b w:val="0"/>
          <w:bCs w:val="0"/>
          <w:sz w:val="32"/>
          <w:szCs w:val="32"/>
          <w:lang w:val="en-US" w:eastAsia="zh-CN"/>
        </w:rPr>
        <w:t>相关部门要按照“</w:t>
      </w:r>
      <w:r>
        <w:rPr>
          <w:rFonts w:hint="eastAsia" w:ascii="仿宋_GB2312" w:hAnsi="仿宋_GB2312" w:eastAsia="仿宋_GB2312" w:cs="仿宋_GB2312"/>
          <w:sz w:val="32"/>
          <w:szCs w:val="32"/>
          <w:lang w:val="en-US" w:eastAsia="zh-CN"/>
        </w:rPr>
        <w:t>三管三必须</w:t>
      </w:r>
      <w:r>
        <w:rPr>
          <w:rFonts w:hint="eastAsia" w:ascii="仿宋_GB2312" w:hAnsi="仿宋_GB2312" w:eastAsia="仿宋_GB2312" w:cs="仿宋_GB2312"/>
          <w:b w:val="0"/>
          <w:bCs w:val="0"/>
          <w:sz w:val="32"/>
          <w:szCs w:val="32"/>
          <w:lang w:val="en-US" w:eastAsia="zh-CN"/>
        </w:rPr>
        <w:t>”和“谁主管谁负责”</w:t>
      </w:r>
      <w:r>
        <w:rPr>
          <w:rFonts w:hint="eastAsia" w:ascii="仿宋_GB2312" w:hAnsi="仿宋_GB2312" w:eastAsia="仿宋_GB2312" w:cs="仿宋_GB2312"/>
          <w:sz w:val="32"/>
          <w:szCs w:val="32"/>
          <w:lang w:val="en-US" w:eastAsia="zh-CN"/>
        </w:rPr>
        <w:t>的原则，根据本起事故暴露的问题督促企业深入分析本单位存在的安全生产管理问题，切实堵塞企业存在的各类机械伤害隐患和漏洞。要结合正在开展的安全生产治本攻坚三年行动，对企业全面开展系统排查和机械伤害隐患检查，督促企业严格落实安全生产主体责任，针对检查中发现的问题和隐患，要督促企业立即进行整改，不能整改到位的，要严格落实安全管控措施，对构成重大安全隐患的，要依法依规采取相应措施。要加大典型事故案例宣传警示教育力度，充分运用互联网媒体、广播电视、电子屏等各类手段，宣传普及安全生产知识，形成安全生产严管态势，坚决防范各类生产安全事故的发生。</w:t>
      </w:r>
    </w:p>
    <w:p w14:paraId="23C6BB45">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right"/>
        <w:rPr>
          <w:rFonts w:hint="eastAsia" w:ascii="仿宋_GB2312" w:hAnsi="仿宋_GB2312" w:eastAsia="仿宋_GB2312" w:cs="仿宋_GB2312"/>
          <w:sz w:val="32"/>
          <w:szCs w:val="32"/>
          <w:lang w:val="en-US" w:eastAsia="zh-CN"/>
        </w:rPr>
      </w:pPr>
    </w:p>
    <w:p w14:paraId="50A53065">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right"/>
        <w:rPr>
          <w:rFonts w:hint="eastAsia" w:ascii="仿宋_GB2312" w:hAnsi="仿宋_GB2312" w:eastAsia="仿宋_GB2312" w:cs="仿宋_GB2312"/>
          <w:sz w:val="32"/>
          <w:szCs w:val="32"/>
          <w:lang w:val="en-US" w:eastAsia="zh-CN"/>
        </w:rPr>
      </w:pPr>
    </w:p>
    <w:p w14:paraId="648B4B69">
      <w:pPr>
        <w:pStyle w:val="4"/>
        <w:keepNext w:val="0"/>
        <w:keepLines w:val="0"/>
        <w:pageBreakBefore w:val="0"/>
        <w:widowControl w:val="0"/>
        <w:kinsoku/>
        <w:topLinePunct w:val="0"/>
        <w:autoSpaceDE/>
        <w:autoSpaceDN/>
        <w:bidi w:val="0"/>
        <w:adjustRightInd/>
        <w:snapToGrid/>
        <w:spacing w:line="550" w:lineRule="exact"/>
        <w:rPr>
          <w:rFonts w:hint="eastAsia"/>
          <w:lang w:val="en-US" w:eastAsia="zh-CN"/>
        </w:rPr>
      </w:pPr>
    </w:p>
    <w:p w14:paraId="1FF4E623">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吉安双胞胎饲料有限公司“6·5”</w:t>
      </w:r>
    </w:p>
    <w:p w14:paraId="1C9204A3">
      <w:pPr>
        <w:pStyle w:val="6"/>
        <w:keepNext w:val="0"/>
        <w:keepLines w:val="0"/>
        <w:pageBreakBefore w:val="0"/>
        <w:widowControl w:val="0"/>
        <w:kinsoku/>
        <w:wordWrap w:val="0"/>
        <w:overflowPunct w:val="0"/>
        <w:topLinePunct w:val="0"/>
        <w:autoSpaceDE/>
        <w:autoSpaceDN/>
        <w:bidi w:val="0"/>
        <w:adjustRightInd/>
        <w:snapToGrid/>
        <w:spacing w:line="550" w:lineRule="exact"/>
        <w:ind w:left="0" w:leftChars="0" w:firstLine="640" w:firstLineChars="200"/>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一般机械伤害事故调查组     </w:t>
      </w:r>
    </w:p>
    <w:p w14:paraId="23A226AD">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40" w:firstLineChars="20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2025年8月1日</w:t>
      </w:r>
    </w:p>
    <w:p w14:paraId="679DA498">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rPr>
          <w:rFonts w:ascii="仿宋_GB2312" w:hAnsi="仿宋_GB2312" w:eastAsia="仿宋_GB2312" w:cs="仿宋_GB2312"/>
          <w:sz w:val="32"/>
          <w:szCs w:val="32"/>
        </w:rPr>
      </w:pPr>
    </w:p>
    <w:p w14:paraId="07AAA3F2">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480" w:firstLineChars="200"/>
        <w:jc w:val="both"/>
        <w:textAlignment w:val="auto"/>
        <w:rPr>
          <w:rFonts w:hint="eastAsia" w:ascii="仿宋_GB2312" w:hAnsi="仿宋_GB2312" w:eastAsia="仿宋_GB2312" w:cs="仿宋_GB2312"/>
          <w:sz w:val="24"/>
          <w:szCs w:val="24"/>
          <w:u w:val="none"/>
          <w:lang w:val="en-US" w:eastAsia="zh-CN"/>
        </w:rPr>
      </w:pPr>
      <w:bookmarkStart w:id="0" w:name="_GoBack1"/>
      <w:bookmarkEnd w:id="0"/>
    </w:p>
    <w:p w14:paraId="0342E502">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sz w:val="32"/>
          <w:szCs w:val="32"/>
          <w:lang w:val="en-US" w:eastAsia="zh-CN"/>
        </w:rPr>
      </w:pPr>
    </w:p>
    <w:p w14:paraId="77DFB206">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sz w:val="32"/>
          <w:szCs w:val="32"/>
          <w:lang w:val="en-US" w:eastAsia="zh-CN"/>
        </w:rPr>
      </w:pPr>
    </w:p>
    <w:p w14:paraId="222FD8E0">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sz w:val="32"/>
          <w:szCs w:val="32"/>
          <w:lang w:val="en-US" w:eastAsia="zh-CN"/>
        </w:rPr>
      </w:pPr>
    </w:p>
    <w:p w14:paraId="6999C6A6">
      <w:pPr>
        <w:pStyle w:val="4"/>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hint="eastAsia" w:ascii="仿宋_GB2312" w:hAnsi="仿宋" w:eastAsia="仿宋_GB2312"/>
          <w:sz w:val="32"/>
          <w:szCs w:val="32"/>
          <w:lang w:val="en-US" w:eastAsia="zh-CN"/>
        </w:rPr>
      </w:pPr>
    </w:p>
    <w:p w14:paraId="366FB4E0">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sz w:val="32"/>
          <w:szCs w:val="32"/>
          <w:lang w:val="en-US" w:eastAsia="zh-CN"/>
        </w:rPr>
      </w:pPr>
    </w:p>
    <w:p w14:paraId="072F1B8F">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sz w:val="32"/>
          <w:szCs w:val="32"/>
          <w:lang w:val="en-US" w:eastAsia="zh-CN"/>
        </w:rPr>
      </w:pPr>
    </w:p>
    <w:p w14:paraId="500078B8">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sz w:val="32"/>
          <w:szCs w:val="32"/>
          <w:lang w:val="en-US" w:eastAsia="zh-CN"/>
        </w:rPr>
      </w:pPr>
    </w:p>
    <w:p w14:paraId="4356B6D2">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sz w:val="32"/>
          <w:szCs w:val="32"/>
          <w:lang w:val="en-US" w:eastAsia="zh-CN"/>
        </w:rPr>
      </w:pPr>
    </w:p>
    <w:p w14:paraId="169CDC90">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0" w:firstLineChars="0"/>
        <w:jc w:val="both"/>
        <w:textAlignment w:val="auto"/>
        <w:rPr>
          <w:rFonts w:hint="default" w:ascii="仿宋_GB2312" w:hAnsi="仿宋" w:eastAsia="仿宋_GB2312"/>
          <w:sz w:val="32"/>
          <w:szCs w:val="32"/>
          <w:lang w:val="en-US" w:eastAsia="zh-CN"/>
        </w:rPr>
      </w:pPr>
      <w:bookmarkStart w:id="2" w:name="_GoBack"/>
      <w:bookmarkEnd w:id="2"/>
    </w:p>
    <w:sectPr>
      <w:footerReference r:id="rId6" w:type="default"/>
      <w:pgSz w:w="11906" w:h="16838"/>
      <w:pgMar w:top="1440" w:right="1519" w:bottom="1440" w:left="1576" w:header="851" w:footer="992" w:gutter="0"/>
      <w:pgNumType w:fmt="decimal"/>
      <w:cols w:space="720" w:num="1"/>
      <w:formProt w:val="0"/>
      <w:docGrid w:type="lines" w:linePitch="312" w:charSpace="4300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B3075B7-4E94-4AD8-BB3A-AEB9A3F2A79B}"/>
  </w:font>
  <w:font w:name="Arial">
    <w:panose1 w:val="020B0604020202020204"/>
    <w:charset w:val="01"/>
    <w:family w:val="swiss"/>
    <w:pitch w:val="default"/>
    <w:sig w:usb0="E0002EFF" w:usb1="C000785B" w:usb2="00000009" w:usb3="00000000" w:csb0="400001FF" w:csb1="FFFF0000"/>
    <w:embedRegular r:id="rId2" w:fontKey="{343EF4E0-ADAC-43AB-BE5F-88970F320A78}"/>
  </w:font>
  <w:font w:name="黑体">
    <w:panose1 w:val="02010609060101010101"/>
    <w:charset w:val="86"/>
    <w:family w:val="auto"/>
    <w:pitch w:val="default"/>
    <w:sig w:usb0="800002BF" w:usb1="38CF7CFA" w:usb2="00000016" w:usb3="00000000" w:csb0="00040001" w:csb1="00000000"/>
    <w:embedRegular r:id="rId3" w:fontKey="{1F4DBB18-5494-4260-8BA6-0AC4C1D68DE8}"/>
  </w:font>
  <w:font w:name="Courier New">
    <w:panose1 w:val="02070309020205020404"/>
    <w:charset w:val="01"/>
    <w:family w:val="modern"/>
    <w:pitch w:val="default"/>
    <w:sig w:usb0="E0002EFF" w:usb1="C0007843" w:usb2="00000009" w:usb3="00000000" w:csb0="400001FF" w:csb1="FFFF0000"/>
    <w:embedRegular r:id="rId4" w:fontKey="{A8F51811-342E-48B4-80FA-C76E45DDE5A9}"/>
  </w:font>
  <w:font w:name="Symbol">
    <w:panose1 w:val="05050102010706020507"/>
    <w:charset w:val="02"/>
    <w:family w:val="roman"/>
    <w:pitch w:val="default"/>
    <w:sig w:usb0="00000000" w:usb1="00000000" w:usb2="00000000" w:usb3="00000000" w:csb0="80000000" w:csb1="00000000"/>
    <w:embedRegular r:id="rId5" w:fontKey="{97FC8597-64CC-4F63-9FA7-839263C761E5}"/>
  </w:font>
  <w:font w:name="Calibri">
    <w:panose1 w:val="020F0502020204030204"/>
    <w:charset w:val="00"/>
    <w:family w:val="swiss"/>
    <w:pitch w:val="default"/>
    <w:sig w:usb0="E4002EFF" w:usb1="C000247B" w:usb2="00000009" w:usb3="00000000" w:csb0="200001FF" w:csb1="00000000"/>
    <w:embedRegular r:id="rId6" w:fontKey="{C6A9958C-8CF9-4593-895F-CC39BA3B33AA}"/>
  </w:font>
  <w:font w:name="Mangal">
    <w:panose1 w:val="02040503050203030202"/>
    <w:charset w:val="00"/>
    <w:family w:val="roman"/>
    <w:pitch w:val="default"/>
    <w:sig w:usb0="00008003" w:usb1="00000000" w:usb2="00000000" w:usb3="00000000" w:csb0="00000001" w:csb1="00000000"/>
    <w:embedRegular r:id="rId7" w:fontKey="{183E79AC-22D9-4772-A212-BA443D8ACB24}"/>
  </w:font>
  <w:font w:name="方正小标宋简体">
    <w:panose1 w:val="03000509000000000000"/>
    <w:charset w:val="86"/>
    <w:family w:val="roman"/>
    <w:pitch w:val="default"/>
    <w:sig w:usb0="00000001" w:usb1="080E0000" w:usb2="00000000" w:usb3="00000000" w:csb0="00040000" w:csb1="00000000"/>
    <w:embedRegular r:id="rId8" w:fontKey="{56E9F789-F574-43F4-B990-7280BD7CED31}"/>
  </w:font>
  <w:font w:name="楷体_GB2312">
    <w:panose1 w:val="02010609030101010101"/>
    <w:charset w:val="86"/>
    <w:family w:val="auto"/>
    <w:pitch w:val="default"/>
    <w:sig w:usb0="00000001" w:usb1="080E0000" w:usb2="00000000" w:usb3="00000000" w:csb0="00040000" w:csb1="00000000"/>
    <w:embedRegular r:id="rId9" w:fontKey="{7CC8B6D0-3257-4401-AC0D-A542D7C2F529}"/>
  </w:font>
  <w:font w:name="方正楷体_GB2312">
    <w:panose1 w:val="02000000000000000000"/>
    <w:charset w:val="86"/>
    <w:family w:val="auto"/>
    <w:pitch w:val="default"/>
    <w:sig w:usb0="A00002BF" w:usb1="184F6CFA" w:usb2="00000012" w:usb3="00000000" w:csb0="00040001" w:csb1="00000000"/>
    <w:embedRegular r:id="rId10" w:fontKey="{58307A36-2028-4BC9-ADB2-70C734277F97}"/>
  </w:font>
  <w:font w:name="仿宋_GB2312">
    <w:panose1 w:val="02010609030101010101"/>
    <w:charset w:val="86"/>
    <w:family w:val="roman"/>
    <w:pitch w:val="default"/>
    <w:sig w:usb0="00000001" w:usb1="080E0000" w:usb2="00000000" w:usb3="00000000" w:csb0="00040000" w:csb1="00000000"/>
    <w:embedRegular r:id="rId11" w:fontKey="{5A3F8489-8334-4539-8513-C1B8CA624902}"/>
  </w:font>
  <w:font w:name="仿宋">
    <w:panose1 w:val="02010609060101010101"/>
    <w:charset w:val="86"/>
    <w:family w:val="modern"/>
    <w:pitch w:val="default"/>
    <w:sig w:usb0="800002BF" w:usb1="38CF7CFA" w:usb2="00000016" w:usb3="00000000" w:csb0="00040001" w:csb1="00000000"/>
    <w:embedRegular r:id="rId12" w:fontKey="{11E7AE32-0DBE-4B75-8AF4-3E23138B85D7}"/>
  </w:font>
  <w:font w:name="楷体">
    <w:panose1 w:val="02010609060101010101"/>
    <w:charset w:val="86"/>
    <w:family w:val="modern"/>
    <w:pitch w:val="default"/>
    <w:sig w:usb0="800002BF" w:usb1="38CF7CFA" w:usb2="00000016" w:usb3="00000000" w:csb0="00040001" w:csb1="00000000"/>
    <w:embedRegular r:id="rId13" w:fontKey="{BA25B95D-967F-4353-9363-9D59FA6BECD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4D5E3">
    <w:pPr>
      <w:pStyle w:val="1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CC4E9">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F4CC4E9">
                    <w:pPr>
                      <w:pStyle w:val="8"/>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E4EC2">
    <w:pPr>
      <w:pStyle w:val="1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74B810">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C74B810">
                    <w:pPr>
                      <w:pStyle w:val="8"/>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6">
    <w:p/>
  </w:footnote>
  <w:footnote w:type="continuationSeparator" w:id="37">
    <w:p/>
  </w:footnote>
  <w:footnote w:id="0">
    <w:p w14:paraId="497FBD26">
      <w:pP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w:t>
      </w:r>
      <w:r>
        <w:rPr>
          <w:rFonts w:hint="eastAsia" w:asciiTheme="minorEastAsia" w:hAnsiTheme="minorEastAsia" w:eastAsiaTheme="minorEastAsia" w:cstheme="minorEastAsia"/>
          <w:kern w:val="2"/>
          <w:sz w:val="18"/>
          <w:szCs w:val="18"/>
          <w:lang w:val="en-US" w:eastAsia="zh-CN" w:bidi="ar-SA"/>
        </w:rPr>
        <w:t>第四十三条：生产经营单位进行爆破、吊装、动火、临时用电以及国务院应急管理部门会同国务院有关部门规定的其他危险作业，应当安排专门人员进行现场安全管理，确保操作规程的遵守和安全措施的落实。</w:t>
      </w:r>
    </w:p>
    <w:p w14:paraId="416A7A88">
      <w:pP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w:t>
      </w:r>
      <w:r>
        <w:rPr>
          <w:rFonts w:hint="eastAsia" w:asciiTheme="minorEastAsia" w:hAnsiTheme="minorEastAsia" w:eastAsiaTheme="minorEastAsia" w:cstheme="minorEastAsia"/>
          <w:sz w:val="18"/>
          <w:szCs w:val="18"/>
          <w:lang w:val="en-US" w:eastAsia="zh-CN"/>
        </w:rPr>
        <w:t>第四十四条：生产经营单位应当教育和督促从业人员严格执行本单位的安全生产规章制度和安全操作规程；并向从业人员如实告知作业场所和工作岗位存在的危险因素、防范措施以及事故应急措施。</w:t>
      </w:r>
    </w:p>
    <w:p w14:paraId="5BE7D37C">
      <w:pP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《江西省安全生产条例》第二十五条：生产经营单位进行爆破、吊装、动火、临时用电、有限空间作业等国家规定的危险作业，应当安排专门人员进行现场安全管理并遵守下列规定：</w:t>
      </w:r>
    </w:p>
    <w:p w14:paraId="472B1AC9">
      <w:pP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（一）确认现场作业条件、作业人员的资格、身体状况以及正确佩戴劳动防护用品；</w:t>
      </w:r>
    </w:p>
    <w:p w14:paraId="1E848C6F">
      <w:pP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（二）确认安全防护设备、应急救援装备配备情况，设置作业现场安全区域和安全警示标志，确定统一指挥和管理人员；</w:t>
      </w:r>
    </w:p>
    <w:p w14:paraId="4D422ED5">
      <w:pP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（三）进行现场安全风险辨识评估，制定现场作业方案和应急处置措施，向作业人员告知危险因素、作业要求和应急措施；</w:t>
      </w:r>
    </w:p>
    <w:p w14:paraId="14AA127B">
      <w:pP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（四）严格危险作业内部审批和现场查验管理，开展必要的检测、检验；</w:t>
      </w:r>
    </w:p>
    <w:p w14:paraId="4EB0A132">
      <w:pP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（五）发现危及人身安全等紧急情况时，采取应急措施，停止作业并撤出人员。</w:t>
      </w:r>
    </w:p>
  </w:footnote>
  <w:footnote w:id="1">
    <w:p w14:paraId="1DB24BB2">
      <w:pPr>
        <w:keepNext w:val="0"/>
        <w:keepLines w:val="0"/>
        <w:pageBreakBefore w:val="0"/>
        <w:widowControl w:val="0"/>
        <w:kinsoku/>
        <w:wordWrap/>
        <w:overflowPunct/>
        <w:topLinePunct w:val="0"/>
        <w:autoSpaceDE/>
        <w:autoSpaceDN/>
        <w:bidi w:val="0"/>
        <w:adjustRightInd/>
        <w:snapToGrid/>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 《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14:paraId="14F1D4D5">
      <w:pPr>
        <w:keepNext w:val="0"/>
        <w:keepLines w:val="0"/>
        <w:pageBreakBefore w:val="0"/>
        <w:widowControl w:val="0"/>
        <w:kinsoku/>
        <w:wordWrap/>
        <w:overflowPunct/>
        <w:topLinePunct w:val="0"/>
        <w:autoSpaceDE/>
        <w:autoSpaceDN/>
        <w:bidi w:val="0"/>
        <w:adjustRightInd/>
        <w:snapToGrid/>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安全生产事故隐患排查治理暂行规定</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第八条：生产经营单位是事故隐患排查、治理和防控的责任主体。</w:t>
      </w:r>
    </w:p>
    <w:p w14:paraId="0146F3CC">
      <w:pPr>
        <w:keepNext w:val="0"/>
        <w:keepLines w:val="0"/>
        <w:pageBreakBefore w:val="0"/>
        <w:widowControl w:val="0"/>
        <w:kinsoku/>
        <w:wordWrap/>
        <w:overflowPunct/>
        <w:topLinePunct w:val="0"/>
        <w:autoSpaceDE/>
        <w:autoSpaceDN/>
        <w:bidi w:val="0"/>
        <w:adjustRightInd/>
        <w:snapToGrid/>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生产经营单位应当建立健全事故隐患排查治理和建档监控等制度，逐级建立并落实从主要负责人到每个从业人员的隐患排查治理和监控责任制。</w:t>
      </w:r>
    </w:p>
    <w:p w14:paraId="2A284FCA">
      <w:pPr>
        <w:keepNext w:val="0"/>
        <w:keepLines w:val="0"/>
        <w:pageBreakBefore w:val="0"/>
        <w:widowControl w:val="0"/>
        <w:kinsoku/>
        <w:wordWrap/>
        <w:overflowPunct/>
        <w:topLinePunct w:val="0"/>
        <w:autoSpaceDE/>
        <w:autoSpaceDN/>
        <w:bidi w:val="0"/>
        <w:adjustRightInd/>
        <w:snapToGrid/>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江西省安全生产条例</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第十六条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生产经营单位应当制定下列安全生产规章制度：</w:t>
      </w:r>
    </w:p>
    <w:p w14:paraId="574F710D">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（一）全员安全生产责任制度；</w:t>
      </w:r>
    </w:p>
    <w:p w14:paraId="053E935E">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（二）安全生产教育和培训制度；</w:t>
      </w:r>
    </w:p>
    <w:p w14:paraId="2DB4D1FD">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（三）安全风险分级管控和隐患排查治理制度；</w:t>
      </w:r>
    </w:p>
    <w:p w14:paraId="4FBEA5DA">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（四）安全生产投入制度；</w:t>
      </w:r>
    </w:p>
    <w:p w14:paraId="348C8BEA">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（五）危险作业管理制度；</w:t>
      </w:r>
    </w:p>
    <w:p w14:paraId="14646D7B">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（六）生产经营场所和设施、设备、工艺安全管理制度；</w:t>
      </w:r>
    </w:p>
    <w:p w14:paraId="7E141E17">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（七）劳动防护用品使用和管理制度；</w:t>
      </w:r>
    </w:p>
    <w:p w14:paraId="689E47D8">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（八）生产安全事故报告和处理制度；</w:t>
      </w:r>
    </w:p>
    <w:p w14:paraId="47C05472">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（九）安全生产考核奖惩制度；</w:t>
      </w:r>
    </w:p>
    <w:p w14:paraId="69FD5422">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（十）其他保障安全生产的规章制度。</w:t>
      </w:r>
    </w:p>
    <w:p w14:paraId="7E7C4FB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rPr>
      </w:pPr>
      <w:r>
        <w:rPr>
          <w:rFonts w:hint="eastAsia" w:asciiTheme="minorEastAsia" w:hAnsiTheme="minorEastAsia" w:eastAsiaTheme="minorEastAsia" w:cstheme="minorEastAsia"/>
          <w:sz w:val="18"/>
          <w:szCs w:val="18"/>
        </w:rPr>
        <w:t>生产经营单位根据本单位实际，可以制定包含上一款内容的综合性安全生产规章制度。</w:t>
      </w:r>
    </w:p>
  </w:footnote>
  <w:footnote w:id="2">
    <w:p w14:paraId="2026DB95">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w:t>
      </w:r>
      <w:r>
        <w:rPr>
          <w:rFonts w:hint="eastAsia" w:asciiTheme="minorEastAsia" w:hAnsiTheme="minorEastAsia" w:eastAsiaTheme="minorEastAsia" w:cstheme="minorEastAsia"/>
          <w:sz w:val="18"/>
          <w:szCs w:val="18"/>
          <w:lang w:val="en-US" w:eastAsia="zh-CN"/>
        </w:rPr>
        <w:t>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1547A99D">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生产经营单位应当建立安全生产教育和培训档案，如实记录安全生产教育和培训的时间、</w:t>
      </w:r>
      <w:r>
        <w:rPr>
          <w:rFonts w:hint="eastAsia" w:asciiTheme="minorEastAsia" w:hAnsiTheme="minorEastAsia" w:eastAsiaTheme="minorEastAsia" w:cstheme="minorEastAsia"/>
          <w:sz w:val="18"/>
          <w:szCs w:val="18"/>
        </w:rPr>
        <w:t>内容、参加人员以及考核结果等情况。</w:t>
      </w:r>
    </w:p>
  </w:footnote>
  <w:footnote w:id="3">
    <w:p w14:paraId="066A411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安全生产法》第四十一条</w:t>
      </w:r>
      <w:r>
        <w:rPr>
          <w:rFonts w:hint="eastAsia" w:asciiTheme="minorEastAsia" w:hAnsiTheme="minorEastAsia" w:cstheme="minorEastAsia"/>
          <w:sz w:val="18"/>
          <w:szCs w:val="18"/>
          <w:lang w:eastAsia="zh-CN"/>
        </w:rPr>
        <w:t>：</w:t>
      </w:r>
      <w:r>
        <w:rPr>
          <w:rFonts w:hint="eastAsia" w:asciiTheme="minorEastAsia" w:hAnsiTheme="minorEastAsia" w:eastAsiaTheme="minorEastAsia" w:cstheme="minorEastAsia"/>
          <w:sz w:val="18"/>
          <w:szCs w:val="18"/>
        </w:rPr>
        <w:t>生产经营单位应当建立安全风险分级管控制度，按照安全风险分级采取相应的管控措施。</w:t>
      </w:r>
    </w:p>
    <w:p w14:paraId="6D9E2FC2">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14:paraId="2964A36E">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w:t>
      </w:r>
      <w:r>
        <w:rPr>
          <w:rFonts w:hint="eastAsia" w:asciiTheme="minorEastAsia" w:hAnsiTheme="minorEastAsia" w:eastAsiaTheme="minorEastAsia" w:cstheme="minorEastAsia"/>
          <w:sz w:val="18"/>
          <w:szCs w:val="18"/>
          <w:lang w:val="en-US" w:eastAsia="zh-CN"/>
        </w:rPr>
        <w:t>第四十四条：生产经营单位应当教育和督促从业人员严格执行本单位的安全生产规章制度和安全操作规程；并向从业人员如实告知作业场所和工作岗位存在的危险因素、防范措施以及事故应急措施。</w:t>
      </w:r>
    </w:p>
    <w:p w14:paraId="4C6D9B4E">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cstheme="minorEastAsia"/>
          <w:sz w:val="18"/>
          <w:szCs w:val="18"/>
          <w:lang w:val="en-US" w:eastAsia="zh-CN"/>
        </w:rPr>
        <w:t>《江西省安全生产条例》</w:t>
      </w:r>
      <w:r>
        <w:rPr>
          <w:rFonts w:hint="eastAsia" w:asciiTheme="minorEastAsia" w:hAnsiTheme="minorEastAsia" w:eastAsiaTheme="minorEastAsia" w:cstheme="minorEastAsia"/>
          <w:sz w:val="18"/>
          <w:szCs w:val="18"/>
          <w:lang w:val="en-US" w:eastAsia="zh-CN"/>
        </w:rPr>
        <w:t>第二十一条</w:t>
      </w:r>
      <w:r>
        <w:rPr>
          <w:rFonts w:hint="eastAsia" w:asciiTheme="minorEastAsia" w:hAnsi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t>生产经营单位应当建立健全并落实安全风险分级管控制度，定期组织安全生产管理、工程技术、岗位操作等相关人员，对生产工艺、设施设备、作业环境、人员行为等方面存在的安全风险进行全面、系统辨识评估，对辨识出的安全风险进行分类梳理，确定安全风险等级，从制度、组织、技术、管理、应急等方面逐项制定管控措施，编制风险分级管控清单，按照安全风险等级实施分级管控。</w:t>
      </w:r>
    </w:p>
    <w:p w14:paraId="3773E777">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应当建立健全并落实生产安全事故隐患排查治理制度，明确单位各部门（车间）、安全生产管理机构、班组负责人和具体岗位从业人员的事故隐患排查治理责任，定期组织事故隐患排查，编制事故隐患排查治理清单。事故隐患排查治理情况应当如实记录，按照规定建立台账或者信息档案，并通过职工大会或者职工代表大会、信息公示栏等方式向从业人员通报。对事故隐患应当及时采取技术、管理等措施予以消除；对不能及时消除的事故隐患应当采取有效安全防范和监控措施，制定治理方案，明确治理的具体措施、责任、资金、时限和应急预案。</w:t>
      </w:r>
    </w:p>
    <w:p w14:paraId="26F323B9">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cstheme="minorEastAsia"/>
          <w:sz w:val="18"/>
          <w:szCs w:val="18"/>
          <w:lang w:val="en-US" w:eastAsia="zh-CN"/>
        </w:rPr>
      </w:pPr>
      <w:r>
        <w:rPr>
          <w:rFonts w:hint="eastAsia" w:asciiTheme="minorEastAsia" w:hAnsiTheme="minorEastAsia" w:cstheme="minorEastAsia"/>
          <w:sz w:val="18"/>
          <w:szCs w:val="18"/>
          <w:lang w:val="en-US" w:eastAsia="zh-CN"/>
        </w:rPr>
        <w:t>《江西省安全生产条例》第二十五条：生产经营单位进行爆破、吊装、动火、临时用电、有限空间作业等国家规定的危险作业，应当安排专门人员进行现场安全管理并遵守下列规定：</w:t>
      </w:r>
    </w:p>
    <w:p w14:paraId="1BBC83D8">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cstheme="minorEastAsia"/>
          <w:sz w:val="18"/>
          <w:szCs w:val="18"/>
          <w:lang w:val="en-US" w:eastAsia="zh-CN"/>
        </w:rPr>
      </w:pPr>
      <w:r>
        <w:rPr>
          <w:rFonts w:hint="eastAsia" w:asciiTheme="minorEastAsia" w:hAnsiTheme="minorEastAsia" w:cstheme="minorEastAsia"/>
          <w:sz w:val="18"/>
          <w:szCs w:val="18"/>
          <w:lang w:val="en-US" w:eastAsia="zh-CN"/>
        </w:rPr>
        <w:t>（一）确认现场作业条件、作业人员的资格、身体状况以及正确佩戴劳动防护用品；</w:t>
      </w:r>
    </w:p>
    <w:p w14:paraId="33042A6A">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cstheme="minorEastAsia"/>
          <w:sz w:val="18"/>
          <w:szCs w:val="18"/>
          <w:lang w:val="en-US" w:eastAsia="zh-CN"/>
        </w:rPr>
      </w:pPr>
      <w:r>
        <w:rPr>
          <w:rFonts w:hint="eastAsia" w:asciiTheme="minorEastAsia" w:hAnsiTheme="minorEastAsia" w:cstheme="minorEastAsia"/>
          <w:sz w:val="18"/>
          <w:szCs w:val="18"/>
          <w:lang w:val="en-US" w:eastAsia="zh-CN"/>
        </w:rPr>
        <w:t>（二）确认安全防护设备、应急救援装备配备情况，设置作业现场安全区域和安全警示标志，确定统一指挥和管理人员；</w:t>
      </w:r>
    </w:p>
    <w:p w14:paraId="645D53EA">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cstheme="minorEastAsia"/>
          <w:sz w:val="18"/>
          <w:szCs w:val="18"/>
          <w:lang w:val="en-US" w:eastAsia="zh-CN"/>
        </w:rPr>
      </w:pPr>
      <w:r>
        <w:rPr>
          <w:rFonts w:hint="eastAsia" w:asciiTheme="minorEastAsia" w:hAnsiTheme="minorEastAsia" w:cstheme="minorEastAsia"/>
          <w:sz w:val="18"/>
          <w:szCs w:val="18"/>
          <w:lang w:val="en-US" w:eastAsia="zh-CN"/>
        </w:rPr>
        <w:t>（三）进行现场安全风险辨识评估，制定现场作业方案和应急处置措施，向作业人员告知危险因素、作业要求和应急措施；</w:t>
      </w:r>
    </w:p>
    <w:p w14:paraId="7F32EAE2">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（四）严格危险作业内部审批和现场查验管理，开展必要的检测、检验；</w:t>
      </w:r>
    </w:p>
    <w:p w14:paraId="514BE9A2">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（五）发现危及人身安全等紧急情况时，采取应急措施，停止作业并撤出人员。</w:t>
      </w:r>
    </w:p>
    <w:p w14:paraId="1936351A">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bookmarkStart w:id="1" w:name="_Toc78896655"/>
      <w:r>
        <w:rPr>
          <w:rFonts w:hint="eastAsia" w:asciiTheme="minorEastAsia" w:hAnsiTheme="minorEastAsia" w:eastAsiaTheme="minorEastAsia" w:cstheme="minorEastAsia"/>
          <w:sz w:val="18"/>
          <w:szCs w:val="18"/>
          <w:lang w:val="en-US" w:eastAsia="zh-CN"/>
        </w:rPr>
        <w:t>《安全生产事故隐患排查治理暂行规定》</w:t>
      </w:r>
      <w:bookmarkEnd w:id="1"/>
      <w:r>
        <w:rPr>
          <w:rFonts w:hint="eastAsia" w:asciiTheme="minorEastAsia" w:hAnsiTheme="minorEastAsia" w:eastAsiaTheme="minorEastAsia" w:cstheme="minorEastAsia"/>
          <w:sz w:val="18"/>
          <w:szCs w:val="18"/>
          <w:lang w:val="en-US" w:eastAsia="zh-CN"/>
        </w:rPr>
        <w:t>第十六条：生产经营单位在事故隐患治理过程中，应当采取相应的安全防范措施，防止事故发生。事故隐患排除前或者排除过程中无法保证安全的，应当从危险区域内撤出作业人员，并疏散可能危及的其他人员，设置警戒标志，暂时停产停业或者停止使用；对暂时难以停产或者停止使用的相关生产储存装置、设施、设备，应当加强维护和保养，防止事故发生。</w:t>
      </w:r>
    </w:p>
  </w:footnote>
  <w:footnote w:id="4">
    <w:p w14:paraId="06563ADE">
      <w:pPr>
        <w:keepNext w:val="0"/>
        <w:keepLines w:val="0"/>
        <w:pageBreakBefore w:val="0"/>
        <w:widowControl w:val="0"/>
        <w:kinsoku/>
        <w:wordWrap/>
        <w:overflowPunct/>
        <w:topLinePunct w:val="0"/>
        <w:autoSpaceDE/>
        <w:autoSpaceDN/>
        <w:bidi w:val="0"/>
        <w:adjustRightInd/>
        <w:snapToGrid/>
        <w:textAlignment w:val="auto"/>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 《</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安全生产法》第五条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生产经营单位的主要负责人是本单位安全生产第一责任人，对本单位的安全生产工作全面负责。其他负责人对职责范围内的安全生产工作负责。</w:t>
      </w:r>
    </w:p>
  </w:footnote>
  <w:footnote w:id="5">
    <w:p w14:paraId="0ACD034C">
      <w:pPr>
        <w:keepNext w:val="0"/>
        <w:keepLines w:val="0"/>
        <w:pageBreakBefore w:val="0"/>
        <w:widowControl w:val="0"/>
        <w:kinsoku/>
        <w:wordWrap/>
        <w:overflowPunct/>
        <w:topLinePunct w:val="0"/>
        <w:autoSpaceDE/>
        <w:autoSpaceDN/>
        <w:bidi w:val="0"/>
        <w:adjustRightInd/>
        <w:snapToGrid/>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安全生产法》第二十一条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生产经营单位的主要负责人对本单位安全生产工作负有下列职责:</w:t>
      </w:r>
    </w:p>
    <w:p w14:paraId="15A43E06">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（一）建立健全并落实本单位全员安全生产责任制，加强安全生产标准化建设；</w:t>
      </w:r>
    </w:p>
    <w:p w14:paraId="18824030">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（二）组织制定并实施本单位安全生产规章制度和操作规程；</w:t>
      </w:r>
    </w:p>
    <w:p w14:paraId="2F6F0EEC">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（三）组织制定并实施本单位安全生产教育和培训计划；</w:t>
      </w:r>
    </w:p>
    <w:p w14:paraId="69079D7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（四）保证本单位安全生产投入的有效实施；</w:t>
      </w:r>
    </w:p>
    <w:p w14:paraId="5EF6B61B">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（五）组织建立并落实安全风险分级管控和隐患排查治理双重预防工作机制，督促、检查本单位的安全生产工作，及时消除生产安全事故隐患；</w:t>
      </w:r>
    </w:p>
    <w:p w14:paraId="6A1492CB">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（六）组织制定并实施本单位的生产安全事故应急救援预案；</w:t>
      </w:r>
    </w:p>
    <w:p w14:paraId="10FF3FDE">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（七）及时、如实报告生产安全事故。</w:t>
      </w:r>
    </w:p>
  </w:footnote>
  <w:footnote w:id="6">
    <w:p w14:paraId="375F29A2">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安全生产法》第九十五条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生产经营单位的主要负责人未履行本法规定的安全生产管理职责，导致发生生产安全事故的，由应急管理部门依照下列规定处以罚款:</w:t>
      </w:r>
    </w:p>
    <w:p w14:paraId="340903A7">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（一）发生一般事故的，处上一年年收入百分之四十的罚款；</w:t>
      </w:r>
    </w:p>
    <w:p w14:paraId="1A08C399">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（二）发生较大事故的，处上一年年收入百分之六十的罚款；</w:t>
      </w:r>
    </w:p>
    <w:p w14:paraId="68A6E020">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（三）发生重大事故的，处上一年年收入百分之八十的罚款；</w:t>
      </w:r>
    </w:p>
    <w:p w14:paraId="2DD3742E">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（四）发生特别重大事故的，处上一年年收入百分之一百的罚款。</w:t>
      </w:r>
    </w:p>
  </w:footnote>
  <w:footnote w:id="7">
    <w:p w14:paraId="5811368F">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 《</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安全生产法》第二十五条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生产经营单位的安全生产管理机构以及安全生产管理人员履行下列职责:</w:t>
      </w:r>
    </w:p>
    <w:p w14:paraId="61A42F46">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（一）组织或者参与拟订本单位安全生产规章制度、操作规程和生产安全事故应急救援预案；</w:t>
      </w:r>
    </w:p>
    <w:p w14:paraId="6FCBB3F6">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（二）组织或者参与本单位安全生产教育和培训，如实记录安全生产教育和培训情况；</w:t>
      </w:r>
    </w:p>
    <w:p w14:paraId="05894C5A">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（三）组织开展危险源辨识和评估，督促落实本单位重大危险源的安全管理措施；</w:t>
      </w:r>
    </w:p>
    <w:p w14:paraId="0CB1B0E3">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（四）组织或者参与本单位应急救援演练；</w:t>
      </w:r>
    </w:p>
    <w:p w14:paraId="4C03C0EB">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（五）检查本单位的安全生产状况，及时排查生产安全事故隐患，提出改进安全生产管理的建议；</w:t>
      </w:r>
    </w:p>
    <w:p w14:paraId="7A2D8EB0">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（六）制止和纠正违章指挥、强令冒险作业、违反操作规程的行为；</w:t>
      </w:r>
    </w:p>
    <w:p w14:paraId="4790C5F6">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（七）督促落实本单位安全生产整改措施。</w:t>
      </w:r>
    </w:p>
    <w:p w14:paraId="7B91A7A2">
      <w:pPr>
        <w:keepNext w:val="0"/>
        <w:keepLines w:val="0"/>
        <w:pageBreakBefore w:val="0"/>
        <w:widowControl w:val="0"/>
        <w:kinsoku/>
        <w:wordWrap/>
        <w:overflowPunct/>
        <w:topLinePunct w:val="0"/>
        <w:autoSpaceDE/>
        <w:autoSpaceDN/>
        <w:bidi w:val="0"/>
        <w:adjustRightInd/>
        <w:snapToGrid/>
        <w:ind w:firstLine="0" w:firstLineChars="0"/>
        <w:textAlignment w:val="auto"/>
        <w:rPr>
          <w:b/>
          <w:bCs/>
        </w:rPr>
      </w:pPr>
      <w:r>
        <w:rPr>
          <w:rFonts w:hint="eastAsia" w:asciiTheme="minorEastAsia" w:hAnsiTheme="minorEastAsia" w:eastAsiaTheme="minorEastAsia" w:cstheme="minorEastAsia"/>
          <w:sz w:val="18"/>
          <w:szCs w:val="18"/>
        </w:rPr>
        <w:t>生产经营单位可以设置专职安全生产分管负责人，协助本单位主要负责人履行安全生产管理职责。</w:t>
      </w:r>
    </w:p>
  </w:footnote>
  <w:footnote w:id="8">
    <w:p w14:paraId="6D85C142">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 《中华人民共和国安全生产法》第二十六条：生产经营单位的安全生产管理机构以及安全生产管理人员应当恪尽职守，依法履行职责。</w:t>
      </w:r>
    </w:p>
  </w:footnote>
  <w:footnote w:id="9">
    <w:p w14:paraId="7DB9C889">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10">
    <w:p w14:paraId="42435935">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安全生产法》第四十三条</w:t>
      </w:r>
      <w:r>
        <w:rPr>
          <w:rFonts w:hint="eastAsia" w:asciiTheme="minorEastAsia" w:hAnsiTheme="minorEastAsia" w:cstheme="minorEastAsia"/>
          <w:sz w:val="18"/>
          <w:szCs w:val="18"/>
          <w:lang w:eastAsia="zh-CN"/>
        </w:rPr>
        <w:t>：</w:t>
      </w:r>
      <w:r>
        <w:rPr>
          <w:rFonts w:hint="eastAsia" w:asciiTheme="minorEastAsia" w:hAnsiTheme="minorEastAsia" w:eastAsiaTheme="minorEastAsia" w:cstheme="minorEastAsia"/>
          <w:sz w:val="18"/>
          <w:szCs w:val="18"/>
        </w:rPr>
        <w:t>生产经营单位进行爆破、吊装、动火、临时用电以及国务院应急管理部门会同国务院有关部门规定的其他危险作业，应当安排专门人员进行现场安全管理，确保操作规程的遵守和安全措施的落实。</w:t>
      </w:r>
    </w:p>
  </w:footnote>
  <w:footnote w:id="11">
    <w:p w14:paraId="1C41230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安全生产法》第四条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12">
    <w:p w14:paraId="73521AC0">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安全生产法》第二十八条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lang w:val="en-US" w:eastAsia="zh-CN"/>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4EE7E863">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14:paraId="0978D4AB">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生产经营单位接收中等职业学校、高等学校学生实习的，应当对实习学生进行相应的安全生产教育和培训，提供必要的劳动防护用品。学校应当协助生产经营单位对实习学生进行安全生产教育和培训。</w:t>
      </w:r>
    </w:p>
    <w:p w14:paraId="3E76BC7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生产经营单位应当建立安全生产教育和培训档案，如实记录安全生产教育和培训的时间、内容、参加人员以及考核结果等情况。</w:t>
      </w:r>
    </w:p>
  </w:footnote>
  <w:footnote w:id="13">
    <w:p w14:paraId="1E0D935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w:t>
      </w:r>
      <w:r>
        <w:rPr>
          <w:rFonts w:hint="eastAsia" w:asciiTheme="minorEastAsia" w:hAnsiTheme="minorEastAsia" w:eastAsiaTheme="minorEastAsia" w:cstheme="minorEastAsia"/>
          <w:sz w:val="18"/>
          <w:szCs w:val="18"/>
          <w:lang w:val="en-US" w:eastAsia="zh-CN"/>
        </w:rPr>
        <w:t>第四十四条：生产经营单位应当教育和督促从业人员严格执行本单位的安全生产规章制度和安全操作规程；并向从业人员如实告知作业场所和工作岗位存在的危险因素、防范措施以及事故应急措施。</w:t>
      </w:r>
    </w:p>
  </w:footnote>
  <w:footnote w:id="14">
    <w:p w14:paraId="4F0BC007">
      <w:pP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w:t>
      </w:r>
      <w:r>
        <w:rPr>
          <w:rFonts w:hint="eastAsia" w:asciiTheme="minorEastAsia" w:hAnsiTheme="minorEastAsia" w:eastAsiaTheme="minorEastAsia" w:cstheme="minorEastAsia"/>
          <w:kern w:val="2"/>
          <w:sz w:val="18"/>
          <w:szCs w:val="18"/>
          <w:lang w:val="en-US" w:eastAsia="zh-CN" w:bidi="ar-SA"/>
        </w:rPr>
        <w:footnoteRef/>
      </w:r>
      <w:r>
        <w:rPr>
          <w:rFonts w:hint="eastAsia" w:asciiTheme="minorEastAsia" w:hAnsiTheme="minorEastAsia" w:eastAsiaTheme="minorEastAsia" w:cstheme="minorEastAsia"/>
          <w:kern w:val="2"/>
          <w:sz w:val="18"/>
          <w:szCs w:val="18"/>
          <w:lang w:val="en-US" w:eastAsia="zh-CN" w:bidi="ar-SA"/>
        </w:rPr>
        <w:t>] 《江西省安全生产条例》第二十五条：生产经营单位进行爆破、吊装、动火、临时用电、有限空间作业等国家规定的危险作业，应当安排专门人员进行现场安全管理并遵守下列规定：</w:t>
      </w:r>
    </w:p>
    <w:p w14:paraId="7EE46A0C">
      <w:pP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（一）确认现场作业条件、作业人员的资格、身体状况以及正确佩戴劳动防护用品；</w:t>
      </w:r>
    </w:p>
    <w:p w14:paraId="26C1A450">
      <w:pP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（二）确认安全防护设备、应急救援装备配备情况，设置作业现场安全区域和安全警示标志，确定统一指挥和管理人员；</w:t>
      </w:r>
    </w:p>
    <w:p w14:paraId="2F281504">
      <w:pP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（三）进行现场安全风险辨识评估，制定现场作业方案和应急处置措施，向作业人员告知危险因素、作业要求和应急措施；</w:t>
      </w:r>
    </w:p>
    <w:p w14:paraId="034E4284">
      <w:pP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kern w:val="2"/>
          <w:sz w:val="18"/>
          <w:szCs w:val="18"/>
          <w:lang w:val="en-US" w:eastAsia="zh-CN" w:bidi="ar-SA"/>
        </w:rPr>
        <w:t>（四）严格危险作业内部审批和现场查验管理，开展必要的检测、检验；</w:t>
      </w:r>
    </w:p>
    <w:p w14:paraId="610F3AC0">
      <w:r>
        <w:rPr>
          <w:rFonts w:hint="eastAsia" w:asciiTheme="minorEastAsia" w:hAnsiTheme="minorEastAsia" w:eastAsiaTheme="minorEastAsia" w:cstheme="minorEastAsia"/>
          <w:kern w:val="2"/>
          <w:sz w:val="18"/>
          <w:szCs w:val="18"/>
          <w:lang w:val="en-US" w:eastAsia="zh-CN" w:bidi="ar-SA"/>
        </w:rPr>
        <w:t>（五）发现危及人身安全等紧急情况时，采取应急措施，停止作业并撤出人员。</w:t>
      </w:r>
    </w:p>
  </w:footnote>
  <w:footnote w:id="15">
    <w:p w14:paraId="628F9A26">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rPr>
        <w:footnoteRef/>
      </w:r>
      <w:r>
        <w:rPr>
          <w:rFonts w:hint="eastAsia" w:asciiTheme="minorEastAsia" w:hAnsiTheme="minorEastAsia" w:eastAsiaTheme="minorEastAsia" w:cstheme="minorEastAsia"/>
          <w:sz w:val="18"/>
          <w:szCs w:val="18"/>
        </w:rPr>
        <w:t>]</w:t>
      </w:r>
      <w:r>
        <w:rPr>
          <w:rFonts w:hint="eastAsia" w:asciiTheme="minorEastAsia" w:hAnsi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安全生产法》第一百一十四条</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发生生产安全事故，对负有责任的生产经营单位除要求其依法承担相应的赔偿等责任外，由应急管理部门依照下列规定处以罚款：</w:t>
      </w:r>
    </w:p>
    <w:p w14:paraId="4905B25A">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（一）发生一般事故的，处三十万元以上一百万元以下的罚款；</w:t>
      </w:r>
    </w:p>
    <w:p w14:paraId="21618847">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（二）发生较大事故的，处一百万元以上二百万元以下的罚款；</w:t>
      </w:r>
    </w:p>
    <w:p w14:paraId="7CF4E9A4">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（三）发生重大事故的，处二百万元以上一千万元以下的罚款；</w:t>
      </w:r>
    </w:p>
    <w:p w14:paraId="31ACAD0F">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（四）发生特别重大事故的，处一千万元以上二千万元以下的罚款。</w:t>
      </w:r>
    </w:p>
    <w:p w14:paraId="4C9AA7B9">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发生生产安全事故，情节特别严重、影响特别恶劣的，应急管理部门可以按照前款罚款数额的二倍以上五倍以下对负有责任的生产经营单位处以罚款。</w:t>
      </w:r>
    </w:p>
  </w:footnote>
  <w:footnote w:id="16">
    <w:p w14:paraId="376DD270">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cstheme="minorEastAsia"/>
          <w:sz w:val="18"/>
          <w:szCs w:val="18"/>
          <w:lang w:val="en-US" w:eastAsia="zh-CN"/>
        </w:rPr>
      </w:pPr>
      <w:r>
        <w:rPr>
          <w:rFonts w:hint="eastAsia" w:asciiTheme="minorEastAsia" w:hAnsiTheme="minorEastAsia" w:cstheme="minorEastAsia"/>
          <w:sz w:val="18"/>
          <w:szCs w:val="18"/>
          <w:lang w:val="en-US" w:eastAsia="zh-CN"/>
        </w:rPr>
        <w:t>[</w:t>
      </w:r>
      <w:r>
        <w:rPr>
          <w:rFonts w:hint="eastAsia" w:asciiTheme="minorEastAsia" w:hAnsiTheme="minorEastAsia" w:cstheme="minorEastAsia"/>
          <w:sz w:val="18"/>
          <w:szCs w:val="18"/>
          <w:lang w:val="en-US" w:eastAsia="zh-CN"/>
        </w:rPr>
        <w:footnoteRef/>
      </w:r>
      <w:r>
        <w:rPr>
          <w:rFonts w:hint="eastAsia" w:asciiTheme="minorEastAsia" w:hAnsi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中华人民共和国</w:t>
      </w:r>
      <w:r>
        <w:rPr>
          <w:rFonts w:hint="eastAsia" w:asciiTheme="minorEastAsia" w:hAnsiTheme="minorEastAsia" w:eastAsiaTheme="minorEastAsia" w:cstheme="minorEastAsia"/>
          <w:sz w:val="18"/>
          <w:szCs w:val="18"/>
        </w:rPr>
        <w:t>安全生产法》</w:t>
      </w:r>
      <w:r>
        <w:rPr>
          <w:rFonts w:hint="eastAsia" w:asciiTheme="minorEastAsia" w:hAnsiTheme="minorEastAsia" w:cstheme="minorEastAsia"/>
          <w:sz w:val="18"/>
          <w:szCs w:val="18"/>
          <w:lang w:val="en-US" w:eastAsia="zh-CN"/>
        </w:rPr>
        <w:t>第五十七条：从业人员在作业过程中，应当严格落实岗位安全责任，遵守本单位的安全生产规章制度和操作规程，服从管理，正确佩戴和使用劳动防护用品。</w:t>
      </w:r>
    </w:p>
  </w:footnote>
  <w:footnote w:id="17">
    <w:p w14:paraId="77A3FAE5">
      <w:pPr>
        <w:pStyle w:val="6"/>
        <w:keepNext w:val="0"/>
        <w:keepLines w:val="0"/>
        <w:pageBreakBefore w:val="0"/>
        <w:widowControl w:val="0"/>
        <w:kinsoku/>
        <w:wordWrap/>
        <w:overflowPunct/>
        <w:topLinePunct w:val="0"/>
        <w:bidi w:val="0"/>
        <w:adjustRightInd/>
        <w:snapToGrid/>
        <w:spacing w:line="240" w:lineRule="auto"/>
        <w:ind w:firstLine="0" w:firstLineChars="0"/>
        <w:textAlignment w:val="auto"/>
        <w:rPr>
          <w:rFonts w:hint="eastAsia" w:asciiTheme="minorEastAsia" w:hAnsiTheme="minorEastAsia" w:cstheme="minorEastAsia"/>
          <w:sz w:val="18"/>
          <w:szCs w:val="18"/>
          <w:lang w:val="en-US" w:eastAsia="zh-CN"/>
        </w:rPr>
      </w:pPr>
      <w:r>
        <w:rPr>
          <w:rFonts w:hint="eastAsia" w:asciiTheme="minorEastAsia" w:hAnsiTheme="minorEastAsia" w:cstheme="minorEastAsia"/>
          <w:sz w:val="18"/>
          <w:szCs w:val="18"/>
          <w:lang w:val="en-US" w:eastAsia="zh-CN"/>
        </w:rPr>
        <w:t>[</w:t>
      </w:r>
      <w:r>
        <w:rPr>
          <w:rFonts w:hint="eastAsia" w:asciiTheme="minorEastAsia" w:hAnsiTheme="minorEastAsia" w:cstheme="minorEastAsia"/>
          <w:sz w:val="18"/>
          <w:szCs w:val="18"/>
          <w:lang w:val="en-US" w:eastAsia="zh-CN"/>
        </w:rPr>
        <w:footnoteRef/>
      </w:r>
      <w:r>
        <w:rPr>
          <w:rFonts w:hint="eastAsia" w:asciiTheme="minorEastAsia" w:hAnsiTheme="minorEastAsia" w:cstheme="minorEastAsia"/>
          <w:sz w:val="18"/>
          <w:szCs w:val="18"/>
          <w:lang w:val="en-US" w:eastAsia="zh-CN"/>
        </w:rPr>
        <w:t>] 《中华人民共和国安全生产法》第一百零七条　生产经营单位的从业人员不落实岗位安全责任，不服从管理，违反安全生产规章制度或者操作规程的，由生产经营单位给予批评教育，依照有关规章制度给予处分；构成犯罪的，依照刑法有关规定追究刑事责任。</w:t>
      </w:r>
    </w:p>
    <w:p w14:paraId="0AA414C2">
      <w:pPr>
        <w:pStyle w:val="10"/>
        <w:snapToGrid w:val="0"/>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419"/>
  <w:autoHyphenation/>
  <w:displayHorizontalDrawingGridEvery w:val="1"/>
  <w:displayVerticalDrawingGridEvery w:val="1"/>
  <w:noPunctuationKerning w:val="1"/>
  <w:characterSpacingControl w:val="doNotCompress"/>
  <w:hdrShapeDefaults>
    <o:shapelayout v:ext="edit">
      <o:idmap v:ext="edit" data="2"/>
    </o:shapelayout>
  </w:hdrShapeDefaults>
  <w:footnotePr>
    <w:footnote w:id="36"/>
    <w:footnote w:id="37"/>
  </w:footnotePr>
  <w:endnotePr>
    <w:endnote w:id="0"/>
    <w:endnote w:id="1"/>
  </w:endnotePr>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VhNTBmY2ZhMjMxN2M5Njc0MzBkZDkyOWEzNDQ2MmYifQ=="/>
  </w:docVars>
  <w:rsids>
    <w:rsidRoot w:val="003D1C90"/>
    <w:rsid w:val="00040C3D"/>
    <w:rsid w:val="00154A30"/>
    <w:rsid w:val="00167024"/>
    <w:rsid w:val="00223665"/>
    <w:rsid w:val="00343194"/>
    <w:rsid w:val="00360E6B"/>
    <w:rsid w:val="003D1C90"/>
    <w:rsid w:val="003F140D"/>
    <w:rsid w:val="00471B1A"/>
    <w:rsid w:val="004C7C71"/>
    <w:rsid w:val="004F5D14"/>
    <w:rsid w:val="005D3FB6"/>
    <w:rsid w:val="007D5831"/>
    <w:rsid w:val="008E4CDF"/>
    <w:rsid w:val="00AA5C44"/>
    <w:rsid w:val="00AE4881"/>
    <w:rsid w:val="00B00D43"/>
    <w:rsid w:val="00B76EE9"/>
    <w:rsid w:val="00CD21CA"/>
    <w:rsid w:val="00D66044"/>
    <w:rsid w:val="00E4039F"/>
    <w:rsid w:val="00E54129"/>
    <w:rsid w:val="00EB228F"/>
    <w:rsid w:val="00FE1315"/>
    <w:rsid w:val="01855C1F"/>
    <w:rsid w:val="018A58CB"/>
    <w:rsid w:val="01D056DE"/>
    <w:rsid w:val="01FF1E15"/>
    <w:rsid w:val="024B61E8"/>
    <w:rsid w:val="030D40BE"/>
    <w:rsid w:val="03F25B23"/>
    <w:rsid w:val="04313DEB"/>
    <w:rsid w:val="04846944"/>
    <w:rsid w:val="05300538"/>
    <w:rsid w:val="05EF3F4F"/>
    <w:rsid w:val="06562220"/>
    <w:rsid w:val="06AF5991"/>
    <w:rsid w:val="074B4DF2"/>
    <w:rsid w:val="075524D7"/>
    <w:rsid w:val="0826583C"/>
    <w:rsid w:val="08AC2F18"/>
    <w:rsid w:val="08EE6740"/>
    <w:rsid w:val="09903A5B"/>
    <w:rsid w:val="09AA6B0A"/>
    <w:rsid w:val="09B5568E"/>
    <w:rsid w:val="0A856C30"/>
    <w:rsid w:val="0AB47F2A"/>
    <w:rsid w:val="0AC82E14"/>
    <w:rsid w:val="0BAD0343"/>
    <w:rsid w:val="0BB04180"/>
    <w:rsid w:val="0C2C7CAB"/>
    <w:rsid w:val="0C3571FF"/>
    <w:rsid w:val="0D4C4C89"/>
    <w:rsid w:val="0E6D3CDD"/>
    <w:rsid w:val="0E8D2557"/>
    <w:rsid w:val="0F77518B"/>
    <w:rsid w:val="0F9C2F06"/>
    <w:rsid w:val="10186CAC"/>
    <w:rsid w:val="110B1799"/>
    <w:rsid w:val="1117619B"/>
    <w:rsid w:val="112563F5"/>
    <w:rsid w:val="1144122A"/>
    <w:rsid w:val="115F1BDA"/>
    <w:rsid w:val="119157E6"/>
    <w:rsid w:val="11A82B01"/>
    <w:rsid w:val="11DC7A7D"/>
    <w:rsid w:val="128B3606"/>
    <w:rsid w:val="14665D24"/>
    <w:rsid w:val="14EA311B"/>
    <w:rsid w:val="157222F6"/>
    <w:rsid w:val="16C414B1"/>
    <w:rsid w:val="17C5010E"/>
    <w:rsid w:val="1810088A"/>
    <w:rsid w:val="190A3776"/>
    <w:rsid w:val="19297320"/>
    <w:rsid w:val="193B7A6B"/>
    <w:rsid w:val="194957E2"/>
    <w:rsid w:val="19D96564"/>
    <w:rsid w:val="1A2D37CA"/>
    <w:rsid w:val="1AAE3A41"/>
    <w:rsid w:val="1B2D1E0F"/>
    <w:rsid w:val="1B3B2E9D"/>
    <w:rsid w:val="1B5747FB"/>
    <w:rsid w:val="1B8D4A98"/>
    <w:rsid w:val="1C9C10DE"/>
    <w:rsid w:val="1CFD4F9F"/>
    <w:rsid w:val="1E624E22"/>
    <w:rsid w:val="1E6C2DEB"/>
    <w:rsid w:val="1E820A99"/>
    <w:rsid w:val="1E90793C"/>
    <w:rsid w:val="1F5C0C50"/>
    <w:rsid w:val="1FA607CC"/>
    <w:rsid w:val="1FE63CE8"/>
    <w:rsid w:val="20125347"/>
    <w:rsid w:val="201802E0"/>
    <w:rsid w:val="21C354A2"/>
    <w:rsid w:val="21C82F51"/>
    <w:rsid w:val="21F90CC0"/>
    <w:rsid w:val="22A34CB2"/>
    <w:rsid w:val="23B75C54"/>
    <w:rsid w:val="23C46526"/>
    <w:rsid w:val="24E54A43"/>
    <w:rsid w:val="25034EC9"/>
    <w:rsid w:val="25BD3609"/>
    <w:rsid w:val="26AF134E"/>
    <w:rsid w:val="26E36D60"/>
    <w:rsid w:val="27574607"/>
    <w:rsid w:val="276734B3"/>
    <w:rsid w:val="2956473B"/>
    <w:rsid w:val="2A3D1CDF"/>
    <w:rsid w:val="2A9B76FE"/>
    <w:rsid w:val="2AAD2577"/>
    <w:rsid w:val="2BEE7BFA"/>
    <w:rsid w:val="2C0D6C02"/>
    <w:rsid w:val="2C655D27"/>
    <w:rsid w:val="2C9D3A40"/>
    <w:rsid w:val="2D3B4634"/>
    <w:rsid w:val="2DC3417B"/>
    <w:rsid w:val="2DE93D59"/>
    <w:rsid w:val="2E60513A"/>
    <w:rsid w:val="2E8B228D"/>
    <w:rsid w:val="2EF35FAE"/>
    <w:rsid w:val="2F807842"/>
    <w:rsid w:val="2FE4197F"/>
    <w:rsid w:val="30352579"/>
    <w:rsid w:val="30D00355"/>
    <w:rsid w:val="316E7B6E"/>
    <w:rsid w:val="31D64091"/>
    <w:rsid w:val="32967180"/>
    <w:rsid w:val="329C4871"/>
    <w:rsid w:val="32DE7765"/>
    <w:rsid w:val="33010C9A"/>
    <w:rsid w:val="33674BFD"/>
    <w:rsid w:val="337A0A4C"/>
    <w:rsid w:val="33C331DC"/>
    <w:rsid w:val="342E0AC8"/>
    <w:rsid w:val="364621A2"/>
    <w:rsid w:val="374C6A20"/>
    <w:rsid w:val="37974C3A"/>
    <w:rsid w:val="37F94635"/>
    <w:rsid w:val="38895B61"/>
    <w:rsid w:val="38E94FE5"/>
    <w:rsid w:val="3AC107C7"/>
    <w:rsid w:val="3AEC222F"/>
    <w:rsid w:val="3AEE5047"/>
    <w:rsid w:val="3B190C3C"/>
    <w:rsid w:val="3B9711A7"/>
    <w:rsid w:val="3BD137DB"/>
    <w:rsid w:val="3C4165AB"/>
    <w:rsid w:val="3CE36864"/>
    <w:rsid w:val="3D27037D"/>
    <w:rsid w:val="3D850B8F"/>
    <w:rsid w:val="3EFA798A"/>
    <w:rsid w:val="3F584337"/>
    <w:rsid w:val="3FFC231A"/>
    <w:rsid w:val="41521A3E"/>
    <w:rsid w:val="419D1715"/>
    <w:rsid w:val="41CC2DBB"/>
    <w:rsid w:val="42C86F8D"/>
    <w:rsid w:val="42D80560"/>
    <w:rsid w:val="43430E5B"/>
    <w:rsid w:val="43CA24DE"/>
    <w:rsid w:val="44030F25"/>
    <w:rsid w:val="443E79B1"/>
    <w:rsid w:val="44BE2E8F"/>
    <w:rsid w:val="44ED5522"/>
    <w:rsid w:val="44F57717"/>
    <w:rsid w:val="45173EE8"/>
    <w:rsid w:val="454B473F"/>
    <w:rsid w:val="45714915"/>
    <w:rsid w:val="45F823D0"/>
    <w:rsid w:val="46431172"/>
    <w:rsid w:val="47F0239B"/>
    <w:rsid w:val="484E298E"/>
    <w:rsid w:val="48816BF8"/>
    <w:rsid w:val="48977804"/>
    <w:rsid w:val="48EE1869"/>
    <w:rsid w:val="490177EE"/>
    <w:rsid w:val="49AE2F15"/>
    <w:rsid w:val="49EE5569"/>
    <w:rsid w:val="4ABB577A"/>
    <w:rsid w:val="4ABE4653"/>
    <w:rsid w:val="4B4B2A29"/>
    <w:rsid w:val="4B7D0C6E"/>
    <w:rsid w:val="4BF75D90"/>
    <w:rsid w:val="4C0C0A89"/>
    <w:rsid w:val="4CB21515"/>
    <w:rsid w:val="4D2C0BB1"/>
    <w:rsid w:val="4D8C39CA"/>
    <w:rsid w:val="4E122D00"/>
    <w:rsid w:val="4E5E2927"/>
    <w:rsid w:val="4F7866DB"/>
    <w:rsid w:val="4F9A247A"/>
    <w:rsid w:val="4FB629B4"/>
    <w:rsid w:val="4FF260E2"/>
    <w:rsid w:val="50836D3A"/>
    <w:rsid w:val="51337FC8"/>
    <w:rsid w:val="514A5AAA"/>
    <w:rsid w:val="517221EA"/>
    <w:rsid w:val="519B6840"/>
    <w:rsid w:val="51C000AC"/>
    <w:rsid w:val="526E5A22"/>
    <w:rsid w:val="532950A2"/>
    <w:rsid w:val="533F623F"/>
    <w:rsid w:val="536F5752"/>
    <w:rsid w:val="53B813F1"/>
    <w:rsid w:val="5442607F"/>
    <w:rsid w:val="55A760D4"/>
    <w:rsid w:val="55B015CE"/>
    <w:rsid w:val="56107A43"/>
    <w:rsid w:val="56296B2A"/>
    <w:rsid w:val="569164B9"/>
    <w:rsid w:val="574A2360"/>
    <w:rsid w:val="58530CC9"/>
    <w:rsid w:val="59A541C5"/>
    <w:rsid w:val="59B27721"/>
    <w:rsid w:val="5A437BF3"/>
    <w:rsid w:val="5ABD2305"/>
    <w:rsid w:val="5ACA0E33"/>
    <w:rsid w:val="5BF60584"/>
    <w:rsid w:val="5C182A2D"/>
    <w:rsid w:val="5C7E53FF"/>
    <w:rsid w:val="5CE40B61"/>
    <w:rsid w:val="5D7A7717"/>
    <w:rsid w:val="5D8F31C2"/>
    <w:rsid w:val="5DAB5B22"/>
    <w:rsid w:val="5DF91BE5"/>
    <w:rsid w:val="5F9165FD"/>
    <w:rsid w:val="5FDA2EFF"/>
    <w:rsid w:val="60310B86"/>
    <w:rsid w:val="60563087"/>
    <w:rsid w:val="609C10B5"/>
    <w:rsid w:val="60E23609"/>
    <w:rsid w:val="61292712"/>
    <w:rsid w:val="628B3AAF"/>
    <w:rsid w:val="63511D57"/>
    <w:rsid w:val="63A308A2"/>
    <w:rsid w:val="63B079EF"/>
    <w:rsid w:val="649015CE"/>
    <w:rsid w:val="66906FB8"/>
    <w:rsid w:val="66C564EF"/>
    <w:rsid w:val="671771FC"/>
    <w:rsid w:val="676F5D62"/>
    <w:rsid w:val="694071DA"/>
    <w:rsid w:val="69EC5D0E"/>
    <w:rsid w:val="6A0D0354"/>
    <w:rsid w:val="6B6A0DCB"/>
    <w:rsid w:val="6BC4672D"/>
    <w:rsid w:val="6C4C0AD1"/>
    <w:rsid w:val="6C7D712C"/>
    <w:rsid w:val="6C7F0FAD"/>
    <w:rsid w:val="6D7D4DE5"/>
    <w:rsid w:val="6D9C243D"/>
    <w:rsid w:val="6DA943DF"/>
    <w:rsid w:val="6DE56617"/>
    <w:rsid w:val="6F187D41"/>
    <w:rsid w:val="6F5A4CB2"/>
    <w:rsid w:val="6FD41A03"/>
    <w:rsid w:val="6FE70842"/>
    <w:rsid w:val="71AB3FB5"/>
    <w:rsid w:val="71E847F7"/>
    <w:rsid w:val="73966C01"/>
    <w:rsid w:val="741C5549"/>
    <w:rsid w:val="74255B94"/>
    <w:rsid w:val="748D119D"/>
    <w:rsid w:val="749F1AE5"/>
    <w:rsid w:val="74F37D19"/>
    <w:rsid w:val="751002ED"/>
    <w:rsid w:val="75483F2B"/>
    <w:rsid w:val="75680129"/>
    <w:rsid w:val="760A0722"/>
    <w:rsid w:val="772205A1"/>
    <w:rsid w:val="77450125"/>
    <w:rsid w:val="774539FA"/>
    <w:rsid w:val="77472DB0"/>
    <w:rsid w:val="786468B7"/>
    <w:rsid w:val="79EC613E"/>
    <w:rsid w:val="7ABB0CFB"/>
    <w:rsid w:val="7BEE5100"/>
    <w:rsid w:val="7BF97907"/>
    <w:rsid w:val="7D3957CF"/>
    <w:rsid w:val="7DC4436B"/>
    <w:rsid w:val="7DE47C5D"/>
    <w:rsid w:val="7E1B6FAC"/>
    <w:rsid w:val="7E633F8B"/>
    <w:rsid w:val="7EF6799E"/>
    <w:rsid w:val="7F3A210C"/>
    <w:rsid w:val="7F914720"/>
    <w:rsid w:val="7FE323B7"/>
    <w:rsid w:val="7FED550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lang w:val="en-US" w:eastAsia="zh-CN" w:bidi="hi-IN"/>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color w:val="333333"/>
      <w:kern w:val="44"/>
      <w:sz w:val="42"/>
      <w:szCs w:val="42"/>
      <w:lang w:val="en-US" w:eastAsia="zh-CN" w:bidi="ar"/>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ind w:left="120"/>
    </w:pPr>
    <w:rPr>
      <w:rFonts w:ascii="宋体" w:hAnsi="宋体" w:eastAsia="宋体" w:cs="宋体"/>
      <w:sz w:val="32"/>
      <w:szCs w:val="32"/>
    </w:rPr>
  </w:style>
  <w:style w:type="paragraph" w:styleId="4">
    <w:name w:val="Body Text Indent"/>
    <w:basedOn w:val="5"/>
    <w:qFormat/>
    <w:uiPriority w:val="0"/>
    <w:pPr>
      <w:ind w:firstLine="881"/>
    </w:pPr>
    <w:rPr>
      <w:rFonts w:ascii="Times New Roman" w:hAnsi="Times New Roman" w:cs="Times New Roman"/>
      <w:sz w:val="28"/>
      <w:szCs w:val="24"/>
    </w:rPr>
  </w:style>
  <w:style w:type="paragraph" w:customStyle="1" w:styleId="5">
    <w:name w:val="正文文本1"/>
    <w:basedOn w:val="6"/>
    <w:qFormat/>
    <w:uiPriority w:val="0"/>
    <w:pPr>
      <w:ind w:left="120"/>
    </w:pPr>
    <w:rPr>
      <w:rFonts w:ascii="宋体" w:hAnsi="宋体" w:eastAsia="宋体" w:cs="宋体"/>
      <w:sz w:val="32"/>
      <w:szCs w:val="32"/>
    </w:rPr>
  </w:style>
  <w:style w:type="paragraph" w:customStyle="1" w:styleId="6">
    <w:name w:val="正文1"/>
    <w:next w:val="4"/>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7">
    <w:name w:val="Balloon Text"/>
    <w:basedOn w:val="1"/>
    <w:link w:val="23"/>
    <w:semiHidden/>
    <w:unhideWhenUsed/>
    <w:qFormat/>
    <w:uiPriority w:val="99"/>
    <w:rPr>
      <w:rFonts w:cs="Mangal"/>
      <w:sz w:val="18"/>
      <w:szCs w:val="16"/>
    </w:rPr>
  </w:style>
  <w:style w:type="paragraph" w:styleId="8">
    <w:name w:val="footer"/>
    <w:basedOn w:val="1"/>
    <w:link w:val="22"/>
    <w:semiHidden/>
    <w:unhideWhenUsed/>
    <w:qFormat/>
    <w:uiPriority w:val="99"/>
    <w:pPr>
      <w:tabs>
        <w:tab w:val="center" w:pos="4153"/>
        <w:tab w:val="right" w:pos="8306"/>
      </w:tabs>
      <w:snapToGrid w:val="0"/>
      <w:jc w:val="left"/>
    </w:pPr>
    <w:rPr>
      <w:rFonts w:cs="Mangal"/>
      <w:sz w:val="18"/>
      <w:szCs w:val="16"/>
    </w:rPr>
  </w:style>
  <w:style w:type="paragraph" w:styleId="9">
    <w:name w:val="header"/>
    <w:basedOn w:val="1"/>
    <w:link w:val="21"/>
    <w:semiHidden/>
    <w:unhideWhenUsed/>
    <w:qFormat/>
    <w:uiPriority w:val="99"/>
    <w:pPr>
      <w:pBdr>
        <w:bottom w:val="single" w:color="auto" w:sz="6" w:space="1"/>
      </w:pBdr>
      <w:tabs>
        <w:tab w:val="center" w:pos="4153"/>
        <w:tab w:val="right" w:pos="8306"/>
      </w:tabs>
      <w:snapToGrid w:val="0"/>
      <w:jc w:val="center"/>
    </w:pPr>
    <w:rPr>
      <w:rFonts w:cs="Mangal"/>
      <w:sz w:val="18"/>
      <w:szCs w:val="16"/>
    </w:rPr>
  </w:style>
  <w:style w:type="paragraph" w:styleId="10">
    <w:name w:val="footnote text"/>
    <w:basedOn w:val="1"/>
    <w:semiHidden/>
    <w:unhideWhenUsed/>
    <w:qFormat/>
    <w:uiPriority w:val="99"/>
    <w:pPr>
      <w:snapToGrid w:val="0"/>
      <w:jc w:val="left"/>
    </w:pPr>
    <w:rPr>
      <w:sz w:val="18"/>
    </w:rPr>
  </w:style>
  <w:style w:type="paragraph" w:styleId="11">
    <w:name w:val="Normal (Web)"/>
    <w:basedOn w:val="1"/>
    <w:qFormat/>
    <w:uiPriority w:val="0"/>
    <w:pPr>
      <w:spacing w:beforeAutospacing="1" w:afterAutospacing="1"/>
      <w:jc w:val="left"/>
    </w:pPr>
    <w:rPr>
      <w:sz w:val="24"/>
      <w:lang w:bidi="ar-SA"/>
    </w:rPr>
  </w:style>
  <w:style w:type="paragraph" w:styleId="12">
    <w:name w:val="Body Text First Indent"/>
    <w:basedOn w:val="3"/>
    <w:qFormat/>
    <w:uiPriority w:val="0"/>
    <w:pPr>
      <w:widowControl w:val="0"/>
      <w:spacing w:after="10" w:afterLines="0"/>
      <w:ind w:firstLine="881"/>
      <w:jc w:val="both"/>
    </w:pPr>
    <w:rPr>
      <w:rFonts w:ascii="Times New Roman" w:hAnsi="Times New Roman" w:eastAsia="宋体" w:cs="Times New Roman"/>
      <w:kern w:val="2"/>
      <w:sz w:val="28"/>
      <w:szCs w:val="24"/>
      <w:lang w:val="en-US" w:eastAsia="zh-CN" w:bidi="ar-SA"/>
    </w:rPr>
  </w:style>
  <w:style w:type="table" w:styleId="14">
    <w:name w:val="Table Grid"/>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footnote reference"/>
    <w:basedOn w:val="15"/>
    <w:unhideWhenUsed/>
    <w:qFormat/>
    <w:uiPriority w:val="99"/>
    <w:rPr>
      <w:vertAlign w:val="superscript"/>
    </w:rPr>
  </w:style>
  <w:style w:type="paragraph" w:customStyle="1" w:styleId="18">
    <w:name w:val="页脚1"/>
    <w:basedOn w:val="6"/>
    <w:semiHidden/>
    <w:unhideWhenUsed/>
    <w:qFormat/>
    <w:uiPriority w:val="99"/>
    <w:pPr>
      <w:tabs>
        <w:tab w:val="center" w:pos="4153"/>
        <w:tab w:val="right" w:pos="8306"/>
      </w:tabs>
      <w:snapToGrid w:val="0"/>
      <w:jc w:val="left"/>
    </w:pPr>
    <w:rPr>
      <w:sz w:val="18"/>
      <w:szCs w:val="18"/>
    </w:rPr>
  </w:style>
  <w:style w:type="paragraph" w:customStyle="1" w:styleId="19">
    <w:name w:val="页眉1"/>
    <w:basedOn w:val="6"/>
    <w:semiHidden/>
    <w:unhideWhenUsed/>
    <w:qFormat/>
    <w:uiPriority w:val="99"/>
    <w:pPr>
      <w:pBdr>
        <w:bottom w:val="single" w:color="000000" w:sz="6" w:space="1"/>
      </w:pBdr>
      <w:tabs>
        <w:tab w:val="center" w:pos="4153"/>
        <w:tab w:val="right" w:pos="8306"/>
      </w:tabs>
      <w:snapToGrid w:val="0"/>
      <w:jc w:val="center"/>
    </w:pPr>
    <w:rPr>
      <w:sz w:val="18"/>
      <w:szCs w:val="18"/>
    </w:rPr>
  </w:style>
  <w:style w:type="paragraph" w:customStyle="1" w:styleId="20">
    <w:name w:val="列表段落"/>
    <w:basedOn w:val="6"/>
    <w:qFormat/>
    <w:uiPriority w:val="34"/>
    <w:pPr>
      <w:ind w:firstLine="200" w:firstLineChars="200"/>
    </w:pPr>
  </w:style>
  <w:style w:type="character" w:customStyle="1" w:styleId="21">
    <w:name w:val="页眉 Char"/>
    <w:basedOn w:val="15"/>
    <w:link w:val="9"/>
    <w:semiHidden/>
    <w:qFormat/>
    <w:uiPriority w:val="99"/>
    <w:rPr>
      <w:rFonts w:cs="Mangal"/>
      <w:sz w:val="18"/>
      <w:szCs w:val="16"/>
      <w:lang w:bidi="hi-IN"/>
    </w:rPr>
  </w:style>
  <w:style w:type="character" w:customStyle="1" w:styleId="22">
    <w:name w:val="页脚 Char"/>
    <w:basedOn w:val="15"/>
    <w:link w:val="8"/>
    <w:semiHidden/>
    <w:qFormat/>
    <w:uiPriority w:val="99"/>
    <w:rPr>
      <w:rFonts w:cs="Mangal"/>
      <w:sz w:val="18"/>
      <w:szCs w:val="16"/>
      <w:lang w:bidi="hi-IN"/>
    </w:rPr>
  </w:style>
  <w:style w:type="character" w:customStyle="1" w:styleId="23">
    <w:name w:val="批注框文本 Char"/>
    <w:basedOn w:val="15"/>
    <w:link w:val="7"/>
    <w:semiHidden/>
    <w:qFormat/>
    <w:uiPriority w:val="99"/>
    <w:rPr>
      <w:rFonts w:cs="Mangal"/>
      <w:sz w:val="18"/>
      <w:szCs w:val="16"/>
      <w:lang w:bidi="hi-I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17</Pages>
  <Words>6980</Words>
  <Characters>7120</Characters>
  <Lines>41</Lines>
  <Paragraphs>11</Paragraphs>
  <TotalTime>36</TotalTime>
  <ScaleCrop>false</ScaleCrop>
  <LinksUpToDate>false</LinksUpToDate>
  <CharactersWithSpaces>7204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2023-05-29T00:51:00Z</dcterms:created>
  <dc:creator>???</dc:creator>
  <cp:lastModifiedBy>爱唱歌的王Sir</cp:lastModifiedBy>
  <cp:lastPrinted>2025-07-30T06:20:00Z</cp:lastPrinted>
  <dcterms:modified xsi:type="dcterms:W3CDTF">2025-08-19T08:24:16Z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7B4AEB1E6355443E9325754AAF80EDA0_13</vt:lpwstr>
  </property>
  <property fmtid="{D5CDD505-2E9C-101B-9397-08002B2CF9AE}" pid="3" name="KSOProductBuildVer">
    <vt:lpwstr>2052-12.1.0.21915</vt:lpwstr>
  </property>
  <property fmtid="{D5CDD505-2E9C-101B-9397-08002B2CF9AE}" pid="4" name="KSOTemplateDocerSaveRecord">
    <vt:lpwstr>eyJoZGlkIjoiZGQ5MGNjYWJiNmZkNjhlNjRhODdmMjFmNjY1MjUwMDgiLCJ1c2VySWQiOiIxMDg2MjgzNCJ9</vt:lpwstr>
  </property>
</Properties>
</file>