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E96B6B">
      <w:pPr>
        <w:pStyle w:val="6"/>
        <w:keepNext w:val="0"/>
        <w:keepLines w:val="0"/>
        <w:pageBreakBefore w:val="0"/>
        <w:widowControl w:val="0"/>
        <w:kinsoku/>
        <w:wordWrap/>
        <w:overflowPunct w:val="0"/>
        <w:topLinePunct w:val="0"/>
        <w:autoSpaceDE/>
        <w:autoSpaceDN/>
        <w:bidi w:val="0"/>
        <w:adjustRightInd/>
        <w:snapToGrid/>
        <w:spacing w:line="520" w:lineRule="atLeast"/>
        <w:ind w:left="0" w:leftChars="0" w:firstLine="880" w:firstLineChars="200"/>
        <w:jc w:val="both"/>
        <w:textAlignment w:val="auto"/>
        <w:rPr>
          <w:rFonts w:ascii="方正小标宋简体" w:hAnsi="方正小标宋简体" w:eastAsia="方正小标宋简体" w:cs="方正小标宋简体"/>
          <w:sz w:val="44"/>
          <w:szCs w:val="44"/>
        </w:rPr>
      </w:pPr>
    </w:p>
    <w:p w14:paraId="6FA00265">
      <w:pPr>
        <w:pStyle w:val="4"/>
        <w:keepNext w:val="0"/>
        <w:keepLines w:val="0"/>
        <w:pageBreakBefore w:val="0"/>
        <w:widowControl w:val="0"/>
        <w:kinsoku/>
        <w:wordWrap/>
        <w:topLinePunct w:val="0"/>
        <w:autoSpaceDE/>
        <w:autoSpaceDN/>
        <w:bidi w:val="0"/>
        <w:adjustRightInd/>
        <w:snapToGrid/>
        <w:spacing w:line="520" w:lineRule="atLeast"/>
        <w:ind w:left="0" w:leftChars="0" w:firstLine="880" w:firstLineChars="200"/>
        <w:jc w:val="both"/>
        <w:textAlignment w:val="auto"/>
        <w:rPr>
          <w:rFonts w:ascii="方正小标宋简体" w:hAnsi="方正小标宋简体" w:eastAsia="方正小标宋简体" w:cs="方正小标宋简体"/>
          <w:sz w:val="44"/>
          <w:szCs w:val="44"/>
        </w:rPr>
      </w:pPr>
    </w:p>
    <w:p w14:paraId="3C4B45DF">
      <w:pPr>
        <w:pStyle w:val="6"/>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lang w:val="en-US" w:eastAsia="zh-CN"/>
        </w:rPr>
      </w:pPr>
      <w:bookmarkStart w:id="0" w:name="_GoBack"/>
      <w:r>
        <w:rPr>
          <w:rFonts w:hint="eastAsia" w:ascii="方正小标宋简体" w:hAnsi="方正小标宋简体" w:eastAsia="方正小标宋简体" w:cs="方正小标宋简体"/>
          <w:b w:val="0"/>
          <w:bCs/>
          <w:sz w:val="44"/>
          <w:szCs w:val="44"/>
          <w:lang w:val="en-US" w:eastAsia="zh-CN"/>
        </w:rPr>
        <w:t>2025年江西电缆有限公司零星维简及固资</w:t>
      </w:r>
    </w:p>
    <w:p w14:paraId="5B3B0759">
      <w:pPr>
        <w:pStyle w:val="6"/>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限下工程项目“7·14”一般</w:t>
      </w:r>
    </w:p>
    <w:p w14:paraId="55BD73D6">
      <w:pPr>
        <w:pStyle w:val="6"/>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val="en-US" w:eastAsia="zh-CN"/>
        </w:rPr>
        <w:t>其他伤害事故调查报告</w:t>
      </w:r>
    </w:p>
    <w:bookmarkEnd w:id="0"/>
    <w:p w14:paraId="121EFD78">
      <w:pPr>
        <w:pStyle w:val="6"/>
        <w:keepNext w:val="0"/>
        <w:keepLines w:val="0"/>
        <w:pageBreakBefore w:val="0"/>
        <w:widowControl w:val="0"/>
        <w:kinsoku/>
        <w:wordWrap/>
        <w:overflowPunct/>
        <w:topLinePunct w:val="0"/>
        <w:autoSpaceDE/>
        <w:autoSpaceDN/>
        <w:bidi w:val="0"/>
        <w:adjustRightInd/>
        <w:snapToGrid/>
        <w:spacing w:line="520" w:lineRule="atLeast"/>
        <w:jc w:val="center"/>
        <w:textAlignment w:val="auto"/>
        <w:rPr>
          <w:rFonts w:hint="eastAsia" w:ascii="方正小标宋简体" w:hAnsi="方正小标宋简体" w:eastAsia="方正小标宋简体" w:cs="方正小标宋简体"/>
          <w:b w:val="0"/>
          <w:bCs/>
          <w:sz w:val="44"/>
          <w:szCs w:val="44"/>
          <w:lang w:val="en-US" w:eastAsia="zh-CN"/>
        </w:rPr>
      </w:pPr>
    </w:p>
    <w:p w14:paraId="4406E26F">
      <w:pPr>
        <w:pStyle w:val="6"/>
        <w:keepNext w:val="0"/>
        <w:keepLines w:val="0"/>
        <w:pageBreakBefore w:val="0"/>
        <w:widowControl w:val="0"/>
        <w:kinsoku/>
        <w:wordWrap/>
        <w:overflowPunct w:val="0"/>
        <w:topLinePunct w:val="0"/>
        <w:autoSpaceDE/>
        <w:autoSpaceDN/>
        <w:bidi w:val="0"/>
        <w:adjustRightInd/>
        <w:snapToGrid/>
        <w:spacing w:line="520" w:lineRule="atLeast"/>
        <w:ind w:left="0" w:leftChars="0" w:firstLine="880" w:firstLineChars="200"/>
        <w:jc w:val="both"/>
        <w:textAlignment w:val="auto"/>
        <w:rPr>
          <w:rFonts w:ascii="方正小标宋简体" w:hAnsi="方正小标宋简体" w:eastAsia="方正小标宋简体" w:cs="方正小标宋简体"/>
          <w:sz w:val="44"/>
          <w:szCs w:val="44"/>
        </w:rPr>
      </w:pPr>
    </w:p>
    <w:p w14:paraId="36A45A4A">
      <w:pPr>
        <w:pStyle w:val="4"/>
        <w:keepNext w:val="0"/>
        <w:keepLines w:val="0"/>
        <w:pageBreakBefore w:val="0"/>
        <w:widowControl w:val="0"/>
        <w:kinsoku/>
        <w:wordWrap/>
        <w:topLinePunct w:val="0"/>
        <w:autoSpaceDE/>
        <w:autoSpaceDN/>
        <w:bidi w:val="0"/>
        <w:adjustRightInd/>
        <w:snapToGrid/>
        <w:spacing w:line="520" w:lineRule="atLeast"/>
        <w:ind w:left="0" w:leftChars="0" w:firstLine="560" w:firstLineChars="200"/>
        <w:jc w:val="both"/>
        <w:textAlignment w:val="auto"/>
      </w:pPr>
    </w:p>
    <w:p w14:paraId="68F33DF1">
      <w:pPr>
        <w:pStyle w:val="6"/>
        <w:keepNext w:val="0"/>
        <w:keepLines w:val="0"/>
        <w:pageBreakBefore w:val="0"/>
        <w:widowControl w:val="0"/>
        <w:kinsoku/>
        <w:wordWrap/>
        <w:overflowPunct w:val="0"/>
        <w:topLinePunct w:val="0"/>
        <w:autoSpaceDE/>
        <w:autoSpaceDN/>
        <w:bidi w:val="0"/>
        <w:adjustRightInd/>
        <w:snapToGrid/>
        <w:spacing w:line="520" w:lineRule="atLeast"/>
        <w:ind w:left="0" w:leftChars="0" w:firstLine="880" w:firstLineChars="200"/>
        <w:jc w:val="both"/>
        <w:textAlignment w:val="auto"/>
        <w:rPr>
          <w:rFonts w:ascii="方正小标宋简体" w:hAnsi="方正小标宋简体" w:eastAsia="方正小标宋简体" w:cs="方正小标宋简体"/>
          <w:sz w:val="44"/>
          <w:szCs w:val="44"/>
        </w:rPr>
      </w:pPr>
    </w:p>
    <w:p w14:paraId="0C371838">
      <w:pPr>
        <w:pStyle w:val="6"/>
        <w:keepNext w:val="0"/>
        <w:keepLines w:val="0"/>
        <w:pageBreakBefore w:val="0"/>
        <w:widowControl w:val="0"/>
        <w:kinsoku/>
        <w:wordWrap/>
        <w:overflowPunct w:val="0"/>
        <w:topLinePunct w:val="0"/>
        <w:autoSpaceDE/>
        <w:autoSpaceDN/>
        <w:bidi w:val="0"/>
        <w:adjustRightInd/>
        <w:snapToGrid/>
        <w:spacing w:line="520" w:lineRule="atLeast"/>
        <w:ind w:left="0" w:leftChars="0" w:firstLine="880" w:firstLineChars="200"/>
        <w:jc w:val="both"/>
        <w:textAlignment w:val="auto"/>
        <w:rPr>
          <w:rFonts w:ascii="方正小标宋简体" w:hAnsi="方正小标宋简体" w:eastAsia="方正小标宋简体" w:cs="方正小标宋简体"/>
          <w:sz w:val="44"/>
          <w:szCs w:val="44"/>
        </w:rPr>
      </w:pPr>
    </w:p>
    <w:p w14:paraId="0C32D679">
      <w:pPr>
        <w:pStyle w:val="4"/>
        <w:keepNext w:val="0"/>
        <w:keepLines w:val="0"/>
        <w:pageBreakBefore w:val="0"/>
        <w:widowControl w:val="0"/>
        <w:kinsoku/>
        <w:wordWrap/>
        <w:topLinePunct w:val="0"/>
        <w:autoSpaceDE/>
        <w:autoSpaceDN/>
        <w:bidi w:val="0"/>
        <w:adjustRightInd/>
        <w:snapToGrid/>
        <w:spacing w:line="520" w:lineRule="atLeast"/>
        <w:ind w:left="0" w:leftChars="0" w:firstLine="880" w:firstLineChars="200"/>
        <w:textAlignment w:val="auto"/>
        <w:rPr>
          <w:rFonts w:ascii="方正小标宋简体" w:hAnsi="方正小标宋简体" w:eastAsia="方正小标宋简体" w:cs="方正小标宋简体"/>
          <w:sz w:val="44"/>
          <w:szCs w:val="44"/>
        </w:rPr>
      </w:pPr>
    </w:p>
    <w:p w14:paraId="37ED4458">
      <w:pPr>
        <w:pStyle w:val="6"/>
        <w:keepNext w:val="0"/>
        <w:keepLines w:val="0"/>
        <w:pageBreakBefore w:val="0"/>
        <w:widowControl w:val="0"/>
        <w:kinsoku/>
        <w:wordWrap/>
        <w:overflowPunct w:val="0"/>
        <w:topLinePunct w:val="0"/>
        <w:autoSpaceDE/>
        <w:autoSpaceDN/>
        <w:bidi w:val="0"/>
        <w:adjustRightInd/>
        <w:snapToGrid/>
        <w:spacing w:line="520" w:lineRule="atLeast"/>
        <w:jc w:val="center"/>
        <w:textAlignment w:val="auto"/>
        <w:rPr>
          <w:rFonts w:ascii="楷体_GB2312" w:hAnsi="楷体_GB2312" w:eastAsia="楷体_GB2312" w:cs="楷体_GB2312"/>
          <w:b/>
          <w:bCs/>
          <w:sz w:val="32"/>
          <w:szCs w:val="32"/>
        </w:rPr>
      </w:pPr>
      <w:r>
        <w:rPr>
          <w:rFonts w:hint="eastAsia" w:ascii="楷体_GB2312" w:hAnsi="楷体_GB2312" w:eastAsia="楷体_GB2312" w:cs="楷体_GB2312"/>
          <w:b/>
          <w:bCs/>
          <w:sz w:val="32"/>
          <w:szCs w:val="32"/>
          <w:lang w:val="en-US" w:eastAsia="zh-CN"/>
        </w:rPr>
        <w:t>吉州</w:t>
      </w:r>
      <w:r>
        <w:rPr>
          <w:rFonts w:hint="eastAsia" w:ascii="楷体_GB2312" w:hAnsi="楷体_GB2312" w:eastAsia="楷体_GB2312" w:cs="楷体_GB2312"/>
          <w:b/>
          <w:bCs/>
          <w:sz w:val="32"/>
          <w:szCs w:val="32"/>
        </w:rPr>
        <w:t>区政府调查组</w:t>
      </w:r>
    </w:p>
    <w:p w14:paraId="73166281">
      <w:pPr>
        <w:pStyle w:val="6"/>
        <w:keepNext w:val="0"/>
        <w:keepLines w:val="0"/>
        <w:pageBreakBefore w:val="0"/>
        <w:widowControl w:val="0"/>
        <w:kinsoku/>
        <w:wordWrap/>
        <w:overflowPunct w:val="0"/>
        <w:topLinePunct w:val="0"/>
        <w:autoSpaceDE/>
        <w:autoSpaceDN/>
        <w:bidi w:val="0"/>
        <w:adjustRightInd/>
        <w:snapToGrid/>
        <w:spacing w:line="520" w:lineRule="atLeast"/>
        <w:jc w:val="center"/>
        <w:textAlignment w:val="auto"/>
        <w:rPr>
          <w:rFonts w:ascii="方正楷体_GB2312" w:hAnsi="方正楷体_GB2312" w:eastAsia="方正楷体_GB2312" w:cs="方正楷体_GB2312"/>
          <w:b/>
          <w:bCs/>
          <w:sz w:val="32"/>
          <w:szCs w:val="32"/>
        </w:rPr>
      </w:pPr>
      <w:r>
        <w:rPr>
          <w:rFonts w:hint="eastAsia" w:ascii="楷体_GB2312" w:hAnsi="楷体_GB2312" w:eastAsia="楷体_GB2312" w:cs="楷体_GB2312"/>
          <w:b/>
          <w:bCs/>
          <w:sz w:val="32"/>
          <w:szCs w:val="32"/>
        </w:rPr>
        <w:t>202</w:t>
      </w:r>
      <w:r>
        <w:rPr>
          <w:rFonts w:hint="eastAsia" w:ascii="楷体_GB2312" w:hAnsi="楷体_GB2312" w:eastAsia="楷体_GB2312" w:cs="楷体_GB2312"/>
          <w:b/>
          <w:bCs/>
          <w:sz w:val="32"/>
          <w:szCs w:val="32"/>
          <w:lang w:val="en-US" w:eastAsia="zh-CN"/>
        </w:rPr>
        <w:t>5</w:t>
      </w:r>
      <w:r>
        <w:rPr>
          <w:rFonts w:hint="eastAsia" w:ascii="楷体_GB2312" w:hAnsi="楷体_GB2312" w:eastAsia="楷体_GB2312" w:cs="楷体_GB2312"/>
          <w:b/>
          <w:bCs/>
          <w:sz w:val="32"/>
          <w:szCs w:val="32"/>
        </w:rPr>
        <w:t>年</w:t>
      </w:r>
      <w:r>
        <w:rPr>
          <w:rFonts w:hint="eastAsia" w:ascii="楷体_GB2312" w:hAnsi="楷体_GB2312" w:eastAsia="楷体_GB2312" w:cs="楷体_GB2312"/>
          <w:b/>
          <w:bCs/>
          <w:sz w:val="32"/>
          <w:szCs w:val="32"/>
          <w:lang w:val="en-US" w:eastAsia="zh-CN"/>
        </w:rPr>
        <w:t>9</w:t>
      </w:r>
      <w:r>
        <w:rPr>
          <w:rFonts w:hint="eastAsia" w:ascii="楷体_GB2312" w:hAnsi="楷体_GB2312" w:eastAsia="楷体_GB2312" w:cs="楷体_GB2312"/>
          <w:b/>
          <w:bCs/>
          <w:sz w:val="32"/>
          <w:szCs w:val="32"/>
        </w:rPr>
        <w:t>月</w:t>
      </w:r>
    </w:p>
    <w:p w14:paraId="2EB96886">
      <w:pPr>
        <w:pStyle w:val="6"/>
        <w:keepNext w:val="0"/>
        <w:keepLines w:val="0"/>
        <w:pageBreakBefore w:val="0"/>
        <w:widowControl w:val="0"/>
        <w:kinsoku/>
        <w:wordWrap/>
        <w:overflowPunct w:val="0"/>
        <w:topLinePunct w:val="0"/>
        <w:autoSpaceDE/>
        <w:autoSpaceDN/>
        <w:bidi w:val="0"/>
        <w:adjustRightInd/>
        <w:snapToGrid/>
        <w:spacing w:line="520" w:lineRule="atLeast"/>
        <w:ind w:left="0" w:leftChars="0" w:firstLine="880" w:firstLineChars="200"/>
        <w:jc w:val="both"/>
        <w:textAlignment w:val="auto"/>
        <w:rPr>
          <w:rFonts w:ascii="方正小标宋简体" w:hAnsi="方正小标宋简体" w:eastAsia="方正小标宋简体" w:cs="方正小标宋简体"/>
          <w:sz w:val="44"/>
          <w:szCs w:val="44"/>
        </w:rPr>
      </w:pPr>
    </w:p>
    <w:p w14:paraId="5F5BC137">
      <w:pPr>
        <w:pStyle w:val="6"/>
        <w:keepNext w:val="0"/>
        <w:keepLines w:val="0"/>
        <w:pageBreakBefore w:val="0"/>
        <w:widowControl w:val="0"/>
        <w:kinsoku/>
        <w:wordWrap/>
        <w:overflowPunct w:val="0"/>
        <w:topLinePunct w:val="0"/>
        <w:autoSpaceDE/>
        <w:autoSpaceDN/>
        <w:bidi w:val="0"/>
        <w:adjustRightInd/>
        <w:snapToGrid/>
        <w:spacing w:line="520" w:lineRule="atLeast"/>
        <w:jc w:val="both"/>
        <w:textAlignment w:val="auto"/>
        <w:rPr>
          <w:rFonts w:ascii="方正小标宋简体" w:hAnsi="方正小标宋简体" w:eastAsia="方正小标宋简体" w:cs="方正小标宋简体"/>
          <w:sz w:val="44"/>
          <w:szCs w:val="44"/>
        </w:rPr>
      </w:pPr>
    </w:p>
    <w:p w14:paraId="335988B9">
      <w:pPr>
        <w:pStyle w:val="4"/>
        <w:keepNext w:val="0"/>
        <w:keepLines w:val="0"/>
        <w:pageBreakBefore w:val="0"/>
        <w:widowControl w:val="0"/>
        <w:kinsoku/>
        <w:wordWrap/>
        <w:topLinePunct w:val="0"/>
        <w:autoSpaceDE/>
        <w:autoSpaceDN/>
        <w:bidi w:val="0"/>
        <w:adjustRightInd/>
        <w:snapToGrid/>
        <w:spacing w:line="520" w:lineRule="atLeast"/>
        <w:ind w:left="0" w:leftChars="0" w:firstLine="643" w:firstLineChars="200"/>
        <w:jc w:val="both"/>
        <w:textAlignment w:val="auto"/>
        <w:rPr>
          <w:b/>
          <w:bCs/>
          <w:sz w:val="32"/>
          <w:szCs w:val="32"/>
        </w:rPr>
        <w:sectPr>
          <w:pgSz w:w="11906" w:h="16838"/>
          <w:pgMar w:top="1440" w:right="1519" w:bottom="1440" w:left="1576" w:header="851" w:footer="992" w:gutter="0"/>
          <w:pgNumType w:fmt="decimal" w:start="1"/>
          <w:cols w:space="720" w:num="1"/>
          <w:formProt w:val="0"/>
          <w:docGrid w:type="lines" w:linePitch="312" w:charSpace="43007"/>
        </w:sectPr>
      </w:pPr>
    </w:p>
    <w:p w14:paraId="1BE032C4">
      <w:pPr>
        <w:pStyle w:val="4"/>
        <w:keepNext w:val="0"/>
        <w:keepLines w:val="0"/>
        <w:pageBreakBefore w:val="0"/>
        <w:widowControl w:val="0"/>
        <w:kinsoku/>
        <w:wordWrap/>
        <w:topLinePunct w:val="0"/>
        <w:autoSpaceDE/>
        <w:autoSpaceDN/>
        <w:bidi w:val="0"/>
        <w:adjustRightInd/>
        <w:snapToGrid/>
        <w:spacing w:line="520" w:lineRule="atLeast"/>
        <w:ind w:left="0" w:leftChars="0" w:firstLine="0" w:firstLineChars="0"/>
        <w:jc w:val="center"/>
        <w:textAlignment w:val="auto"/>
        <w:rPr>
          <w:rFonts w:hint="default" w:eastAsia="宋体"/>
          <w:b/>
          <w:bCs/>
          <w:sz w:val="32"/>
          <w:szCs w:val="32"/>
          <w:lang w:val="en-US" w:eastAsia="zh-CN"/>
        </w:rPr>
      </w:pPr>
      <w:r>
        <w:rPr>
          <w:rFonts w:hint="eastAsia"/>
          <w:b/>
          <w:bCs/>
          <w:sz w:val="32"/>
          <w:szCs w:val="32"/>
        </w:rPr>
        <w:t>目</w:t>
      </w:r>
      <w:r>
        <w:rPr>
          <w:rFonts w:hint="eastAsia"/>
          <w:b/>
          <w:bCs/>
          <w:sz w:val="32"/>
          <w:szCs w:val="32"/>
          <w:lang w:eastAsia="zh-CN"/>
        </w:rPr>
        <w:t>　</w:t>
      </w:r>
      <w:r>
        <w:rPr>
          <w:rFonts w:hint="eastAsia"/>
          <w:b/>
          <w:bCs/>
          <w:sz w:val="32"/>
          <w:szCs w:val="32"/>
        </w:rPr>
        <w:t>录</w:t>
      </w:r>
    </w:p>
    <w:p w14:paraId="30407E54">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atLeas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黑体" w:hAnsi="黑体" w:eastAsia="黑体" w:cs="黑体"/>
          <w:b w:val="0"/>
          <w:bCs w:val="0"/>
          <w:sz w:val="24"/>
          <w:szCs w:val="24"/>
          <w:lang w:val="en-US" w:eastAsia="zh-CN"/>
        </w:rPr>
        <w:t>一、事故基本情况</w:t>
      </w:r>
      <w:r>
        <w:rPr>
          <w:rFonts w:hint="eastAsia" w:ascii="黑体" w:hAnsi="黑体" w:eastAsia="黑体" w:cs="黑体"/>
          <w:b w:val="0"/>
          <w:bCs w:val="0"/>
          <w:sz w:val="24"/>
          <w:szCs w:val="24"/>
          <w:lang w:val="en-US" w:eastAsia="zh-CN"/>
        </w:rPr>
        <w:tab/>
      </w:r>
      <w:r>
        <w:rPr>
          <w:rFonts w:hint="eastAsia" w:ascii="宋体" w:hAnsi="宋体" w:eastAsia="宋体" w:cs="宋体"/>
          <w:b w:val="0"/>
          <w:bCs w:val="0"/>
          <w:sz w:val="24"/>
          <w:szCs w:val="24"/>
          <w:lang w:val="en-US" w:eastAsia="zh-CN"/>
        </w:rPr>
        <w:t>1</w:t>
      </w:r>
    </w:p>
    <w:p w14:paraId="45D23CDF">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atLeas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（一）项目概况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w:t>
      </w:r>
    </w:p>
    <w:p w14:paraId="2C49AF3E">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atLeas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（二）事故相关单位概况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2</w:t>
      </w:r>
    </w:p>
    <w:p w14:paraId="0DC95809">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atLeas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（三）事故发生单位安全管理情况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4</w:t>
      </w:r>
    </w:p>
    <w:p w14:paraId="20E68AE8">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atLeas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（四）事故发生经过</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4</w:t>
      </w:r>
    </w:p>
    <w:p w14:paraId="4D75516D">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atLeas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（五）事故现场情况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5</w:t>
      </w:r>
    </w:p>
    <w:p w14:paraId="681E52B4">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atLeas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（六）人员伤亡和直接经济损失情况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6</w:t>
      </w:r>
    </w:p>
    <w:p w14:paraId="2D143163">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atLeas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黑体" w:hAnsi="黑体" w:eastAsia="黑体" w:cs="黑体"/>
          <w:b w:val="0"/>
          <w:bCs w:val="0"/>
          <w:sz w:val="24"/>
          <w:szCs w:val="24"/>
          <w:lang w:val="en-US" w:eastAsia="zh-CN"/>
        </w:rPr>
        <w:t>二、事故应急处置评估情况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6</w:t>
      </w:r>
    </w:p>
    <w:p w14:paraId="58F530FA">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atLeas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（一）事故信息接报及响应情况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6</w:t>
      </w:r>
    </w:p>
    <w:p w14:paraId="4C0FBF9E">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atLeas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（二）事故现场应急处置情况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6</w:t>
      </w:r>
    </w:p>
    <w:p w14:paraId="39D2A06D">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atLeas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（三）医疗救助善后情况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7</w:t>
      </w:r>
    </w:p>
    <w:p w14:paraId="39A8B114">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atLeas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（四）事故应急处置评估</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7</w:t>
      </w:r>
    </w:p>
    <w:p w14:paraId="40B238DC">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atLeas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黑体" w:hAnsi="黑体" w:eastAsia="黑体" w:cs="黑体"/>
          <w:b w:val="0"/>
          <w:bCs w:val="0"/>
          <w:sz w:val="24"/>
          <w:szCs w:val="24"/>
          <w:lang w:val="en-US" w:eastAsia="zh-CN"/>
        </w:rPr>
        <w:t>三、事故原因分析</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7</w:t>
      </w:r>
    </w:p>
    <w:p w14:paraId="5FB50336">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atLeas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（一）直接原因分析</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7</w:t>
      </w:r>
    </w:p>
    <w:p w14:paraId="526BAB57">
      <w:pPr>
        <w:pStyle w:val="4"/>
        <w:keepNext w:val="0"/>
        <w:keepLines w:val="0"/>
        <w:pageBreakBefore w:val="0"/>
        <w:widowControl w:val="0"/>
        <w:kinsoku/>
        <w:wordWrap/>
        <w:topLinePunct w:val="0"/>
        <w:autoSpaceDE/>
        <w:autoSpaceDN/>
        <w:bidi w:val="0"/>
        <w:adjustRightInd/>
        <w:snapToGrid/>
        <w:spacing w:line="520" w:lineRule="atLeast"/>
        <w:ind w:left="0" w:leftChars="0" w:firstLine="482" w:firstLineChars="200"/>
        <w:jc w:val="both"/>
        <w:textAlignment w:val="auto"/>
        <w:rPr>
          <w:rFonts w:ascii="宋体" w:hAnsi="宋体" w:cs="宋体"/>
          <w:b/>
          <w:sz w:val="24"/>
        </w:rPr>
      </w:pPr>
    </w:p>
    <w:p w14:paraId="7D5380C8">
      <w:pPr>
        <w:pStyle w:val="6"/>
        <w:keepNext w:val="0"/>
        <w:keepLines w:val="0"/>
        <w:pageBreakBefore w:val="0"/>
        <w:widowControl w:val="0"/>
        <w:tabs>
          <w:tab w:val="left" w:pos="8091"/>
        </w:tabs>
        <w:kinsoku/>
        <w:wordWrap/>
        <w:overflowPunct w:val="0"/>
        <w:topLinePunct w:val="0"/>
        <w:autoSpaceDE/>
        <w:autoSpaceDN/>
        <w:bidi w:val="0"/>
        <w:adjustRightInd/>
        <w:snapToGrid/>
        <w:spacing w:line="520" w:lineRule="atLeast"/>
        <w:ind w:left="0" w:leftChars="0" w:firstLine="482" w:firstLineChars="200"/>
        <w:jc w:val="both"/>
        <w:textAlignment w:val="auto"/>
        <w:rPr>
          <w:rFonts w:hint="default" w:ascii="宋体" w:hAnsi="宋体" w:eastAsia="宋体" w:cs="宋体"/>
          <w:b/>
          <w:sz w:val="24"/>
          <w:szCs w:val="24"/>
          <w:lang w:val="en-US" w:eastAsia="zh-CN"/>
        </w:rPr>
        <w:sectPr>
          <w:footerReference r:id="rId5" w:type="default"/>
          <w:pgSz w:w="11906" w:h="16838"/>
          <w:pgMar w:top="1440" w:right="1519" w:bottom="1440" w:left="1576" w:header="851" w:footer="992" w:gutter="0"/>
          <w:pgNumType w:fmt="decimal" w:start="1"/>
          <w:cols w:space="720" w:num="1"/>
          <w:formProt w:val="0"/>
          <w:docGrid w:type="lines" w:linePitch="312" w:charSpace="43007"/>
        </w:sectPr>
      </w:pPr>
    </w:p>
    <w:p w14:paraId="0E623F23">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2025年7月14日，2025年江西电缆有限公司零星维简及固资限下工程项目，1名工人在刷油漆时突发疾病死亡，直接经济损失约91万元。</w:t>
      </w:r>
    </w:p>
    <w:p w14:paraId="2326090A">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依据《中华人民共和国安全生产法》和《生产安全事故报告和调查处理条例》（国务院令第493号）等有关法律法规，吉州区政府成立由区应急管理局牵头，区公安分局、区工信局、区住建局、区总工会、区人社局、区疾控中心等部门组成的2025年江西电缆有限公司零星维简及固资限下工程项目“7·14”一般其他伤害事故调查组（以下简称事故调查组）负责事故调查工作，并邀请区纪委监委和</w:t>
      </w:r>
      <w:r>
        <w:rPr>
          <w:rFonts w:hint="eastAsia" w:ascii="仿宋_GB2312" w:hAnsi="仿宋" w:eastAsia="仿宋_GB2312"/>
          <w:sz w:val="32"/>
          <w:szCs w:val="32"/>
          <w:lang w:val="en-US" w:eastAsia="zh-CN"/>
        </w:rPr>
        <w:t>事故发生单位属地政府派人参与事故调查</w:t>
      </w:r>
      <w:r>
        <w:rPr>
          <w:rFonts w:hint="eastAsia" w:ascii="仿宋_GB2312" w:eastAsia="仿宋_GB2312"/>
          <w:color w:val="000000"/>
          <w:sz w:val="32"/>
          <w:szCs w:val="32"/>
          <w:lang w:val="en-US" w:eastAsia="zh-CN"/>
        </w:rPr>
        <w:t>。</w:t>
      </w:r>
    </w:p>
    <w:p w14:paraId="046CC6B2">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事故调查组按照“科学严谨、依法依规、实事求是、注重实效”和“四不放过”的原则，认真开展事故调查工作。通过现场勘查、问询调查、查阅有关资料和综合分析，查清了事故发生经过、原因，认定了事故性质和责任。</w:t>
      </w:r>
    </w:p>
    <w:p w14:paraId="439F2E66">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经调查认定：</w:t>
      </w:r>
      <w:r>
        <w:rPr>
          <w:rFonts w:hint="eastAsia" w:ascii="仿宋_GB2312" w:hAnsi="仿宋_GB2312" w:eastAsia="仿宋_GB2312" w:cs="仿宋_GB2312"/>
          <w:sz w:val="32"/>
          <w:szCs w:val="32"/>
          <w:lang w:val="en-US" w:eastAsia="zh-CN"/>
        </w:rPr>
        <w:t>2025年江西电缆有限公司零星维简及固资限下工程项目“7·14”一般其他伤害事故，因杨某自身患有心脏病（肥厚性心肌病），突发心脏病猝死，是一起非生产安全事故。现将有关情况报告如下：</w:t>
      </w:r>
    </w:p>
    <w:p w14:paraId="5E2D441D">
      <w:pPr>
        <w:pStyle w:val="6"/>
        <w:keepNext w:val="0"/>
        <w:keepLines w:val="0"/>
        <w:pageBreakBefore w:val="0"/>
        <w:widowControl w:val="0"/>
        <w:numPr>
          <w:ilvl w:val="0"/>
          <w:numId w:val="1"/>
        </w:numPr>
        <w:kinsoku/>
        <w:wordWrap/>
        <w:overflowPunct w:val="0"/>
        <w:topLinePunct w:val="0"/>
        <w:autoSpaceDE/>
        <w:autoSpaceDN/>
        <w:bidi w:val="0"/>
        <w:adjustRightInd/>
        <w:snapToGrid/>
        <w:spacing w:line="560" w:lineRule="exact"/>
        <w:ind w:left="0" w:leftChars="0" w:firstLine="643" w:firstLineChars="200"/>
        <w:jc w:val="both"/>
        <w:textAlignment w:val="auto"/>
        <w:rPr>
          <w:rFonts w:ascii="黑体" w:hAnsi="黑体" w:eastAsia="黑体" w:cs="黑体"/>
          <w:b/>
          <w:sz w:val="32"/>
          <w:szCs w:val="32"/>
        </w:rPr>
      </w:pPr>
      <w:r>
        <w:rPr>
          <w:rFonts w:hint="eastAsia" w:ascii="黑体" w:hAnsi="黑体" w:eastAsia="黑体" w:cs="黑体"/>
          <w:b/>
          <w:sz w:val="32"/>
          <w:szCs w:val="32"/>
        </w:rPr>
        <w:t>事故</w:t>
      </w:r>
      <w:r>
        <w:rPr>
          <w:rFonts w:ascii="黑体" w:hAnsi="黑体" w:eastAsia="黑体" w:cs="黑体"/>
          <w:b/>
          <w:sz w:val="32"/>
          <w:szCs w:val="32"/>
        </w:rPr>
        <w:t>基本情况</w:t>
      </w:r>
    </w:p>
    <w:p w14:paraId="5A2FBD39">
      <w:pPr>
        <w:pStyle w:val="6"/>
        <w:keepNext w:val="0"/>
        <w:keepLines w:val="0"/>
        <w:pageBreakBefore w:val="0"/>
        <w:widowControl w:val="0"/>
        <w:numPr>
          <w:ilvl w:val="0"/>
          <w:numId w:val="2"/>
        </w:numPr>
        <w:kinsoku/>
        <w:wordWrap/>
        <w:overflowPunct w:val="0"/>
        <w:topLinePunct w:val="0"/>
        <w:autoSpaceDE/>
        <w:autoSpaceDN/>
        <w:bidi w:val="0"/>
        <w:adjustRightInd/>
        <w:snapToGrid/>
        <w:spacing w:line="560" w:lineRule="exact"/>
        <w:ind w:left="0" w:leftChars="0" w:firstLine="643" w:firstLineChars="200"/>
        <w:jc w:val="both"/>
        <w:textAlignment w:val="auto"/>
        <w:rPr>
          <w:rFonts w:ascii="楷体" w:hAnsi="楷体" w:eastAsia="楷体" w:cs="楷体"/>
          <w:b/>
          <w:sz w:val="32"/>
          <w:szCs w:val="32"/>
        </w:rPr>
      </w:pPr>
      <w:r>
        <w:rPr>
          <w:rFonts w:ascii="楷体" w:hAnsi="楷体" w:eastAsia="楷体" w:cs="楷体"/>
          <w:b/>
          <w:sz w:val="32"/>
          <w:szCs w:val="32"/>
        </w:rPr>
        <w:t>项目概况</w:t>
      </w:r>
    </w:p>
    <w:p w14:paraId="12873D79">
      <w:pPr>
        <w:pStyle w:val="4"/>
        <w:keepNext w:val="0"/>
        <w:keepLines w:val="0"/>
        <w:pageBreakBefore w:val="0"/>
        <w:kinsoku/>
        <w:wordWrap/>
        <w:topLinePunct w:val="0"/>
        <w:autoSpaceDE/>
        <w:autoSpaceDN/>
        <w:bidi w:val="0"/>
        <w:adjustRightInd/>
        <w:snapToGrid/>
        <w:spacing w:line="560" w:lineRule="exact"/>
        <w:jc w:val="both"/>
        <w:textAlignment w:val="auto"/>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2025年江西电缆有限公司零星维简及固资限下工程项目，项目主要工程内容：是</w:t>
      </w:r>
      <w:r>
        <w:rPr>
          <w:rFonts w:hint="eastAsia" w:ascii="仿宋_GB2312" w:hAnsi="仿宋_GB2312" w:eastAsia="仿宋_GB2312" w:cs="仿宋_GB2312"/>
          <w:b w:val="0"/>
          <w:bCs w:val="0"/>
          <w:color w:val="auto"/>
          <w:sz w:val="32"/>
          <w:szCs w:val="32"/>
          <w:lang w:val="en-US" w:eastAsia="zh-CN"/>
        </w:rPr>
        <w:t>对厂区车间、办公楼及宿舍食堂的日常修缮，零星维简，如车间设备安装，建筑物修缮翻新，办公楼及宿舍楼五金备件的更换等。</w:t>
      </w:r>
      <w:r>
        <w:rPr>
          <w:rFonts w:hint="eastAsia" w:ascii="仿宋_GB2312" w:eastAsia="仿宋_GB2312"/>
          <w:color w:val="000000"/>
          <w:sz w:val="32"/>
          <w:szCs w:val="32"/>
          <w:lang w:val="en-US" w:eastAsia="zh-CN"/>
        </w:rPr>
        <w:t>位于庐陵新区禾埠街道。</w:t>
      </w:r>
    </w:p>
    <w:p w14:paraId="7ABD029A">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FF0000"/>
          <w:sz w:val="32"/>
          <w:szCs w:val="32"/>
        </w:rPr>
      </w:pPr>
      <w:r>
        <w:rPr>
          <w:rFonts w:ascii="仿宋_GB2312" w:hAnsi="仿宋_GB2312" w:eastAsia="仿宋_GB2312" w:cs="仿宋_GB2312"/>
          <w:b w:val="0"/>
          <w:bCs w:val="0"/>
          <w:color w:val="auto"/>
          <w:sz w:val="32"/>
          <w:szCs w:val="32"/>
        </w:rPr>
        <w:t>该</w:t>
      </w:r>
      <w:r>
        <w:rPr>
          <w:rFonts w:ascii="仿宋_GB2312" w:hAnsi="仿宋_GB2312" w:eastAsia="仿宋_GB2312" w:cs="仿宋_GB2312"/>
          <w:b w:val="0"/>
          <w:bCs w:val="0"/>
          <w:color w:val="auto"/>
          <w:sz w:val="32"/>
          <w:szCs w:val="32"/>
          <w:lang w:val="en-US" w:eastAsia="zh-CN"/>
        </w:rPr>
        <w:t>项目</w:t>
      </w:r>
      <w:r>
        <w:rPr>
          <w:rFonts w:hint="eastAsia" w:ascii="仿宋_GB2312" w:hAnsi="仿宋_GB2312" w:eastAsia="仿宋_GB2312" w:cs="仿宋_GB2312"/>
          <w:b w:val="0"/>
          <w:bCs w:val="0"/>
          <w:color w:val="auto"/>
          <w:sz w:val="32"/>
          <w:szCs w:val="32"/>
          <w:lang w:val="en-US" w:eastAsia="zh-CN"/>
        </w:rPr>
        <w:t>发包</w:t>
      </w:r>
      <w:r>
        <w:rPr>
          <w:rFonts w:ascii="仿宋_GB2312" w:hAnsi="仿宋_GB2312" w:eastAsia="仿宋_GB2312" w:cs="仿宋_GB2312"/>
          <w:b w:val="0"/>
          <w:bCs w:val="0"/>
          <w:color w:val="auto"/>
          <w:sz w:val="32"/>
          <w:szCs w:val="32"/>
          <w:lang w:val="en-US" w:eastAsia="zh-CN"/>
        </w:rPr>
        <w:t>单位：</w:t>
      </w:r>
      <w:r>
        <w:rPr>
          <w:rFonts w:ascii="仿宋_GB2312" w:hAnsi="仿宋_GB2312" w:eastAsia="仿宋_GB2312" w:cs="仿宋_GB2312"/>
          <w:b w:val="0"/>
          <w:bCs w:val="0"/>
          <w:color w:val="auto"/>
          <w:sz w:val="32"/>
          <w:szCs w:val="32"/>
        </w:rPr>
        <w:t>江西电缆有限责任公司</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以下简称江西电缆公司</w:t>
      </w:r>
      <w:r>
        <w:rPr>
          <w:rFonts w:hint="eastAsia" w:ascii="仿宋_GB2312" w:hAnsi="仿宋_GB2312" w:eastAsia="仿宋_GB2312" w:cs="仿宋_GB2312"/>
          <w:b w:val="0"/>
          <w:bCs w:val="0"/>
          <w:color w:val="auto"/>
          <w:sz w:val="32"/>
          <w:szCs w:val="32"/>
          <w:lang w:eastAsia="zh-CN"/>
        </w:rPr>
        <w:t>）</w:t>
      </w:r>
      <w:r>
        <w:rPr>
          <w:rFonts w:ascii="仿宋_GB2312" w:hAnsi="仿宋_GB2312" w:eastAsia="仿宋_GB2312" w:cs="仿宋_GB2312"/>
          <w:b w:val="0"/>
          <w:bCs w:val="0"/>
          <w:color w:val="auto"/>
          <w:sz w:val="32"/>
          <w:szCs w:val="32"/>
          <w:lang w:val="en-US" w:eastAsia="zh-CN"/>
        </w:rPr>
        <w:t>；</w:t>
      </w:r>
      <w:r>
        <w:rPr>
          <w:rFonts w:ascii="仿宋_GB2312" w:hAnsi="仿宋_GB2312" w:eastAsia="仿宋_GB2312" w:cs="仿宋_GB2312"/>
          <w:b w:val="0"/>
          <w:bCs w:val="0"/>
          <w:color w:val="auto"/>
          <w:sz w:val="32"/>
          <w:szCs w:val="32"/>
        </w:rPr>
        <w:t>施工单位：</w:t>
      </w:r>
      <w:r>
        <w:rPr>
          <w:rFonts w:hint="eastAsia" w:ascii="仿宋_GB2312" w:hAnsi="仿宋_GB2312" w:eastAsia="仿宋_GB2312" w:cs="仿宋_GB2312"/>
          <w:b w:val="0"/>
          <w:bCs w:val="0"/>
          <w:color w:val="auto"/>
          <w:sz w:val="32"/>
          <w:szCs w:val="32"/>
          <w:lang w:val="en-US" w:eastAsia="zh-CN"/>
        </w:rPr>
        <w:t>德兴市雄鹰建筑企业有限公司</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以下简称德兴雄鹰公司</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w:t>
      </w:r>
    </w:p>
    <w:p w14:paraId="5D930A7B">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olor w:val="000000"/>
          <w:sz w:val="32"/>
          <w:szCs w:val="32"/>
          <w:lang w:val="en-US" w:eastAsia="zh-CN"/>
        </w:rPr>
      </w:pPr>
      <w:r>
        <w:rPr>
          <w:rFonts w:hint="eastAsia" w:ascii="仿宋_GB2312" w:hAnsi="仿宋_GB2312" w:eastAsia="仿宋_GB2312" w:cs="仿宋_GB2312"/>
          <w:b w:val="0"/>
          <w:bCs w:val="0"/>
          <w:color w:val="auto"/>
          <w:sz w:val="32"/>
          <w:szCs w:val="32"/>
          <w:lang w:val="en-US" w:eastAsia="zh-CN"/>
        </w:rPr>
        <w:t>合同签订情况：2025年4月2日，</w:t>
      </w:r>
      <w:r>
        <w:rPr>
          <w:rFonts w:ascii="仿宋_GB2312" w:hAnsi="仿宋_GB2312" w:eastAsia="仿宋_GB2312" w:cs="仿宋_GB2312"/>
          <w:b w:val="0"/>
          <w:bCs w:val="0"/>
          <w:color w:val="auto"/>
          <w:sz w:val="32"/>
          <w:szCs w:val="32"/>
        </w:rPr>
        <w:t>江西</w:t>
      </w:r>
      <w:r>
        <w:rPr>
          <w:rFonts w:hint="eastAsia" w:ascii="仿宋_GB2312" w:hAnsi="仿宋_GB2312" w:eastAsia="仿宋_GB2312" w:cs="仿宋_GB2312"/>
          <w:b w:val="0"/>
          <w:bCs w:val="0"/>
          <w:color w:val="auto"/>
          <w:sz w:val="32"/>
          <w:szCs w:val="32"/>
          <w:lang w:eastAsia="zh-CN"/>
        </w:rPr>
        <w:t>电缆</w:t>
      </w:r>
      <w:r>
        <w:rPr>
          <w:rFonts w:ascii="仿宋_GB2312" w:hAnsi="仿宋_GB2312" w:eastAsia="仿宋_GB2312" w:cs="仿宋_GB2312"/>
          <w:b w:val="0"/>
          <w:bCs w:val="0"/>
          <w:color w:val="auto"/>
          <w:sz w:val="32"/>
          <w:szCs w:val="32"/>
        </w:rPr>
        <w:t>公司</w:t>
      </w:r>
      <w:r>
        <w:rPr>
          <w:rFonts w:hint="eastAsia" w:ascii="仿宋_GB2312" w:hAnsi="仿宋_GB2312" w:eastAsia="仿宋_GB2312" w:cs="仿宋_GB2312"/>
          <w:b w:val="0"/>
          <w:bCs w:val="0"/>
          <w:color w:val="auto"/>
          <w:sz w:val="32"/>
          <w:szCs w:val="32"/>
          <w:lang w:val="en-US" w:eastAsia="zh-CN"/>
        </w:rPr>
        <w:t>与德兴雄鹰公司签订了工程施工合同（合同编号：JTJL-JDGC-250328-01）。工程名称：</w:t>
      </w:r>
      <w:r>
        <w:rPr>
          <w:rFonts w:hint="eastAsia" w:ascii="仿宋_GB2312" w:eastAsia="仿宋_GB2312"/>
          <w:color w:val="000000"/>
          <w:sz w:val="32"/>
          <w:szCs w:val="32"/>
          <w:lang w:val="en-US" w:eastAsia="zh-CN"/>
        </w:rPr>
        <w:t>2025年江西电缆有限公司零星维简及固资限下工程项目</w:t>
      </w:r>
      <w:r>
        <w:rPr>
          <w:rFonts w:hint="eastAsia" w:ascii="仿宋_GB2312" w:hAnsi="仿宋_GB2312" w:eastAsia="仿宋_GB2312" w:cs="仿宋_GB2312"/>
          <w:b w:val="0"/>
          <w:bCs w:val="0"/>
          <w:color w:val="auto"/>
          <w:sz w:val="32"/>
          <w:szCs w:val="32"/>
          <w:lang w:val="en-US" w:eastAsia="zh-CN"/>
        </w:rPr>
        <w:t>工程施工合同</w:t>
      </w:r>
      <w:r>
        <w:rPr>
          <w:rFonts w:hint="eastAsia" w:ascii="仿宋_GB2312" w:eastAsia="仿宋_GB2312"/>
          <w:color w:val="000000"/>
          <w:sz w:val="32"/>
          <w:szCs w:val="32"/>
          <w:lang w:val="en-US" w:eastAsia="zh-CN"/>
        </w:rPr>
        <w:t>。</w:t>
      </w:r>
    </w:p>
    <w:p w14:paraId="6D7E0FEE">
      <w:pPr>
        <w:pStyle w:val="4"/>
        <w:keepNext w:val="0"/>
        <w:keepLines w:val="0"/>
        <w:pageBreakBefore w:val="0"/>
        <w:kinsoku/>
        <w:wordWrap/>
        <w:topLinePunct w:val="0"/>
        <w:autoSpaceDE/>
        <w:autoSpaceDN/>
        <w:bidi w:val="0"/>
        <w:adjustRightInd/>
        <w:snapToGrid/>
        <w:spacing w:line="560" w:lineRule="exact"/>
        <w:ind w:left="0" w:leftChars="0" w:firstLine="643" w:firstLineChars="200"/>
        <w:jc w:val="both"/>
        <w:textAlignment w:val="auto"/>
        <w:rPr>
          <w:rFonts w:ascii="楷体" w:hAnsi="楷体" w:eastAsia="楷体" w:cs="楷体"/>
          <w:b/>
          <w:bCs w:val="0"/>
          <w:sz w:val="32"/>
          <w:szCs w:val="32"/>
        </w:rPr>
      </w:pPr>
      <w:r>
        <w:rPr>
          <w:rFonts w:ascii="楷体" w:hAnsi="楷体" w:eastAsia="楷体" w:cs="楷体"/>
          <w:b/>
          <w:bCs w:val="0"/>
          <w:sz w:val="32"/>
          <w:szCs w:val="32"/>
        </w:rPr>
        <w:t>（</w:t>
      </w:r>
      <w:r>
        <w:rPr>
          <w:rFonts w:hint="eastAsia" w:ascii="楷体" w:hAnsi="楷体" w:eastAsia="楷体" w:cs="楷体"/>
          <w:b/>
          <w:bCs w:val="0"/>
          <w:sz w:val="32"/>
          <w:szCs w:val="32"/>
          <w:lang w:val="en-US" w:eastAsia="zh-CN"/>
        </w:rPr>
        <w:t>二</w:t>
      </w:r>
      <w:r>
        <w:rPr>
          <w:rFonts w:ascii="楷体" w:hAnsi="楷体" w:eastAsia="楷体" w:cs="楷体"/>
          <w:b/>
          <w:bCs w:val="0"/>
          <w:sz w:val="32"/>
          <w:szCs w:val="32"/>
        </w:rPr>
        <w:t>）</w:t>
      </w:r>
      <w:r>
        <w:rPr>
          <w:rFonts w:ascii="楷体" w:hAnsi="楷体" w:eastAsia="楷体" w:cs="楷体"/>
          <w:b/>
          <w:sz w:val="32"/>
          <w:szCs w:val="32"/>
        </w:rPr>
        <w:t>事故相关单位</w:t>
      </w:r>
      <w:r>
        <w:rPr>
          <w:rFonts w:hint="eastAsia" w:ascii="楷体" w:hAnsi="楷体" w:eastAsia="楷体" w:cs="楷体"/>
          <w:b/>
          <w:sz w:val="32"/>
          <w:szCs w:val="32"/>
        </w:rPr>
        <w:t>概况</w:t>
      </w:r>
    </w:p>
    <w:p w14:paraId="7E145159">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1.发包单位：江西电缆有限责任公司（以下简称江西电缆公司）。统一社会信用代码91360802161986202N，住所：江西省吉安市吉州区禾埠乡，法定代表人：杨某，注册时间：1984年3月15日，注册资本：62,260.24万（元），有效期1984年3月15日至无固定期限，业务范围：江西电缆有限责任公司成立于1984年3月15日，注册地位于江西省吉安市吉州区禾埠乡。经营范围包括许可项目：电线、电缆制造，道路货物运输（不含危险货物）（依法须经批准的项目，经相关部门批准后方可开展经营活动）一般项目：电线、电缆经营，机械电气设备制造，机械电气设备销售，总质量4.5吨及以下普通货运车辆道路货物运输（除网络货运和危险货物），技术服务、技术开发、技术咨询、技术交流、技术转让、技术推广，货物进出口（除许可业务外，可自主依法经营法律法规非禁止或限制的项目）。</w:t>
      </w:r>
    </w:p>
    <w:p w14:paraId="030652FB">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color w:val="000000"/>
          <w:kern w:val="0"/>
          <w:sz w:val="32"/>
          <w:szCs w:val="32"/>
        </w:rPr>
      </w:pPr>
      <w:r>
        <w:rPr>
          <w:rFonts w:hint="eastAsia" w:ascii="仿宋_GB2312" w:hAnsi="仿宋" w:eastAsia="仿宋_GB2312"/>
          <w:b/>
          <w:bCs/>
          <w:sz w:val="32"/>
          <w:szCs w:val="32"/>
          <w:lang w:val="en-US" w:eastAsia="zh-CN"/>
        </w:rPr>
        <w:t>2.施工单位：德兴市雄鹰建筑企业有限公司</w:t>
      </w:r>
      <w:r>
        <w:rPr>
          <w:rFonts w:ascii="仿宋_GB2312" w:hAnsi="仿宋_GB2312" w:eastAsia="仿宋_GB2312" w:cs="仿宋_GB2312"/>
          <w:sz w:val="32"/>
          <w:szCs w:val="32"/>
        </w:rPr>
        <w:t>（以下简称</w:t>
      </w:r>
      <w:r>
        <w:rPr>
          <w:rFonts w:hint="eastAsia" w:ascii="仿宋_GB2312" w:hAnsi="仿宋_GB2312" w:eastAsia="仿宋_GB2312" w:cs="仿宋_GB2312"/>
          <w:sz w:val="32"/>
          <w:szCs w:val="32"/>
          <w:lang w:val="en-US" w:eastAsia="zh-CN"/>
        </w:rPr>
        <w:t>德兴雄鹰公司</w:t>
      </w:r>
      <w:r>
        <w:rPr>
          <w:rFonts w:hint="eastAsia" w:ascii="仿宋_GB2312" w:hAnsi="仿宋_GB2312" w:eastAsia="仿宋_GB2312" w:cs="仿宋_GB2312"/>
          <w:sz w:val="32"/>
          <w:szCs w:val="32"/>
        </w:rPr>
        <w:t>）</w:t>
      </w:r>
      <w:r>
        <w:rPr>
          <w:rFonts w:hint="eastAsia" w:ascii="仿宋_GB2312" w:hAnsi="仿宋_GB2312" w:eastAsia="仿宋_GB2312" w:cs="仿宋_GB2312"/>
          <w:color w:val="000000"/>
          <w:kern w:val="0"/>
          <w:sz w:val="32"/>
          <w:szCs w:val="32"/>
          <w:lang w:val="en-US" w:eastAsia="zh-CN"/>
        </w:rPr>
        <w:t>，</w:t>
      </w:r>
      <w:r>
        <w:rPr>
          <w:rFonts w:ascii="仿宋_GB2312" w:hAnsi="仿宋_GB2312" w:eastAsia="仿宋_GB2312" w:cs="仿宋_GB2312"/>
          <w:color w:val="000000"/>
          <w:kern w:val="0"/>
          <w:sz w:val="32"/>
          <w:szCs w:val="32"/>
        </w:rPr>
        <w:t>统一社会信用代码：</w:t>
      </w:r>
      <w:r>
        <w:rPr>
          <w:rFonts w:hint="eastAsia" w:ascii="仿宋_GB2312" w:hAnsi="仿宋_GB2312" w:eastAsia="仿宋_GB2312" w:cs="仿宋_GB2312"/>
          <w:color w:val="000000"/>
          <w:kern w:val="0"/>
          <w:sz w:val="32"/>
          <w:szCs w:val="32"/>
          <w:lang w:val="en-US" w:eastAsia="zh-CN"/>
        </w:rPr>
        <w:t>91361181731980508J</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val="en-US" w:eastAsia="zh-CN"/>
        </w:rPr>
        <w:t>企业类型：有限责任公司（自然人投资或控股），</w:t>
      </w:r>
      <w:r>
        <w:rPr>
          <w:rFonts w:ascii="仿宋_GB2312" w:hAnsi="仿宋_GB2312" w:eastAsia="仿宋_GB2312" w:cs="仿宋_GB2312"/>
          <w:color w:val="000000"/>
          <w:kern w:val="0"/>
          <w:sz w:val="32"/>
          <w:szCs w:val="32"/>
        </w:rPr>
        <w:t>法定代表人：章</w:t>
      </w:r>
      <w:r>
        <w:rPr>
          <w:rFonts w:hint="eastAsia" w:ascii="仿宋_GB2312" w:hAnsi="仿宋_GB2312" w:eastAsia="仿宋_GB2312" w:cs="仿宋_GB2312"/>
          <w:color w:val="000000"/>
          <w:kern w:val="0"/>
          <w:sz w:val="32"/>
          <w:szCs w:val="32"/>
          <w:lang w:val="en-US" w:eastAsia="zh-CN"/>
        </w:rPr>
        <w:t>某</w:t>
      </w:r>
      <w:r>
        <w:rPr>
          <w:rFonts w:ascii="仿宋_GB2312" w:hAnsi="仿宋_GB2312" w:eastAsia="仿宋_GB2312" w:cs="仿宋_GB2312"/>
          <w:color w:val="000000"/>
          <w:kern w:val="0"/>
          <w:sz w:val="32"/>
          <w:szCs w:val="32"/>
        </w:rPr>
        <w:t>土，</w:t>
      </w:r>
      <w:r>
        <w:rPr>
          <w:rFonts w:hint="eastAsia" w:ascii="仿宋_GB2312" w:hAnsi="仿宋_GB2312" w:eastAsia="仿宋_GB2312" w:cs="仿宋_GB2312"/>
          <w:color w:val="000000"/>
          <w:kern w:val="0"/>
          <w:sz w:val="32"/>
          <w:szCs w:val="32"/>
        </w:rPr>
        <w:t>成立</w:t>
      </w:r>
      <w:r>
        <w:rPr>
          <w:rFonts w:hint="eastAsia" w:ascii="仿宋_GB2312" w:hAnsi="仿宋_GB2312" w:eastAsia="仿宋_GB2312" w:cs="仿宋_GB2312"/>
          <w:color w:val="000000"/>
          <w:kern w:val="0"/>
          <w:sz w:val="32"/>
          <w:szCs w:val="32"/>
          <w:lang w:val="en-US" w:eastAsia="zh-CN"/>
        </w:rPr>
        <w:t>日期：2002年12月5日，</w:t>
      </w:r>
      <w:r>
        <w:rPr>
          <w:rFonts w:hint="eastAsia" w:ascii="仿宋_GB2312" w:hAnsi="仿宋_GB2312" w:eastAsia="仿宋_GB2312" w:cs="仿宋_GB2312"/>
          <w:b w:val="0"/>
          <w:bCs w:val="0"/>
          <w:sz w:val="32"/>
          <w:szCs w:val="32"/>
          <w:lang w:val="en-US" w:eastAsia="zh-CN"/>
        </w:rPr>
        <w:t>经营范围：</w:t>
      </w:r>
      <w:r>
        <w:rPr>
          <w:rFonts w:ascii="仿宋_GB2312" w:hAnsi="仿宋_GB2312" w:eastAsia="仿宋_GB2312" w:cs="仿宋_GB2312"/>
          <w:color w:val="000000"/>
          <w:kern w:val="0"/>
          <w:sz w:val="32"/>
          <w:szCs w:val="32"/>
        </w:rPr>
        <w:t>工业民用与公共建筑（建筑物、构筑物）工程、建筑工程安装、房屋建筑工程、地基基础工程、市政工程、桥梁工程、公路工程、公路路面工程、公路路基工程、起重设备安装工程、预拌混凝土工程、公路养护工程、城市及道路照明工程、公路交通工程、消防设施工程、防水防腐保温工程、钢结构工程、电力工程、矿山工程、通信工程、电子与智能化工程、铁路工程、隧道工程、港口与航道工程、水利水电工程、机电安装工程、建筑幕墙工程、园林绿化工程、古建筑工程、建筑装修装饰工程、屋面工程、内、外部的装修装饰工程、上下水、供暖、电器、卫生洁具、通讯、照明、消防、防雷安装工程、土石方工程、环保工程、消防工程、体育场馆工程、环境污染保护工程、输变电工程、炉窑砌筑工程施工；结构补强工程设计、施工；下水道检测；地下管道开挖修复及养护；市政管道疏通、清淤、清理、保养；危房加固、翻新、改造、维修服务；建筑劳务分包；工程项目策划；工程造价咨询；工程招标代理；工程监理；工程项目管理；建筑材料、装饰材料销售；土地开发整理；土地复垦；土地治理；堤坝、房屋、园林、古建筑白蚁防治服务；白蚁普查服务；苗木种植、培育、销售。（依法须经批准的项目，经相关部门批准后方可开展经营活动）</w:t>
      </w:r>
      <w:r>
        <w:rPr>
          <w:rFonts w:hint="eastAsia" w:ascii="仿宋_GB2312" w:hAnsi="仿宋_GB2312" w:eastAsia="仿宋_GB2312" w:cs="仿宋_GB2312"/>
          <w:color w:val="000000"/>
          <w:kern w:val="0"/>
          <w:sz w:val="32"/>
          <w:szCs w:val="32"/>
          <w:lang w:val="en-US" w:eastAsia="zh-CN"/>
        </w:rPr>
        <w:t>。</w:t>
      </w:r>
      <w:r>
        <w:rPr>
          <w:rFonts w:ascii="仿宋_GB2312" w:hAnsi="仿宋_GB2312" w:eastAsia="仿宋_GB2312" w:cs="仿宋_GB2312"/>
          <w:color w:val="000000"/>
          <w:kern w:val="0"/>
          <w:sz w:val="32"/>
          <w:szCs w:val="32"/>
        </w:rPr>
        <w:t>注册地址：</w:t>
      </w:r>
      <w:r>
        <w:rPr>
          <w:rFonts w:hint="eastAsia" w:ascii="仿宋_GB2312" w:hAnsi="仿宋_GB2312" w:eastAsia="仿宋_GB2312" w:cs="仿宋_GB2312"/>
          <w:color w:val="000000"/>
          <w:kern w:val="0"/>
          <w:sz w:val="32"/>
          <w:szCs w:val="32"/>
          <w:lang w:val="en-US" w:eastAsia="zh-CN"/>
        </w:rPr>
        <w:t>江西省上饶市德兴市金山大道德馨花苑二期1幢2层201号-206商铺</w:t>
      </w:r>
      <w:r>
        <w:rPr>
          <w:rFonts w:hint="eastAsia" w:ascii="仿宋_GB2312" w:hAnsi="仿宋_GB2312" w:eastAsia="仿宋_GB2312" w:cs="仿宋_GB2312"/>
          <w:color w:val="000000"/>
          <w:kern w:val="0"/>
          <w:sz w:val="32"/>
          <w:szCs w:val="32"/>
        </w:rPr>
        <w:t>。</w:t>
      </w:r>
    </w:p>
    <w:p w14:paraId="3600A2F0">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hint="eastAsia" w:ascii="仿宋_GB2312" w:hAnsi="仿宋" w:eastAsia="仿宋_GB2312"/>
          <w:b/>
          <w:bCs/>
          <w:sz w:val="32"/>
          <w:szCs w:val="32"/>
          <w:lang w:val="en-US" w:eastAsia="zh-CN"/>
        </w:rPr>
      </w:pPr>
      <w:r>
        <w:rPr>
          <w:rFonts w:hint="eastAsia" w:ascii="仿宋_GB2312" w:hAnsi="仿宋" w:eastAsia="仿宋_GB2312"/>
          <w:b/>
          <w:bCs/>
          <w:sz w:val="32"/>
          <w:szCs w:val="32"/>
          <w:lang w:val="en-US" w:eastAsia="zh-CN"/>
        </w:rPr>
        <w:t>3.死者基本情况：</w:t>
      </w:r>
    </w:p>
    <w:p w14:paraId="2066F2CE">
      <w:pPr>
        <w:pStyle w:val="4"/>
        <w:keepNext w:val="0"/>
        <w:keepLines w:val="0"/>
        <w:pageBreakBefore w:val="0"/>
        <w:kinsoku/>
        <w:topLinePunct w:val="0"/>
        <w:autoSpaceDE/>
        <w:autoSpaceDN/>
        <w:bidi w:val="0"/>
        <w:adjustRightInd/>
        <w:snapToGrid/>
        <w:spacing w:line="560" w:lineRule="exac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死者：杨某，女，36242619</w:t>
      </w:r>
      <w:r>
        <w:rPr>
          <w:rFonts w:hint="eastAsia" w:ascii="仿宋_GB2312" w:hAnsi="仿宋_GB2312" w:eastAsia="仿宋_GB2312" w:cs="仿宋_GB2312"/>
          <w:color w:val="000000"/>
          <w:kern w:val="0"/>
          <w:sz w:val="32"/>
          <w:szCs w:val="32"/>
          <w:lang w:val="en-US" w:eastAsia="zh-CN"/>
        </w:rPr>
        <w:t>**********</w:t>
      </w:r>
      <w:r>
        <w:rPr>
          <w:rFonts w:hint="eastAsia" w:ascii="仿宋_GB2312" w:hAnsi="仿宋_GB2312" w:eastAsia="仿宋_GB2312" w:cs="仿宋_GB2312"/>
          <w:color w:val="000000"/>
          <w:kern w:val="0"/>
          <w:sz w:val="32"/>
          <w:szCs w:val="32"/>
          <w:lang w:eastAsia="zh-CN"/>
        </w:rPr>
        <w:t>，江西省吉安市吉州区曲濑镇人，自身患有心脏病。</w:t>
      </w:r>
    </w:p>
    <w:p w14:paraId="6C86B189">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ascii="楷体" w:hAnsi="楷体" w:eastAsia="楷体" w:cs="楷体"/>
          <w:b/>
          <w:sz w:val="32"/>
          <w:szCs w:val="32"/>
        </w:rPr>
      </w:pPr>
      <w:r>
        <w:rPr>
          <w:rFonts w:ascii="楷体" w:hAnsi="楷体" w:eastAsia="楷体" w:cs="楷体"/>
          <w:b/>
          <w:sz w:val="32"/>
          <w:szCs w:val="32"/>
        </w:rPr>
        <w:t>（</w:t>
      </w:r>
      <w:r>
        <w:rPr>
          <w:rFonts w:hint="eastAsia" w:ascii="楷体" w:hAnsi="楷体" w:eastAsia="楷体" w:cs="楷体"/>
          <w:b/>
          <w:sz w:val="32"/>
          <w:szCs w:val="32"/>
          <w:lang w:val="en-US" w:eastAsia="zh-CN"/>
        </w:rPr>
        <w:t>三</w:t>
      </w:r>
      <w:r>
        <w:rPr>
          <w:rFonts w:ascii="楷体" w:hAnsi="楷体" w:eastAsia="楷体" w:cs="楷体"/>
          <w:b/>
          <w:sz w:val="32"/>
          <w:szCs w:val="32"/>
        </w:rPr>
        <w:t>）</w:t>
      </w:r>
      <w:r>
        <w:rPr>
          <w:rFonts w:hint="eastAsia" w:ascii="楷体" w:hAnsi="楷体" w:eastAsia="楷体" w:cs="楷体"/>
          <w:b/>
          <w:sz w:val="32"/>
          <w:szCs w:val="32"/>
        </w:rPr>
        <w:t>事故发生单位安全管理情况</w:t>
      </w:r>
    </w:p>
    <w:p w14:paraId="616D2BDF">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该公司安排两人在该项目负责，项目主要负责人程某彬，施工员曾某生。</w:t>
      </w:r>
    </w:p>
    <w:p w14:paraId="4C4D4F5B">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ascii="仿宋_GB2312" w:hAnsi="仿宋_GB2312" w:eastAsia="楷体" w:cs="仿宋_GB2312"/>
          <w:color w:val="000000"/>
          <w:kern w:val="0"/>
          <w:sz w:val="32"/>
          <w:szCs w:val="32"/>
        </w:rPr>
      </w:pPr>
      <w:r>
        <w:rPr>
          <w:rFonts w:hint="eastAsia" w:ascii="楷体" w:hAnsi="楷体" w:eastAsia="楷体" w:cs="楷体"/>
          <w:b/>
          <w:sz w:val="32"/>
          <w:szCs w:val="32"/>
        </w:rPr>
        <w:t>（</w:t>
      </w:r>
      <w:r>
        <w:rPr>
          <w:rFonts w:hint="eastAsia" w:ascii="楷体" w:hAnsi="楷体" w:eastAsia="楷体" w:cs="楷体"/>
          <w:b/>
          <w:sz w:val="32"/>
          <w:szCs w:val="32"/>
          <w:lang w:val="en-US" w:eastAsia="zh-CN"/>
        </w:rPr>
        <w:t>四</w:t>
      </w:r>
      <w:r>
        <w:rPr>
          <w:rFonts w:hint="eastAsia" w:ascii="楷体" w:hAnsi="楷体" w:eastAsia="楷体" w:cs="楷体"/>
          <w:b/>
          <w:sz w:val="32"/>
          <w:szCs w:val="32"/>
        </w:rPr>
        <w:t>）</w:t>
      </w:r>
      <w:r>
        <w:rPr>
          <w:rFonts w:ascii="楷体" w:hAnsi="楷体" w:eastAsia="楷体" w:cs="楷体"/>
          <w:b/>
          <w:sz w:val="32"/>
          <w:szCs w:val="32"/>
        </w:rPr>
        <w:t>事故发生经过</w:t>
      </w:r>
    </w:p>
    <w:p w14:paraId="6D575767">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事发时车间其他工人已下班，只有杨某1人在车间。</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根据现场视频记录及询问笔录，</w:t>
      </w:r>
      <w:r>
        <w:rPr>
          <w:rFonts w:hint="eastAsia" w:ascii="仿宋_GB2312" w:hAnsi="仿宋_GB2312" w:eastAsia="仿宋_GB2312" w:cs="仿宋_GB2312"/>
          <w:color w:val="auto"/>
          <w:sz w:val="32"/>
          <w:szCs w:val="32"/>
          <w:lang w:val="en-US" w:eastAsia="zh-CN"/>
        </w:rPr>
        <w:t>2025年7月14日18时07分许，杨某独自一人进入江西电缆有限公司500KV车间,18时10分许，杨某戴着口罩站立在基坑开始刷地坪漆，18时34分许，杨某停止作业原地靠立在设备上休息，18时40分许蹲下休息，18时41分许起身时突然无法站立倒地，</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随后坐地；</w:t>
      </w:r>
      <w:r>
        <w:rPr>
          <w:rFonts w:hint="eastAsia" w:ascii="仿宋_GB2312" w:hAnsi="仿宋_GB2312" w:eastAsia="仿宋_GB2312" w:cs="仿宋_GB2312"/>
          <w:color w:val="auto"/>
          <w:sz w:val="32"/>
          <w:szCs w:val="32"/>
          <w:lang w:val="en-US" w:eastAsia="zh-CN"/>
        </w:rPr>
        <w:t>18时43分许再次</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躺倒在地未再起身。</w:t>
      </w:r>
    </w:p>
    <w:p w14:paraId="2242DF86">
      <w:pPr>
        <w:keepNext w:val="0"/>
        <w:keepLines w:val="0"/>
        <w:pageBreakBefore w:val="0"/>
        <w:widowControl/>
        <w:suppressLineNumbers w:val="0"/>
        <w:kinsoku/>
        <w:wordWrap/>
        <w:topLinePunct w:val="0"/>
        <w:autoSpaceDE/>
        <w:autoSpaceDN/>
        <w:bidi w:val="0"/>
        <w:adjustRightInd/>
        <w:snapToGrid/>
        <w:spacing w:line="560" w:lineRule="exact"/>
        <w:ind w:firstLine="640" w:firstLineChars="200"/>
        <w:jc w:val="both"/>
        <w:textAlignment w:val="auto"/>
        <w:rPr>
          <w:rFonts w:hint="default" w:ascii="仿宋_GB2312" w:hAnsi="仿宋" w:eastAsia="仿宋_GB2312"/>
          <w:sz w:val="32"/>
          <w:szCs w:val="32"/>
          <w:lang w:val="en-US"/>
        </w:rPr>
      </w:pPr>
      <w:r>
        <w:rPr>
          <w:rFonts w:hint="eastAsia" w:ascii="仿宋_GB2312" w:hAnsi="仿宋_GB2312" w:eastAsia="仿宋_GB2312" w:cs="仿宋_GB2312"/>
          <w:color w:val="auto"/>
          <w:sz w:val="32"/>
          <w:szCs w:val="32"/>
          <w:lang w:val="en-US" w:eastAsia="zh-CN"/>
        </w:rPr>
        <w:t>2025年7月14日</w:t>
      </w:r>
      <w:r>
        <w:rPr>
          <w:rFonts w:hint="eastAsia" w:ascii="仿宋_GB2312" w:eastAsia="仿宋_GB2312"/>
          <w:color w:val="000000"/>
          <w:sz w:val="32"/>
          <w:szCs w:val="32"/>
          <w:lang w:val="en-US" w:eastAsia="zh-CN"/>
        </w:rPr>
        <w:t>22时</w:t>
      </w:r>
      <w:r>
        <w:rPr>
          <w:rFonts w:hint="eastAsia" w:ascii="仿宋_GB2312" w:hAnsi="仿宋_GB2312" w:eastAsia="仿宋_GB2312" w:cs="仿宋_GB2312"/>
          <w:color w:val="auto"/>
          <w:sz w:val="32"/>
          <w:szCs w:val="32"/>
          <w:lang w:val="en-US" w:eastAsia="zh-CN"/>
        </w:rPr>
        <w:t>，</w:t>
      </w:r>
      <w:r>
        <w:rPr>
          <w:rFonts w:hint="eastAsia" w:ascii="仿宋_GB2312" w:eastAsia="仿宋_GB2312"/>
          <w:color w:val="000000"/>
          <w:sz w:val="32"/>
          <w:szCs w:val="32"/>
          <w:lang w:val="en-US" w:eastAsia="zh-CN"/>
        </w:rPr>
        <w:t>杨某一直未回家电话也无人接听，张某华（杨某老公）独自前往江西电缆公司寻找杨某，在厂区寻找了两三圈未找到杨某便回家。到家后心感不安，再次前往江西电缆公司向保安借来手电筒寻找无果，随后给曾某生（施工员）打电话询问杨某在什么位置做事，在曾某生的指引下，于2025年7月15日1时21分许，在500KV车间基坑内发现杨某，其躺在基坑内，立即拨打了120急救电话，挂断电话后将杨某抱出基坑对其进行人工呼吸杨某无反应，此时发现杨某身体已出现僵硬</w:t>
      </w:r>
      <w:r>
        <w:rPr>
          <w:rFonts w:hint="eastAsia" w:ascii="仿宋_GB2312" w:hAnsi="仿宋" w:eastAsia="仿宋_GB2312"/>
          <w:sz w:val="32"/>
          <w:szCs w:val="32"/>
          <w:lang w:eastAsia="zh-CN"/>
        </w:rPr>
        <w:t>。</w:t>
      </w:r>
      <w:r>
        <w:rPr>
          <w:rFonts w:hint="eastAsia" w:ascii="仿宋_GB2312" w:eastAsia="仿宋_GB2312"/>
          <w:color w:val="000000"/>
          <w:sz w:val="32"/>
          <w:szCs w:val="32"/>
          <w:lang w:val="en-US" w:eastAsia="zh-CN"/>
        </w:rPr>
        <w:t>曾某生、程某彬</w:t>
      </w:r>
      <w:r>
        <w:rPr>
          <w:rFonts w:hint="eastAsia" w:ascii="仿宋_GB2312" w:hAnsi="仿宋" w:eastAsia="仿宋_GB2312"/>
          <w:sz w:val="32"/>
          <w:szCs w:val="32"/>
          <w:lang w:val="en-US" w:eastAsia="zh-CN"/>
        </w:rPr>
        <w:t>赶到现场，随后3人将杨某抬到厂区门口等待120救护车的到来。医务人员赶到现场对杨某进行检查发现杨某已死亡。</w:t>
      </w:r>
    </w:p>
    <w:p w14:paraId="33D73FB1">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ascii="楷体" w:hAnsi="楷体" w:eastAsia="楷体" w:cs="楷体"/>
          <w:b/>
          <w:sz w:val="32"/>
          <w:szCs w:val="32"/>
        </w:rPr>
      </w:pPr>
      <w:r>
        <w:rPr>
          <w:rFonts w:hint="eastAsia" w:ascii="楷体" w:hAnsi="楷体" w:eastAsia="楷体" w:cs="楷体"/>
          <w:b/>
          <w:sz w:val="32"/>
          <w:szCs w:val="32"/>
        </w:rPr>
        <w:t>（</w:t>
      </w:r>
      <w:r>
        <w:rPr>
          <w:rFonts w:hint="eastAsia" w:ascii="楷体" w:hAnsi="楷体" w:eastAsia="楷体" w:cs="楷体"/>
          <w:b/>
          <w:sz w:val="32"/>
          <w:szCs w:val="32"/>
          <w:lang w:val="en-US" w:eastAsia="zh-CN"/>
        </w:rPr>
        <w:t>五</w:t>
      </w:r>
      <w:r>
        <w:rPr>
          <w:rFonts w:hint="eastAsia" w:ascii="楷体" w:hAnsi="楷体" w:eastAsia="楷体" w:cs="楷体"/>
          <w:b/>
          <w:sz w:val="32"/>
          <w:szCs w:val="32"/>
        </w:rPr>
        <w:t>）事故现场情况</w:t>
      </w:r>
    </w:p>
    <w:p w14:paraId="33459CA4">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经现场勘查：</w:t>
      </w:r>
      <w:r>
        <w:rPr>
          <w:rFonts w:hint="eastAsia" w:ascii="仿宋_GB2312" w:hAnsi="仿宋_GB2312" w:eastAsia="仿宋_GB2312" w:cs="仿宋_GB2312"/>
          <w:color w:val="000000"/>
          <w:kern w:val="0"/>
          <w:sz w:val="32"/>
          <w:szCs w:val="32"/>
          <w:lang w:val="en-US" w:eastAsia="zh-CN"/>
        </w:rPr>
        <w:t>江西电缆公司500KV车间，高15.3米，车间长330.0米，宽72米。基础形式为柱下独立基础，结构安全等级为二级，基础设计等级为丙级。事发位置位于该车间中间位置北侧基坑内，基坑东西向长5.65米、南北向长5.31米、深1.58米，基坑内放置两台设备，基坑底部与北面、东面南面刷有绿色油漆，西面南侧面刷只刷了1米左右。</w:t>
      </w:r>
    </w:p>
    <w:p w14:paraId="10AB16DC">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pPr>
      <w:r>
        <w:rPr>
          <w:rFonts w:hint="eastAsia" w:ascii="仿宋_GB2312" w:hAnsi="仿宋_GB2312" w:eastAsia="仿宋_GB2312" w:cs="仿宋_GB2312"/>
          <w:color w:val="000000"/>
          <w:kern w:val="0"/>
          <w:sz w:val="32"/>
          <w:szCs w:val="32"/>
          <w:lang w:val="en-US" w:eastAsia="zh-CN" w:bidi="ar-SA"/>
        </w:rPr>
        <w:t>基坑内放置一桶太古开林牌环氧耐磨地坪涂料（生产厂家：上海晶中实业有限公司），桶内涂料剩余约六分之一桶，已结成</w:t>
      </w:r>
      <w:r>
        <w:rPr>
          <w:rFonts w:hint="eastAsia" w:ascii="仿宋_GB2312" w:hAnsi="仿宋_GB2312" w:eastAsia="仿宋_GB2312" w:cs="仿宋_GB2312"/>
          <w:color w:val="000000"/>
          <w:kern w:val="0"/>
          <w:sz w:val="32"/>
          <w:szCs w:val="32"/>
          <w:lang w:val="en-US" w:eastAsia="zh-CN"/>
        </w:rPr>
        <w:t>橡胶状，桶壁上挂着一个滚轮、涂料桶旁边有一双胶鞋。</w:t>
      </w:r>
    </w:p>
    <w:p w14:paraId="2632F50E">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ascii="楷体" w:hAnsi="楷体" w:eastAsia="楷体" w:cs="楷体"/>
          <w:b/>
          <w:sz w:val="32"/>
          <w:szCs w:val="32"/>
        </w:rPr>
      </w:pPr>
      <w:r>
        <w:rPr>
          <w:rFonts w:ascii="楷体" w:hAnsi="楷体" w:eastAsia="楷体" w:cs="楷体"/>
          <w:b/>
          <w:sz w:val="32"/>
          <w:szCs w:val="32"/>
        </w:rPr>
        <w:t>（</w:t>
      </w:r>
      <w:r>
        <w:rPr>
          <w:rFonts w:hint="eastAsia" w:ascii="楷体" w:hAnsi="楷体" w:eastAsia="楷体" w:cs="楷体"/>
          <w:b/>
          <w:sz w:val="32"/>
          <w:szCs w:val="32"/>
          <w:lang w:val="en-US" w:eastAsia="zh-CN"/>
        </w:rPr>
        <w:t>六</w:t>
      </w:r>
      <w:r>
        <w:rPr>
          <w:rFonts w:ascii="楷体" w:hAnsi="楷体" w:eastAsia="楷体" w:cs="楷体"/>
          <w:b/>
          <w:sz w:val="32"/>
          <w:szCs w:val="32"/>
        </w:rPr>
        <w:t>）</w:t>
      </w:r>
      <w:r>
        <w:rPr>
          <w:rFonts w:hint="eastAsia" w:ascii="楷体" w:hAnsi="楷体" w:eastAsia="楷体" w:cs="楷体"/>
          <w:b/>
          <w:sz w:val="32"/>
          <w:szCs w:val="32"/>
        </w:rPr>
        <w:t>人员伤亡和直接经济损失情况</w:t>
      </w:r>
    </w:p>
    <w:p w14:paraId="06044C65">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color w:val="FF0000"/>
          <w:sz w:val="32"/>
          <w:szCs w:val="32"/>
        </w:rPr>
      </w:pPr>
      <w:r>
        <w:rPr>
          <w:rFonts w:hint="eastAsia" w:ascii="仿宋_GB2312" w:hAnsi="仿宋_GB2312" w:eastAsia="仿宋_GB2312" w:cs="仿宋_GB2312"/>
          <w:color w:val="000000"/>
          <w:kern w:val="0"/>
          <w:sz w:val="32"/>
          <w:szCs w:val="32"/>
        </w:rPr>
        <w:t>事故造成1人死亡，</w:t>
      </w:r>
      <w:r>
        <w:rPr>
          <w:rFonts w:ascii="仿宋_GB2312" w:hAnsi="仿宋_GB2312" w:eastAsia="仿宋_GB2312" w:cs="仿宋_GB2312"/>
          <w:sz w:val="32"/>
          <w:szCs w:val="32"/>
        </w:rPr>
        <w:t>依据《企业职工伤亡事故经济损失统计标准》（GB6721-1986）等标准和规定统计，核定本起事故直接经济损失约</w:t>
      </w:r>
      <w:r>
        <w:rPr>
          <w:rFonts w:hint="eastAsia" w:ascii="仿宋_GB2312" w:hAnsi="仿宋_GB2312" w:eastAsia="仿宋_GB2312" w:cs="仿宋_GB2312"/>
          <w:sz w:val="32"/>
          <w:szCs w:val="32"/>
          <w:lang w:val="en-US" w:eastAsia="zh-CN"/>
        </w:rPr>
        <w:t>91</w:t>
      </w:r>
      <w:r>
        <w:rPr>
          <w:rFonts w:ascii="仿宋_GB2312" w:hAnsi="仿宋_GB2312" w:eastAsia="仿宋_GB2312" w:cs="仿宋_GB2312"/>
          <w:sz w:val="32"/>
          <w:szCs w:val="32"/>
        </w:rPr>
        <w:t>万元。</w:t>
      </w:r>
    </w:p>
    <w:p w14:paraId="7B53BAF1">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ascii="楷体" w:hAnsi="楷体" w:eastAsia="楷体" w:cs="楷体"/>
          <w:b/>
          <w:color w:val="FF0000"/>
          <w:sz w:val="32"/>
          <w:szCs w:val="32"/>
        </w:rPr>
      </w:pPr>
      <w:r>
        <w:rPr>
          <w:rFonts w:hint="eastAsia" w:ascii="黑体" w:hAnsi="黑体" w:eastAsia="黑体" w:cs="黑体"/>
          <w:b/>
          <w:sz w:val="32"/>
          <w:szCs w:val="32"/>
        </w:rPr>
        <w:t>二、事故应急处置评估情况</w:t>
      </w:r>
    </w:p>
    <w:p w14:paraId="203273D3">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ascii="楷体" w:hAnsi="楷体" w:eastAsia="楷体" w:cs="楷体"/>
          <w:b/>
          <w:sz w:val="32"/>
          <w:szCs w:val="32"/>
        </w:rPr>
      </w:pPr>
      <w:r>
        <w:rPr>
          <w:rFonts w:hint="eastAsia" w:ascii="楷体" w:hAnsi="楷体" w:eastAsia="楷体" w:cs="楷体"/>
          <w:b/>
          <w:sz w:val="32"/>
          <w:szCs w:val="32"/>
        </w:rPr>
        <w:t>（一）事故信息接报及响应情况</w:t>
      </w:r>
    </w:p>
    <w:p w14:paraId="62132FB4">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color w:val="FF0000"/>
          <w:sz w:val="32"/>
          <w:szCs w:val="32"/>
        </w:rPr>
      </w:pPr>
      <w:r>
        <w:rPr>
          <w:rFonts w:hint="eastAsia" w:ascii="仿宋_GB2312" w:hAnsi="仿宋_GB2312" w:eastAsia="仿宋_GB2312" w:cs="仿宋_GB2312"/>
          <w:sz w:val="32"/>
          <w:szCs w:val="32"/>
          <w:lang w:val="en-US" w:eastAsia="zh-CN"/>
        </w:rPr>
        <w:t>事故发生后，现场人员立即上报企业负责人并拨打120急救电话和110报警，在</w:t>
      </w:r>
      <w:r>
        <w:rPr>
          <w:rFonts w:hint="eastAsia" w:ascii="仿宋_GB2312" w:hAnsi="仿宋" w:eastAsia="仿宋_GB2312"/>
          <w:sz w:val="32"/>
          <w:szCs w:val="32"/>
        </w:rPr>
        <w:t>7月15日6时45分许</w:t>
      </w:r>
      <w:r>
        <w:rPr>
          <w:rFonts w:hint="eastAsia" w:ascii="仿宋_GB2312" w:hAnsi="仿宋_GB2312" w:eastAsia="仿宋_GB2312" w:cs="仿宋_GB2312"/>
          <w:sz w:val="32"/>
          <w:szCs w:val="32"/>
          <w:lang w:val="en-US" w:eastAsia="zh-CN"/>
        </w:rPr>
        <w:t>上报了区应急管理局。区应急管理局值班人员接到报告后第一时间向区人民政府和市应急管理部门上报事故情况，同时立即安排人员赶赴现场应急处置。</w:t>
      </w:r>
    </w:p>
    <w:p w14:paraId="460CB919">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sz w:val="32"/>
          <w:szCs w:val="32"/>
        </w:rPr>
        <w:t>（二）事故现场应急处置情况</w:t>
      </w:r>
    </w:p>
    <w:p w14:paraId="03C67F9C">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发生事故后，现场人员第一时间拨打了120急救电话，医务人员确定杨某死亡后现场人员拨打了110报警，</w:t>
      </w:r>
      <w:r>
        <w:rPr>
          <w:rFonts w:hint="eastAsia" w:ascii="仿宋_GB2312" w:hAnsi="仿宋" w:eastAsia="仿宋_GB2312"/>
          <w:sz w:val="32"/>
          <w:szCs w:val="32"/>
        </w:rPr>
        <w:t>经公安机关现场勘验、走访、视频追踪及尸表检验情况，未见明显机械性暴力致死特征，死因</w:t>
      </w:r>
      <w:r>
        <w:rPr>
          <w:rFonts w:hint="eastAsia" w:ascii="仿宋_GB2312" w:hAnsi="仿宋" w:eastAsia="仿宋_GB2312"/>
          <w:sz w:val="32"/>
          <w:szCs w:val="32"/>
          <w:lang w:val="en-US" w:eastAsia="zh-CN"/>
        </w:rPr>
        <w:t>突发性</w:t>
      </w:r>
      <w:r>
        <w:rPr>
          <w:rFonts w:hint="eastAsia" w:ascii="仿宋_GB2312" w:hAnsi="仿宋" w:eastAsia="仿宋_GB2312"/>
          <w:sz w:val="32"/>
          <w:szCs w:val="32"/>
        </w:rPr>
        <w:t>猝</w:t>
      </w:r>
      <w:r>
        <w:rPr>
          <w:rFonts w:hint="eastAsia" w:ascii="仿宋_GB2312" w:hAnsi="仿宋" w:eastAsia="仿宋_GB2312"/>
          <w:sz w:val="32"/>
          <w:szCs w:val="32"/>
          <w:lang w:eastAsia="zh-CN"/>
        </w:rPr>
        <w:t>死。</w:t>
      </w:r>
      <w:r>
        <w:rPr>
          <w:rFonts w:hint="eastAsia" w:ascii="仿宋_GB2312" w:hAnsi="仿宋_GB2312" w:eastAsia="仿宋_GB2312" w:cs="仿宋_GB2312"/>
          <w:sz w:val="32"/>
          <w:szCs w:val="32"/>
          <w:lang w:val="en-US" w:eastAsia="zh-CN"/>
        </w:rPr>
        <w:t>政府部门接到报告立即安排人员赴现场了解情况并组织进行现场应急救援处置，</w:t>
      </w:r>
      <w:r>
        <w:rPr>
          <w:rFonts w:hint="eastAsia" w:ascii="仿宋_GB2312" w:hAnsi="仿宋_GB2312" w:eastAsia="仿宋_GB2312" w:cs="仿宋_GB2312"/>
          <w:sz w:val="32"/>
          <w:szCs w:val="32"/>
        </w:rPr>
        <w:t>对事故现场进行管控。</w:t>
      </w:r>
    </w:p>
    <w:p w14:paraId="27A6AC17">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ascii="楷体" w:hAnsi="楷体" w:eastAsia="楷体" w:cs="楷体"/>
          <w:b/>
          <w:sz w:val="32"/>
          <w:szCs w:val="32"/>
        </w:rPr>
      </w:pPr>
      <w:r>
        <w:rPr>
          <w:rFonts w:hint="eastAsia" w:ascii="楷体" w:hAnsi="楷体" w:eastAsia="楷体" w:cs="楷体"/>
          <w:b/>
          <w:sz w:val="32"/>
          <w:szCs w:val="32"/>
        </w:rPr>
        <w:t>（三）医疗救助善后情况</w:t>
      </w:r>
    </w:p>
    <w:p w14:paraId="1B4BC8C4">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rPr>
        <w:t>120</w:t>
      </w:r>
      <w:r>
        <w:rPr>
          <w:rFonts w:hint="eastAsia" w:ascii="仿宋_GB2312" w:hAnsi="仿宋_GB2312" w:eastAsia="仿宋_GB2312" w:cs="仿宋_GB2312"/>
          <w:sz w:val="32"/>
          <w:szCs w:val="32"/>
          <w:lang w:val="en-US" w:eastAsia="zh-CN"/>
        </w:rPr>
        <w:t>接到</w:t>
      </w:r>
      <w:r>
        <w:rPr>
          <w:rFonts w:hint="eastAsia" w:ascii="仿宋_GB2312" w:hAnsi="仿宋_GB2312" w:eastAsia="仿宋_GB2312" w:cs="仿宋_GB2312"/>
          <w:sz w:val="32"/>
          <w:szCs w:val="32"/>
        </w:rPr>
        <w:t>急救报警后立即赶往事故现场，</w:t>
      </w:r>
      <w:r>
        <w:rPr>
          <w:rFonts w:hint="eastAsia" w:ascii="仿宋_GB2312" w:hAnsi="仿宋_GB2312" w:eastAsia="仿宋_GB2312" w:cs="仿宋_GB2312"/>
          <w:sz w:val="32"/>
          <w:szCs w:val="32"/>
          <w:lang w:val="en-US" w:eastAsia="zh-CN"/>
        </w:rPr>
        <w:t>在现场救援的同时</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eastAsia="zh-CN"/>
        </w:rPr>
        <w:t>杨某进行了</w:t>
      </w:r>
      <w:r>
        <w:rPr>
          <w:rFonts w:hint="eastAsia" w:ascii="仿宋_GB2312" w:hAnsi="仿宋_GB2312" w:eastAsia="仿宋_GB2312" w:cs="仿宋_GB2312"/>
          <w:sz w:val="32"/>
          <w:szCs w:val="32"/>
          <w:lang w:val="en-US" w:eastAsia="zh-CN"/>
        </w:rPr>
        <w:t>现场</w:t>
      </w:r>
      <w:r>
        <w:rPr>
          <w:rFonts w:hint="default" w:ascii="仿宋_GB2312" w:hAnsi="仿宋_GB2312" w:eastAsia="仿宋_GB2312" w:cs="仿宋_GB2312"/>
          <w:sz w:val="32"/>
          <w:szCs w:val="32"/>
          <w:lang w:eastAsia="zh-CN"/>
        </w:rPr>
        <w:t>检查确认已死亡。</w:t>
      </w:r>
      <w:r>
        <w:rPr>
          <w:rFonts w:hint="eastAsia" w:ascii="仿宋_GB2312" w:hAnsi="仿宋_GB2312" w:eastAsia="仿宋_GB2312" w:cs="仿宋_GB2312"/>
          <w:sz w:val="32"/>
          <w:szCs w:val="32"/>
          <w:lang w:val="en-US" w:eastAsia="zh-CN"/>
        </w:rPr>
        <w:t>事后德兴雄鹰公司</w:t>
      </w:r>
      <w:r>
        <w:rPr>
          <w:rFonts w:hint="eastAsia" w:ascii="仿宋_GB2312" w:hAnsi="仿宋_GB2312" w:eastAsia="仿宋_GB2312" w:cs="仿宋_GB2312"/>
          <w:sz w:val="32"/>
          <w:szCs w:val="32"/>
        </w:rPr>
        <w:t>对该起事故进行了善后处理，对死者家属做了安抚工作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并签署了死亡补偿协议。</w:t>
      </w:r>
    </w:p>
    <w:p w14:paraId="2C94BFD4">
      <w:pPr>
        <w:pStyle w:val="6"/>
        <w:keepNext w:val="0"/>
        <w:keepLines w:val="0"/>
        <w:pageBreakBefore w:val="0"/>
        <w:widowControl w:val="0"/>
        <w:kinsoku/>
        <w:wordWrap/>
        <w:overflowPunct w:val="0"/>
        <w:topLinePunct w:val="0"/>
        <w:autoSpaceDE/>
        <w:autoSpaceDN/>
        <w:bidi w:val="0"/>
        <w:adjustRightInd/>
        <w:snapToGrid/>
        <w:spacing w:line="540" w:lineRule="exact"/>
        <w:ind w:left="0" w:leftChars="0" w:firstLine="643" w:firstLineChars="200"/>
        <w:jc w:val="both"/>
        <w:textAlignment w:val="auto"/>
        <w:rPr>
          <w:rFonts w:ascii="楷体" w:hAnsi="楷体" w:eastAsia="楷体" w:cs="楷体"/>
          <w:b/>
          <w:sz w:val="32"/>
          <w:szCs w:val="32"/>
        </w:rPr>
      </w:pPr>
      <w:r>
        <w:rPr>
          <w:rFonts w:hint="eastAsia" w:ascii="楷体" w:hAnsi="楷体" w:eastAsia="楷体" w:cs="楷体"/>
          <w:b/>
          <w:sz w:val="32"/>
          <w:szCs w:val="32"/>
        </w:rPr>
        <w:t>（四）事故应急处置评估</w:t>
      </w:r>
    </w:p>
    <w:p w14:paraId="03DFCF6A">
      <w:pPr>
        <w:pStyle w:val="4"/>
        <w:keepNext w:val="0"/>
        <w:keepLines w:val="0"/>
        <w:pageBreakBefore w:val="0"/>
        <w:widowControl w:val="0"/>
        <w:kinsoku/>
        <w:wordWrap/>
        <w:overflowPunct w:val="0"/>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经调查评估，企业及时上报了事故情况，政府有关部门第一时间赶赴现场了解情况，妥善做好了现场救援和善后处置工作，未发生次生事故。从企业自救情况来看，德兴雄鹰公司在第一时间拨打120急救电话，处置得当。</w:t>
      </w:r>
    </w:p>
    <w:p w14:paraId="23973B8B">
      <w:pPr>
        <w:pStyle w:val="6"/>
        <w:keepNext w:val="0"/>
        <w:keepLines w:val="0"/>
        <w:pageBreakBefore w:val="0"/>
        <w:widowControl w:val="0"/>
        <w:kinsoku/>
        <w:wordWrap/>
        <w:overflowPunct w:val="0"/>
        <w:topLinePunct w:val="0"/>
        <w:autoSpaceDE/>
        <w:autoSpaceDN/>
        <w:bidi w:val="0"/>
        <w:adjustRightInd/>
        <w:snapToGrid/>
        <w:spacing w:line="540" w:lineRule="exact"/>
        <w:ind w:left="0" w:leftChars="0" w:firstLine="643" w:firstLineChars="200"/>
        <w:jc w:val="both"/>
        <w:textAlignment w:val="auto"/>
        <w:rPr>
          <w:rFonts w:ascii="黑体" w:hAnsi="黑体" w:eastAsia="黑体" w:cs="黑体"/>
          <w:b/>
          <w:sz w:val="32"/>
          <w:szCs w:val="32"/>
        </w:rPr>
      </w:pPr>
      <w:r>
        <w:rPr>
          <w:rFonts w:hint="eastAsia" w:ascii="黑体" w:hAnsi="黑体" w:eastAsia="黑体" w:cs="黑体"/>
          <w:b/>
          <w:sz w:val="32"/>
          <w:szCs w:val="32"/>
        </w:rPr>
        <w:t>三、事故原因分析</w:t>
      </w:r>
    </w:p>
    <w:p w14:paraId="6154C41F">
      <w:pPr>
        <w:pStyle w:val="4"/>
        <w:keepNext w:val="0"/>
        <w:keepLines w:val="0"/>
        <w:pageBreakBefore w:val="0"/>
        <w:widowControl w:val="0"/>
        <w:kinsoku/>
        <w:wordWrap/>
        <w:overflowPunct w:val="0"/>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lang w:val="en-US" w:eastAsia="zh-CN"/>
        </w:rPr>
        <w:t>事故直接原因：杨某自身患有心脏病，因突发心脏病导致猝死。</w:t>
      </w:r>
    </w:p>
    <w:p w14:paraId="3D6189D9">
      <w:pPr>
        <w:pStyle w:val="6"/>
        <w:keepNext w:val="0"/>
        <w:keepLines w:val="0"/>
        <w:pageBreakBefore w:val="0"/>
        <w:widowControl w:val="0"/>
        <w:kinsoku/>
        <w:wordWrap/>
        <w:overflowPunct w:val="0"/>
        <w:topLinePunct w:val="0"/>
        <w:autoSpaceDE/>
        <w:autoSpaceDN/>
        <w:bidi w:val="0"/>
        <w:adjustRightInd/>
        <w:snapToGrid/>
        <w:spacing w:line="540" w:lineRule="exact"/>
        <w:ind w:left="0" w:leftChars="0" w:firstLine="643" w:firstLineChars="200"/>
        <w:jc w:val="both"/>
        <w:textAlignment w:val="auto"/>
        <w:rPr>
          <w:rFonts w:ascii="楷体" w:hAnsi="楷体" w:eastAsia="楷体" w:cs="楷体"/>
          <w:b/>
          <w:sz w:val="32"/>
          <w:szCs w:val="32"/>
        </w:rPr>
      </w:pPr>
      <w:r>
        <w:rPr>
          <w:rFonts w:hint="eastAsia" w:ascii="楷体" w:hAnsi="楷体" w:eastAsia="楷体" w:cs="楷体"/>
          <w:b/>
          <w:sz w:val="32"/>
          <w:szCs w:val="32"/>
        </w:rPr>
        <w:t>（一）直接原因分析</w:t>
      </w:r>
    </w:p>
    <w:p w14:paraId="5174CCEE">
      <w:pPr>
        <w:pStyle w:val="4"/>
        <w:keepNext w:val="0"/>
        <w:keepLines w:val="0"/>
        <w:pageBreakBefore w:val="0"/>
        <w:widowControl w:val="0"/>
        <w:kinsoku/>
        <w:wordWrap/>
        <w:overflowPunct w:val="0"/>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1.2024年7月9日，泰和县螺溪中心人民卫生院出具的杨某《彩色超声检查报告》确定其患有心脏病：房间隔缺损（中央型，左向右分流），这与其丈夫</w:t>
      </w:r>
      <w:r>
        <w:rPr>
          <w:rFonts w:hint="eastAsia" w:ascii="仿宋_GB2312" w:eastAsia="仿宋_GB2312"/>
          <w:color w:val="000000"/>
          <w:sz w:val="32"/>
          <w:szCs w:val="32"/>
          <w:lang w:val="en-US" w:eastAsia="zh-CN"/>
        </w:rPr>
        <w:t>张某华</w:t>
      </w:r>
      <w:r>
        <w:rPr>
          <w:rFonts w:hint="eastAsia" w:ascii="仿宋_GB2312" w:hAnsi="仿宋_GB2312" w:eastAsia="仿宋_GB2312" w:cs="仿宋_GB2312"/>
          <w:sz w:val="32"/>
          <w:szCs w:val="32"/>
          <w:lang w:val="en-US" w:eastAsia="zh-CN"/>
        </w:rPr>
        <w:t>关于其心脏病史的陈述相互印证，杨某具备明确心脏病史。</w:t>
      </w:r>
    </w:p>
    <w:p w14:paraId="2066CECA">
      <w:pPr>
        <w:pStyle w:val="4"/>
        <w:keepNext w:val="0"/>
        <w:keepLines w:val="0"/>
        <w:pageBreakBefore w:val="0"/>
        <w:widowControl w:val="0"/>
        <w:kinsoku/>
        <w:wordWrap/>
        <w:overflowPunct w:val="0"/>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2.江西吉安司法鉴定中心出具的血检报告和江西中明环境检测有限公司的环境检测报告，排除了毒（药）物因素导致死亡。</w:t>
      </w:r>
    </w:p>
    <w:p w14:paraId="44C33867">
      <w:pPr>
        <w:pStyle w:val="4"/>
        <w:keepNext w:val="0"/>
        <w:keepLines w:val="0"/>
        <w:pageBreakBefore w:val="0"/>
        <w:widowControl w:val="0"/>
        <w:kinsoku/>
        <w:wordWrap/>
        <w:overflowPunct w:val="0"/>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3.公安机关和事故调查组的现场勘查以及调取现场监控，从杨某到车间作业至事发期间，未发现有其他人员靠近杨某，也未遭受任何外力伤害，结合公安机关技术员和法医现场对尸表检查未见损伤。</w:t>
      </w:r>
    </w:p>
    <w:p w14:paraId="0003B2D8">
      <w:pPr>
        <w:pStyle w:val="4"/>
        <w:keepNext w:val="0"/>
        <w:keepLines w:val="0"/>
        <w:pageBreakBefore w:val="0"/>
        <w:widowControl w:val="0"/>
        <w:kinsoku/>
        <w:wordWrap/>
        <w:overflowPunct w:val="0"/>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4.吉安市中心人民医院出具的《居民死亡医学证明（推断）书》死亡原因为：肥厚性心肌病。</w:t>
      </w:r>
    </w:p>
    <w:p w14:paraId="05A52379">
      <w:pPr>
        <w:pStyle w:val="4"/>
        <w:keepNext w:val="0"/>
        <w:keepLines w:val="0"/>
        <w:pageBreakBefore w:val="0"/>
        <w:widowControl w:val="0"/>
        <w:kinsoku/>
        <w:wordWrap/>
        <w:overflowPunct w:val="0"/>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上述4项，杨某自身患有心脏病（肥厚性心肌病），没有外力打击与中毒，结合吉安市中心人民医院出具的死亡原因，确定杨某是突发心脏病猝死，本起事故是一起非生产安全事故。</w:t>
      </w:r>
    </w:p>
    <w:p w14:paraId="6075D2C0">
      <w:pPr>
        <w:pStyle w:val="4"/>
        <w:keepNext w:val="0"/>
        <w:keepLines w:val="0"/>
        <w:pageBreakBefore w:val="0"/>
        <w:widowControl w:val="0"/>
        <w:kinsoku/>
        <w:wordWrap/>
        <w:overflowPunct w:val="0"/>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sz w:val="32"/>
          <w:szCs w:val="32"/>
          <w:lang w:val="en-US" w:eastAsia="zh-CN"/>
        </w:rPr>
      </w:pPr>
    </w:p>
    <w:p w14:paraId="49583996">
      <w:pPr>
        <w:pStyle w:val="4"/>
        <w:keepNext w:val="0"/>
        <w:keepLines w:val="0"/>
        <w:pageBreakBefore w:val="0"/>
        <w:kinsoku/>
        <w:topLinePunct w:val="0"/>
        <w:autoSpaceDE/>
        <w:autoSpaceDN/>
        <w:bidi w:val="0"/>
        <w:adjustRightInd/>
        <w:snapToGrid/>
        <w:spacing w:line="560" w:lineRule="exact"/>
        <w:textAlignment w:val="auto"/>
        <w:rPr>
          <w:rFonts w:hint="eastAsia"/>
          <w:lang w:val="en-US" w:eastAsia="zh-CN"/>
        </w:rPr>
      </w:pPr>
    </w:p>
    <w:p w14:paraId="1D3FF5C9">
      <w:pPr>
        <w:pStyle w:val="4"/>
        <w:keepNext w:val="0"/>
        <w:keepLines w:val="0"/>
        <w:pageBreakBefore w:val="0"/>
        <w:kinsoku/>
        <w:topLinePunct w:val="0"/>
        <w:autoSpaceDE/>
        <w:autoSpaceDN/>
        <w:bidi w:val="0"/>
        <w:adjustRightInd/>
        <w:snapToGrid/>
        <w:spacing w:line="560" w:lineRule="exact"/>
        <w:textAlignment w:val="auto"/>
        <w:rPr>
          <w:rFonts w:hint="eastAsia"/>
          <w:lang w:val="en-US" w:eastAsia="zh-CN"/>
        </w:rPr>
      </w:pPr>
    </w:p>
    <w:p w14:paraId="00A45BD8">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right"/>
        <w:textAlignment w:val="auto"/>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2025年江西电缆有限公司零星维简及固资限下</w:t>
      </w:r>
    </w:p>
    <w:p w14:paraId="50A53065">
      <w:pPr>
        <w:pStyle w:val="6"/>
        <w:keepNext w:val="0"/>
        <w:keepLines w:val="0"/>
        <w:pageBreakBefore w:val="0"/>
        <w:widowControl w:val="0"/>
        <w:kinsoku/>
        <w:wordWrap w:val="0"/>
        <w:overflowPunct w:val="0"/>
        <w:topLinePunct w:val="0"/>
        <w:autoSpaceDE/>
        <w:autoSpaceDN/>
        <w:bidi w:val="0"/>
        <w:adjustRightInd/>
        <w:snapToGrid/>
        <w:spacing w:line="560" w:lineRule="exact"/>
        <w:ind w:left="0" w:leftChars="0" w:firstLine="640" w:firstLineChars="200"/>
        <w:jc w:val="right"/>
        <w:textAlignment w:val="auto"/>
        <w:rPr>
          <w:rFonts w:hint="default" w:ascii="仿宋_GB2312" w:hAnsi="仿宋_GB2312" w:eastAsia="仿宋_GB2312" w:cs="仿宋_GB2312"/>
          <w:sz w:val="32"/>
          <w:szCs w:val="32"/>
          <w:lang w:val="en-US" w:eastAsia="zh-CN"/>
        </w:rPr>
      </w:pPr>
      <w:r>
        <w:rPr>
          <w:rFonts w:hint="eastAsia" w:ascii="仿宋_GB2312" w:eastAsia="仿宋_GB2312"/>
          <w:color w:val="000000"/>
          <w:sz w:val="32"/>
          <w:szCs w:val="32"/>
          <w:lang w:val="en-US" w:eastAsia="zh-CN"/>
        </w:rPr>
        <w:t xml:space="preserve">工程项目“7·14”一般其他伤害事故调查组 </w:t>
      </w:r>
    </w:p>
    <w:p w14:paraId="4C3E0227">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center"/>
        <w:textAlignment w:val="auto"/>
        <w:rPr>
          <w:rFonts w:ascii="仿宋_GB2312" w:hAnsi="仿宋_GB2312" w:eastAsia="仿宋_GB2312" w:cs="仿宋_GB2312"/>
          <w:sz w:val="32"/>
          <w:szCs w:val="32"/>
        </w:rPr>
        <w:sectPr>
          <w:footerReference r:id="rId6" w:type="default"/>
          <w:footnotePr>
            <w:numFmt w:val="decimal"/>
          </w:footnotePr>
          <w:pgSz w:w="11906" w:h="16838"/>
          <w:pgMar w:top="2098" w:right="1474" w:bottom="1984" w:left="1587" w:header="851" w:footer="992" w:gutter="0"/>
          <w:pgNumType w:start="1"/>
          <w:cols w:space="720" w:num="1"/>
          <w:formProt w:val="0"/>
          <w:docGrid w:type="lines" w:linePitch="312" w:charSpace="43007"/>
        </w:sectPr>
      </w:pPr>
      <w:r>
        <w:rPr>
          <w:rFonts w:hint="eastAsia" w:ascii="仿宋_GB2312" w:hAnsi="仿宋_GB2312" w:eastAsia="仿宋_GB2312" w:cs="仿宋_GB2312"/>
          <w:sz w:val="32"/>
          <w:szCs w:val="32"/>
          <w:lang w:val="en-US" w:eastAsia="zh-CN"/>
        </w:rPr>
        <w:t xml:space="preserve">                 2025年9月11日</w:t>
      </w:r>
    </w:p>
    <w:p w14:paraId="169CDC90">
      <w:pPr>
        <w:pStyle w:val="4"/>
        <w:keepNext w:val="0"/>
        <w:keepLines w:val="0"/>
        <w:pageBreakBefore w:val="0"/>
        <w:widowControl w:val="0"/>
        <w:kinsoku/>
        <w:wordWrap/>
        <w:overflowPunct w:val="0"/>
        <w:topLinePunct w:val="0"/>
        <w:autoSpaceDE/>
        <w:autoSpaceDN/>
        <w:bidi w:val="0"/>
        <w:adjustRightInd/>
        <w:snapToGrid/>
        <w:spacing w:line="520" w:lineRule="atLeast"/>
        <w:ind w:left="0" w:leftChars="0" w:firstLine="0" w:firstLineChars="0"/>
        <w:jc w:val="both"/>
        <w:textAlignment w:val="auto"/>
        <w:rPr>
          <w:rFonts w:hint="default" w:ascii="仿宋_GB2312" w:hAnsi="仿宋" w:eastAsia="仿宋_GB2312"/>
          <w:sz w:val="32"/>
          <w:szCs w:val="32"/>
          <w:lang w:val="en-US" w:eastAsia="zh-CN"/>
        </w:rPr>
      </w:pPr>
    </w:p>
    <w:sectPr>
      <w:footerReference r:id="rId7" w:type="default"/>
      <w:pgSz w:w="11906" w:h="16838"/>
      <w:pgMar w:top="1440" w:right="1519" w:bottom="1440" w:left="1576" w:header="851" w:footer="992" w:gutter="0"/>
      <w:pgNumType w:fmt="decimal"/>
      <w:cols w:space="720" w:num="1"/>
      <w:formProt w:val="0"/>
      <w:docGrid w:type="lines" w:linePitch="312" w:charSpace="4300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EE6D4E99-78A7-42A0-A215-640856FA7660}"/>
  </w:font>
  <w:font w:name="Arial">
    <w:panose1 w:val="020B0604020202020204"/>
    <w:charset w:val="01"/>
    <w:family w:val="swiss"/>
    <w:pitch w:val="default"/>
    <w:sig w:usb0="E0002EFF" w:usb1="C000785B" w:usb2="00000009" w:usb3="00000000" w:csb0="400001FF" w:csb1="FFFF0000"/>
    <w:embedRegular r:id="rId2" w:fontKey="{A90BEF0A-F1FF-4C36-88CC-5EAB961E6837}"/>
  </w:font>
  <w:font w:name="黑体">
    <w:panose1 w:val="02010609060101010101"/>
    <w:charset w:val="86"/>
    <w:family w:val="auto"/>
    <w:pitch w:val="default"/>
    <w:sig w:usb0="800002BF" w:usb1="38CF7CFA" w:usb2="00000016" w:usb3="00000000" w:csb0="00040001" w:csb1="00000000"/>
    <w:embedRegular r:id="rId3" w:fontKey="{C38D5528-E916-463D-A305-2AF8D4CF93D9}"/>
  </w:font>
  <w:font w:name="Courier New">
    <w:panose1 w:val="02070309020205020404"/>
    <w:charset w:val="01"/>
    <w:family w:val="modern"/>
    <w:pitch w:val="default"/>
    <w:sig w:usb0="E0002EFF" w:usb1="C0007843" w:usb2="00000009" w:usb3="00000000" w:csb0="400001FF" w:csb1="FFFF0000"/>
    <w:embedRegular r:id="rId4" w:fontKey="{AF4561E9-4A4B-4B85-B675-248DC8B79463}"/>
  </w:font>
  <w:font w:name="Symbol">
    <w:panose1 w:val="05050102010706020507"/>
    <w:charset w:val="02"/>
    <w:family w:val="roman"/>
    <w:pitch w:val="default"/>
    <w:sig w:usb0="00000000" w:usb1="00000000" w:usb2="00000000" w:usb3="00000000" w:csb0="80000000" w:csb1="00000000"/>
    <w:embedRegular r:id="rId5" w:fontKey="{42C855DF-1BD0-4CB9-B6A5-75F17460F5A5}"/>
  </w:font>
  <w:font w:name="Calibri">
    <w:panose1 w:val="020F0502020204030204"/>
    <w:charset w:val="00"/>
    <w:family w:val="swiss"/>
    <w:pitch w:val="default"/>
    <w:sig w:usb0="E4002EFF" w:usb1="C000247B" w:usb2="00000009" w:usb3="00000000" w:csb0="200001FF" w:csb1="00000000"/>
    <w:embedRegular r:id="rId6" w:fontKey="{F882B592-8A64-4445-BE62-98769AD9EA04}"/>
  </w:font>
  <w:font w:name="Mangal">
    <w:panose1 w:val="02040503050203030202"/>
    <w:charset w:val="00"/>
    <w:family w:val="roman"/>
    <w:pitch w:val="default"/>
    <w:sig w:usb0="00008003" w:usb1="00000000" w:usb2="00000000" w:usb3="00000000" w:csb0="00000001" w:csb1="00000000"/>
    <w:embedRegular r:id="rId7" w:fontKey="{B98770D0-0A74-4C57-BC5D-9D8463D59E1F}"/>
  </w:font>
  <w:font w:name="方正小标宋简体">
    <w:panose1 w:val="03000509000000000000"/>
    <w:charset w:val="86"/>
    <w:family w:val="roman"/>
    <w:pitch w:val="default"/>
    <w:sig w:usb0="00000001" w:usb1="080E0000" w:usb2="00000000" w:usb3="00000000" w:csb0="00040000" w:csb1="00000000"/>
    <w:embedRegular r:id="rId8" w:fontKey="{20325985-001B-4685-857E-2613D4F50A3B}"/>
  </w:font>
  <w:font w:name="楷体_GB2312">
    <w:panose1 w:val="02010609030101010101"/>
    <w:charset w:val="86"/>
    <w:family w:val="auto"/>
    <w:pitch w:val="default"/>
    <w:sig w:usb0="00000001" w:usb1="080E0000" w:usb2="00000000" w:usb3="00000000" w:csb0="00040000" w:csb1="00000000"/>
    <w:embedRegular r:id="rId9" w:fontKey="{21869B2A-1142-4136-9439-B3B07896A6E8}"/>
  </w:font>
  <w:font w:name="方正楷体_GB2312">
    <w:panose1 w:val="02000000000000000000"/>
    <w:charset w:val="86"/>
    <w:family w:val="auto"/>
    <w:pitch w:val="default"/>
    <w:sig w:usb0="A00002BF" w:usb1="184F6CFA" w:usb2="00000012" w:usb3="00000000" w:csb0="00040001" w:csb1="00000000"/>
    <w:embedRegular r:id="rId10" w:fontKey="{1D1C2B21-B304-4549-B31C-87F617F234E8}"/>
  </w:font>
  <w:font w:name="仿宋_GB2312">
    <w:panose1 w:val="02010609030101010101"/>
    <w:charset w:val="86"/>
    <w:family w:val="roman"/>
    <w:pitch w:val="default"/>
    <w:sig w:usb0="00000001" w:usb1="080E0000" w:usb2="00000000" w:usb3="00000000" w:csb0="00040000" w:csb1="00000000"/>
    <w:embedRegular r:id="rId11" w:fontKey="{5526C80F-FD63-47A2-95E9-E12EF184D9FC}"/>
  </w:font>
  <w:font w:name="仿宋">
    <w:panose1 w:val="02010609060101010101"/>
    <w:charset w:val="86"/>
    <w:family w:val="modern"/>
    <w:pitch w:val="default"/>
    <w:sig w:usb0="800002BF" w:usb1="38CF7CFA" w:usb2="00000016" w:usb3="00000000" w:csb0="00040001" w:csb1="00000000"/>
    <w:embedRegular r:id="rId12" w:fontKey="{BBB71078-8B3E-44FB-9950-712032822072}"/>
  </w:font>
  <w:font w:name="楷体">
    <w:panose1 w:val="02010609060101010101"/>
    <w:charset w:val="86"/>
    <w:family w:val="modern"/>
    <w:pitch w:val="default"/>
    <w:sig w:usb0="800002BF" w:usb1="38CF7CFA" w:usb2="00000016" w:usb3="00000000" w:csb0="00040001" w:csb1="00000000"/>
    <w:embedRegular r:id="rId13" w:fontKey="{D0DA4926-3052-4BF9-90F8-89ACCA5A96EB}"/>
  </w:font>
  <w:font w:name="WPSEMBED2">
    <w:panose1 w:val="02010609030101010101"/>
    <w:charset w:val="86"/>
    <w:family w:val="auto"/>
    <w:pitch w:val="default"/>
    <w:sig w:usb0="00000001" w:usb1="080E0000" w:usb2="00000000" w:usb3="00000000" w:csb0="00040000" w:csb1="00000000"/>
  </w:font>
  <w:font w:name="WPSEMBED3">
    <w:panose1 w:val="02000000000000000000"/>
    <w:charset w:val="86"/>
    <w:family w:val="auto"/>
    <w:pitch w:val="default"/>
    <w:sig w:usb0="A00002BF" w:usb1="184F6CFA" w:usb2="00000012" w:usb3="00000000" w:csb0="00040001" w:csb1="00000000"/>
  </w:font>
  <w:font w:name="WPSEMBED1">
    <w:panose1 w:val="02040503050203030202"/>
    <w:charset w:val="00"/>
    <w:family w:val="auto"/>
    <w:pitch w:val="default"/>
    <w:sig w:usb0="00008003" w:usb1="00000000" w:usb2="00000000" w:usb3="00000000" w:csb0="00000001" w:csb1="00000000"/>
    <w:embedRegular r:id="rId14" w:fontKey="{DB7FB792-4E2A-4A27-86FB-03F43CDBDA6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4D5E3">
    <w:pPr>
      <w:pStyle w:val="1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CC4E9">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F4CC4E9">
                    <w:pPr>
                      <w:pStyle w:val="8"/>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E8E6B">
    <w:pPr>
      <w:pStyle w:val="18"/>
    </w:pPr>
    <w:r>
      <mc:AlternateContent>
        <mc:Choice Requires="wps">
          <w:drawing>
            <wp:anchor distT="0" distB="0" distL="114300" distR="114300" simplePos="0" relativeHeight="251660288" behindDoc="0" locked="0" layoutInCell="0" allowOverlap="1">
              <wp:simplePos x="0" y="0"/>
              <wp:positionH relativeFrom="margin">
                <wp:align>center</wp:align>
              </wp:positionH>
              <wp:positionV relativeFrom="paragraph">
                <wp:posOffset>0</wp:posOffset>
              </wp:positionV>
              <wp:extent cx="1829435" cy="155575"/>
              <wp:effectExtent l="0" t="0" r="0" b="0"/>
              <wp:wrapNone/>
              <wp:docPr id="14" name="文本框 12"/>
              <wp:cNvGraphicFramePr/>
              <a:graphic xmlns:a="http://schemas.openxmlformats.org/drawingml/2006/main">
                <a:graphicData uri="http://schemas.microsoft.com/office/word/2010/wordprocessingShape">
                  <wps:wsp>
                    <wps:cNvSpPr/>
                    <wps:spPr>
                      <a:xfrm>
                        <a:off x="0" y="0"/>
                        <a:ext cx="1828800" cy="154800"/>
                      </a:xfrm>
                      <a:prstGeom prst="rect">
                        <a:avLst/>
                      </a:prstGeom>
                      <a:noFill/>
                      <a:ln w="6350">
                        <a:noFill/>
                      </a:ln>
                      <a:effectLst/>
                    </wps:spPr>
                    <wps:txbx>
                      <w:txbxContent>
                        <w:p w14:paraId="392C9CFC">
                          <w:pPr>
                            <w:pStyle w:val="18"/>
                            <w:jc w:val="center"/>
                            <w:rPr>
                              <w:color w:val="000000"/>
                            </w:rPr>
                          </w:pPr>
                          <w:r>
                            <w:rPr>
                              <w:color w:val="000000"/>
                            </w:rPr>
                            <w:t xml:space="preserve">第 </w:t>
                          </w:r>
                          <w:r>
                            <w:rPr>
                              <w:color w:val="000000"/>
                            </w:rPr>
                            <w:fldChar w:fldCharType="begin"/>
                          </w:r>
                          <w:r>
                            <w:rPr>
                              <w:color w:val="000000"/>
                            </w:rPr>
                            <w:instrText xml:space="preserve">PAGE</w:instrText>
                          </w:r>
                          <w:r>
                            <w:rPr>
                              <w:color w:val="000000"/>
                            </w:rPr>
                            <w:fldChar w:fldCharType="separate"/>
                          </w:r>
                          <w:r>
                            <w:rPr>
                              <w:color w:val="000000"/>
                            </w:rPr>
                            <w:t>12</w:t>
                          </w:r>
                          <w:r>
                            <w:rPr>
                              <w:color w:val="000000"/>
                            </w:rPr>
                            <w:fldChar w:fldCharType="end"/>
                          </w:r>
                          <w:r>
                            <w:rPr>
                              <w:color w:val="000000"/>
                            </w:rPr>
                            <w:t xml:space="preserve"> 页 共 </w:t>
                          </w:r>
                          <w:r>
                            <w:rPr>
                              <w:rFonts w:hint="eastAsia"/>
                              <w:color w:val="000000"/>
                              <w:lang w:val="en-US" w:eastAsia="zh-CN"/>
                            </w:rPr>
                            <w:t>8</w:t>
                          </w:r>
                          <w:r>
                            <w:rPr>
                              <w:color w:val="000000"/>
                            </w:rPr>
                            <w:t>页</w:t>
                          </w:r>
                        </w:p>
                      </w:txbxContent>
                    </wps:txbx>
                    <wps:bodyPr lIns="0" tIns="0" rIns="0" bIns="0">
                      <a:spAutoFit/>
                    </wps:bodyPr>
                  </wps:wsp>
                </a:graphicData>
              </a:graphic>
            </wp:anchor>
          </w:drawing>
        </mc:Choice>
        <mc:Fallback>
          <w:pict>
            <v:rect id="文本框 12" o:spid="_x0000_s1026" o:spt="1" style="position:absolute;left:0pt;margin-top:0pt;height:12.25pt;width:144.05pt;mso-position-horizontal:center;mso-position-horizontal-relative:margin;z-index:251660288;mso-width-relative:page;mso-height-relative:page;" filled="f" stroked="f" coordsize="21600,21600" o:allowincell="f" o:gfxdata="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Nz1gI1QAAAAQBAAAPAAAAAAAAAAEAIAAAACIAAABkcnMvZG93bnJl&#10;di54bWxQSwECFAAUAAAACACHTuJAx0CK/McBAACPAwAADgAAAAAAAAABACAAAAAkAQAAZHJzL2Uy&#10;b0RvYy54bWxQSwUGAAAAAAYABgBZAQAAXQUAAAAA&#10;">
              <v:fill on="f" focussize="0,0"/>
              <v:stroke on="f" weight="0.5pt"/>
              <v:imagedata o:title=""/>
              <o:lock v:ext="edit" aspectratio="f"/>
              <v:textbox inset="0mm,0mm,0mm,0mm" style="mso-fit-shape-to-text:t;">
                <w:txbxContent>
                  <w:p w14:paraId="392C9CFC">
                    <w:pPr>
                      <w:pStyle w:val="18"/>
                      <w:jc w:val="center"/>
                      <w:rPr>
                        <w:color w:val="000000"/>
                      </w:rPr>
                    </w:pPr>
                    <w:r>
                      <w:rPr>
                        <w:color w:val="000000"/>
                      </w:rPr>
                      <w:t xml:space="preserve">第 </w:t>
                    </w:r>
                    <w:r>
                      <w:rPr>
                        <w:color w:val="000000"/>
                      </w:rPr>
                      <w:fldChar w:fldCharType="begin"/>
                    </w:r>
                    <w:r>
                      <w:rPr>
                        <w:color w:val="000000"/>
                      </w:rPr>
                      <w:instrText xml:space="preserve">PAGE</w:instrText>
                    </w:r>
                    <w:r>
                      <w:rPr>
                        <w:color w:val="000000"/>
                      </w:rPr>
                      <w:fldChar w:fldCharType="separate"/>
                    </w:r>
                    <w:r>
                      <w:rPr>
                        <w:color w:val="000000"/>
                      </w:rPr>
                      <w:t>12</w:t>
                    </w:r>
                    <w:r>
                      <w:rPr>
                        <w:color w:val="000000"/>
                      </w:rPr>
                      <w:fldChar w:fldCharType="end"/>
                    </w:r>
                    <w:r>
                      <w:rPr>
                        <w:color w:val="000000"/>
                      </w:rPr>
                      <w:t xml:space="preserve"> 页 共 </w:t>
                    </w:r>
                    <w:r>
                      <w:rPr>
                        <w:rFonts w:hint="eastAsia"/>
                        <w:color w:val="000000"/>
                        <w:lang w:val="en-US" w:eastAsia="zh-CN"/>
                      </w:rPr>
                      <w:t>8</w:t>
                    </w:r>
                    <w:r>
                      <w:rPr>
                        <w:color w:val="000000"/>
                      </w:rPr>
                      <w:t>页</w:t>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E4EC2">
    <w:pPr>
      <w:pStyle w:val="1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74B810">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C74B810">
                    <w:pPr>
                      <w:pStyle w:val="8"/>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23EB08"/>
    <w:multiLevelType w:val="singleLevel"/>
    <w:tmpl w:val="C323EB08"/>
    <w:lvl w:ilvl="0" w:tentative="0">
      <w:start w:val="1"/>
      <w:numFmt w:val="chineseCounting"/>
      <w:suff w:val="nothing"/>
      <w:lvlText w:val="%1、"/>
      <w:lvlJc w:val="left"/>
      <w:rPr>
        <w:rFonts w:hint="eastAsia"/>
      </w:rPr>
    </w:lvl>
  </w:abstractNum>
  <w:abstractNum w:abstractNumId="1">
    <w:nsid w:val="EDA9D6EC"/>
    <w:multiLevelType w:val="singleLevel"/>
    <w:tmpl w:val="EDA9D6EC"/>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cumentProtection w:enforcement="0"/>
  <w:defaultTabStop w:val="419"/>
  <w:autoHyphenation/>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balanceSingleByteDoubleByteWidth/>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VhNTBmY2ZhMjMxN2M5Njc0MzBkZDkyOWEzNDQ2MmYifQ=="/>
  </w:docVars>
  <w:rsids>
    <w:rsidRoot w:val="003D1C90"/>
    <w:rsid w:val="00040C3D"/>
    <w:rsid w:val="00154A30"/>
    <w:rsid w:val="00167024"/>
    <w:rsid w:val="00223665"/>
    <w:rsid w:val="00343194"/>
    <w:rsid w:val="00360E6B"/>
    <w:rsid w:val="003D1C90"/>
    <w:rsid w:val="003F140D"/>
    <w:rsid w:val="00471B1A"/>
    <w:rsid w:val="004C7C71"/>
    <w:rsid w:val="004F5D14"/>
    <w:rsid w:val="005D3FB6"/>
    <w:rsid w:val="007D5831"/>
    <w:rsid w:val="008E4CDF"/>
    <w:rsid w:val="00AA5C44"/>
    <w:rsid w:val="00AE4881"/>
    <w:rsid w:val="00B00D43"/>
    <w:rsid w:val="00B76EE9"/>
    <w:rsid w:val="00CD21CA"/>
    <w:rsid w:val="00D66044"/>
    <w:rsid w:val="00E4039F"/>
    <w:rsid w:val="00E54129"/>
    <w:rsid w:val="00EB228F"/>
    <w:rsid w:val="00FE1315"/>
    <w:rsid w:val="01855C1F"/>
    <w:rsid w:val="018A58CB"/>
    <w:rsid w:val="01D056DE"/>
    <w:rsid w:val="01FF1E15"/>
    <w:rsid w:val="024B61E8"/>
    <w:rsid w:val="030D40BE"/>
    <w:rsid w:val="03F25B23"/>
    <w:rsid w:val="04846944"/>
    <w:rsid w:val="05300538"/>
    <w:rsid w:val="05B42517"/>
    <w:rsid w:val="05EF3F4F"/>
    <w:rsid w:val="06562220"/>
    <w:rsid w:val="074B4DF2"/>
    <w:rsid w:val="075524D7"/>
    <w:rsid w:val="0826583C"/>
    <w:rsid w:val="08AC2F18"/>
    <w:rsid w:val="08EE6740"/>
    <w:rsid w:val="09903A5B"/>
    <w:rsid w:val="09AA6B0A"/>
    <w:rsid w:val="09B5568E"/>
    <w:rsid w:val="0A856C30"/>
    <w:rsid w:val="0AB47F2A"/>
    <w:rsid w:val="0AC82E14"/>
    <w:rsid w:val="0BA72872"/>
    <w:rsid w:val="0BAD0343"/>
    <w:rsid w:val="0BB04180"/>
    <w:rsid w:val="0C2C7CAB"/>
    <w:rsid w:val="0C3571FF"/>
    <w:rsid w:val="0D4C4C89"/>
    <w:rsid w:val="0E6D3CDD"/>
    <w:rsid w:val="0E8D2557"/>
    <w:rsid w:val="0F77518B"/>
    <w:rsid w:val="0F9C2F06"/>
    <w:rsid w:val="0FFB6317"/>
    <w:rsid w:val="10186CAC"/>
    <w:rsid w:val="110B1799"/>
    <w:rsid w:val="1117619B"/>
    <w:rsid w:val="112563F5"/>
    <w:rsid w:val="1144122A"/>
    <w:rsid w:val="115F1BDA"/>
    <w:rsid w:val="119157E6"/>
    <w:rsid w:val="11A82B01"/>
    <w:rsid w:val="11DC7A7D"/>
    <w:rsid w:val="128B3606"/>
    <w:rsid w:val="142A5920"/>
    <w:rsid w:val="14665D24"/>
    <w:rsid w:val="14B11D9C"/>
    <w:rsid w:val="14EA311B"/>
    <w:rsid w:val="157222F6"/>
    <w:rsid w:val="16C414B1"/>
    <w:rsid w:val="17C5010E"/>
    <w:rsid w:val="1810088A"/>
    <w:rsid w:val="190A3776"/>
    <w:rsid w:val="19297320"/>
    <w:rsid w:val="193B7A6B"/>
    <w:rsid w:val="194957E2"/>
    <w:rsid w:val="19D96564"/>
    <w:rsid w:val="1A2D37CA"/>
    <w:rsid w:val="1AAE3A41"/>
    <w:rsid w:val="1AC02E15"/>
    <w:rsid w:val="1B2D1E0F"/>
    <w:rsid w:val="1B3B2E9D"/>
    <w:rsid w:val="1B5747FB"/>
    <w:rsid w:val="1B8D4A98"/>
    <w:rsid w:val="1C9C10DE"/>
    <w:rsid w:val="1CFD4F9F"/>
    <w:rsid w:val="1D65169B"/>
    <w:rsid w:val="1E624E22"/>
    <w:rsid w:val="1E6C2DEB"/>
    <w:rsid w:val="1E820A99"/>
    <w:rsid w:val="1E90793C"/>
    <w:rsid w:val="1F5C0C50"/>
    <w:rsid w:val="1FA607CC"/>
    <w:rsid w:val="20125347"/>
    <w:rsid w:val="201802E0"/>
    <w:rsid w:val="21C354A2"/>
    <w:rsid w:val="21C82F51"/>
    <w:rsid w:val="21F90CC0"/>
    <w:rsid w:val="22A34CB2"/>
    <w:rsid w:val="230447C0"/>
    <w:rsid w:val="23B75C54"/>
    <w:rsid w:val="23C46526"/>
    <w:rsid w:val="24E54A43"/>
    <w:rsid w:val="25034EC9"/>
    <w:rsid w:val="25BD3609"/>
    <w:rsid w:val="26AF134E"/>
    <w:rsid w:val="26E36D60"/>
    <w:rsid w:val="27574607"/>
    <w:rsid w:val="276734B3"/>
    <w:rsid w:val="2956473B"/>
    <w:rsid w:val="29AC5031"/>
    <w:rsid w:val="2A3D1CDF"/>
    <w:rsid w:val="2A9B76FE"/>
    <w:rsid w:val="2AAD2577"/>
    <w:rsid w:val="2B7E1AEE"/>
    <w:rsid w:val="2BD756A9"/>
    <w:rsid w:val="2BEE7BFA"/>
    <w:rsid w:val="2C0D6C02"/>
    <w:rsid w:val="2C4D2DEC"/>
    <w:rsid w:val="2C655D27"/>
    <w:rsid w:val="2C9D3A40"/>
    <w:rsid w:val="2D3B4634"/>
    <w:rsid w:val="2DC3417B"/>
    <w:rsid w:val="2DE93D59"/>
    <w:rsid w:val="2E60513A"/>
    <w:rsid w:val="2E8B228D"/>
    <w:rsid w:val="2EF35FAE"/>
    <w:rsid w:val="2F807842"/>
    <w:rsid w:val="2FBB111F"/>
    <w:rsid w:val="2FE4197F"/>
    <w:rsid w:val="30352579"/>
    <w:rsid w:val="30D00355"/>
    <w:rsid w:val="316E7B6E"/>
    <w:rsid w:val="31D64091"/>
    <w:rsid w:val="32967180"/>
    <w:rsid w:val="329C4871"/>
    <w:rsid w:val="32DE7765"/>
    <w:rsid w:val="33010C9A"/>
    <w:rsid w:val="33674BFD"/>
    <w:rsid w:val="337A0A4C"/>
    <w:rsid w:val="33C331DC"/>
    <w:rsid w:val="342E0AC8"/>
    <w:rsid w:val="364621A2"/>
    <w:rsid w:val="36631C6B"/>
    <w:rsid w:val="369C25A1"/>
    <w:rsid w:val="374C6A20"/>
    <w:rsid w:val="37974C3A"/>
    <w:rsid w:val="37F94635"/>
    <w:rsid w:val="38895B61"/>
    <w:rsid w:val="38E94FE5"/>
    <w:rsid w:val="397D279F"/>
    <w:rsid w:val="3AC107C7"/>
    <w:rsid w:val="3AEC222F"/>
    <w:rsid w:val="3AEE5047"/>
    <w:rsid w:val="3B190C3C"/>
    <w:rsid w:val="3B9711A7"/>
    <w:rsid w:val="3BD137DB"/>
    <w:rsid w:val="3C4165AB"/>
    <w:rsid w:val="3C6669DF"/>
    <w:rsid w:val="3CE36864"/>
    <w:rsid w:val="3CF465BD"/>
    <w:rsid w:val="3D27037D"/>
    <w:rsid w:val="3D850B8F"/>
    <w:rsid w:val="3E2D5887"/>
    <w:rsid w:val="3EFA798A"/>
    <w:rsid w:val="3F584337"/>
    <w:rsid w:val="3FFC231A"/>
    <w:rsid w:val="41521A3E"/>
    <w:rsid w:val="419D1715"/>
    <w:rsid w:val="41CC2DBB"/>
    <w:rsid w:val="42C86F8D"/>
    <w:rsid w:val="42D80560"/>
    <w:rsid w:val="43322DCB"/>
    <w:rsid w:val="43430E5B"/>
    <w:rsid w:val="43CA24DE"/>
    <w:rsid w:val="44030F25"/>
    <w:rsid w:val="443E79B1"/>
    <w:rsid w:val="44BE2E8F"/>
    <w:rsid w:val="44ED5522"/>
    <w:rsid w:val="44F57717"/>
    <w:rsid w:val="45173EE8"/>
    <w:rsid w:val="454B473F"/>
    <w:rsid w:val="45714915"/>
    <w:rsid w:val="45F823D0"/>
    <w:rsid w:val="460F3276"/>
    <w:rsid w:val="46431172"/>
    <w:rsid w:val="467D1D5A"/>
    <w:rsid w:val="47F0239B"/>
    <w:rsid w:val="480D719B"/>
    <w:rsid w:val="484E298E"/>
    <w:rsid w:val="48816BF8"/>
    <w:rsid w:val="48977804"/>
    <w:rsid w:val="48EE1869"/>
    <w:rsid w:val="490177EE"/>
    <w:rsid w:val="49596D7E"/>
    <w:rsid w:val="49AE2F15"/>
    <w:rsid w:val="49EE5569"/>
    <w:rsid w:val="4ABB577A"/>
    <w:rsid w:val="4ABE4653"/>
    <w:rsid w:val="4B4B2A29"/>
    <w:rsid w:val="4B7D0C6E"/>
    <w:rsid w:val="4BDA446B"/>
    <w:rsid w:val="4BF75D90"/>
    <w:rsid w:val="4CB21515"/>
    <w:rsid w:val="4D2C0BB1"/>
    <w:rsid w:val="4D8C39CA"/>
    <w:rsid w:val="4DE35714"/>
    <w:rsid w:val="4E122D00"/>
    <w:rsid w:val="4E5E2927"/>
    <w:rsid w:val="4F7866DB"/>
    <w:rsid w:val="4F9A247A"/>
    <w:rsid w:val="4FB629B4"/>
    <w:rsid w:val="4FF260E2"/>
    <w:rsid w:val="50836D3A"/>
    <w:rsid w:val="51337FC8"/>
    <w:rsid w:val="514A5AAA"/>
    <w:rsid w:val="517221EA"/>
    <w:rsid w:val="519B6840"/>
    <w:rsid w:val="51C000AC"/>
    <w:rsid w:val="526E5A22"/>
    <w:rsid w:val="532950A2"/>
    <w:rsid w:val="533F623F"/>
    <w:rsid w:val="536F5752"/>
    <w:rsid w:val="53B813F1"/>
    <w:rsid w:val="5442607F"/>
    <w:rsid w:val="55A760D4"/>
    <w:rsid w:val="55B015CE"/>
    <w:rsid w:val="56107A43"/>
    <w:rsid w:val="56296B2A"/>
    <w:rsid w:val="565654EF"/>
    <w:rsid w:val="569164B9"/>
    <w:rsid w:val="574A2360"/>
    <w:rsid w:val="58530CC9"/>
    <w:rsid w:val="58E73667"/>
    <w:rsid w:val="59A541C5"/>
    <w:rsid w:val="59B27721"/>
    <w:rsid w:val="5A437BF3"/>
    <w:rsid w:val="5ABD2305"/>
    <w:rsid w:val="5ACA0E33"/>
    <w:rsid w:val="5AEE6ED6"/>
    <w:rsid w:val="5BC522BB"/>
    <w:rsid w:val="5BF60584"/>
    <w:rsid w:val="5C182A2D"/>
    <w:rsid w:val="5C7E53FF"/>
    <w:rsid w:val="5CE40B61"/>
    <w:rsid w:val="5D7A7717"/>
    <w:rsid w:val="5D8F31C2"/>
    <w:rsid w:val="5DAB5B22"/>
    <w:rsid w:val="5DF91BE5"/>
    <w:rsid w:val="5F9165FD"/>
    <w:rsid w:val="5FC16035"/>
    <w:rsid w:val="5FDA2EFF"/>
    <w:rsid w:val="60310B86"/>
    <w:rsid w:val="60563087"/>
    <w:rsid w:val="609C10B5"/>
    <w:rsid w:val="60E23609"/>
    <w:rsid w:val="60E2750E"/>
    <w:rsid w:val="61292712"/>
    <w:rsid w:val="628B3AAF"/>
    <w:rsid w:val="63511D57"/>
    <w:rsid w:val="63A308A2"/>
    <w:rsid w:val="63B079EF"/>
    <w:rsid w:val="63D57455"/>
    <w:rsid w:val="649015CE"/>
    <w:rsid w:val="65F8703D"/>
    <w:rsid w:val="66906FB8"/>
    <w:rsid w:val="66C564EF"/>
    <w:rsid w:val="671771FC"/>
    <w:rsid w:val="676F5D62"/>
    <w:rsid w:val="6773387B"/>
    <w:rsid w:val="694071DA"/>
    <w:rsid w:val="69EC5D0E"/>
    <w:rsid w:val="6A0D0354"/>
    <w:rsid w:val="6B6A0DCB"/>
    <w:rsid w:val="6BC4672D"/>
    <w:rsid w:val="6C4C0AD1"/>
    <w:rsid w:val="6C7D712C"/>
    <w:rsid w:val="6C7F0FAD"/>
    <w:rsid w:val="6D7D4DE5"/>
    <w:rsid w:val="6D9C243D"/>
    <w:rsid w:val="6DA943DF"/>
    <w:rsid w:val="6DE56617"/>
    <w:rsid w:val="6EA70BD6"/>
    <w:rsid w:val="6EFA6F5F"/>
    <w:rsid w:val="6F187D41"/>
    <w:rsid w:val="6F2D45E9"/>
    <w:rsid w:val="6F3574FF"/>
    <w:rsid w:val="6F5A4CB2"/>
    <w:rsid w:val="6FC62348"/>
    <w:rsid w:val="6FD41A03"/>
    <w:rsid w:val="6FE70842"/>
    <w:rsid w:val="715737F2"/>
    <w:rsid w:val="71AB3FB5"/>
    <w:rsid w:val="71E847F7"/>
    <w:rsid w:val="73966C01"/>
    <w:rsid w:val="741C5549"/>
    <w:rsid w:val="74255B94"/>
    <w:rsid w:val="748D119D"/>
    <w:rsid w:val="749F1AE5"/>
    <w:rsid w:val="74F37D19"/>
    <w:rsid w:val="751002ED"/>
    <w:rsid w:val="75483F2B"/>
    <w:rsid w:val="75680129"/>
    <w:rsid w:val="756841DE"/>
    <w:rsid w:val="75FAD60E"/>
    <w:rsid w:val="760A0722"/>
    <w:rsid w:val="772205A1"/>
    <w:rsid w:val="77450125"/>
    <w:rsid w:val="774539FA"/>
    <w:rsid w:val="77472DB0"/>
    <w:rsid w:val="777C7037"/>
    <w:rsid w:val="786468B7"/>
    <w:rsid w:val="79EC613E"/>
    <w:rsid w:val="7ABB0CFB"/>
    <w:rsid w:val="7BEE5100"/>
    <w:rsid w:val="7BF97907"/>
    <w:rsid w:val="7D3957CF"/>
    <w:rsid w:val="7DA94A5D"/>
    <w:rsid w:val="7DC4436B"/>
    <w:rsid w:val="7DDFA446"/>
    <w:rsid w:val="7DE47C5D"/>
    <w:rsid w:val="7E1B6FAC"/>
    <w:rsid w:val="7E633F8B"/>
    <w:rsid w:val="7E697536"/>
    <w:rsid w:val="7E7B1195"/>
    <w:rsid w:val="7EF6799E"/>
    <w:rsid w:val="7F3A210C"/>
    <w:rsid w:val="7F914720"/>
    <w:rsid w:val="7FE323B7"/>
    <w:rsid w:val="9BFF3822"/>
    <w:rsid w:val="AF3F7833"/>
    <w:rsid w:val="EADEEA49"/>
    <w:rsid w:val="FD7598D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lang w:val="en-US" w:eastAsia="zh-CN" w:bidi="hi-IN"/>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color w:val="333333"/>
      <w:kern w:val="44"/>
      <w:sz w:val="42"/>
      <w:szCs w:val="42"/>
      <w:lang w:val="en-US" w:eastAsia="zh-CN" w:bidi="ar"/>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ind w:left="120"/>
    </w:pPr>
    <w:rPr>
      <w:rFonts w:ascii="宋体" w:hAnsi="宋体" w:eastAsia="宋体" w:cs="宋体"/>
      <w:sz w:val="32"/>
      <w:szCs w:val="32"/>
    </w:rPr>
  </w:style>
  <w:style w:type="paragraph" w:styleId="4">
    <w:name w:val="Body Text Indent"/>
    <w:basedOn w:val="5"/>
    <w:qFormat/>
    <w:uiPriority w:val="0"/>
    <w:pPr>
      <w:ind w:firstLine="881"/>
    </w:pPr>
    <w:rPr>
      <w:rFonts w:ascii="Times New Roman" w:hAnsi="Times New Roman" w:cs="Times New Roman"/>
      <w:sz w:val="28"/>
      <w:szCs w:val="24"/>
    </w:rPr>
  </w:style>
  <w:style w:type="paragraph" w:customStyle="1" w:styleId="5">
    <w:name w:val="正文文本1"/>
    <w:basedOn w:val="6"/>
    <w:qFormat/>
    <w:uiPriority w:val="0"/>
    <w:pPr>
      <w:ind w:left="120"/>
    </w:pPr>
    <w:rPr>
      <w:rFonts w:ascii="宋体" w:hAnsi="宋体" w:eastAsia="宋体" w:cs="宋体"/>
      <w:sz w:val="32"/>
      <w:szCs w:val="32"/>
    </w:rPr>
  </w:style>
  <w:style w:type="paragraph" w:customStyle="1" w:styleId="6">
    <w:name w:val="正文1"/>
    <w:next w:val="4"/>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7">
    <w:name w:val="Balloon Text"/>
    <w:basedOn w:val="1"/>
    <w:link w:val="23"/>
    <w:semiHidden/>
    <w:unhideWhenUsed/>
    <w:qFormat/>
    <w:uiPriority w:val="99"/>
    <w:rPr>
      <w:rFonts w:cs="Mangal"/>
      <w:sz w:val="18"/>
      <w:szCs w:val="16"/>
    </w:rPr>
  </w:style>
  <w:style w:type="paragraph" w:styleId="8">
    <w:name w:val="footer"/>
    <w:basedOn w:val="1"/>
    <w:link w:val="22"/>
    <w:semiHidden/>
    <w:unhideWhenUsed/>
    <w:qFormat/>
    <w:uiPriority w:val="99"/>
    <w:pPr>
      <w:tabs>
        <w:tab w:val="center" w:pos="4153"/>
        <w:tab w:val="right" w:pos="8306"/>
      </w:tabs>
      <w:snapToGrid w:val="0"/>
      <w:jc w:val="left"/>
    </w:pPr>
    <w:rPr>
      <w:rFonts w:cs="Mangal"/>
      <w:sz w:val="18"/>
      <w:szCs w:val="16"/>
    </w:rPr>
  </w:style>
  <w:style w:type="paragraph" w:styleId="9">
    <w:name w:val="header"/>
    <w:basedOn w:val="1"/>
    <w:link w:val="21"/>
    <w:semiHidden/>
    <w:unhideWhenUsed/>
    <w:qFormat/>
    <w:uiPriority w:val="99"/>
    <w:pPr>
      <w:pBdr>
        <w:bottom w:val="single" w:color="auto" w:sz="6" w:space="1"/>
      </w:pBdr>
      <w:tabs>
        <w:tab w:val="center" w:pos="4153"/>
        <w:tab w:val="right" w:pos="8306"/>
      </w:tabs>
      <w:snapToGrid w:val="0"/>
      <w:jc w:val="center"/>
    </w:pPr>
    <w:rPr>
      <w:rFonts w:cs="Mangal"/>
      <w:sz w:val="18"/>
      <w:szCs w:val="16"/>
    </w:rPr>
  </w:style>
  <w:style w:type="paragraph" w:styleId="10">
    <w:name w:val="footnote text"/>
    <w:basedOn w:val="1"/>
    <w:semiHidden/>
    <w:unhideWhenUsed/>
    <w:qFormat/>
    <w:uiPriority w:val="99"/>
    <w:pPr>
      <w:snapToGrid w:val="0"/>
      <w:jc w:val="left"/>
    </w:pPr>
    <w:rPr>
      <w:sz w:val="18"/>
    </w:rPr>
  </w:style>
  <w:style w:type="paragraph" w:styleId="11">
    <w:name w:val="Normal (Web)"/>
    <w:basedOn w:val="1"/>
    <w:qFormat/>
    <w:uiPriority w:val="0"/>
    <w:pPr>
      <w:spacing w:beforeAutospacing="1" w:afterAutospacing="1"/>
      <w:jc w:val="left"/>
    </w:pPr>
    <w:rPr>
      <w:sz w:val="24"/>
      <w:lang w:bidi="ar-SA"/>
    </w:rPr>
  </w:style>
  <w:style w:type="paragraph" w:styleId="12">
    <w:name w:val="Body Text First Indent"/>
    <w:basedOn w:val="3"/>
    <w:qFormat/>
    <w:uiPriority w:val="0"/>
    <w:pPr>
      <w:widowControl w:val="0"/>
      <w:spacing w:after="10" w:afterLines="0"/>
      <w:ind w:firstLine="881"/>
      <w:jc w:val="both"/>
    </w:pPr>
    <w:rPr>
      <w:rFonts w:ascii="Times New Roman" w:hAnsi="Times New Roman" w:eastAsia="宋体" w:cs="Times New Roman"/>
      <w:kern w:val="2"/>
      <w:sz w:val="28"/>
      <w:szCs w:val="24"/>
      <w:lang w:val="en-US" w:eastAsia="zh-CN" w:bidi="ar-SA"/>
    </w:rPr>
  </w:style>
  <w:style w:type="table" w:styleId="14">
    <w:name w:val="Table Grid"/>
    <w:basedOn w:val="1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footnote reference"/>
    <w:basedOn w:val="15"/>
    <w:unhideWhenUsed/>
    <w:qFormat/>
    <w:uiPriority w:val="99"/>
    <w:rPr>
      <w:vertAlign w:val="superscript"/>
    </w:rPr>
  </w:style>
  <w:style w:type="paragraph" w:customStyle="1" w:styleId="18">
    <w:name w:val="页脚1"/>
    <w:basedOn w:val="6"/>
    <w:semiHidden/>
    <w:unhideWhenUsed/>
    <w:qFormat/>
    <w:uiPriority w:val="99"/>
    <w:pPr>
      <w:tabs>
        <w:tab w:val="center" w:pos="4153"/>
        <w:tab w:val="right" w:pos="8306"/>
      </w:tabs>
      <w:snapToGrid w:val="0"/>
      <w:jc w:val="left"/>
    </w:pPr>
    <w:rPr>
      <w:sz w:val="18"/>
      <w:szCs w:val="18"/>
    </w:rPr>
  </w:style>
  <w:style w:type="paragraph" w:customStyle="1" w:styleId="19">
    <w:name w:val="页眉1"/>
    <w:basedOn w:val="6"/>
    <w:semiHidden/>
    <w:unhideWhenUsed/>
    <w:qFormat/>
    <w:uiPriority w:val="99"/>
    <w:pPr>
      <w:pBdr>
        <w:bottom w:val="single" w:color="000000" w:sz="6" w:space="1"/>
      </w:pBdr>
      <w:tabs>
        <w:tab w:val="center" w:pos="4153"/>
        <w:tab w:val="right" w:pos="8306"/>
      </w:tabs>
      <w:snapToGrid w:val="0"/>
      <w:jc w:val="center"/>
    </w:pPr>
    <w:rPr>
      <w:sz w:val="18"/>
      <w:szCs w:val="18"/>
    </w:rPr>
  </w:style>
  <w:style w:type="paragraph" w:customStyle="1" w:styleId="20">
    <w:name w:val="列表段落"/>
    <w:basedOn w:val="6"/>
    <w:qFormat/>
    <w:uiPriority w:val="34"/>
    <w:pPr>
      <w:ind w:firstLine="200" w:firstLineChars="200"/>
    </w:pPr>
  </w:style>
  <w:style w:type="character" w:customStyle="1" w:styleId="21">
    <w:name w:val="页眉 Char"/>
    <w:basedOn w:val="15"/>
    <w:link w:val="9"/>
    <w:semiHidden/>
    <w:qFormat/>
    <w:uiPriority w:val="99"/>
    <w:rPr>
      <w:rFonts w:cs="Mangal"/>
      <w:sz w:val="18"/>
      <w:szCs w:val="16"/>
      <w:lang w:bidi="hi-IN"/>
    </w:rPr>
  </w:style>
  <w:style w:type="character" w:customStyle="1" w:styleId="22">
    <w:name w:val="页脚 Char"/>
    <w:basedOn w:val="15"/>
    <w:link w:val="8"/>
    <w:semiHidden/>
    <w:qFormat/>
    <w:uiPriority w:val="99"/>
    <w:rPr>
      <w:rFonts w:cs="Mangal"/>
      <w:sz w:val="18"/>
      <w:szCs w:val="16"/>
      <w:lang w:bidi="hi-IN"/>
    </w:rPr>
  </w:style>
  <w:style w:type="character" w:customStyle="1" w:styleId="23">
    <w:name w:val="批注框文本 Char"/>
    <w:basedOn w:val="15"/>
    <w:link w:val="7"/>
    <w:semiHidden/>
    <w:qFormat/>
    <w:uiPriority w:val="99"/>
    <w:rPr>
      <w:rFonts w:cs="Mangal"/>
      <w:sz w:val="18"/>
      <w:szCs w:val="16"/>
      <w:lang w:bidi="hi-I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11</Pages>
  <Words>3772</Words>
  <Characters>4014</Characters>
  <Lines>41</Lines>
  <Paragraphs>11</Paragraphs>
  <TotalTime>256</TotalTime>
  <ScaleCrop>false</ScaleCrop>
  <LinksUpToDate>false</LinksUpToDate>
  <CharactersWithSpaces>4063</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2023-05-30T08:51:00Z</dcterms:created>
  <dc:creator>???</dc:creator>
  <cp:lastModifiedBy>爱唱歌的王Sir</cp:lastModifiedBy>
  <cp:lastPrinted>2025-09-11T06:21:00Z</cp:lastPrinted>
  <dcterms:modified xsi:type="dcterms:W3CDTF">2025-09-25T07:11:23Z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11559EC778124751907BAEAC787142FC_13</vt:lpwstr>
  </property>
  <property fmtid="{D5CDD505-2E9C-101B-9397-08002B2CF9AE}" pid="3" name="KSOProductBuildVer">
    <vt:lpwstr>2052-12.1.0.23125</vt:lpwstr>
  </property>
  <property fmtid="{D5CDD505-2E9C-101B-9397-08002B2CF9AE}" pid="4" name="KSOTemplateDocerSaveRecord">
    <vt:lpwstr>eyJoZGlkIjoiZGQ5MGNjYWJiNmZkNjhlNjRhODdmMjFmNjY1MjUwMDgiLCJ1c2VySWQiOiIxMDg2MjgzNCJ9</vt:lpwstr>
  </property>
</Properties>
</file>