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96B6B">
      <w:pPr>
        <w:pStyle w:val="6"/>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附件：</w:t>
      </w:r>
    </w:p>
    <w:p w14:paraId="6FA00265">
      <w:pPr>
        <w:pStyle w:val="4"/>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7BFDA6A1">
      <w:pPr>
        <w:pStyle w:val="11"/>
        <w:spacing w:beforeAutospacing="0" w:afterAutospacing="0"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w w:val="98"/>
          <w:sz w:val="44"/>
          <w:szCs w:val="44"/>
          <w:lang w:val="en-US" w:eastAsia="zh-CN"/>
        </w:rPr>
        <w:t>吉州白塘</w:t>
      </w:r>
      <w:r>
        <w:rPr>
          <w:rFonts w:hint="eastAsia" w:ascii="方正小标宋简体" w:hAnsi="方正小标宋简体" w:eastAsia="方正小标宋简体" w:cs="方正小标宋简体"/>
          <w:bCs/>
          <w:w w:val="98"/>
          <w:sz w:val="44"/>
          <w:szCs w:val="44"/>
        </w:rPr>
        <w:t>江西德基新材料有限公司庐陵德</w:t>
      </w:r>
      <w:r>
        <w:rPr>
          <w:rFonts w:hint="eastAsia" w:ascii="方正小标宋简体" w:hAnsi="方正小标宋简体" w:eastAsia="方正小标宋简体" w:cs="方正小标宋简体"/>
          <w:bCs/>
          <w:sz w:val="44"/>
          <w:szCs w:val="44"/>
        </w:rPr>
        <w:t>基</w:t>
      </w:r>
    </w:p>
    <w:p w14:paraId="300D9856">
      <w:pPr>
        <w:pStyle w:val="11"/>
        <w:spacing w:beforeAutospacing="0" w:afterAutospacing="0" w:line="560" w:lineRule="exact"/>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rPr>
        <w:t>高端智造产业园一期项目</w:t>
      </w:r>
      <w:r>
        <w:rPr>
          <w:rFonts w:hint="eastAsia" w:ascii="方正小标宋简体" w:hAnsi="方正小标宋简体" w:eastAsia="方正小标宋简体" w:cs="方正小标宋简体"/>
          <w:bCs/>
          <w:sz w:val="44"/>
          <w:szCs w:val="44"/>
          <w:lang w:eastAsia="zh-CN"/>
        </w:rPr>
        <w:t>“</w:t>
      </w:r>
      <w:r>
        <w:rPr>
          <w:rFonts w:hint="eastAsia" w:ascii="方正小标宋简体" w:hAnsi="方正小标宋简体" w:eastAsia="方正小标宋简体" w:cs="方正小标宋简体"/>
          <w:bCs/>
          <w:sz w:val="44"/>
          <w:szCs w:val="44"/>
        </w:rPr>
        <w:t>9·2</w:t>
      </w:r>
      <w:r>
        <w:rPr>
          <w:rFonts w:hint="eastAsia" w:ascii="方正小标宋简体" w:hAnsi="方正小标宋简体" w:eastAsia="方正小标宋简体" w:cs="方正小标宋简体"/>
          <w:bCs/>
          <w:sz w:val="44"/>
          <w:szCs w:val="44"/>
          <w:lang w:eastAsia="zh-CN"/>
        </w:rPr>
        <w:t>”</w:t>
      </w:r>
    </w:p>
    <w:p w14:paraId="01EAD24E">
      <w:pPr>
        <w:pStyle w:val="6"/>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bCs/>
          <w:sz w:val="44"/>
          <w:szCs w:val="44"/>
        </w:rPr>
        <w:t>一般高处坠落事故</w:t>
      </w:r>
      <w:r>
        <w:rPr>
          <w:rFonts w:ascii="方正小标宋简体" w:hAnsi="方正小标宋简体" w:eastAsia="方正小标宋简体" w:cs="方正小标宋简体"/>
          <w:sz w:val="44"/>
          <w:szCs w:val="44"/>
        </w:rPr>
        <w:t>调查报告</w:t>
      </w:r>
    </w:p>
    <w:p w14:paraId="4406E26F">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36A45A4A">
      <w:pPr>
        <w:pStyle w:val="4"/>
        <w:keepNext w:val="0"/>
        <w:keepLines w:val="0"/>
        <w:pageBreakBefore w:val="0"/>
        <w:widowControl w:val="0"/>
        <w:kinsoku/>
        <w:wordWrap/>
        <w:topLinePunct w:val="0"/>
        <w:autoSpaceDE/>
        <w:autoSpaceDN/>
        <w:bidi w:val="0"/>
        <w:adjustRightInd/>
        <w:snapToGrid/>
        <w:spacing w:line="560" w:lineRule="exact"/>
        <w:ind w:left="0" w:leftChars="0" w:firstLine="560" w:firstLineChars="200"/>
        <w:jc w:val="both"/>
        <w:textAlignment w:val="auto"/>
      </w:pPr>
    </w:p>
    <w:p w14:paraId="68F33DF1">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0C371838">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6770879A">
      <w:pPr>
        <w:pStyle w:val="4"/>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35871845">
      <w:pPr>
        <w:pStyle w:val="4"/>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5F5E2751">
      <w:pPr>
        <w:pStyle w:val="4"/>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0E54ACB2">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7B0842FF">
      <w:pPr>
        <w:pStyle w:val="4"/>
        <w:keepNext w:val="0"/>
        <w:keepLines w:val="0"/>
        <w:pageBreakBefore w:val="0"/>
        <w:widowControl w:val="0"/>
        <w:kinsoku/>
        <w:wordWrap/>
        <w:topLinePunct w:val="0"/>
        <w:autoSpaceDE/>
        <w:autoSpaceDN/>
        <w:bidi w:val="0"/>
        <w:spacing w:line="560" w:lineRule="exact"/>
        <w:ind w:left="0" w:leftChars="0" w:firstLine="880" w:firstLineChars="200"/>
        <w:rPr>
          <w:rFonts w:ascii="方正小标宋简体" w:hAnsi="方正小标宋简体" w:eastAsia="方正小标宋简体" w:cs="方正小标宋简体"/>
          <w:sz w:val="44"/>
          <w:szCs w:val="44"/>
        </w:rPr>
      </w:pPr>
    </w:p>
    <w:p w14:paraId="0C32D679">
      <w:pPr>
        <w:pStyle w:val="4"/>
        <w:keepNext w:val="0"/>
        <w:keepLines w:val="0"/>
        <w:pageBreakBefore w:val="0"/>
        <w:widowControl w:val="0"/>
        <w:kinsoku/>
        <w:wordWrap/>
        <w:topLinePunct w:val="0"/>
        <w:autoSpaceDE/>
        <w:autoSpaceDN/>
        <w:bidi w:val="0"/>
        <w:spacing w:line="560" w:lineRule="exact"/>
        <w:ind w:left="0" w:leftChars="0" w:firstLine="880" w:firstLineChars="200"/>
        <w:rPr>
          <w:rFonts w:ascii="方正小标宋简体" w:hAnsi="方正小标宋简体" w:eastAsia="方正小标宋简体" w:cs="方正小标宋简体"/>
          <w:sz w:val="44"/>
          <w:szCs w:val="44"/>
        </w:rPr>
      </w:pPr>
    </w:p>
    <w:p w14:paraId="183627EF">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3FC88B9B">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hint="eastAsia" w:ascii="方正小标宋简体" w:hAnsi="方正小标宋简体" w:eastAsia="方正小标宋简体" w:cs="方正小标宋简体"/>
          <w:sz w:val="44"/>
          <w:szCs w:val="44"/>
          <w:lang w:val="en-US" w:eastAsia="zh-CN"/>
        </w:rPr>
      </w:pPr>
    </w:p>
    <w:p w14:paraId="37ED4458">
      <w:pPr>
        <w:pStyle w:val="6"/>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吉州</w:t>
      </w:r>
      <w:r>
        <w:rPr>
          <w:rFonts w:hint="eastAsia" w:ascii="楷体_GB2312" w:hAnsi="楷体_GB2312" w:eastAsia="楷体_GB2312" w:cs="楷体_GB2312"/>
          <w:b/>
          <w:bCs/>
          <w:sz w:val="32"/>
          <w:szCs w:val="32"/>
        </w:rPr>
        <w:t>区政府</w:t>
      </w:r>
      <w:r>
        <w:rPr>
          <w:rFonts w:hint="eastAsia" w:ascii="楷体_GB2312" w:hAnsi="楷体_GB2312" w:eastAsia="楷体_GB2312" w:cs="楷体_GB2312"/>
          <w:b/>
          <w:bCs/>
          <w:sz w:val="32"/>
          <w:szCs w:val="32"/>
          <w:lang w:val="en-US" w:eastAsia="zh-CN"/>
        </w:rPr>
        <w:t>事故</w:t>
      </w:r>
      <w:r>
        <w:rPr>
          <w:rFonts w:hint="eastAsia" w:ascii="楷体_GB2312" w:hAnsi="楷体_GB2312" w:eastAsia="楷体_GB2312" w:cs="楷体_GB2312"/>
          <w:b/>
          <w:bCs/>
          <w:sz w:val="32"/>
          <w:szCs w:val="32"/>
        </w:rPr>
        <w:t>调查组</w:t>
      </w:r>
    </w:p>
    <w:p w14:paraId="73166281">
      <w:pPr>
        <w:pStyle w:val="6"/>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ascii="方正楷体_GB2312" w:hAnsi="方正楷体_GB2312" w:eastAsia="方正楷体_GB2312" w:cs="方正楷体_GB2312"/>
          <w:b/>
          <w:bCs/>
          <w:sz w:val="32"/>
          <w:szCs w:val="32"/>
        </w:rPr>
      </w:pPr>
      <w:r>
        <w:rPr>
          <w:rFonts w:hint="eastAsia" w:ascii="楷体_GB2312" w:hAnsi="楷体_GB2312" w:eastAsia="楷体_GB2312" w:cs="楷体_GB2312"/>
          <w:b/>
          <w:bCs/>
          <w:sz w:val="32"/>
          <w:szCs w:val="32"/>
        </w:rPr>
        <w:t>202</w:t>
      </w:r>
      <w:r>
        <w:rPr>
          <w:rFonts w:hint="eastAsia" w:ascii="楷体_GB2312" w:hAnsi="楷体_GB2312" w:eastAsia="楷体_GB2312" w:cs="楷体_GB2312"/>
          <w:b/>
          <w:bCs/>
          <w:sz w:val="32"/>
          <w:szCs w:val="32"/>
          <w:lang w:val="en-US" w:eastAsia="zh-CN"/>
        </w:rPr>
        <w:t>5</w:t>
      </w:r>
      <w:r>
        <w:rPr>
          <w:rFonts w:hint="eastAsia" w:ascii="楷体_GB2312" w:hAnsi="楷体_GB2312" w:eastAsia="楷体_GB2312" w:cs="楷体_GB2312"/>
          <w:b/>
          <w:bCs/>
          <w:sz w:val="32"/>
          <w:szCs w:val="32"/>
        </w:rPr>
        <w:t>年</w:t>
      </w:r>
      <w:r>
        <w:rPr>
          <w:rFonts w:hint="eastAsia" w:ascii="楷体_GB2312" w:hAnsi="楷体_GB2312" w:eastAsia="楷体_GB2312" w:cs="楷体_GB2312"/>
          <w:b/>
          <w:bCs/>
          <w:sz w:val="32"/>
          <w:szCs w:val="32"/>
          <w:lang w:val="en-US" w:eastAsia="zh-CN"/>
        </w:rPr>
        <w:t>10</w:t>
      </w:r>
      <w:r>
        <w:rPr>
          <w:rFonts w:hint="eastAsia" w:ascii="楷体_GB2312" w:hAnsi="楷体_GB2312" w:eastAsia="楷体_GB2312" w:cs="楷体_GB2312"/>
          <w:b/>
          <w:bCs/>
          <w:sz w:val="32"/>
          <w:szCs w:val="32"/>
        </w:rPr>
        <w:t>月</w:t>
      </w:r>
    </w:p>
    <w:p w14:paraId="2EB96886">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3720C86F">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12DE8ED8">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5F5BC137">
      <w:pPr>
        <w:pStyle w:val="6"/>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ascii="方正小标宋简体" w:hAnsi="方正小标宋简体" w:eastAsia="方正小标宋简体" w:cs="方正小标宋简体"/>
          <w:sz w:val="44"/>
          <w:szCs w:val="44"/>
        </w:rPr>
      </w:pPr>
    </w:p>
    <w:p w14:paraId="335988B9">
      <w:pPr>
        <w:pStyle w:val="4"/>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both"/>
        <w:textAlignment w:val="auto"/>
        <w:rPr>
          <w:b/>
          <w:bCs/>
          <w:sz w:val="32"/>
          <w:szCs w:val="32"/>
        </w:rPr>
        <w:sectPr>
          <w:pgSz w:w="11906" w:h="16838"/>
          <w:pgMar w:top="1440" w:right="1519" w:bottom="1440" w:left="1576" w:header="851" w:footer="992" w:gutter="0"/>
          <w:pgNumType w:fmt="decimal" w:start="1"/>
          <w:cols w:space="720" w:num="1"/>
          <w:formProt w:val="0"/>
          <w:docGrid w:type="lines" w:linePitch="312" w:charSpace="43007"/>
        </w:sectPr>
      </w:pPr>
    </w:p>
    <w:p w14:paraId="1BE032C4">
      <w:pPr>
        <w:pStyle w:val="4"/>
        <w:keepNext w:val="0"/>
        <w:keepLines w:val="0"/>
        <w:pageBreakBefore w:val="0"/>
        <w:widowControl w:val="0"/>
        <w:kinsoku/>
        <w:wordWrap/>
        <w:topLinePunct w:val="0"/>
        <w:autoSpaceDE/>
        <w:autoSpaceDN/>
        <w:bidi w:val="0"/>
        <w:adjustRightInd/>
        <w:snapToGrid/>
        <w:spacing w:line="560" w:lineRule="exact"/>
        <w:ind w:left="0" w:leftChars="0" w:firstLine="0" w:firstLineChars="0"/>
        <w:jc w:val="center"/>
        <w:textAlignment w:val="auto"/>
        <w:rPr>
          <w:rFonts w:hint="default" w:eastAsia="宋体"/>
          <w:b/>
          <w:bCs/>
          <w:sz w:val="32"/>
          <w:szCs w:val="32"/>
          <w:lang w:val="en-US" w:eastAsia="zh-CN"/>
        </w:rPr>
      </w:pPr>
      <w:r>
        <w:rPr>
          <w:rFonts w:hint="eastAsia"/>
          <w:b/>
          <w:bCs/>
          <w:sz w:val="32"/>
          <w:szCs w:val="32"/>
        </w:rPr>
        <w:t>目</w:t>
      </w:r>
      <w:r>
        <w:rPr>
          <w:rFonts w:hint="eastAsia"/>
          <w:b/>
          <w:bCs/>
          <w:sz w:val="32"/>
          <w:szCs w:val="32"/>
          <w:lang w:eastAsia="zh-CN"/>
        </w:rPr>
        <w:t>　</w:t>
      </w:r>
      <w:r>
        <w:rPr>
          <w:rFonts w:hint="eastAsia"/>
          <w:b/>
          <w:bCs/>
          <w:sz w:val="32"/>
          <w:szCs w:val="32"/>
        </w:rPr>
        <w:t>录</w:t>
      </w:r>
    </w:p>
    <w:p w14:paraId="00E4316C">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rPr>
        <w:t>一、事故基本情况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2</w:t>
      </w:r>
    </w:p>
    <w:p w14:paraId="412C0827">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（一）</w:t>
      </w:r>
      <w:r>
        <w:rPr>
          <w:rFonts w:hint="eastAsia" w:ascii="宋体" w:hAnsi="宋体" w:eastAsia="宋体" w:cs="宋体"/>
          <w:b w:val="0"/>
          <w:bCs w:val="0"/>
          <w:sz w:val="24"/>
          <w:szCs w:val="24"/>
          <w:lang w:val="en-US" w:eastAsia="zh-CN"/>
        </w:rPr>
        <w:t>事故发生单位及相关单位概况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2</w:t>
      </w:r>
    </w:p>
    <w:p w14:paraId="0D0F215E">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（二）</w:t>
      </w:r>
      <w:r>
        <w:rPr>
          <w:rFonts w:hint="eastAsia" w:ascii="宋体" w:hAnsi="宋体" w:eastAsia="宋体" w:cs="宋体"/>
          <w:b w:val="0"/>
          <w:bCs w:val="0"/>
          <w:sz w:val="24"/>
          <w:szCs w:val="24"/>
          <w:lang w:val="en-US" w:eastAsia="zh-CN"/>
        </w:rPr>
        <w:t>事故发生单位安全管理情况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4</w:t>
      </w:r>
    </w:p>
    <w:p w14:paraId="043B51BA">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（三）</w:t>
      </w:r>
      <w:r>
        <w:rPr>
          <w:rFonts w:hint="eastAsia" w:ascii="宋体" w:hAnsi="宋体" w:eastAsia="宋体" w:cs="宋体"/>
          <w:b w:val="0"/>
          <w:bCs w:val="0"/>
          <w:sz w:val="24"/>
          <w:szCs w:val="24"/>
          <w:lang w:val="en-US" w:eastAsia="zh-CN"/>
        </w:rPr>
        <w:t>事故发生经过</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24DE06C5">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（四）</w:t>
      </w:r>
      <w:r>
        <w:rPr>
          <w:rFonts w:hint="eastAsia" w:ascii="宋体" w:hAnsi="宋体" w:eastAsia="宋体" w:cs="宋体"/>
          <w:b w:val="0"/>
          <w:bCs w:val="0"/>
          <w:sz w:val="24"/>
          <w:szCs w:val="24"/>
          <w:lang w:val="en-US" w:eastAsia="zh-CN"/>
        </w:rPr>
        <w:t>事故现场情况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2895D5F0">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五</w:t>
      </w:r>
      <w:r>
        <w:rPr>
          <w:rFonts w:hint="eastAsia" w:ascii="宋体" w:hAnsi="宋体" w:eastAsia="宋体" w:cs="宋体"/>
          <w:b w:val="0"/>
          <w:bCs w:val="0"/>
          <w:sz w:val="24"/>
          <w:szCs w:val="24"/>
        </w:rPr>
        <w:t>）人员伤亡和直接经济损失情</w:t>
      </w:r>
      <w:r>
        <w:rPr>
          <w:rFonts w:hint="eastAsia" w:ascii="宋体" w:hAnsi="宋体" w:eastAsia="宋体" w:cs="宋体"/>
          <w:b w:val="0"/>
          <w:bCs w:val="0"/>
          <w:sz w:val="24"/>
          <w:szCs w:val="24"/>
          <w:lang w:val="en-US" w:eastAsia="zh-CN"/>
        </w:rPr>
        <w:t>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06907D44">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rPr>
        <w:t>二、事故应急处置评估情况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4C5AE078">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（一）事故信息接报及响应情况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77471F8C">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（二）事故现场应急处置情况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39A155FB">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（三）医疗救助善后情况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7</w:t>
      </w:r>
    </w:p>
    <w:p w14:paraId="6511CBA0">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（四）事故应急处置评估</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7</w:t>
      </w:r>
    </w:p>
    <w:p w14:paraId="6ABFC11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rPr>
        <w:t>三、事故原因分析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7</w:t>
      </w:r>
    </w:p>
    <w:p w14:paraId="68722FC0">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（一）直接原因分析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7</w:t>
      </w:r>
    </w:p>
    <w:p w14:paraId="7D26C39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（二）间接原因分析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8</w:t>
      </w:r>
    </w:p>
    <w:p w14:paraId="261878F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四、有关责任单位存在的问题</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9</w:t>
      </w:r>
    </w:p>
    <w:p w14:paraId="232BD7E8">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（一）施工单位</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9</w:t>
      </w:r>
    </w:p>
    <w:p w14:paraId="0DFFE914">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（二）监理单位</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10</w:t>
      </w:r>
    </w:p>
    <w:p w14:paraId="6E27FCE8">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（三）建设单位</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11</w:t>
      </w:r>
    </w:p>
    <w:p w14:paraId="0199008A">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五、对有关责任人员和责任单位的处理意见</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11</w:t>
      </w:r>
    </w:p>
    <w:p w14:paraId="3DAD74B5">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（一）对事故有关责任人员的行政处罚建议</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11</w:t>
      </w:r>
    </w:p>
    <w:p w14:paraId="31F6B4D3">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（二）对事故责任单位的行政处罚</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15</w:t>
      </w:r>
    </w:p>
    <w:p w14:paraId="78A564D2">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六、事故主要教训</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18</w:t>
      </w:r>
    </w:p>
    <w:p w14:paraId="349A5FA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七、事故整改和防范措施</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18</w:t>
      </w:r>
    </w:p>
    <w:p w14:paraId="526BAB57">
      <w:pPr>
        <w:pStyle w:val="4"/>
        <w:keepNext w:val="0"/>
        <w:keepLines w:val="0"/>
        <w:pageBreakBefore w:val="0"/>
        <w:widowControl w:val="0"/>
        <w:kinsoku/>
        <w:wordWrap/>
        <w:topLinePunct w:val="0"/>
        <w:autoSpaceDE/>
        <w:autoSpaceDN/>
        <w:bidi w:val="0"/>
        <w:adjustRightInd/>
        <w:snapToGrid/>
        <w:spacing w:line="560" w:lineRule="exact"/>
        <w:ind w:left="0" w:leftChars="0" w:firstLine="0" w:firstLineChars="0"/>
        <w:jc w:val="both"/>
        <w:textAlignment w:val="auto"/>
        <w:rPr>
          <w:rFonts w:ascii="宋体" w:hAnsi="宋体" w:cs="宋体"/>
          <w:b/>
          <w:sz w:val="24"/>
        </w:rPr>
      </w:pPr>
    </w:p>
    <w:p w14:paraId="7D5380C8">
      <w:pPr>
        <w:pStyle w:val="6"/>
        <w:keepNext w:val="0"/>
        <w:keepLines w:val="0"/>
        <w:pageBreakBefore w:val="0"/>
        <w:widowControl w:val="0"/>
        <w:tabs>
          <w:tab w:val="left" w:pos="8091"/>
        </w:tabs>
        <w:kinsoku/>
        <w:wordWrap/>
        <w:overflowPunct w:val="0"/>
        <w:topLinePunct w:val="0"/>
        <w:autoSpaceDE/>
        <w:autoSpaceDN/>
        <w:bidi w:val="0"/>
        <w:adjustRightInd/>
        <w:snapToGrid/>
        <w:spacing w:line="560" w:lineRule="exact"/>
        <w:ind w:left="0" w:leftChars="0" w:firstLine="482" w:firstLineChars="200"/>
        <w:jc w:val="both"/>
        <w:textAlignment w:val="auto"/>
        <w:rPr>
          <w:rFonts w:hint="default" w:ascii="宋体" w:hAnsi="宋体" w:eastAsia="宋体" w:cs="宋体"/>
          <w:b/>
          <w:sz w:val="24"/>
          <w:szCs w:val="24"/>
          <w:lang w:val="en-US" w:eastAsia="zh-CN"/>
        </w:rPr>
        <w:sectPr>
          <w:footerReference r:id="rId5" w:type="default"/>
          <w:pgSz w:w="11906" w:h="16838"/>
          <w:pgMar w:top="1440" w:right="1519" w:bottom="1440" w:left="1576" w:header="851" w:footer="992" w:gutter="0"/>
          <w:pgNumType w:fmt="decimal" w:start="1"/>
          <w:cols w:space="720" w:num="1"/>
          <w:formProt w:val="0"/>
          <w:docGrid w:type="lines" w:linePitch="312" w:charSpace="43007"/>
        </w:sectPr>
      </w:pPr>
    </w:p>
    <w:p w14:paraId="5264653B">
      <w:pPr>
        <w:pStyle w:val="6"/>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Fonts w:hint="eastAsia" w:ascii="仿宋_GB2312" w:eastAsia="仿宋_GB2312"/>
          <w:color w:val="000000"/>
          <w:sz w:val="32"/>
          <w:szCs w:val="32"/>
        </w:rPr>
      </w:pPr>
      <w:r>
        <w:rPr>
          <w:rFonts w:hint="eastAsia" w:ascii="仿宋_GB2312" w:eastAsia="仿宋_GB2312"/>
          <w:color w:val="000000"/>
          <w:sz w:val="32"/>
          <w:szCs w:val="32"/>
        </w:rPr>
        <w:t>2025年9月2日上午11时18分</w:t>
      </w:r>
      <w:r>
        <w:rPr>
          <w:rFonts w:hint="eastAsia" w:ascii="仿宋_GB2312" w:eastAsia="仿宋_GB2312"/>
          <w:color w:val="000000"/>
          <w:sz w:val="32"/>
          <w:szCs w:val="32"/>
          <w:lang w:val="en-US" w:eastAsia="zh-CN"/>
        </w:rPr>
        <w:t>许</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吉州区白塘街道</w:t>
      </w:r>
      <w:r>
        <w:rPr>
          <w:rFonts w:hint="eastAsia" w:ascii="仿宋_GB2312" w:eastAsia="仿宋_GB2312"/>
          <w:color w:val="000000"/>
          <w:sz w:val="32"/>
          <w:szCs w:val="32"/>
        </w:rPr>
        <w:t>江西德基新材料有限公司庐陵德基高端智造产业园一期项目，</w:t>
      </w:r>
      <w:r>
        <w:rPr>
          <w:rFonts w:hint="eastAsia" w:ascii="仿宋_GB2312" w:eastAsia="仿宋_GB2312"/>
          <w:color w:val="000000"/>
          <w:sz w:val="32"/>
          <w:szCs w:val="32"/>
          <w:lang w:val="en-US" w:eastAsia="zh-CN"/>
        </w:rPr>
        <w:t>发生1起一般高处坠落事故，</w:t>
      </w:r>
      <w:r>
        <w:rPr>
          <w:rFonts w:hint="eastAsia" w:ascii="仿宋_GB2312" w:eastAsia="仿宋_GB2312"/>
          <w:color w:val="000000"/>
          <w:sz w:val="32"/>
          <w:szCs w:val="32"/>
        </w:rPr>
        <w:t>造成1人死亡</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直接经济损失约123万元</w:t>
      </w:r>
      <w:r>
        <w:rPr>
          <w:rFonts w:hint="eastAsia" w:ascii="仿宋_GB2312" w:eastAsia="仿宋_GB2312"/>
          <w:color w:val="000000"/>
          <w:sz w:val="32"/>
          <w:szCs w:val="32"/>
        </w:rPr>
        <w:t>。</w:t>
      </w:r>
    </w:p>
    <w:p w14:paraId="39370623">
      <w:pPr>
        <w:pStyle w:val="11"/>
        <w:keepNext w:val="0"/>
        <w:keepLines w:val="0"/>
        <w:pageBreakBefore w:val="0"/>
        <w:kinsoku/>
        <w:topLinePunct w:val="0"/>
        <w:autoSpaceDE/>
        <w:autoSpaceDN/>
        <w:bidi w:val="0"/>
        <w:adjustRightInd/>
        <w:snapToGrid/>
        <w:spacing w:beforeAutospacing="0" w:afterAutospacing="0" w:line="560" w:lineRule="exact"/>
        <w:ind w:left="0" w:leftChars="0" w:firstLine="640" w:firstLineChars="200"/>
        <w:jc w:val="both"/>
        <w:rPr>
          <w:rFonts w:ascii="仿宋_GB2312" w:hAnsi="仿宋_GB2312" w:eastAsia="仿宋_GB2312" w:cs="仿宋_GB2312"/>
          <w:strike/>
          <w:dstrike w:val="0"/>
          <w:color w:val="FF0000"/>
          <w:sz w:val="32"/>
          <w:szCs w:val="32"/>
        </w:rPr>
      </w:pPr>
      <w:r>
        <w:rPr>
          <w:rFonts w:ascii="仿宋_GB2312" w:hAnsi="仿宋_GB2312" w:eastAsia="仿宋_GB2312" w:cs="仿宋_GB2312"/>
          <w:sz w:val="32"/>
          <w:szCs w:val="32"/>
        </w:rPr>
        <w:t>依据《中华人民共和国安全生产法》和《生产安全事故报告和调查处理条例》（国务院令第493号）等有关法律法规，</w:t>
      </w:r>
      <w:r>
        <w:rPr>
          <w:rFonts w:ascii="仿宋_GB2312" w:hAnsi="仿宋_GB2312" w:eastAsia="仿宋_GB2312" w:cs="仿宋_GB2312"/>
          <w:sz w:val="32"/>
          <w:szCs w:val="32"/>
          <w:lang w:val="en-US" w:eastAsia="zh-CN"/>
        </w:rPr>
        <w:t>吉州</w:t>
      </w:r>
      <w:r>
        <w:rPr>
          <w:rFonts w:ascii="仿宋_GB2312" w:hAnsi="仿宋_GB2312" w:eastAsia="仿宋_GB2312" w:cs="仿宋_GB2312"/>
          <w:sz w:val="32"/>
          <w:szCs w:val="32"/>
        </w:rPr>
        <w:t>区政府成立了</w:t>
      </w:r>
      <w:r>
        <w:rPr>
          <w:rFonts w:hint="eastAsia" w:ascii="仿宋_GB2312" w:hAnsi="仿宋" w:eastAsia="仿宋_GB2312"/>
          <w:sz w:val="32"/>
          <w:szCs w:val="32"/>
        </w:rPr>
        <w:t>由区应急管理局牵头，区住建局、白塘街道、区公安分局、工业园区管委会、区总工会、区人社局等部门，</w:t>
      </w:r>
      <w:r>
        <w:rPr>
          <w:rFonts w:hint="eastAsia" w:ascii="仿宋_GB2312" w:hAnsi="仿宋" w:eastAsia="仿宋_GB2312" w:cs="Times New Roman"/>
          <w:sz w:val="32"/>
          <w:szCs w:val="32"/>
          <w:lang w:val="en-US" w:eastAsia="zh-CN"/>
        </w:rPr>
        <w:t>以及事故发生单位所在地人民政府派员组成的江西德基新材料有限公司庐陵德基高端智造产业园一期项目“9·2”一般高处坠落事故</w:t>
      </w:r>
      <w:r>
        <w:rPr>
          <w:rFonts w:ascii="仿宋_GB2312" w:hAnsi="仿宋_GB2312" w:eastAsia="仿宋_GB2312" w:cs="仿宋_GB2312"/>
          <w:sz w:val="32"/>
          <w:szCs w:val="32"/>
        </w:rPr>
        <w:t>调查组（以下简称事故调查组），负责事故调查工作，并邀请区纪委监委派员参加。</w:t>
      </w:r>
    </w:p>
    <w:p w14:paraId="046CC6B2">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事故调查组按照“科学严谨、依法依规、实事求是、注重实效”和“四不放过”的原则，认真开展事故调查工作。通过现场勘查、问询调查、查阅有关资料和综合分析，查清了事故发生经过、原因，认定了事故性质和责任。</w:t>
      </w:r>
    </w:p>
    <w:p w14:paraId="3E6526EF">
      <w:pPr>
        <w:keepNext w:val="0"/>
        <w:keepLines w:val="0"/>
        <w:pageBreakBefore w:val="0"/>
        <w:widowControl/>
        <w:suppressLineNumbers w:val="0"/>
        <w:kinsoku/>
        <w:topLinePunct w:val="0"/>
        <w:autoSpaceDE/>
        <w:autoSpaceDN/>
        <w:bidi w:val="0"/>
        <w:adjustRightInd/>
        <w:snapToGrid/>
        <w:spacing w:line="560" w:lineRule="exact"/>
        <w:ind w:left="0" w:leftChars="0" w:firstLine="640" w:firstLineChars="200"/>
        <w:jc w:val="both"/>
        <w:rPr>
          <w:rFonts w:ascii="仿宋_GB2312" w:hAnsi="仿宋_GB2312" w:eastAsia="仿宋_GB2312" w:cs="仿宋_GB2312"/>
          <w:kern w:val="2"/>
          <w:sz w:val="32"/>
          <w:szCs w:val="32"/>
          <w:lang w:val="en-US" w:eastAsia="zh-CN" w:bidi="ar-SA"/>
        </w:rPr>
      </w:pPr>
      <w:r>
        <w:rPr>
          <w:rFonts w:ascii="仿宋_GB2312" w:hAnsi="宋体" w:eastAsia="仿宋_GB2312" w:cs="仿宋_GB2312"/>
          <w:color w:val="000000"/>
          <w:kern w:val="0"/>
          <w:sz w:val="32"/>
          <w:szCs w:val="32"/>
          <w:lang w:val="en-US" w:eastAsia="zh-CN" w:bidi="ar"/>
        </w:rPr>
        <w:t>经调查认定，</w:t>
      </w:r>
      <w:r>
        <w:rPr>
          <w:rFonts w:ascii="仿宋_GB2312" w:hAnsi="仿宋_GB2312" w:eastAsia="仿宋_GB2312" w:cs="仿宋_GB2312"/>
          <w:kern w:val="2"/>
          <w:sz w:val="32"/>
          <w:szCs w:val="32"/>
          <w:lang w:val="en-US" w:eastAsia="zh-CN" w:bidi="ar-SA"/>
        </w:rPr>
        <w:t>这起高处坠落事故是一起</w:t>
      </w:r>
      <w:r>
        <w:rPr>
          <w:rFonts w:hint="eastAsia" w:ascii="仿宋_GB2312" w:hAnsi="仿宋_GB2312" w:eastAsia="仿宋_GB2312" w:cs="仿宋_GB2312"/>
          <w:kern w:val="2"/>
          <w:sz w:val="32"/>
          <w:szCs w:val="32"/>
          <w:lang w:val="en-US" w:eastAsia="zh-CN" w:bidi="ar-SA"/>
        </w:rPr>
        <w:t>因现场管理不到位，导致电动三轮车（场内运输工具车）违规进入施工升降机内。作业人员驾驶停靠在二楼升降机轿厢内的电动三轮车出来时，因</w:t>
      </w:r>
      <w:r>
        <w:rPr>
          <w:rFonts w:hint="default" w:ascii="仿宋_GB2312" w:hAnsi="仿宋_GB2312" w:eastAsia="仿宋_GB2312" w:cs="仿宋_GB2312"/>
          <w:kern w:val="2"/>
          <w:sz w:val="32"/>
          <w:szCs w:val="32"/>
          <w:lang w:val="en-US" w:eastAsia="zh-CN" w:bidi="ar-SA"/>
        </w:rPr>
        <w:t>驾驶人员</w:t>
      </w:r>
      <w:r>
        <w:rPr>
          <w:rFonts w:hint="eastAsia" w:ascii="仿宋_GB2312" w:hAnsi="仿宋_GB2312" w:eastAsia="仿宋_GB2312" w:cs="仿宋_GB2312"/>
          <w:kern w:val="2"/>
          <w:sz w:val="32"/>
          <w:szCs w:val="32"/>
          <w:lang w:val="en-US" w:eastAsia="zh-CN" w:bidi="ar-SA"/>
        </w:rPr>
        <w:t>挂错电动三轮车挡位，导致连人带车冲出升降机，从二楼坠落至一楼，而造成的一般生产安全责任事故。现将有关情况报告如下：</w:t>
      </w:r>
    </w:p>
    <w:p w14:paraId="5E2D441D">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黑体" w:hAnsi="黑体" w:eastAsia="黑体" w:cs="黑体"/>
          <w:b/>
          <w:sz w:val="32"/>
          <w:szCs w:val="32"/>
        </w:rPr>
      </w:pPr>
      <w:r>
        <w:rPr>
          <w:rFonts w:ascii="黑体" w:hAnsi="黑体" w:eastAsia="黑体" w:cs="黑体"/>
          <w:b/>
          <w:sz w:val="32"/>
          <w:szCs w:val="32"/>
        </w:rPr>
        <w:t>一、</w:t>
      </w:r>
      <w:r>
        <w:rPr>
          <w:rFonts w:hint="eastAsia" w:ascii="黑体" w:hAnsi="黑体" w:eastAsia="黑体" w:cs="黑体"/>
          <w:b/>
          <w:sz w:val="32"/>
          <w:szCs w:val="32"/>
        </w:rPr>
        <w:t>事故</w:t>
      </w:r>
      <w:r>
        <w:rPr>
          <w:rFonts w:ascii="黑体" w:hAnsi="黑体" w:eastAsia="黑体" w:cs="黑体"/>
          <w:b/>
          <w:sz w:val="32"/>
          <w:szCs w:val="32"/>
        </w:rPr>
        <w:t>基本情况</w:t>
      </w:r>
    </w:p>
    <w:p w14:paraId="000DBA1D">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both"/>
        <w:rPr>
          <w:b/>
          <w:bCs/>
        </w:rPr>
      </w:pPr>
      <w:r>
        <w:rPr>
          <w:rFonts w:hint="eastAsia" w:ascii="楷体_GB2312" w:hAnsi="楷体_GB2312" w:eastAsia="楷体_GB2312" w:cs="楷体_GB2312"/>
          <w:b/>
          <w:bCs/>
          <w:color w:val="000000"/>
          <w:kern w:val="0"/>
          <w:sz w:val="32"/>
          <w:szCs w:val="32"/>
          <w:lang w:val="en-US" w:eastAsia="zh-CN" w:bidi="ar"/>
        </w:rPr>
        <w:t>（一）事故发生单位及相关单位概况</w:t>
      </w:r>
    </w:p>
    <w:p w14:paraId="648FEB6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sz w:val="32"/>
          <w:szCs w:val="32"/>
          <w:lang w:val="en-US" w:eastAsia="zh-CN"/>
        </w:rPr>
        <w:t>1.建设单位：江西德基新材料有限公司</w:t>
      </w:r>
      <w:r>
        <w:rPr>
          <w:rFonts w:hint="eastAsia" w:ascii="仿宋_GB2312" w:hAnsi="仿宋_GB2312" w:eastAsia="仿宋_GB2312" w:cs="仿宋_GB2312"/>
          <w:sz w:val="32"/>
          <w:szCs w:val="32"/>
        </w:rPr>
        <w:t>（以下简称</w:t>
      </w:r>
      <w:r>
        <w:rPr>
          <w:rFonts w:hint="eastAsia" w:ascii="仿宋_GB2312" w:hAnsi="仿宋_GB2312" w:eastAsia="仿宋_GB2312" w:cs="仿宋_GB2312"/>
          <w:sz w:val="32"/>
          <w:szCs w:val="32"/>
          <w:lang w:val="en-US" w:eastAsia="zh-CN"/>
        </w:rPr>
        <w:t>德基公司</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kern w:val="0"/>
          <w:sz w:val="32"/>
          <w:szCs w:val="32"/>
          <w:lang w:val="en-US" w:eastAsia="zh-CN"/>
        </w:rPr>
        <w:t>，为项目建设单位，</w:t>
      </w:r>
      <w:r>
        <w:rPr>
          <w:rFonts w:hint="eastAsia" w:ascii="仿宋_GB2312" w:hAnsi="仿宋_GB2312" w:eastAsia="仿宋_GB2312" w:cs="仿宋_GB2312"/>
          <w:color w:val="000000"/>
          <w:kern w:val="0"/>
          <w:sz w:val="32"/>
          <w:szCs w:val="32"/>
          <w:lang w:val="en-US" w:eastAsia="zh-CN" w:bidi="ar"/>
        </w:rPr>
        <w:t>成立于2024年2月28日，法定代表人姜某，统一社会信用代码91360802MADBWDX782。公司住所位于江西省吉安市吉州区工业园区管委会四位一体综合楼三楼306室，类型为其他有限责任公司，注册资本伍仟万元整，经营范围许可项目：房地产开发经营（依法须经批准的项目，经相关部门批准后在许可有效期内方可开展经营活动，具体经营项目和许可期限以相关部门批准文件或许可证件为准）一般项目：轻质建筑材料制造，轻质建筑材料销售，建筑材料销售，建筑砌块制造，建筑砌块销售，金属材料制造，金属材料销售，新型建筑材料制造（不含危险化学品），创业投资（限投资未上市企业），创业空间服务，信息咨询服务（不含许可类信息咨询服务），物业管理，住房租赁，非居住房地产租赁，房地产经纪，房地产咨询，园区管理服务，科技中介服务，市场营销策划，信息技术咨询服务，会议及展览服务，停车场服务，商业综合体管理服务，企业管理，企业管理咨询，租赁服务（不含许可类租赁服务）（除依法须经批准的项目外，凭营业执照依法自主开展经营活动）。</w:t>
      </w:r>
      <w:r>
        <w:rPr>
          <w:rFonts w:hint="eastAsia" w:ascii="仿宋_GB2312" w:hAnsi="仿宋_GB2312" w:eastAsia="仿宋_GB2312" w:cs="仿宋_GB2312"/>
          <w:color w:val="000000"/>
          <w:sz w:val="32"/>
          <w:szCs w:val="32"/>
        </w:rPr>
        <w:t>江西德基新材料有限公司庐陵</w:t>
      </w:r>
      <w:r>
        <w:rPr>
          <w:rFonts w:hint="eastAsia" w:ascii="仿宋_GB2312" w:hAnsi="仿宋_GB2312" w:eastAsia="仿宋_GB2312" w:cs="仿宋_GB2312"/>
          <w:color w:val="000000"/>
          <w:kern w:val="0"/>
          <w:sz w:val="32"/>
          <w:szCs w:val="32"/>
          <w:lang w:val="en-US" w:eastAsia="zh-CN" w:bidi="ar"/>
        </w:rPr>
        <w:t>德基高端智造产业园一期项目的负责人为吴某根。</w:t>
      </w:r>
    </w:p>
    <w:p w14:paraId="0939180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val="en-US" w:eastAsia="zh-CN"/>
        </w:rPr>
        <w:t>2.监理单位：江西守正工程管理有限公司</w:t>
      </w:r>
      <w:r>
        <w:rPr>
          <w:rFonts w:hint="eastAsia" w:ascii="仿宋_GB2312" w:hAnsi="仿宋_GB2312" w:eastAsia="仿宋_GB2312" w:cs="仿宋_GB2312"/>
          <w:sz w:val="32"/>
          <w:szCs w:val="32"/>
        </w:rPr>
        <w:t>（以下简称</w:t>
      </w:r>
      <w:r>
        <w:rPr>
          <w:rFonts w:hint="eastAsia" w:ascii="仿宋_GB2312" w:hAnsi="仿宋_GB2312" w:eastAsia="仿宋_GB2312" w:cs="仿宋_GB2312"/>
          <w:sz w:val="32"/>
          <w:szCs w:val="32"/>
          <w:lang w:val="en-US" w:eastAsia="zh-CN"/>
        </w:rPr>
        <w:t>守正公司</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kern w:val="0"/>
          <w:sz w:val="32"/>
          <w:szCs w:val="32"/>
          <w:lang w:val="en-US" w:eastAsia="zh-CN"/>
        </w:rPr>
        <w:t>，为项目监理单位，</w:t>
      </w:r>
      <w:r>
        <w:rPr>
          <w:rFonts w:hint="eastAsia" w:ascii="仿宋_GB2312" w:hAnsi="仿宋_GB2312" w:eastAsia="仿宋_GB2312" w:cs="仿宋_GB2312"/>
          <w:color w:val="000000"/>
          <w:kern w:val="0"/>
          <w:sz w:val="32"/>
          <w:szCs w:val="32"/>
          <w:lang w:val="en-US" w:eastAsia="zh-CN" w:bidi="ar"/>
        </w:rPr>
        <w:t>成立于2019年3月21日，法定代表人为周某斌，统一社会信用代码为91360802MA38EL9C99。公司住所位于江西省吉安市吉州区城建花苑综合楼办公1501号，类型为有限责任公司（自然人投资或控股），经营范围：许可项目：建设工程监理（依法须经批准的项目，经相关部门批准后在许可有效期内方可开展经营活动，具体经营项目和许可期限以相关部门批准文件或许可证件为准）；一般项目：工程造价咨询业务，工程管理服务，招投标代理服务，政府采购代理服务（除依法须经批准的项目外，凭营业执照依法自主开展经营活动）。注册资本贰佰万元。资质类别及等级为市政公用工程监理乙级、房屋建筑工程监理乙级，《工程监理资质证书》编号E236037275，有效期至2028年4月7日。2025年4月15日，守正公司委派人员组成</w:t>
      </w:r>
      <w:r>
        <w:rPr>
          <w:rFonts w:hint="eastAsia" w:ascii="仿宋_GB2312" w:hAnsi="仿宋_GB2312" w:eastAsia="仿宋_GB2312" w:cs="仿宋_GB2312"/>
          <w:color w:val="000000"/>
          <w:sz w:val="32"/>
          <w:szCs w:val="32"/>
        </w:rPr>
        <w:t>江西德基新材料有限公司庐陵德基高端智造产业园一期项目</w:t>
      </w:r>
      <w:r>
        <w:rPr>
          <w:rFonts w:hint="eastAsia" w:ascii="仿宋_GB2312" w:hAnsi="仿宋_GB2312" w:eastAsia="仿宋_GB2312" w:cs="仿宋_GB2312"/>
          <w:color w:val="000000"/>
          <w:kern w:val="0"/>
          <w:sz w:val="32"/>
          <w:szCs w:val="32"/>
          <w:lang w:val="en-US" w:eastAsia="zh-CN" w:bidi="ar"/>
        </w:rPr>
        <w:t>监理机构，项目总监郭某洲</w:t>
      </w:r>
      <w:r>
        <w:rPr>
          <w:rFonts w:hint="eastAsia" w:ascii="仿宋_GB2312" w:hAnsi="仿宋_GB2312" w:eastAsia="仿宋_GB2312" w:cs="仿宋_GB2312"/>
          <w:color w:val="000000"/>
          <w:sz w:val="32"/>
          <w:szCs w:val="32"/>
          <w:lang w:val="en-US" w:eastAsia="zh-CN"/>
        </w:rPr>
        <w:t>（执业证书编号00847298），监理工程师欧阳某（证书编号为2020035198659197），监理人员李某平（证书编号为赣建专监001011）。</w:t>
      </w:r>
    </w:p>
    <w:p w14:paraId="3D856A5E">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rPr>
        <w:t>3.施工单位：江西金安建筑工程有限公司</w:t>
      </w:r>
      <w:r>
        <w:rPr>
          <w:rFonts w:hint="eastAsia" w:ascii="仿宋_GB2312" w:hAnsi="仿宋_GB2312" w:eastAsia="仿宋_GB2312" w:cs="仿宋_GB2312"/>
          <w:sz w:val="32"/>
          <w:szCs w:val="32"/>
        </w:rPr>
        <w:t>（以下简称</w:t>
      </w:r>
      <w:r>
        <w:rPr>
          <w:rFonts w:hint="eastAsia" w:ascii="仿宋_GB2312" w:hAnsi="仿宋_GB2312" w:eastAsia="仿宋_GB2312" w:cs="仿宋_GB2312"/>
          <w:sz w:val="32"/>
          <w:szCs w:val="32"/>
          <w:lang w:val="en-US" w:eastAsia="zh-CN"/>
        </w:rPr>
        <w:t>金安公司</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kern w:val="0"/>
          <w:sz w:val="32"/>
          <w:szCs w:val="32"/>
          <w:lang w:val="en-US" w:eastAsia="zh-CN"/>
        </w:rPr>
        <w:t>，为施工总承包单位，</w:t>
      </w:r>
      <w:r>
        <w:rPr>
          <w:rFonts w:hint="eastAsia" w:ascii="仿宋_GB2312" w:hAnsi="仿宋_GB2312" w:eastAsia="仿宋_GB2312" w:cs="仿宋_GB2312"/>
          <w:color w:val="000000"/>
          <w:kern w:val="0"/>
          <w:sz w:val="32"/>
          <w:szCs w:val="32"/>
          <w:lang w:val="en-US" w:eastAsia="zh-CN" w:bidi="ar"/>
        </w:rPr>
        <w:t>成立于2012年11月7日，法定代表人为王某丁，统一社会信用代码913608290564197596。公司住所位于江西省吉安市安福县平都镇公路分局东侧商会大厦写字楼A191，类型为有限责任公司（自然人投资或控股），注册资本六百万元，经营范围：许可项目：房屋建筑和市政基础设施项目工程总承包，各类工程建设活动，工程造价咨询业务，建筑劳务分包（依法须经批准的项目，经相关部门批准后方可开展经营活动）；一般项目：园林绿化工程施工，普通机械设备安装服务，物业管理（除许可业务外，可自主依法经营法律法规非禁止或限制的项目），营业期限为2012年11月7日至2062年11月6日。公司资质类别及等级为建筑工程施工总承包贰级，有效期至2028年11月20日，《建筑业企业资质证书》编号D236181030；《安全生产许可证》编号（赣）JZ安许证字〔2013〕040032，许可范围：建筑施工，有效期：2022年11月3日至2025年11月3日。</w:t>
      </w:r>
      <w:r>
        <w:rPr>
          <w:rFonts w:hint="eastAsia" w:ascii="仿宋_GB2312" w:hAnsi="仿宋_GB2312" w:eastAsia="仿宋_GB2312" w:cs="仿宋_GB2312"/>
          <w:color w:val="000000"/>
          <w:sz w:val="32"/>
          <w:szCs w:val="32"/>
        </w:rPr>
        <w:t>江西德基新材料有限公司庐陵德基高端智造产业园一期项目</w:t>
      </w:r>
      <w:r>
        <w:rPr>
          <w:rFonts w:hint="eastAsia" w:ascii="仿宋_GB2312" w:hAnsi="仿宋_GB2312" w:eastAsia="仿宋_GB2312" w:cs="仿宋_GB2312"/>
          <w:color w:val="000000"/>
          <w:kern w:val="0"/>
          <w:sz w:val="32"/>
          <w:szCs w:val="32"/>
          <w:lang w:val="en-US" w:eastAsia="zh-CN" w:bidi="ar"/>
        </w:rPr>
        <w:t>经理部，项目经理徐某明（一级建造师证书编号赣</w:t>
      </w:r>
      <w:r>
        <w:rPr>
          <w:rFonts w:hint="eastAsia" w:ascii="仿宋_GB2312" w:hAnsi="仿宋_GB2312" w:eastAsia="仿宋_GB2312" w:cs="仿宋_GB2312"/>
          <w:color w:val="000000"/>
          <w:kern w:val="0"/>
          <w:sz w:val="32"/>
          <w:szCs w:val="32"/>
          <w:lang w:eastAsia="zh-CN" w:bidi="ar"/>
        </w:rPr>
        <w:t>135201820200292</w:t>
      </w:r>
      <w:r>
        <w:rPr>
          <w:rFonts w:hint="eastAsia" w:ascii="仿宋_GB2312" w:hAnsi="仿宋_GB2312" w:eastAsia="仿宋_GB2312" w:cs="仿宋_GB2312"/>
          <w:color w:val="000000"/>
          <w:kern w:val="0"/>
          <w:sz w:val="32"/>
          <w:szCs w:val="32"/>
          <w:lang w:val="en-US" w:eastAsia="zh-CN" w:bidi="ar"/>
        </w:rPr>
        <w:t>），技术负责人</w:t>
      </w:r>
      <w:r>
        <w:rPr>
          <w:rFonts w:hint="eastAsia" w:ascii="仿宋_GB2312" w:hAnsi="仿宋_GB2312" w:eastAsia="仿宋_GB2312" w:cs="仿宋_GB2312"/>
          <w:color w:val="000000"/>
          <w:kern w:val="0"/>
          <w:sz w:val="32"/>
          <w:szCs w:val="32"/>
          <w:lang w:eastAsia="zh-CN" w:bidi="ar"/>
        </w:rPr>
        <w:t>王</w:t>
      </w:r>
      <w:r>
        <w:rPr>
          <w:rFonts w:hint="eastAsia" w:ascii="仿宋_GB2312" w:hAnsi="仿宋_GB2312" w:eastAsia="仿宋_GB2312" w:cs="仿宋_GB2312"/>
          <w:color w:val="000000"/>
          <w:kern w:val="0"/>
          <w:sz w:val="32"/>
          <w:szCs w:val="32"/>
          <w:lang w:val="en-US" w:eastAsia="zh-CN" w:bidi="ar"/>
        </w:rPr>
        <w:t>某</w:t>
      </w:r>
      <w:r>
        <w:rPr>
          <w:rFonts w:hint="eastAsia" w:ascii="仿宋_GB2312" w:hAnsi="仿宋_GB2312" w:eastAsia="仿宋_GB2312" w:cs="仿宋_GB2312"/>
          <w:color w:val="000000"/>
          <w:kern w:val="0"/>
          <w:sz w:val="32"/>
          <w:szCs w:val="32"/>
          <w:lang w:eastAsia="zh-CN" w:bidi="ar"/>
        </w:rPr>
        <w:t>鹏</w:t>
      </w:r>
      <w:r>
        <w:rPr>
          <w:rFonts w:hint="eastAsia" w:ascii="仿宋_GB2312" w:hAnsi="仿宋_GB2312" w:eastAsia="仿宋_GB2312" w:cs="仿宋_GB2312"/>
          <w:color w:val="000000"/>
          <w:kern w:val="0"/>
          <w:sz w:val="32"/>
          <w:szCs w:val="32"/>
          <w:lang w:val="en-US" w:eastAsia="zh-CN" w:bidi="ar"/>
        </w:rPr>
        <w:t>，施工员</w:t>
      </w:r>
      <w:r>
        <w:rPr>
          <w:rFonts w:hint="eastAsia" w:ascii="仿宋_GB2312" w:hAnsi="仿宋_GB2312" w:eastAsia="仿宋_GB2312" w:cs="仿宋_GB2312"/>
          <w:color w:val="000000"/>
          <w:kern w:val="0"/>
          <w:sz w:val="32"/>
          <w:szCs w:val="32"/>
          <w:lang w:eastAsia="zh-CN" w:bidi="ar"/>
        </w:rPr>
        <w:t>王</w:t>
      </w:r>
      <w:r>
        <w:rPr>
          <w:rFonts w:hint="eastAsia" w:ascii="仿宋_GB2312" w:hAnsi="仿宋_GB2312" w:eastAsia="仿宋_GB2312" w:cs="仿宋_GB2312"/>
          <w:color w:val="000000"/>
          <w:kern w:val="0"/>
          <w:sz w:val="32"/>
          <w:szCs w:val="32"/>
          <w:lang w:val="en-US" w:eastAsia="zh-CN" w:bidi="ar"/>
        </w:rPr>
        <w:t>某</w:t>
      </w:r>
      <w:r>
        <w:rPr>
          <w:rFonts w:hint="eastAsia" w:ascii="仿宋_GB2312" w:hAnsi="仿宋_GB2312" w:eastAsia="仿宋_GB2312" w:cs="仿宋_GB2312"/>
          <w:color w:val="000000"/>
          <w:kern w:val="0"/>
          <w:sz w:val="32"/>
          <w:szCs w:val="32"/>
          <w:lang w:eastAsia="zh-CN" w:bidi="ar"/>
        </w:rPr>
        <w:t>峰</w:t>
      </w:r>
      <w:r>
        <w:rPr>
          <w:rFonts w:hint="eastAsia" w:ascii="仿宋_GB2312" w:hAnsi="仿宋_GB2312" w:eastAsia="仿宋_GB2312" w:cs="仿宋_GB2312"/>
          <w:color w:val="000000"/>
          <w:kern w:val="0"/>
          <w:sz w:val="32"/>
          <w:szCs w:val="32"/>
          <w:lang w:val="en-US" w:eastAsia="zh-CN" w:bidi="ar"/>
        </w:rPr>
        <w:t>，安全员：</w:t>
      </w:r>
      <w:r>
        <w:rPr>
          <w:rFonts w:hint="eastAsia" w:ascii="仿宋_GB2312" w:hAnsi="仿宋_GB2312" w:eastAsia="仿宋_GB2312" w:cs="仿宋_GB2312"/>
          <w:color w:val="000000"/>
          <w:kern w:val="0"/>
          <w:sz w:val="32"/>
          <w:szCs w:val="32"/>
          <w:lang w:eastAsia="zh-CN" w:bidi="ar"/>
        </w:rPr>
        <w:t>刘</w:t>
      </w:r>
      <w:r>
        <w:rPr>
          <w:rFonts w:hint="eastAsia" w:ascii="仿宋_GB2312" w:hAnsi="仿宋_GB2312" w:eastAsia="仿宋_GB2312" w:cs="仿宋_GB2312"/>
          <w:color w:val="000000"/>
          <w:kern w:val="0"/>
          <w:sz w:val="32"/>
          <w:szCs w:val="32"/>
          <w:lang w:val="en-US" w:eastAsia="zh-CN" w:bidi="ar"/>
        </w:rPr>
        <w:t>某</w:t>
      </w:r>
      <w:r>
        <w:rPr>
          <w:rFonts w:hint="eastAsia" w:ascii="仿宋_GB2312" w:hAnsi="仿宋_GB2312" w:eastAsia="仿宋_GB2312" w:cs="仿宋_GB2312"/>
          <w:color w:val="000000"/>
          <w:kern w:val="0"/>
          <w:sz w:val="32"/>
          <w:szCs w:val="32"/>
          <w:lang w:eastAsia="zh-CN" w:bidi="ar"/>
        </w:rPr>
        <w:t>（证书编号：赣建安C(2023)0012789）,（</w:t>
      </w:r>
      <w:r>
        <w:rPr>
          <w:rFonts w:hint="eastAsia" w:ascii="仿宋_GB2312" w:hAnsi="仿宋_GB2312" w:eastAsia="仿宋_GB2312" w:cs="仿宋_GB2312"/>
          <w:color w:val="000000"/>
          <w:kern w:val="0"/>
          <w:sz w:val="32"/>
          <w:szCs w:val="32"/>
          <w:lang w:val="en-US" w:eastAsia="zh-CN" w:bidi="ar"/>
        </w:rPr>
        <w:t>因请假，长期不在岗履职）、</w:t>
      </w:r>
      <w:r>
        <w:rPr>
          <w:rFonts w:hint="eastAsia" w:ascii="仿宋_GB2312" w:hAnsi="仿宋_GB2312" w:eastAsia="仿宋_GB2312" w:cs="仿宋_GB2312"/>
          <w:color w:val="000000"/>
          <w:kern w:val="0"/>
          <w:sz w:val="32"/>
          <w:szCs w:val="32"/>
          <w:lang w:eastAsia="zh-CN" w:bidi="ar"/>
        </w:rPr>
        <w:t>刘</w:t>
      </w:r>
      <w:r>
        <w:rPr>
          <w:rFonts w:hint="eastAsia" w:ascii="仿宋_GB2312" w:hAnsi="仿宋_GB2312" w:eastAsia="仿宋_GB2312" w:cs="仿宋_GB2312"/>
          <w:color w:val="000000"/>
          <w:kern w:val="0"/>
          <w:sz w:val="32"/>
          <w:szCs w:val="32"/>
          <w:lang w:val="en-US" w:eastAsia="zh-CN" w:bidi="ar"/>
        </w:rPr>
        <w:t>某</w:t>
      </w:r>
      <w:r>
        <w:rPr>
          <w:rFonts w:hint="eastAsia" w:ascii="仿宋_GB2312" w:hAnsi="仿宋_GB2312" w:eastAsia="仿宋_GB2312" w:cs="仿宋_GB2312"/>
          <w:color w:val="000000"/>
          <w:kern w:val="0"/>
          <w:sz w:val="32"/>
          <w:szCs w:val="32"/>
          <w:lang w:eastAsia="zh-CN" w:bidi="ar"/>
        </w:rPr>
        <w:t>和（</w:t>
      </w:r>
      <w:r>
        <w:rPr>
          <w:rFonts w:hint="eastAsia" w:ascii="仿宋_GB2312" w:hAnsi="仿宋_GB2312" w:eastAsia="仿宋_GB2312" w:cs="仿宋_GB2312"/>
          <w:color w:val="000000"/>
          <w:kern w:val="0"/>
          <w:sz w:val="32"/>
          <w:szCs w:val="32"/>
          <w:lang w:val="en-US" w:eastAsia="zh-CN" w:bidi="ar"/>
        </w:rPr>
        <w:t>证书编号：赣建安C(202</w:t>
      </w:r>
      <w:r>
        <w:rPr>
          <w:rFonts w:hint="eastAsia" w:ascii="仿宋_GB2312" w:hAnsi="仿宋_GB2312" w:eastAsia="仿宋_GB2312" w:cs="仿宋_GB2312"/>
          <w:color w:val="000000"/>
          <w:kern w:val="0"/>
          <w:sz w:val="32"/>
          <w:szCs w:val="32"/>
          <w:lang w:eastAsia="zh-CN" w:bidi="ar"/>
        </w:rPr>
        <w:t>1</w:t>
      </w:r>
      <w:r>
        <w:rPr>
          <w:rFonts w:hint="eastAsia" w:ascii="仿宋_GB2312" w:hAnsi="仿宋_GB2312" w:eastAsia="仿宋_GB2312" w:cs="仿宋_GB2312"/>
          <w:color w:val="000000"/>
          <w:kern w:val="0"/>
          <w:sz w:val="32"/>
          <w:szCs w:val="32"/>
          <w:lang w:val="en-US" w:eastAsia="zh-CN" w:bidi="ar"/>
        </w:rPr>
        <w:t>)00</w:t>
      </w:r>
      <w:r>
        <w:rPr>
          <w:rFonts w:hint="eastAsia" w:ascii="仿宋_GB2312" w:hAnsi="仿宋_GB2312" w:eastAsia="仿宋_GB2312" w:cs="仿宋_GB2312"/>
          <w:color w:val="000000"/>
          <w:kern w:val="0"/>
          <w:sz w:val="32"/>
          <w:szCs w:val="32"/>
          <w:lang w:eastAsia="zh-CN" w:bidi="ar"/>
        </w:rPr>
        <w:t>87702</w:t>
      </w:r>
      <w:r>
        <w:rPr>
          <w:rFonts w:hint="eastAsia"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eastAsia="zh-CN" w:bidi="ar"/>
        </w:rPr>
        <w:t>）</w:t>
      </w:r>
      <w:r>
        <w:rPr>
          <w:rFonts w:hint="eastAsia"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eastAsia="zh-CN" w:bidi="ar"/>
        </w:rPr>
        <w:t>王</w:t>
      </w:r>
      <w:r>
        <w:rPr>
          <w:rFonts w:hint="eastAsia" w:ascii="仿宋_GB2312" w:hAnsi="仿宋_GB2312" w:eastAsia="仿宋_GB2312" w:cs="仿宋_GB2312"/>
          <w:color w:val="000000"/>
          <w:kern w:val="0"/>
          <w:sz w:val="32"/>
          <w:szCs w:val="32"/>
          <w:lang w:val="en-US" w:eastAsia="zh-CN" w:bidi="ar"/>
        </w:rPr>
        <w:t>某</w:t>
      </w:r>
      <w:r>
        <w:rPr>
          <w:rFonts w:hint="eastAsia" w:ascii="仿宋_GB2312" w:hAnsi="仿宋_GB2312" w:eastAsia="仿宋_GB2312" w:cs="仿宋_GB2312"/>
          <w:color w:val="000000"/>
          <w:kern w:val="0"/>
          <w:sz w:val="32"/>
          <w:szCs w:val="32"/>
          <w:lang w:eastAsia="zh-CN" w:bidi="ar"/>
        </w:rPr>
        <w:t>明（</w:t>
      </w:r>
      <w:r>
        <w:rPr>
          <w:rFonts w:hint="eastAsia" w:ascii="仿宋_GB2312" w:hAnsi="仿宋_GB2312" w:eastAsia="仿宋_GB2312" w:cs="仿宋_GB2312"/>
          <w:color w:val="000000"/>
          <w:kern w:val="0"/>
          <w:sz w:val="32"/>
          <w:szCs w:val="32"/>
          <w:lang w:val="en-US" w:eastAsia="zh-CN" w:bidi="ar"/>
        </w:rPr>
        <w:t>证书编号：赣建安C(2023)00</w:t>
      </w:r>
      <w:r>
        <w:rPr>
          <w:rFonts w:hint="eastAsia" w:ascii="仿宋_GB2312" w:hAnsi="仿宋_GB2312" w:eastAsia="仿宋_GB2312" w:cs="仿宋_GB2312"/>
          <w:color w:val="000000"/>
          <w:kern w:val="0"/>
          <w:sz w:val="32"/>
          <w:szCs w:val="32"/>
          <w:lang w:eastAsia="zh-CN" w:bidi="ar"/>
        </w:rPr>
        <w:t>87639</w:t>
      </w:r>
      <w:r>
        <w:rPr>
          <w:rFonts w:hint="eastAsia" w:ascii="仿宋_GB2312" w:hAnsi="仿宋_GB2312" w:eastAsia="仿宋_GB2312" w:cs="仿宋_GB2312"/>
          <w:color w:val="000000"/>
          <w:kern w:val="0"/>
          <w:sz w:val="32"/>
          <w:szCs w:val="32"/>
          <w:lang w:val="en-US" w:eastAsia="zh-CN" w:bidi="ar"/>
        </w:rPr>
        <w:t>,），质检员：</w:t>
      </w:r>
      <w:r>
        <w:rPr>
          <w:rFonts w:hint="eastAsia" w:ascii="仿宋_GB2312" w:hAnsi="仿宋_GB2312" w:eastAsia="仿宋_GB2312" w:cs="仿宋_GB2312"/>
          <w:color w:val="000000"/>
          <w:kern w:val="0"/>
          <w:sz w:val="32"/>
          <w:szCs w:val="32"/>
          <w:lang w:eastAsia="zh-CN" w:bidi="ar"/>
        </w:rPr>
        <w:t>戴</w:t>
      </w:r>
      <w:r>
        <w:rPr>
          <w:rFonts w:hint="eastAsia" w:ascii="仿宋_GB2312" w:hAnsi="仿宋_GB2312" w:eastAsia="仿宋_GB2312" w:cs="仿宋_GB2312"/>
          <w:color w:val="000000"/>
          <w:kern w:val="0"/>
          <w:sz w:val="32"/>
          <w:szCs w:val="32"/>
          <w:lang w:val="en-US" w:eastAsia="zh-CN" w:bidi="ar"/>
        </w:rPr>
        <w:t>某</w:t>
      </w:r>
      <w:r>
        <w:rPr>
          <w:rFonts w:hint="eastAsia" w:ascii="仿宋_GB2312" w:hAnsi="仿宋_GB2312" w:eastAsia="仿宋_GB2312" w:cs="仿宋_GB2312"/>
          <w:color w:val="000000"/>
          <w:kern w:val="0"/>
          <w:sz w:val="32"/>
          <w:szCs w:val="32"/>
          <w:lang w:eastAsia="zh-CN" w:bidi="ar"/>
        </w:rPr>
        <w:t>玲</w:t>
      </w:r>
      <w:r>
        <w:rPr>
          <w:rFonts w:hint="eastAsia" w:ascii="仿宋_GB2312" w:hAnsi="仿宋_GB2312" w:eastAsia="仿宋_GB2312" w:cs="仿宋_GB2312"/>
          <w:color w:val="000000"/>
          <w:kern w:val="0"/>
          <w:sz w:val="32"/>
          <w:szCs w:val="32"/>
          <w:lang w:val="en-US" w:eastAsia="zh-CN" w:bidi="ar"/>
        </w:rPr>
        <w:t>，材料员：</w:t>
      </w:r>
      <w:r>
        <w:rPr>
          <w:rFonts w:hint="eastAsia" w:ascii="仿宋_GB2312" w:hAnsi="仿宋_GB2312" w:eastAsia="仿宋_GB2312" w:cs="仿宋_GB2312"/>
          <w:color w:val="000000"/>
          <w:kern w:val="0"/>
          <w:sz w:val="32"/>
          <w:szCs w:val="32"/>
          <w:lang w:eastAsia="zh-CN" w:bidi="ar"/>
        </w:rPr>
        <w:t>张</w:t>
      </w:r>
      <w:r>
        <w:rPr>
          <w:rFonts w:hint="eastAsia" w:ascii="仿宋_GB2312" w:hAnsi="仿宋_GB2312" w:eastAsia="仿宋_GB2312" w:cs="仿宋_GB2312"/>
          <w:color w:val="000000"/>
          <w:kern w:val="0"/>
          <w:sz w:val="32"/>
          <w:szCs w:val="32"/>
          <w:lang w:val="en-US" w:eastAsia="zh-CN" w:bidi="ar"/>
        </w:rPr>
        <w:t>某。</w:t>
      </w:r>
    </w:p>
    <w:p w14:paraId="6C86B189">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both"/>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（二）事故发生单位安全管理情况</w:t>
      </w:r>
    </w:p>
    <w:p w14:paraId="263B7323">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金安公司安全生产管理责任落实不到位。违规使用未经验收的施工升降机，安全生产规章制度缺失，未制定事发三轮车的使用管理规章制度，安全生产教育和培训不到位，安全风险辨识不到位，未辨识涉事电动三轮车进入升降机作业存在的安全风险，未采取必要的安全防护措施。</w:t>
      </w:r>
    </w:p>
    <w:p w14:paraId="4C4D4F5B">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left"/>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（三）事故发生经过</w:t>
      </w:r>
    </w:p>
    <w:p w14:paraId="26D98C6B">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9月2日，泥工班组人员前往9号楼进行一楼构造柱的混凝土浇筑和往二楼运砖工作。7时30分许，泥工陈某华在一楼厂房内使用电动三轮车（备注：只有前进挡和倒挡）（以下简称“三轮车”）装运砖块，将装满砖的三轮车开进一楼升降机内，由施工升降机司机葛某弟操作升降机将三轮车送至二楼，肖某芝（死者）在二楼负责从升降机内将三轮车开出，将砖送往二层电梯井口处（三轮车出升降机时，应挂倒挡将车倒出）。11时18分许，肖某芝进入升降机内将三轮车开出时误挂前进挡，导致三轮车撞开升降机外侧防护门冲出升降机连人带车坠落至一楼。</w:t>
      </w:r>
    </w:p>
    <w:p w14:paraId="33D73FB1">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left"/>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（四）事故现场情况</w:t>
      </w:r>
    </w:p>
    <w:p w14:paraId="54FEBF58">
      <w:pPr>
        <w:pStyle w:val="4"/>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rPr>
          <w:rFonts w:hint="eastAsia" w:ascii="仿宋_GB2312" w:hAnsi="仿宋_GB2312" w:eastAsia="仿宋_GB2312" w:cs="仿宋_GB2312"/>
          <w:strike w:val="0"/>
          <w:dstrike w:val="0"/>
          <w:color w:val="FF0000"/>
          <w:sz w:val="32"/>
          <w:szCs w:val="32"/>
          <w:lang w:val="en-US" w:eastAsia="zh-CN"/>
        </w:rPr>
      </w:pPr>
      <w:r>
        <w:rPr>
          <w:rFonts w:hint="eastAsia" w:ascii="仿宋_GB2312" w:hAnsi="仿宋_GB2312" w:eastAsia="仿宋_GB2312" w:cs="仿宋_GB2312"/>
          <w:color w:val="auto"/>
          <w:sz w:val="32"/>
          <w:szCs w:val="32"/>
          <w:lang w:val="en-US" w:eastAsia="zh-CN"/>
        </w:rPr>
        <w:t>经现场勘查，江西德基新材料有限公司庐陵德基高端智造产业园一期项目，9号楼为混凝土框架结构，共4层，第一层高度约7米。楼西侧中间位置安装一台施工升降机（事故发生升降机），未搭设防护棚，升降机外侧防护门损坏，未对升降机外侧门采取加固等安全防护措施，存在安全隐患。升降机使用时进出均从内侧门出入，未使用外侧门。</w:t>
      </w:r>
    </w:p>
    <w:p w14:paraId="2632F50E">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left"/>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（五）人员伤亡和直接经济损失情况</w:t>
      </w:r>
    </w:p>
    <w:p w14:paraId="06044C65">
      <w:pPr>
        <w:pStyle w:val="4"/>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事故造成1人死亡，依据《企业职工伤亡事故经济损失统计标准》（GB6721-1986）等标准和规定统计，核定本起事故直接经济损失约123万元（不含事故罚款）。</w:t>
      </w:r>
    </w:p>
    <w:p w14:paraId="7B53BAF1">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楷体" w:hAnsi="楷体" w:eastAsia="楷体" w:cs="楷体"/>
          <w:b/>
          <w:color w:val="FF0000"/>
          <w:sz w:val="32"/>
          <w:szCs w:val="32"/>
        </w:rPr>
      </w:pPr>
      <w:r>
        <w:rPr>
          <w:rFonts w:hint="eastAsia" w:ascii="黑体" w:hAnsi="黑体" w:eastAsia="黑体" w:cs="黑体"/>
          <w:b/>
          <w:sz w:val="32"/>
          <w:szCs w:val="32"/>
        </w:rPr>
        <w:t>二、事故应急处置评估情况</w:t>
      </w:r>
    </w:p>
    <w:p w14:paraId="203273D3">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left"/>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（一）事故信息接报及响应情况</w:t>
      </w:r>
    </w:p>
    <w:p w14:paraId="62132FB4">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事故发生后，现场人员立即上报企业负责人，接到信息后，该企业负责人上报区住建局。区应急管理局接到报告后第一时间向区人民政府和市应急管理部门上报事故情况，同时立即安排人员赶赴现场了解情况。</w:t>
      </w:r>
    </w:p>
    <w:p w14:paraId="460CB919">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left"/>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（二）事故现场应急处置情况</w:t>
      </w:r>
    </w:p>
    <w:p w14:paraId="4A4D733B">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发生事故后，现场人员立即拨打了120急救电话，疏散围观人员，并打开工地大门，安排人员引导120救护车。政府部门接到报告立即安排人员赴现场了解情况，并组织人员进行现场处置，防止次生事故的发生。</w:t>
      </w:r>
    </w:p>
    <w:p w14:paraId="27A6AC17">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both"/>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（三）医疗救助善后情况</w:t>
      </w:r>
    </w:p>
    <w:p w14:paraId="1B4BC8C4">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120接到急救电话后立即赶往事故现场将伤者送往医院进行救治，伤者经抢救无效，肖某芝于12时10分许死亡。事后金安公司对该起事故进行了善后处理，对死者家属做了安抚工作，并签署了死亡补偿协议。</w:t>
      </w:r>
    </w:p>
    <w:p w14:paraId="2C94BFD4">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both"/>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（四）事故应急处置评估</w:t>
      </w:r>
    </w:p>
    <w:p w14:paraId="03DFCF6A">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经调查评估，企业及时上报了事故情况，政府有关部门第一时间赶赴现场指挥救援，妥善做好了现场救援和善后处置工作，未发生次生事故。从企业自救情况来看，金安公司在第一时间拨打了120急救电话，处置得当。</w:t>
      </w:r>
    </w:p>
    <w:p w14:paraId="23973B8B">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黑体" w:hAnsi="黑体" w:eastAsia="黑体" w:cs="黑体"/>
          <w:b/>
          <w:sz w:val="32"/>
          <w:szCs w:val="32"/>
        </w:rPr>
      </w:pPr>
      <w:r>
        <w:rPr>
          <w:rFonts w:hint="eastAsia" w:ascii="黑体" w:hAnsi="黑体" w:eastAsia="黑体" w:cs="黑体"/>
          <w:b/>
          <w:sz w:val="32"/>
          <w:szCs w:val="32"/>
        </w:rPr>
        <w:t>三、事故原因分析</w:t>
      </w:r>
    </w:p>
    <w:p w14:paraId="7CCD85D6">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事故直接原因：肖某芝进入二楼升降机内，驾驶三轮车从升降机内冲出坠落至一楼。</w:t>
      </w:r>
    </w:p>
    <w:p w14:paraId="3D6189D9">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both"/>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（一）直接原因分析</w:t>
      </w:r>
    </w:p>
    <w:p w14:paraId="359919B2">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color w:val="auto"/>
          <w:sz w:val="32"/>
          <w:szCs w:val="32"/>
          <w:lang w:val="en-US" w:eastAsia="zh-CN"/>
        </w:rPr>
        <w:t>肖某芝驾驶三轮车倒出升降机时，本应挂倒车挡驶出，但实际操作中误挂成前进挡，撞开外侧防护门从升降机内冲出坠落至一楼。</w:t>
      </w:r>
    </w:p>
    <w:p w14:paraId="60851212">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作业时三轮车进入升降机内，未做好相应的安全防护措施，存在安全隐患。</w:t>
      </w:r>
    </w:p>
    <w:p w14:paraId="728D72CC">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both"/>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（二）间接原因分析</w:t>
      </w:r>
    </w:p>
    <w:p w14:paraId="482171A0">
      <w:pPr>
        <w:pStyle w:val="6"/>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1.施工单位：</w:t>
      </w:r>
      <w:r>
        <w:rPr>
          <w:rFonts w:hint="eastAsia" w:ascii="仿宋_GB2312" w:hAnsi="仿宋_GB2312" w:eastAsia="仿宋_GB2312" w:cs="仿宋_GB2312"/>
          <w:b/>
          <w:bCs/>
          <w:color w:val="000000"/>
          <w:kern w:val="0"/>
          <w:sz w:val="32"/>
          <w:szCs w:val="32"/>
          <w:lang w:val="en-US" w:eastAsia="zh-CN"/>
        </w:rPr>
        <w:t>江西金安建筑工程有限公司</w:t>
      </w:r>
      <w:r>
        <w:rPr>
          <w:rFonts w:hint="eastAsia" w:ascii="仿宋_GB2312" w:hAnsi="仿宋_GB2312" w:eastAsia="仿宋_GB2312" w:cs="仿宋_GB2312"/>
          <w:sz w:val="32"/>
          <w:szCs w:val="32"/>
          <w:lang w:val="en-US" w:eastAsia="zh-CN"/>
        </w:rPr>
        <w:t>安全生产责任主体落实不到位：</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val="0"/>
          <w:bCs w:val="0"/>
          <w:sz w:val="32"/>
          <w:szCs w:val="32"/>
          <w:lang w:val="en-US" w:eastAsia="zh-CN"/>
        </w:rPr>
        <w:t>升降机安全风险辨识不到位，未识别三轮车进入升降机作业存在的安全风险，未及时消除安全隐患。</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b w:val="0"/>
          <w:bCs w:val="0"/>
          <w:sz w:val="32"/>
          <w:szCs w:val="32"/>
          <w:lang w:val="en-US" w:eastAsia="zh-CN"/>
        </w:rPr>
        <w:t>现场管理不到位，施工升降机未经验收就违规使用，对作业人员驾驶三轮车进入升降机内行为未及时制止；</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sz w:val="32"/>
          <w:szCs w:val="32"/>
          <w:lang w:val="en-US" w:eastAsia="zh-CN"/>
        </w:rPr>
        <w:t>安全生产规章制度、安全技术操作规程缺失，未建立三轮车使用管理规章制度和安全技术操作规程，导致作业人员无章可循；</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lang w:val="en-US" w:eastAsia="zh-CN"/>
        </w:rPr>
        <w:t>安全生产教育和培训不到位，进行安全教育和培训时未对三轮车的使用进行培训，导致作业人员安全意识薄弱，将三轮车开进升降机内作业。</w:t>
      </w:r>
    </w:p>
    <w:p w14:paraId="5447CAE2">
      <w:pPr>
        <w:pStyle w:val="6"/>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 w:hAnsi="仿宋" w:eastAsia="仿宋"/>
          <w:color w:val="auto"/>
          <w:sz w:val="32"/>
          <w:szCs w:val="32"/>
          <w:lang w:val="en-US" w:eastAsia="zh-CN"/>
        </w:rPr>
      </w:pPr>
      <w:r>
        <w:rPr>
          <w:rFonts w:hint="eastAsia" w:ascii="仿宋_GB2312" w:hAnsi="宋体" w:eastAsia="仿宋_GB2312" w:cs="仿宋_GB2312"/>
          <w:b/>
          <w:bCs/>
          <w:color w:val="000000"/>
          <w:kern w:val="0"/>
          <w:sz w:val="32"/>
          <w:szCs w:val="32"/>
          <w:lang w:val="en-US" w:eastAsia="zh-CN" w:bidi="ar"/>
        </w:rPr>
        <w:t>2.监理单位：江西守正工程管理有限公司</w:t>
      </w:r>
      <w:r>
        <w:rPr>
          <w:rFonts w:hint="eastAsia" w:ascii="仿宋_GB2312" w:hAnsi="宋体" w:eastAsia="仿宋_GB2312" w:cs="仿宋_GB2312"/>
          <w:color w:val="000000"/>
          <w:kern w:val="0"/>
          <w:sz w:val="32"/>
          <w:szCs w:val="32"/>
          <w:lang w:val="en-US" w:eastAsia="zh-CN" w:bidi="ar"/>
        </w:rPr>
        <w:t>作为监理单位，履行建设工程安全生产管理的监理职责不到位。对施工单位现场安全生产规章制度的建立和实施情况，审查不严；对施工单</w:t>
      </w:r>
      <w:r>
        <w:rPr>
          <w:rFonts w:hint="eastAsia" w:ascii="仿宋" w:hAnsi="仿宋" w:eastAsia="仿宋"/>
          <w:color w:val="auto"/>
          <w:sz w:val="32"/>
          <w:szCs w:val="32"/>
        </w:rPr>
        <w:t>位</w:t>
      </w:r>
      <w:r>
        <w:rPr>
          <w:rFonts w:hint="eastAsia" w:ascii="仿宋_GB2312" w:hAnsi="宋体" w:eastAsia="仿宋_GB2312" w:cs="仿宋_GB2312"/>
          <w:color w:val="000000"/>
          <w:kern w:val="0"/>
          <w:sz w:val="32"/>
          <w:szCs w:val="32"/>
          <w:lang w:val="en-US" w:eastAsia="zh-CN" w:bidi="ar"/>
        </w:rPr>
        <w:t>现场管理人员刘某长期不在岗履职失管；未监督检查建筑起重机械的使用情况，对施工升降机未经验收违规使用情况未及时发现和制止；对存在的安全隐患未采取有效的处理，安全监管不到位。</w:t>
      </w:r>
    </w:p>
    <w:p w14:paraId="5FAFD7EE">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both"/>
        <w:textAlignment w:val="auto"/>
        <w:rPr>
          <w:sz w:val="32"/>
          <w:szCs w:val="32"/>
        </w:rPr>
      </w:pPr>
      <w:r>
        <w:rPr>
          <w:rFonts w:hint="eastAsia" w:ascii="仿宋_GB2312" w:hAnsi="仿宋_GB2312" w:eastAsia="仿宋_GB2312" w:cs="仿宋_GB2312"/>
          <w:b/>
          <w:bCs/>
          <w:color w:val="auto"/>
          <w:kern w:val="2"/>
          <w:sz w:val="32"/>
          <w:szCs w:val="32"/>
          <w:lang w:val="en-US" w:eastAsia="zh-CN" w:bidi="ar-SA"/>
        </w:rPr>
        <w:t>3.建设单位：江西德基新材料有限公司，</w:t>
      </w:r>
      <w:r>
        <w:rPr>
          <w:rFonts w:ascii="仿宋_GB2312" w:hAnsi="宋体" w:eastAsia="仿宋_GB2312" w:cs="仿宋_GB2312"/>
          <w:color w:val="000000"/>
          <w:kern w:val="0"/>
          <w:sz w:val="32"/>
          <w:szCs w:val="32"/>
          <w:lang w:val="en-US" w:eastAsia="zh-CN" w:bidi="ar"/>
        </w:rPr>
        <w:t>履行建设单位安全生产首要责任不到位，未督促检查各</w:t>
      </w:r>
      <w:r>
        <w:rPr>
          <w:rFonts w:hint="eastAsia" w:ascii="仿宋_GB2312" w:hAnsi="宋体" w:eastAsia="仿宋_GB2312" w:cs="仿宋_GB2312"/>
          <w:color w:val="000000"/>
          <w:kern w:val="0"/>
          <w:sz w:val="32"/>
          <w:szCs w:val="32"/>
          <w:lang w:val="en-US" w:eastAsia="zh-CN" w:bidi="ar"/>
        </w:rPr>
        <w:t>参建单位的安全生产工作；对工程项目管理人员督促管理不严，致使安全员刘某长期不在岗履职，安全管理工作未得到有力监督和认真开展，未能及时消除生产安全事故隐患。</w:t>
      </w:r>
    </w:p>
    <w:p w14:paraId="45158C56">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黑体" w:hAnsi="黑体" w:eastAsia="黑体" w:cs="黑体"/>
          <w:b/>
          <w:sz w:val="32"/>
          <w:szCs w:val="32"/>
        </w:rPr>
      </w:pPr>
      <w:r>
        <w:rPr>
          <w:rFonts w:hint="eastAsia" w:ascii="黑体" w:hAnsi="黑体" w:eastAsia="黑体" w:cs="黑体"/>
          <w:b/>
          <w:sz w:val="32"/>
          <w:szCs w:val="32"/>
        </w:rPr>
        <w:t>四、有关责任单位存在的问题</w:t>
      </w:r>
    </w:p>
    <w:p w14:paraId="62466687">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both"/>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（一）施工单位</w:t>
      </w:r>
    </w:p>
    <w:p w14:paraId="3EC08DC1">
      <w:pPr>
        <w:pStyle w:val="4"/>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color w:val="000000"/>
          <w:kern w:val="0"/>
          <w:sz w:val="32"/>
          <w:szCs w:val="32"/>
          <w:lang w:val="en-US" w:eastAsia="zh-CN"/>
        </w:rPr>
        <w:t>江西金安建筑工程有限公司</w:t>
      </w:r>
      <w:r>
        <w:rPr>
          <w:rFonts w:hint="eastAsia" w:ascii="仿宋_GB2312" w:hAnsi="仿宋_GB2312" w:eastAsia="仿宋_GB2312" w:cs="仿宋_GB2312"/>
          <w:sz w:val="32"/>
          <w:szCs w:val="32"/>
        </w:rPr>
        <w:t>，安全生产主体责任落实不到位，</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val="0"/>
          <w:bCs w:val="0"/>
          <w:sz w:val="32"/>
          <w:szCs w:val="32"/>
          <w:lang w:val="en-US" w:eastAsia="zh-CN"/>
        </w:rPr>
        <w:t>存在施工升降机未经验收合格后就投入使用</w:t>
      </w:r>
      <w:r>
        <w:rPr>
          <w:rStyle w:val="18"/>
          <w:rFonts w:hint="eastAsia" w:ascii="仿宋_GB2312" w:hAnsi="仿宋_GB2312" w:eastAsia="仿宋_GB2312" w:cs="仿宋_GB2312"/>
          <w:sz w:val="32"/>
          <w:szCs w:val="32"/>
          <w:lang w:val="en-US" w:eastAsia="zh-CN"/>
        </w:rPr>
        <w:t>[</w:t>
      </w:r>
      <w:r>
        <w:rPr>
          <w:rStyle w:val="18"/>
          <w:rFonts w:hint="eastAsia" w:ascii="仿宋_GB2312" w:hAnsi="仿宋_GB2312" w:eastAsia="仿宋_GB2312" w:cs="仿宋_GB2312"/>
          <w:sz w:val="32"/>
          <w:szCs w:val="32"/>
          <w:lang w:val="en-US" w:eastAsia="zh-CN"/>
        </w:rPr>
        <w:footnoteReference w:id="0"/>
      </w:r>
      <w:r>
        <w:rPr>
          <w:rStyle w:val="18"/>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存在安全生产规章制度、操作规程不完善及缺失</w:t>
      </w:r>
      <w:r>
        <w:rPr>
          <w:rStyle w:val="18"/>
          <w:rFonts w:hint="eastAsia" w:ascii="仿宋_GB2312" w:hAnsi="仿宋_GB2312" w:eastAsia="仿宋_GB2312" w:cs="仿宋_GB2312"/>
          <w:color w:val="auto"/>
          <w:sz w:val="32"/>
          <w:szCs w:val="32"/>
        </w:rPr>
        <w:t>[</w:t>
      </w:r>
      <w:r>
        <w:rPr>
          <w:rStyle w:val="18"/>
          <w:rFonts w:hint="eastAsia" w:ascii="仿宋_GB2312" w:hAnsi="仿宋_GB2312" w:eastAsia="仿宋_GB2312" w:cs="仿宋_GB2312"/>
          <w:color w:val="auto"/>
          <w:sz w:val="32"/>
          <w:szCs w:val="32"/>
        </w:rPr>
        <w:footnoteReference w:id="1"/>
      </w:r>
      <w:r>
        <w:rPr>
          <w:rStyle w:val="18"/>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sz w:val="32"/>
          <w:szCs w:val="32"/>
          <w:lang w:val="en-US" w:eastAsia="zh-CN"/>
        </w:rPr>
        <w:t>存在对从业人员安全生产教育培训不到位流于形式，未如实记录安全生产教育和培训的时间、内容，以及考核结果等情况</w:t>
      </w:r>
      <w:r>
        <w:rPr>
          <w:rStyle w:val="18"/>
          <w:rFonts w:hint="eastAsia" w:ascii="仿宋_GB2312" w:hAnsi="仿宋_GB2312" w:eastAsia="仿宋_GB2312" w:cs="仿宋_GB2312"/>
          <w:sz w:val="32"/>
          <w:szCs w:val="32"/>
        </w:rPr>
        <w:t>[</w:t>
      </w:r>
      <w:r>
        <w:rPr>
          <w:rStyle w:val="18"/>
          <w:rFonts w:hint="eastAsia" w:ascii="仿宋_GB2312" w:hAnsi="仿宋_GB2312" w:eastAsia="仿宋_GB2312" w:cs="仿宋_GB2312"/>
          <w:sz w:val="32"/>
          <w:szCs w:val="32"/>
        </w:rPr>
        <w:footnoteReference w:id="2"/>
      </w:r>
      <w:r>
        <w:rPr>
          <w:rStyle w:val="18"/>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color w:val="auto"/>
          <w:sz w:val="32"/>
          <w:szCs w:val="32"/>
          <w:lang w:val="en-US" w:eastAsia="zh-CN"/>
        </w:rPr>
        <w:t>四是</w:t>
      </w:r>
      <w:r>
        <w:rPr>
          <w:rFonts w:hint="eastAsia" w:ascii="仿宋_GB2312" w:hAnsi="仿宋_GB2312" w:eastAsia="仿宋_GB2312" w:cs="仿宋_GB2312"/>
          <w:sz w:val="32"/>
          <w:szCs w:val="32"/>
          <w:lang w:val="en-US" w:eastAsia="zh-CN"/>
        </w:rPr>
        <w:t>存在安全隐患排查治理不到位，</w:t>
      </w:r>
      <w:r>
        <w:rPr>
          <w:rFonts w:hint="eastAsia" w:ascii="仿宋_GB2312" w:hAnsi="仿宋_GB2312" w:eastAsia="仿宋_GB2312" w:cs="仿宋_GB2312"/>
          <w:b w:val="0"/>
          <w:bCs w:val="0"/>
          <w:sz w:val="32"/>
          <w:szCs w:val="32"/>
          <w:lang w:val="en-US" w:eastAsia="zh-CN"/>
        </w:rPr>
        <w:t>对三轮车进入升降机存在的安全风险未识别，未落实安全防护措施，</w:t>
      </w:r>
      <w:r>
        <w:rPr>
          <w:rFonts w:hint="eastAsia" w:ascii="仿宋_GB2312" w:hAnsi="仿宋_GB2312" w:eastAsia="仿宋_GB2312" w:cs="仿宋_GB2312"/>
          <w:sz w:val="32"/>
          <w:szCs w:val="32"/>
          <w:lang w:val="en-US" w:eastAsia="zh-CN"/>
        </w:rPr>
        <w:t>未及时消除三轮车进入升降机作业存在的安全隐患，制止三轮车进入升降机作业行为</w:t>
      </w:r>
      <w:r>
        <w:rPr>
          <w:rStyle w:val="18"/>
          <w:rFonts w:hint="eastAsia" w:ascii="仿宋_GB2312" w:hAnsi="仿宋_GB2312" w:eastAsia="仿宋_GB2312" w:cs="仿宋_GB2312"/>
          <w:sz w:val="32"/>
          <w:szCs w:val="32"/>
          <w:lang w:val="en-US" w:eastAsia="zh-CN"/>
        </w:rPr>
        <w:t>[</w:t>
      </w:r>
      <w:r>
        <w:rPr>
          <w:rStyle w:val="18"/>
          <w:rFonts w:hint="eastAsia" w:ascii="仿宋_GB2312" w:hAnsi="仿宋_GB2312" w:eastAsia="仿宋_GB2312" w:cs="仿宋_GB2312"/>
          <w:sz w:val="32"/>
          <w:szCs w:val="32"/>
          <w:lang w:val="en-US" w:eastAsia="zh-CN"/>
        </w:rPr>
        <w:footnoteReference w:id="3"/>
      </w:r>
      <w:r>
        <w:rPr>
          <w:rStyle w:val="18"/>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w:t>
      </w:r>
    </w:p>
    <w:p w14:paraId="2A1483BE">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both"/>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（二）监理单位</w:t>
      </w:r>
    </w:p>
    <w:p w14:paraId="22AC1C5E">
      <w:pPr>
        <w:pStyle w:val="4"/>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kern w:val="0"/>
          <w:sz w:val="32"/>
          <w:szCs w:val="32"/>
          <w:lang w:val="en-US" w:eastAsia="zh-CN"/>
        </w:rPr>
        <w:t>江西守正工程管理有限公司</w:t>
      </w:r>
      <w:r>
        <w:rPr>
          <w:rFonts w:ascii="仿宋_GB2312" w:hAnsi="仿宋_GB2312" w:eastAsia="仿宋_GB2312" w:cs="仿宋_GB2312"/>
          <w:color w:val="auto"/>
          <w:kern w:val="0"/>
          <w:sz w:val="32"/>
          <w:szCs w:val="32"/>
          <w:lang w:val="en-US" w:eastAsia="zh-CN" w:bidi="ar-SA"/>
        </w:rPr>
        <w:t>作为监理单位，</w:t>
      </w:r>
      <w:r>
        <w:rPr>
          <w:rFonts w:hint="eastAsia" w:ascii="仿宋_GB2312" w:hAnsi="仿宋_GB2312" w:eastAsia="仿宋_GB2312" w:cs="仿宋_GB2312"/>
          <w:color w:val="auto"/>
          <w:kern w:val="0"/>
          <w:sz w:val="32"/>
          <w:szCs w:val="32"/>
          <w:lang w:val="en-US" w:eastAsia="zh-CN" w:bidi="ar-SA"/>
        </w:rPr>
        <w:t>履行建设工程安全生产管理的监理职责不到位。</w:t>
      </w:r>
      <w:r>
        <w:rPr>
          <w:rFonts w:hint="eastAsia" w:ascii="仿宋_GB2312" w:hAnsi="仿宋_GB2312" w:eastAsia="仿宋_GB2312" w:cs="仿宋_GB2312"/>
          <w:b/>
          <w:bCs/>
          <w:color w:val="auto"/>
          <w:kern w:val="0"/>
          <w:sz w:val="32"/>
          <w:szCs w:val="32"/>
          <w:lang w:val="en-US" w:eastAsia="zh-CN" w:bidi="ar-SA"/>
        </w:rPr>
        <w:t>一是</w:t>
      </w:r>
      <w:r>
        <w:rPr>
          <w:rFonts w:hint="eastAsia" w:ascii="仿宋_GB2312" w:hAnsi="仿宋_GB2312" w:eastAsia="仿宋_GB2312" w:cs="仿宋_GB2312"/>
          <w:color w:val="auto"/>
          <w:kern w:val="0"/>
          <w:sz w:val="32"/>
          <w:szCs w:val="32"/>
          <w:lang w:val="en-US" w:eastAsia="zh-CN" w:bidi="ar-SA"/>
        </w:rPr>
        <w:t>对施工单位现场安全生产规章制度的建立和实施情况，审查不严、对施工单位现场管理人员刘某长期不在岗履职失管；</w:t>
      </w:r>
      <w:r>
        <w:rPr>
          <w:rStyle w:val="18"/>
          <w:rFonts w:hint="eastAsia" w:ascii="仿宋_GB2312" w:hAnsi="仿宋_GB2312" w:eastAsia="仿宋_GB2312" w:cs="仿宋_GB2312"/>
          <w:sz w:val="32"/>
          <w:szCs w:val="32"/>
          <w:lang w:val="en-US" w:eastAsia="zh-CN"/>
        </w:rPr>
        <w:t>[</w:t>
      </w:r>
      <w:r>
        <w:rPr>
          <w:rStyle w:val="18"/>
          <w:rFonts w:hint="eastAsia" w:ascii="仿宋_GB2312" w:hAnsi="仿宋_GB2312" w:eastAsia="仿宋_GB2312" w:cs="仿宋_GB2312"/>
          <w:sz w:val="32"/>
          <w:szCs w:val="32"/>
          <w:lang w:val="en-US" w:eastAsia="zh-CN"/>
        </w:rPr>
        <w:footnoteReference w:id="4"/>
      </w:r>
      <w:r>
        <w:rPr>
          <w:rStyle w:val="18"/>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bCs/>
          <w:color w:val="auto"/>
          <w:kern w:val="0"/>
          <w:sz w:val="32"/>
          <w:szCs w:val="32"/>
          <w:lang w:val="en-US" w:eastAsia="zh-CN" w:bidi="ar-SA"/>
        </w:rPr>
        <w:t>二是</w:t>
      </w:r>
      <w:r>
        <w:rPr>
          <w:rFonts w:hint="eastAsia" w:ascii="仿宋_GB2312" w:hAnsi="仿宋_GB2312" w:eastAsia="仿宋_GB2312" w:cs="仿宋_GB2312"/>
          <w:color w:val="auto"/>
          <w:kern w:val="0"/>
          <w:sz w:val="32"/>
          <w:szCs w:val="32"/>
          <w:lang w:val="en-US" w:eastAsia="zh-CN" w:bidi="ar-SA"/>
        </w:rPr>
        <w:t>对升降机未经验收合格后违规使用行为未及时制止，未采取相应的有效措施</w:t>
      </w:r>
      <w:r>
        <w:rPr>
          <w:rStyle w:val="18"/>
          <w:rFonts w:hint="eastAsia" w:ascii="仿宋_GB2312" w:hAnsi="仿宋_GB2312" w:eastAsia="仿宋_GB2312" w:cs="仿宋_GB2312"/>
          <w:sz w:val="32"/>
          <w:szCs w:val="32"/>
          <w:lang w:val="en-US" w:eastAsia="zh-CN"/>
        </w:rPr>
        <w:t>[</w:t>
      </w:r>
      <w:r>
        <w:rPr>
          <w:rStyle w:val="18"/>
          <w:rFonts w:hint="eastAsia" w:ascii="仿宋_GB2312" w:hAnsi="仿宋_GB2312" w:eastAsia="仿宋_GB2312" w:cs="仿宋_GB2312"/>
          <w:sz w:val="32"/>
          <w:szCs w:val="32"/>
          <w:lang w:val="en-US" w:eastAsia="zh-CN"/>
        </w:rPr>
        <w:footnoteReference w:id="5"/>
      </w:r>
      <w:r>
        <w:rPr>
          <w:rStyle w:val="18"/>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kern w:val="0"/>
          <w:sz w:val="32"/>
          <w:szCs w:val="32"/>
          <w:lang w:val="en-US" w:eastAsia="zh-CN" w:bidi="ar-SA"/>
        </w:rPr>
        <w:t>；</w:t>
      </w:r>
      <w:r>
        <w:rPr>
          <w:rFonts w:hint="eastAsia" w:ascii="仿宋_GB2312" w:hAnsi="仿宋_GB2312" w:eastAsia="仿宋_GB2312" w:cs="仿宋_GB2312"/>
          <w:b/>
          <w:bCs/>
          <w:color w:val="auto"/>
          <w:kern w:val="0"/>
          <w:sz w:val="32"/>
          <w:szCs w:val="32"/>
          <w:lang w:val="en-US" w:eastAsia="zh-CN" w:bidi="ar-SA"/>
        </w:rPr>
        <w:t>三是</w:t>
      </w:r>
      <w:r>
        <w:rPr>
          <w:rFonts w:hint="eastAsia" w:ascii="仿宋_GB2312" w:hAnsi="仿宋_GB2312" w:eastAsia="仿宋_GB2312" w:cs="仿宋_GB2312"/>
          <w:color w:val="auto"/>
          <w:kern w:val="0"/>
          <w:sz w:val="32"/>
          <w:szCs w:val="32"/>
          <w:lang w:val="en-US" w:eastAsia="zh-CN" w:bidi="ar-SA"/>
        </w:rPr>
        <w:t>对存在的安全隐患未采取有效的处理措施及时消除，安全监</w:t>
      </w:r>
      <w:r>
        <w:rPr>
          <w:rFonts w:hint="eastAsia" w:ascii="仿宋_GB2312" w:hAnsi="仿宋_GB2312" w:eastAsia="仿宋_GB2312" w:cs="仿宋_GB2312"/>
          <w:color w:val="auto"/>
          <w:sz w:val="32"/>
          <w:szCs w:val="32"/>
          <w:lang w:val="en-US" w:eastAsia="zh-CN"/>
        </w:rPr>
        <w:t>管不到位</w:t>
      </w:r>
      <w:r>
        <w:rPr>
          <w:rStyle w:val="18"/>
          <w:rFonts w:hint="eastAsia" w:ascii="仿宋_GB2312" w:hAnsi="仿宋_GB2312" w:eastAsia="仿宋_GB2312" w:cs="仿宋_GB2312"/>
          <w:sz w:val="32"/>
          <w:szCs w:val="32"/>
          <w:lang w:val="en-US" w:eastAsia="zh-CN"/>
        </w:rPr>
        <w:t>[</w:t>
      </w:r>
      <w:r>
        <w:rPr>
          <w:rStyle w:val="18"/>
          <w:rFonts w:hint="eastAsia" w:ascii="仿宋_GB2312" w:hAnsi="仿宋_GB2312" w:eastAsia="仿宋_GB2312" w:cs="仿宋_GB2312"/>
          <w:sz w:val="32"/>
          <w:szCs w:val="32"/>
          <w:lang w:val="en-US" w:eastAsia="zh-CN"/>
        </w:rPr>
        <w:footnoteReference w:id="6"/>
      </w:r>
      <w:r>
        <w:rPr>
          <w:rStyle w:val="18"/>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lang w:val="en-US" w:eastAsia="zh-CN"/>
        </w:rPr>
        <w:t>。</w:t>
      </w:r>
    </w:p>
    <w:p w14:paraId="71A8B5EF">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both"/>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（三）建设单位</w:t>
      </w:r>
    </w:p>
    <w:p w14:paraId="5FD9AF61">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both"/>
        <w:rPr>
          <w:rFonts w:hint="eastAsia" w:ascii="楷体_GB2312" w:hAnsi="楷体_GB2312" w:eastAsia="仿宋_GB2312" w:cs="楷体_GB2312"/>
          <w:color w:val="auto"/>
          <w:sz w:val="32"/>
          <w:szCs w:val="32"/>
          <w:lang w:val="en-US" w:eastAsia="zh-CN"/>
        </w:rPr>
      </w:pPr>
      <w:r>
        <w:rPr>
          <w:rFonts w:hint="eastAsia" w:ascii="仿宋_GB2312" w:hAnsi="仿宋_GB2312" w:eastAsia="仿宋_GB2312" w:cs="仿宋_GB2312"/>
          <w:b/>
          <w:bCs/>
          <w:color w:val="auto"/>
          <w:kern w:val="2"/>
          <w:sz w:val="32"/>
          <w:szCs w:val="32"/>
          <w:lang w:val="en-US" w:eastAsia="zh-CN" w:bidi="ar-SA"/>
        </w:rPr>
        <w:t>3.建设单位：江西德基新材料有限公司，</w:t>
      </w:r>
      <w:r>
        <w:rPr>
          <w:rFonts w:ascii="仿宋_GB2312" w:hAnsi="宋体" w:eastAsia="仿宋_GB2312" w:cs="仿宋_GB2312"/>
          <w:color w:val="000000"/>
          <w:kern w:val="0"/>
          <w:sz w:val="32"/>
          <w:szCs w:val="32"/>
          <w:lang w:val="en-US" w:eastAsia="zh-CN" w:bidi="ar"/>
        </w:rPr>
        <w:t>履行建设单位安全生产首要责任不到位，未督促检查各</w:t>
      </w:r>
      <w:r>
        <w:rPr>
          <w:rFonts w:hint="eastAsia" w:ascii="仿宋_GB2312" w:hAnsi="宋体" w:eastAsia="仿宋_GB2312" w:cs="仿宋_GB2312"/>
          <w:color w:val="000000"/>
          <w:kern w:val="0"/>
          <w:sz w:val="32"/>
          <w:szCs w:val="32"/>
          <w:lang w:val="en-US" w:eastAsia="zh-CN" w:bidi="ar"/>
        </w:rPr>
        <w:t>参建单位的安全生产工作；对工程项目管理人员督促管理不严，致使安全员刘某长期不在岗履职，安全管理工作未得到有力监督和认真开展，未能及时消除生产安全事故隐患。</w:t>
      </w:r>
    </w:p>
    <w:p w14:paraId="3B83DA7A">
      <w:pPr>
        <w:pStyle w:val="4"/>
        <w:keepNext w:val="0"/>
        <w:keepLines w:val="0"/>
        <w:pageBreakBefore w:val="0"/>
        <w:widowControl w:val="0"/>
        <w:numPr>
          <w:ilvl w:val="0"/>
          <w:numId w:val="0"/>
        </w:numPr>
        <w:kinsoku/>
        <w:wordWrap/>
        <w:topLinePunct w:val="0"/>
        <w:autoSpaceDE/>
        <w:autoSpaceDN/>
        <w:bidi w:val="0"/>
        <w:adjustRightInd/>
        <w:snapToGrid/>
        <w:spacing w:line="560" w:lineRule="exact"/>
        <w:ind w:left="0" w:leftChars="0" w:firstLine="643" w:firstLineChars="200"/>
        <w:jc w:val="both"/>
        <w:rPr>
          <w:rFonts w:ascii="黑体" w:hAnsi="黑体" w:eastAsia="黑体" w:cs="黑体"/>
          <w:b/>
          <w:sz w:val="32"/>
          <w:szCs w:val="32"/>
        </w:rPr>
      </w:pPr>
      <w:r>
        <w:rPr>
          <w:rFonts w:hint="eastAsia" w:ascii="黑体" w:hAnsi="黑体" w:eastAsia="黑体" w:cs="黑体"/>
          <w:b/>
          <w:sz w:val="32"/>
          <w:szCs w:val="32"/>
        </w:rPr>
        <w:t>五、对有关责任人员和责任单位的处理意见</w:t>
      </w:r>
    </w:p>
    <w:p w14:paraId="2F841FFC">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both"/>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（一）对事故有关责任人员的行政处罚建议</w:t>
      </w:r>
    </w:p>
    <w:p w14:paraId="65540FBF">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lang w:val="en-US" w:eastAsia="zh-CN"/>
        </w:rPr>
        <w:t>1.肖某芝，</w:t>
      </w:r>
      <w:r>
        <w:rPr>
          <w:rFonts w:hint="eastAsia" w:ascii="仿宋_GB2312" w:hAnsi="仿宋_GB2312" w:eastAsia="仿宋_GB2312" w:cs="仿宋_GB2312"/>
          <w:sz w:val="32"/>
          <w:szCs w:val="32"/>
        </w:rPr>
        <w:t>安全意识淡薄，</w:t>
      </w:r>
      <w:r>
        <w:rPr>
          <w:rFonts w:hint="eastAsia" w:ascii="仿宋_GB2312" w:hAnsi="仿宋_GB2312" w:eastAsia="仿宋_GB2312" w:cs="仿宋_GB2312"/>
          <w:sz w:val="32"/>
          <w:szCs w:val="32"/>
          <w:lang w:val="en-US" w:eastAsia="zh-CN"/>
        </w:rPr>
        <w:t>驾驶三轮车时操作失误，误将倒车挡刮成前进挡，最终导致事故发生</w:t>
      </w:r>
      <w:r>
        <w:rPr>
          <w:rFonts w:hint="eastAsia" w:ascii="仿宋_GB2312" w:hAnsi="仿宋_GB2312" w:eastAsia="仿宋_GB2312" w:cs="仿宋_GB2312"/>
          <w:sz w:val="32"/>
          <w:szCs w:val="32"/>
        </w:rPr>
        <w:t>。鉴于其在事故中已经死亡，不再进行相关责任</w:t>
      </w:r>
      <w:r>
        <w:rPr>
          <w:rFonts w:hint="eastAsia" w:ascii="仿宋_GB2312" w:hAnsi="仿宋_GB2312" w:eastAsia="仿宋_GB2312" w:cs="仿宋_GB2312"/>
          <w:bCs/>
          <w:sz w:val="32"/>
          <w:szCs w:val="32"/>
        </w:rPr>
        <w:t>追究。</w:t>
      </w:r>
    </w:p>
    <w:p w14:paraId="55A02706">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kern w:val="2"/>
          <w:sz w:val="32"/>
          <w:szCs w:val="32"/>
          <w:lang w:val="en-US" w:eastAsia="zh-CN" w:bidi="ar-SA"/>
        </w:rPr>
        <w:t>2.</w:t>
      </w:r>
      <w:r>
        <w:rPr>
          <w:rFonts w:hint="eastAsia" w:ascii="仿宋_GB2312" w:hAnsi="仿宋_GB2312" w:eastAsia="仿宋_GB2312" w:cs="仿宋_GB2312"/>
          <w:b/>
          <w:bCs/>
          <w:sz w:val="32"/>
          <w:szCs w:val="32"/>
          <w:lang w:val="en-US" w:eastAsia="zh-CN"/>
        </w:rPr>
        <w:t>王某丁</w:t>
      </w:r>
      <w:r>
        <w:rPr>
          <w:rFonts w:hint="eastAsia" w:ascii="仿宋_GB2312" w:hAnsi="仿宋_GB2312" w:eastAsia="仿宋_GB2312" w:cs="仿宋_GB2312"/>
          <w:b/>
          <w:bCs/>
          <w:sz w:val="32"/>
          <w:szCs w:val="32"/>
        </w:rPr>
        <w:t>，</w:t>
      </w:r>
      <w:r>
        <w:rPr>
          <w:rFonts w:hint="eastAsia" w:ascii="仿宋_GB2312" w:hAnsi="仿宋_GB2312" w:eastAsia="仿宋_GB2312" w:cs="仿宋_GB2312"/>
          <w:color w:val="000000"/>
          <w:sz w:val="32"/>
          <w:szCs w:val="32"/>
          <w:lang w:val="en-US" w:eastAsia="zh-CN"/>
        </w:rPr>
        <w:t>金安公司法定代表人</w:t>
      </w:r>
      <w:r>
        <w:rPr>
          <w:rFonts w:hint="eastAsia" w:ascii="仿宋_GB2312" w:hAnsi="仿宋_GB2312" w:eastAsia="仿宋_GB2312" w:cs="仿宋_GB2312"/>
          <w:bCs/>
          <w:sz w:val="32"/>
          <w:szCs w:val="32"/>
          <w:lang w:val="en-US" w:eastAsia="zh-CN"/>
        </w:rPr>
        <w:t>，履行主要负责人安全生产工作职责不到位。未组织制定建筑项目工地三轮车的使用管理规章制度；</w:t>
      </w:r>
      <w:r>
        <w:rPr>
          <w:rFonts w:hint="eastAsia" w:ascii="仿宋_GB2312" w:hAnsi="仿宋_GB2312" w:eastAsia="仿宋_GB2312" w:cs="仿宋_GB2312"/>
          <w:color w:val="000000"/>
          <w:sz w:val="32"/>
          <w:szCs w:val="32"/>
          <w:lang w:val="en-US" w:eastAsia="zh-CN"/>
        </w:rPr>
        <w:t>未组织制定并实施本单位安全生产教育和培训计划；未落实安全风险分级管控和隐患排查治理双重预防工作机制，督促、检查本单位的安全生产工作，及时消除生产安全事故隐患。</w:t>
      </w:r>
      <w:r>
        <w:rPr>
          <w:rFonts w:hint="eastAsia" w:ascii="仿宋_GB2312" w:hAnsi="仿宋_GB2312" w:eastAsia="仿宋_GB2312" w:cs="仿宋_GB2312"/>
          <w:b w:val="0"/>
          <w:bCs w:val="0"/>
          <w:color w:val="auto"/>
          <w:kern w:val="0"/>
          <w:sz w:val="32"/>
          <w:szCs w:val="32"/>
          <w:lang w:val="en-US" w:eastAsia="zh-CN" w:bidi="hi-IN"/>
        </w:rPr>
        <w:t>其行为违反了《中华人民共和国安全生产法》第二十一条，第二项、第三项、第五项</w:t>
      </w:r>
      <w:r>
        <w:rPr>
          <w:rStyle w:val="18"/>
          <w:rFonts w:hint="eastAsia" w:ascii="仿宋_GB2312" w:hAnsi="仿宋_GB2312" w:eastAsia="仿宋_GB2312" w:cs="仿宋_GB2312"/>
          <w:kern w:val="2"/>
          <w:sz w:val="32"/>
          <w:szCs w:val="32"/>
          <w:lang w:val="en-US" w:eastAsia="zh-CN" w:bidi="ar-SA"/>
        </w:rPr>
        <w:t>[</w:t>
      </w:r>
      <w:r>
        <w:rPr>
          <w:rStyle w:val="18"/>
          <w:rFonts w:hint="eastAsia" w:ascii="仿宋_GB2312" w:hAnsi="仿宋_GB2312" w:eastAsia="仿宋_GB2312" w:cs="仿宋_GB2312"/>
          <w:kern w:val="2"/>
          <w:sz w:val="32"/>
          <w:szCs w:val="32"/>
          <w:lang w:val="en-US" w:eastAsia="zh-CN" w:bidi="ar-SA"/>
        </w:rPr>
        <w:footnoteReference w:id="7"/>
      </w:r>
      <w:r>
        <w:rPr>
          <w:rStyle w:val="18"/>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、《建设工程安全生产管理条例》第二十一条第一款</w:t>
      </w:r>
      <w:r>
        <w:rPr>
          <w:rStyle w:val="18"/>
          <w:rFonts w:hint="eastAsia" w:ascii="仿宋_GB2312" w:hAnsi="仿宋_GB2312" w:eastAsia="仿宋_GB2312" w:cs="仿宋_GB2312"/>
          <w:kern w:val="2"/>
          <w:sz w:val="32"/>
          <w:szCs w:val="32"/>
          <w:lang w:val="en-US" w:eastAsia="zh-CN" w:bidi="ar-SA"/>
        </w:rPr>
        <w:t>[</w:t>
      </w:r>
      <w:r>
        <w:rPr>
          <w:rStyle w:val="18"/>
          <w:rFonts w:hint="eastAsia" w:ascii="仿宋_GB2312" w:hAnsi="仿宋_GB2312" w:eastAsia="仿宋_GB2312" w:cs="仿宋_GB2312"/>
          <w:kern w:val="2"/>
          <w:sz w:val="32"/>
          <w:szCs w:val="32"/>
          <w:lang w:val="en-US" w:eastAsia="zh-CN" w:bidi="ar-SA"/>
        </w:rPr>
        <w:footnoteReference w:id="8"/>
      </w:r>
      <w:r>
        <w:rPr>
          <w:rStyle w:val="18"/>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b w:val="0"/>
          <w:bCs w:val="0"/>
          <w:color w:val="auto"/>
          <w:kern w:val="0"/>
          <w:sz w:val="32"/>
          <w:szCs w:val="32"/>
          <w:lang w:val="en-US" w:eastAsia="zh-CN" w:bidi="hi-IN"/>
        </w:rPr>
        <w:t>的规定，对该起事故的发生负有主要领导责任。建议由吉州区应急管理局依据《中华人民共和国安全生产法》第九十五条</w:t>
      </w:r>
      <w:r>
        <w:rPr>
          <w:rStyle w:val="18"/>
          <w:rFonts w:hint="eastAsia" w:ascii="仿宋_GB2312" w:hAnsi="仿宋_GB2312" w:eastAsia="仿宋_GB2312" w:cs="仿宋_GB2312"/>
          <w:b w:val="0"/>
          <w:bCs/>
          <w:color w:val="auto"/>
          <w:kern w:val="2"/>
          <w:sz w:val="32"/>
          <w:szCs w:val="32"/>
          <w:lang w:val="en-US" w:eastAsia="zh-CN" w:bidi="ar-SA"/>
        </w:rPr>
        <w:t>[</w:t>
      </w:r>
      <w:r>
        <w:rPr>
          <w:rStyle w:val="18"/>
          <w:rFonts w:hint="eastAsia" w:ascii="仿宋_GB2312" w:hAnsi="仿宋_GB2312" w:eastAsia="仿宋_GB2312" w:cs="仿宋_GB2312"/>
          <w:b w:val="0"/>
          <w:bCs/>
          <w:color w:val="auto"/>
          <w:kern w:val="2"/>
          <w:sz w:val="32"/>
          <w:szCs w:val="32"/>
          <w:lang w:val="en-US" w:eastAsia="zh-CN" w:bidi="ar-SA"/>
        </w:rPr>
        <w:footnoteReference w:id="9"/>
      </w:r>
      <w:r>
        <w:rPr>
          <w:rStyle w:val="18"/>
          <w:rFonts w:hint="eastAsia" w:ascii="仿宋_GB2312" w:hAnsi="仿宋_GB2312" w:eastAsia="仿宋_GB2312" w:cs="仿宋_GB2312"/>
          <w:b w:val="0"/>
          <w:bCs/>
          <w:color w:val="auto"/>
          <w:kern w:val="2"/>
          <w:sz w:val="32"/>
          <w:szCs w:val="32"/>
          <w:lang w:val="en-US" w:eastAsia="zh-CN" w:bidi="ar-SA"/>
        </w:rPr>
        <w:t>]</w:t>
      </w:r>
      <w:r>
        <w:rPr>
          <w:rFonts w:hint="eastAsia" w:ascii="仿宋_GB2312" w:hAnsi="仿宋_GB2312" w:eastAsia="仿宋_GB2312" w:cs="仿宋_GB2312"/>
          <w:b w:val="0"/>
          <w:bCs w:val="0"/>
          <w:color w:val="auto"/>
          <w:kern w:val="0"/>
          <w:sz w:val="32"/>
          <w:szCs w:val="32"/>
          <w:lang w:val="en-US" w:eastAsia="zh-CN" w:bidi="hi-IN"/>
        </w:rPr>
        <w:t>的有关规定处以罚款。</w:t>
      </w:r>
    </w:p>
    <w:p w14:paraId="48D22CBC">
      <w:pPr>
        <w:keepNext w:val="0"/>
        <w:keepLines w:val="0"/>
        <w:pageBreakBefore w:val="0"/>
        <w:kinsoku/>
        <w:topLinePunct w:val="0"/>
        <w:autoSpaceDE/>
        <w:autoSpaceDN/>
        <w:bidi w:val="0"/>
        <w:adjustRightInd/>
        <w:snapToGrid/>
        <w:spacing w:line="560" w:lineRule="exact"/>
        <w:ind w:left="0" w:leftChars="0" w:firstLine="643" w:firstLineChars="200"/>
        <w:jc w:val="both"/>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kern w:val="0"/>
          <w:sz w:val="32"/>
          <w:szCs w:val="32"/>
          <w:lang w:val="en-US" w:eastAsia="zh-CN" w:bidi="hi-IN"/>
        </w:rPr>
        <w:t>徐某明，</w:t>
      </w:r>
      <w:r>
        <w:rPr>
          <w:rFonts w:hint="eastAsia" w:ascii="仿宋_GB2312" w:hAnsi="仿宋_GB2312" w:eastAsia="仿宋_GB2312" w:cs="仿宋_GB2312"/>
          <w:b w:val="0"/>
          <w:bCs w:val="0"/>
          <w:color w:val="auto"/>
          <w:kern w:val="0"/>
          <w:sz w:val="32"/>
          <w:szCs w:val="32"/>
          <w:lang w:val="en-US" w:eastAsia="zh-CN" w:bidi="hi-IN"/>
        </w:rPr>
        <w:t>江西德基新材料有限公司庐陵德基高端智造产业园一期项目负责人，对该项目的安全生产工作履职不到位。落实安全生产管理制度和安全生产规章制度不到位；对升降机使用监管不力，作业人员违规使用未经验收违规使用失管失察</w:t>
      </w:r>
      <w:r>
        <w:rPr>
          <w:rFonts w:hint="eastAsia" w:ascii="仿宋_GB2312" w:hAnsi="仿宋_GB2312" w:eastAsia="仿宋_GB2312" w:cs="仿宋_GB2312"/>
          <w:b w:val="0"/>
          <w:bCs w:val="0"/>
          <w:sz w:val="32"/>
          <w:szCs w:val="32"/>
          <w:lang w:val="en-US" w:eastAsia="zh-CN"/>
        </w:rPr>
        <w:t>；对施工现场管理不到位作业人员违规将三轮车开进升降机作业行为未及时制止，消除安全事故隐患</w:t>
      </w:r>
      <w:r>
        <w:rPr>
          <w:rStyle w:val="16"/>
          <w:rFonts w:hint="eastAsia" w:ascii="仿宋_GB2312" w:hAnsi="仿宋_GB2312" w:eastAsia="仿宋_GB2312" w:cs="仿宋_GB2312"/>
          <w:b w:val="0"/>
          <w:bCs w:val="0"/>
          <w:i w:val="0"/>
          <w:iCs w:val="0"/>
          <w:caps w:val="0"/>
          <w:color w:val="333333"/>
          <w:spacing w:val="0"/>
          <w:sz w:val="32"/>
          <w:szCs w:val="32"/>
          <w:shd w:val="clear" w:color="auto" w:fill="FFFFFF"/>
          <w:lang w:eastAsia="zh-CN"/>
        </w:rPr>
        <w:t>；</w:t>
      </w:r>
      <w:r>
        <w:rPr>
          <w:rFonts w:hint="eastAsia" w:ascii="仿宋_GB2312" w:hAnsi="仿宋_GB2312" w:eastAsia="仿宋_GB2312" w:cs="仿宋_GB2312"/>
          <w:b w:val="0"/>
          <w:bCs w:val="0"/>
          <w:sz w:val="32"/>
          <w:szCs w:val="32"/>
          <w:lang w:val="en-US" w:eastAsia="zh-CN"/>
        </w:rPr>
        <w:t>落实项目施工人员的生产教育和培训职责不到位，未如实记录安</w:t>
      </w:r>
      <w:r>
        <w:rPr>
          <w:rFonts w:hint="eastAsia" w:ascii="仿宋_GB2312" w:hAnsi="仿宋_GB2312" w:eastAsia="仿宋_GB2312" w:cs="仿宋_GB2312"/>
          <w:bCs/>
          <w:sz w:val="32"/>
          <w:szCs w:val="32"/>
          <w:lang w:val="en-US" w:eastAsia="zh-CN"/>
        </w:rPr>
        <w:t>全生产教育和培训情况；对施工现场的</w:t>
      </w:r>
      <w:r>
        <w:rPr>
          <w:rFonts w:hint="eastAsia" w:ascii="仿宋_GB2312" w:hAnsi="仿宋_GB2312" w:eastAsia="仿宋_GB2312" w:cs="仿宋_GB2312"/>
          <w:sz w:val="32"/>
          <w:szCs w:val="32"/>
        </w:rPr>
        <w:t>危险源辨识和评估</w:t>
      </w:r>
      <w:r>
        <w:rPr>
          <w:rFonts w:hint="eastAsia" w:ascii="仿宋_GB2312" w:hAnsi="仿宋_GB2312" w:eastAsia="仿宋_GB2312" w:cs="仿宋_GB2312"/>
          <w:sz w:val="32"/>
          <w:szCs w:val="32"/>
          <w:lang w:val="en-US" w:eastAsia="zh-CN"/>
        </w:rPr>
        <w:t>不到位。</w:t>
      </w:r>
      <w:r>
        <w:rPr>
          <w:rFonts w:hint="eastAsia" w:ascii="仿宋_GB2312" w:hAnsi="仿宋_GB2312" w:eastAsia="仿宋_GB2312" w:cs="仿宋_GB2312"/>
          <w:bCs/>
          <w:sz w:val="32"/>
          <w:szCs w:val="32"/>
          <w:lang w:val="en-US" w:eastAsia="zh-CN"/>
        </w:rPr>
        <w:t>其行为违反了《建设工程安全生产管理条例》第二十一条第二款</w:t>
      </w:r>
      <w:r>
        <w:rPr>
          <w:rStyle w:val="18"/>
          <w:rFonts w:hint="eastAsia" w:ascii="仿宋_GB2312" w:hAnsi="仿宋_GB2312" w:eastAsia="仿宋_GB2312" w:cs="仿宋_GB2312"/>
          <w:bCs/>
          <w:sz w:val="32"/>
          <w:szCs w:val="32"/>
          <w:lang w:val="en-US" w:eastAsia="zh-CN"/>
        </w:rPr>
        <w:t>[</w:t>
      </w:r>
      <w:r>
        <w:rPr>
          <w:rStyle w:val="18"/>
          <w:rFonts w:hint="eastAsia" w:ascii="仿宋_GB2312" w:hAnsi="仿宋_GB2312" w:eastAsia="仿宋_GB2312" w:cs="仿宋_GB2312"/>
          <w:bCs/>
          <w:sz w:val="32"/>
          <w:szCs w:val="32"/>
          <w:lang w:val="en-US" w:eastAsia="zh-CN"/>
        </w:rPr>
        <w:footnoteReference w:id="10"/>
      </w:r>
      <w:r>
        <w:rPr>
          <w:rStyle w:val="18"/>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lang w:val="en-US" w:eastAsia="zh-CN"/>
        </w:rPr>
        <w:t>，《注册建造师管理规定》第二十六条第九项</w:t>
      </w:r>
      <w:r>
        <w:rPr>
          <w:rStyle w:val="18"/>
          <w:rFonts w:hint="eastAsia" w:ascii="仿宋_GB2312" w:hAnsi="仿宋_GB2312" w:eastAsia="仿宋_GB2312" w:cs="仿宋_GB2312"/>
          <w:bCs/>
          <w:sz w:val="32"/>
          <w:szCs w:val="32"/>
          <w:lang w:val="en-US" w:eastAsia="zh-CN"/>
        </w:rPr>
        <w:t>[</w:t>
      </w:r>
      <w:r>
        <w:rPr>
          <w:rStyle w:val="18"/>
          <w:rFonts w:hint="eastAsia" w:ascii="仿宋_GB2312" w:hAnsi="仿宋_GB2312" w:eastAsia="仿宋_GB2312" w:cs="仿宋_GB2312"/>
          <w:bCs/>
          <w:sz w:val="32"/>
          <w:szCs w:val="32"/>
          <w:lang w:val="en-US" w:eastAsia="zh-CN"/>
        </w:rPr>
        <w:footnoteReference w:id="11"/>
      </w:r>
      <w:r>
        <w:rPr>
          <w:rStyle w:val="18"/>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lang w:val="en-US" w:eastAsia="zh-CN"/>
        </w:rPr>
        <w:t>，《中华人民共和国安全生产法》第二十五条第一款第二项、第三项</w:t>
      </w:r>
      <w:r>
        <w:rPr>
          <w:rStyle w:val="18"/>
          <w:rFonts w:hint="eastAsia" w:ascii="仿宋_GB2312" w:hAnsi="仿宋_GB2312" w:eastAsia="仿宋_GB2312" w:cs="仿宋_GB2312"/>
          <w:bCs/>
          <w:sz w:val="32"/>
          <w:szCs w:val="32"/>
          <w:lang w:val="en-US" w:eastAsia="zh-CN"/>
        </w:rPr>
        <w:t>[</w:t>
      </w:r>
      <w:r>
        <w:rPr>
          <w:rStyle w:val="18"/>
          <w:rFonts w:hint="eastAsia" w:ascii="仿宋_GB2312" w:hAnsi="仿宋_GB2312" w:eastAsia="仿宋_GB2312" w:cs="仿宋_GB2312"/>
          <w:bCs/>
          <w:sz w:val="32"/>
          <w:szCs w:val="32"/>
          <w:lang w:val="en-US" w:eastAsia="zh-CN"/>
        </w:rPr>
        <w:footnoteReference w:id="12"/>
      </w:r>
      <w:r>
        <w:rPr>
          <w:rStyle w:val="18"/>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lang w:val="en-US" w:eastAsia="zh-CN"/>
        </w:rPr>
        <w:t>，第二十六条第一款</w:t>
      </w:r>
      <w:r>
        <w:rPr>
          <w:rStyle w:val="18"/>
          <w:rFonts w:hint="eastAsia" w:ascii="仿宋_GB2312" w:hAnsi="仿宋_GB2312" w:eastAsia="仿宋_GB2312" w:cs="仿宋_GB2312"/>
          <w:bCs/>
          <w:sz w:val="32"/>
          <w:szCs w:val="32"/>
          <w:lang w:val="en-US" w:eastAsia="zh-CN"/>
        </w:rPr>
        <w:t>[</w:t>
      </w:r>
      <w:r>
        <w:rPr>
          <w:rStyle w:val="18"/>
          <w:rFonts w:hint="eastAsia" w:ascii="仿宋_GB2312" w:hAnsi="仿宋_GB2312" w:eastAsia="仿宋_GB2312" w:cs="仿宋_GB2312"/>
          <w:bCs/>
          <w:sz w:val="32"/>
          <w:szCs w:val="32"/>
          <w:lang w:val="en-US" w:eastAsia="zh-CN"/>
        </w:rPr>
        <w:footnoteReference w:id="13"/>
      </w:r>
      <w:r>
        <w:rPr>
          <w:rStyle w:val="18"/>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lang w:val="en-US" w:eastAsia="zh-CN"/>
        </w:rPr>
        <w:t>的规定，对该起事故的发生负有安全管理责任。建议由吉州区住建局依据有关法律法规给予行政处罚，并在处罚结束后15日内将处罚情况报至事故调查牵头单位（吉州区应急管理局）。</w:t>
      </w:r>
    </w:p>
    <w:p w14:paraId="721DBB9B">
      <w:pPr>
        <w:pStyle w:val="21"/>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color w:val="auto"/>
          <w:sz w:val="32"/>
          <w:szCs w:val="32"/>
          <w:lang w:val="en-US" w:eastAsia="zh-CN"/>
        </w:rPr>
        <w:t>4.刘某，</w:t>
      </w:r>
      <w:r>
        <w:rPr>
          <w:rFonts w:hint="eastAsia" w:ascii="仿宋_GB2312" w:hAnsi="仿宋_GB2312" w:eastAsia="仿宋_GB2312" w:cs="仿宋_GB2312"/>
          <w:color w:val="000000"/>
          <w:sz w:val="32"/>
          <w:szCs w:val="32"/>
          <w:lang w:val="en-US" w:eastAsia="zh-CN"/>
        </w:rPr>
        <w:t>金安公司专职安全管理人员，负责9号楼施工现场安全管理。其履行安全生产管理职责不到位，</w:t>
      </w:r>
      <w:r>
        <w:rPr>
          <w:rFonts w:hint="eastAsia" w:ascii="仿宋_GB2312" w:hAnsi="仿宋_GB2312" w:eastAsia="仿宋_GB2312" w:cs="仿宋_GB2312"/>
          <w:sz w:val="32"/>
          <w:szCs w:val="32"/>
        </w:rPr>
        <w:t>组织或者参与拟订本单位安全生产规章制度</w:t>
      </w:r>
      <w:r>
        <w:rPr>
          <w:rFonts w:hint="eastAsia" w:ascii="仿宋_GB2312" w:hAnsi="仿宋_GB2312" w:eastAsia="仿宋_GB2312" w:cs="仿宋_GB2312"/>
          <w:sz w:val="32"/>
          <w:szCs w:val="32"/>
          <w:lang w:val="en-US" w:eastAsia="zh-CN"/>
        </w:rPr>
        <w:t>不到位、</w:t>
      </w:r>
      <w:r>
        <w:rPr>
          <w:rFonts w:hint="eastAsia" w:ascii="仿宋_GB2312" w:hAnsi="仿宋_GB2312" w:eastAsia="仿宋_GB2312" w:cs="仿宋_GB2312"/>
          <w:sz w:val="32"/>
          <w:szCs w:val="32"/>
        </w:rPr>
        <w:t>组织或者参与本单位安全生产教育和培训，如实记录安全生产教育和培训情况</w:t>
      </w:r>
      <w:r>
        <w:rPr>
          <w:rFonts w:hint="eastAsia" w:ascii="仿宋_GB2312" w:hAnsi="仿宋_GB2312" w:eastAsia="仿宋_GB2312" w:cs="仿宋_GB2312"/>
          <w:sz w:val="32"/>
          <w:szCs w:val="32"/>
          <w:lang w:val="en-US" w:eastAsia="zh-CN"/>
        </w:rPr>
        <w:t>不到位</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检查本单位的安全生产状况不到位，未及时排查生产安全事故隐患，导致事故发生。违反了《中华人民共和国安全生产法》第二十五条第一款第一项、第二项和第五项</w:t>
      </w:r>
      <w:r>
        <w:rPr>
          <w:rStyle w:val="18"/>
          <w:rFonts w:hint="eastAsia" w:ascii="仿宋_GB2312" w:hAnsi="仿宋_GB2312" w:eastAsia="仿宋_GB2312" w:cs="仿宋_GB2312"/>
          <w:sz w:val="32"/>
          <w:szCs w:val="32"/>
          <w:lang w:val="en-US" w:eastAsia="zh-CN"/>
        </w:rPr>
        <w:t>[</w:t>
      </w:r>
      <w:r>
        <w:rPr>
          <w:rStyle w:val="18"/>
          <w:rFonts w:hint="eastAsia" w:ascii="仿宋_GB2312" w:hAnsi="仿宋_GB2312" w:eastAsia="仿宋_GB2312" w:cs="仿宋_GB2312"/>
          <w:sz w:val="32"/>
          <w:szCs w:val="32"/>
          <w:lang w:val="en-US" w:eastAsia="zh-CN"/>
        </w:rPr>
        <w:footnoteReference w:id="14"/>
      </w:r>
      <w:r>
        <w:rPr>
          <w:rStyle w:val="18"/>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，第二十六条第一款</w:t>
      </w:r>
      <w:r>
        <w:rPr>
          <w:rStyle w:val="18"/>
          <w:rFonts w:hint="eastAsia" w:ascii="仿宋_GB2312" w:hAnsi="仿宋_GB2312" w:eastAsia="仿宋_GB2312" w:cs="仿宋_GB2312"/>
          <w:sz w:val="32"/>
          <w:szCs w:val="32"/>
          <w:lang w:val="en-US" w:eastAsia="zh-CN"/>
        </w:rPr>
        <w:t>[</w:t>
      </w:r>
      <w:r>
        <w:rPr>
          <w:rStyle w:val="18"/>
          <w:rFonts w:hint="eastAsia" w:ascii="仿宋_GB2312" w:hAnsi="仿宋_GB2312" w:eastAsia="仿宋_GB2312" w:cs="仿宋_GB2312"/>
          <w:sz w:val="32"/>
          <w:szCs w:val="32"/>
          <w:lang w:val="en-US" w:eastAsia="zh-CN"/>
        </w:rPr>
        <w:footnoteReference w:id="15"/>
      </w:r>
      <w:r>
        <w:rPr>
          <w:rStyle w:val="18"/>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，《建筑施工企业主要负责人、项目负责人和专职安全生产管理人员安全生产管理规定》第二十条</w:t>
      </w:r>
      <w:r>
        <w:rPr>
          <w:rStyle w:val="18"/>
          <w:rFonts w:hint="eastAsia" w:ascii="仿宋_GB2312" w:hAnsi="仿宋_GB2312" w:eastAsia="仿宋_GB2312" w:cs="仿宋_GB2312"/>
          <w:color w:val="auto"/>
          <w:sz w:val="32"/>
          <w:szCs w:val="32"/>
          <w:lang w:val="en-US" w:eastAsia="zh-CN"/>
        </w:rPr>
        <w:t>[</w:t>
      </w:r>
      <w:r>
        <w:rPr>
          <w:rStyle w:val="18"/>
          <w:rFonts w:hint="eastAsia" w:ascii="仿宋_GB2312" w:hAnsi="仿宋_GB2312" w:eastAsia="仿宋_GB2312" w:cs="仿宋_GB2312"/>
          <w:color w:val="auto"/>
          <w:sz w:val="32"/>
          <w:szCs w:val="32"/>
          <w:lang w:val="en-US" w:eastAsia="zh-CN"/>
        </w:rPr>
        <w:footnoteReference w:id="16"/>
      </w:r>
      <w:r>
        <w:rPr>
          <w:rStyle w:val="18"/>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lang w:val="en-US" w:eastAsia="zh-CN"/>
        </w:rPr>
        <w:t>等规定。对事故发生负有管理责任。建议由吉州区住建局依据有关法律法规给予行政处罚，并在处罚结束后15日内将处罚情况报至事故调查牵头单位（吉州区应急管理局）。</w:t>
      </w:r>
    </w:p>
    <w:p w14:paraId="1D3D5B81">
      <w:pPr>
        <w:pStyle w:val="21"/>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both"/>
        <w:textAlignment w:val="baseline"/>
        <w:rPr>
          <w:rFonts w:hint="eastAsia" w:ascii="仿宋_GB2312" w:hAnsi="仿宋_GB2312" w:eastAsia="仿宋_GB2312" w:cs="仿宋_GB2312"/>
          <w:b w:val="0"/>
          <w:bCs w:val="0"/>
          <w:sz w:val="32"/>
          <w:szCs w:val="32"/>
          <w:lang w:val="en-US" w:eastAsia="zh-CN" w:bidi="hi-IN"/>
        </w:rPr>
      </w:pPr>
      <w:r>
        <w:rPr>
          <w:rFonts w:hint="eastAsia" w:ascii="仿宋_GB2312" w:hAnsi="仿宋_GB2312" w:eastAsia="仿宋_GB2312" w:cs="仿宋_GB2312"/>
          <w:b/>
          <w:bCs w:val="0"/>
          <w:sz w:val="32"/>
          <w:szCs w:val="32"/>
          <w:lang w:val="en-US" w:eastAsia="zh-CN"/>
        </w:rPr>
        <w:t>5.郭某洲，</w:t>
      </w:r>
      <w:r>
        <w:rPr>
          <w:rFonts w:hint="eastAsia" w:ascii="仿宋_GB2312" w:hAnsi="仿宋_GB2312" w:eastAsia="仿宋_GB2312" w:cs="仿宋_GB2312"/>
          <w:b w:val="0"/>
          <w:bCs w:val="0"/>
          <w:sz w:val="32"/>
          <w:szCs w:val="32"/>
          <w:lang w:val="en-US" w:eastAsia="zh-CN"/>
        </w:rPr>
        <w:t>江西德基新材料有限公司庐陵德基高端智造产业园一期项目总监，履行总监理工程师职责不到位，对升降机未经验收违规使用失管失察，对安全员刘某长期请假离岗行为未提出要求安排接替人员接替其工作，对施工单位现场安全生产规章制度的建立和实施情况审查不到位。其行为违反了《建设工程安全生产管理条例》第十四条第三款</w:t>
      </w:r>
      <w:r>
        <w:rPr>
          <w:rStyle w:val="18"/>
          <w:rFonts w:hint="eastAsia" w:ascii="仿宋_GB2312" w:hAnsi="仿宋_GB2312" w:eastAsia="仿宋_GB2312" w:cs="仿宋_GB2312"/>
          <w:b w:val="0"/>
          <w:bCs w:val="0"/>
          <w:sz w:val="32"/>
          <w:szCs w:val="32"/>
          <w:lang w:val="en-US" w:eastAsia="zh-CN"/>
        </w:rPr>
        <w:t>[</w:t>
      </w:r>
      <w:r>
        <w:rPr>
          <w:rStyle w:val="18"/>
          <w:rFonts w:hint="eastAsia" w:ascii="仿宋_GB2312" w:hAnsi="仿宋_GB2312" w:eastAsia="仿宋_GB2312" w:cs="仿宋_GB2312"/>
          <w:b w:val="0"/>
          <w:bCs w:val="0"/>
          <w:sz w:val="32"/>
          <w:szCs w:val="32"/>
          <w:lang w:val="en-US" w:eastAsia="zh-CN"/>
        </w:rPr>
        <w:footnoteReference w:id="17"/>
      </w:r>
      <w:r>
        <w:rPr>
          <w:rStyle w:val="18"/>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、《建设工程监理规范》（</w:t>
      </w:r>
      <w:r>
        <w:rPr>
          <w:rFonts w:hint="eastAsia" w:ascii="仿宋_GB2312" w:hAnsi="仿宋_GB2312" w:eastAsia="仿宋_GB2312" w:cs="仿宋_GB2312"/>
          <w:sz w:val="32"/>
          <w:szCs w:val="32"/>
          <w:lang w:val="en-US" w:eastAsia="zh-CN"/>
        </w:rPr>
        <w:t>GB/T50319-2013）第</w:t>
      </w:r>
      <w:r>
        <w:rPr>
          <w:rFonts w:hint="eastAsia" w:ascii="仿宋_GB2312" w:hAnsi="仿宋_GB2312" w:eastAsia="仿宋_GB2312" w:cs="仿宋_GB2312"/>
          <w:b w:val="0"/>
          <w:bCs w:val="0"/>
          <w:sz w:val="32"/>
          <w:szCs w:val="32"/>
          <w:lang w:val="en-US" w:eastAsia="zh-CN"/>
        </w:rPr>
        <w:t>5.5.2</w:t>
      </w:r>
      <w:r>
        <w:rPr>
          <w:rStyle w:val="18"/>
          <w:rFonts w:hint="eastAsia" w:ascii="仿宋_GB2312" w:hAnsi="仿宋_GB2312" w:eastAsia="仿宋_GB2312" w:cs="仿宋_GB2312"/>
          <w:b w:val="0"/>
          <w:bCs w:val="0"/>
          <w:sz w:val="32"/>
          <w:szCs w:val="32"/>
          <w:lang w:val="en-US" w:eastAsia="zh-CN"/>
        </w:rPr>
        <w:t>[</w:t>
      </w:r>
      <w:r>
        <w:rPr>
          <w:rStyle w:val="18"/>
          <w:rFonts w:hint="eastAsia" w:ascii="仿宋_GB2312" w:hAnsi="仿宋_GB2312" w:eastAsia="仿宋_GB2312" w:cs="仿宋_GB2312"/>
          <w:b w:val="0"/>
          <w:bCs w:val="0"/>
          <w:sz w:val="32"/>
          <w:szCs w:val="32"/>
          <w:lang w:val="en-US" w:eastAsia="zh-CN"/>
        </w:rPr>
        <w:footnoteReference w:id="18"/>
      </w:r>
      <w:r>
        <w:rPr>
          <w:rStyle w:val="18"/>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color w:val="auto"/>
          <w:sz w:val="32"/>
          <w:szCs w:val="32"/>
          <w:lang w:val="en-US" w:eastAsia="zh-CN"/>
        </w:rPr>
        <w:t>《注册监理工程师管理规定》第二十六条第一、二项</w:t>
      </w:r>
      <w:r>
        <w:rPr>
          <w:rStyle w:val="18"/>
          <w:rFonts w:hint="eastAsia" w:ascii="仿宋_GB2312" w:hAnsi="仿宋_GB2312" w:eastAsia="仿宋_GB2312" w:cs="仿宋_GB2312"/>
          <w:b w:val="0"/>
          <w:bCs w:val="0"/>
          <w:color w:val="auto"/>
          <w:sz w:val="32"/>
          <w:szCs w:val="32"/>
          <w:lang w:val="en-US" w:eastAsia="zh-CN"/>
        </w:rPr>
        <w:t>[</w:t>
      </w:r>
      <w:r>
        <w:rPr>
          <w:rStyle w:val="18"/>
          <w:rFonts w:hint="eastAsia" w:ascii="仿宋_GB2312" w:hAnsi="仿宋_GB2312" w:eastAsia="仿宋_GB2312" w:cs="仿宋_GB2312"/>
          <w:b w:val="0"/>
          <w:bCs w:val="0"/>
          <w:color w:val="auto"/>
          <w:sz w:val="32"/>
          <w:szCs w:val="32"/>
          <w:lang w:val="en-US" w:eastAsia="zh-CN"/>
        </w:rPr>
        <w:footnoteReference w:id="19"/>
      </w:r>
      <w:r>
        <w:rPr>
          <w:rStyle w:val="18"/>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等规定</w:t>
      </w:r>
      <w:r>
        <w:rPr>
          <w:rFonts w:hint="eastAsia" w:ascii="仿宋_GB2312" w:hAnsi="仿宋_GB2312" w:eastAsia="仿宋_GB2312" w:cs="仿宋_GB2312"/>
          <w:b w:val="0"/>
          <w:bCs w:val="0"/>
          <w:sz w:val="32"/>
          <w:szCs w:val="32"/>
          <w:lang w:val="en-US" w:eastAsia="zh-CN" w:bidi="hi-IN"/>
        </w:rPr>
        <w:t>，建议由吉州区住建局依据有关法律法规给予行政处罚，并在处罚结束后15日内将处罚情况报至事故调查牵头单位（吉州区应急管理局）。</w:t>
      </w:r>
    </w:p>
    <w:p w14:paraId="34BC963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仿宋_GB2312" w:eastAsia="仿宋_GB2312" w:cs="仿宋_GB2312"/>
          <w:b/>
          <w:bCs/>
          <w:kern w:val="2"/>
          <w:sz w:val="32"/>
          <w:szCs w:val="32"/>
          <w:lang w:val="en-US" w:eastAsia="zh-CN" w:bidi="hi-IN"/>
        </w:rPr>
        <w:t>6.欧阳某</w:t>
      </w:r>
      <w:r>
        <w:rPr>
          <w:rFonts w:hint="eastAsia" w:ascii="仿宋_GB2312" w:hAnsi="仿宋_GB2312" w:eastAsia="仿宋_GB2312" w:cs="仿宋_GB2312"/>
          <w:b w:val="0"/>
          <w:bCs w:val="0"/>
          <w:kern w:val="2"/>
          <w:sz w:val="32"/>
          <w:szCs w:val="32"/>
          <w:lang w:val="en-US" w:eastAsia="zh-CN" w:bidi="hi-IN"/>
        </w:rPr>
        <w:t>，江西德基新材料有限公司庐陵德基高端智造产业园一期项目专监，其履行监理职责不到位，</w:t>
      </w:r>
      <w:r>
        <w:rPr>
          <w:rFonts w:hint="eastAsia" w:ascii="仿宋_GB2312" w:hAnsi="仿宋_GB2312" w:eastAsia="仿宋_GB2312" w:cs="仿宋_GB2312"/>
          <w:b w:val="0"/>
          <w:bCs w:val="0"/>
          <w:sz w:val="32"/>
          <w:szCs w:val="32"/>
          <w:lang w:val="en-US" w:eastAsia="zh-CN"/>
        </w:rPr>
        <w:t>对施工单位现场安全生产规章制度的建立和实施情况审查不到位；</w:t>
      </w:r>
      <w:r>
        <w:rPr>
          <w:rFonts w:hint="eastAsia" w:ascii="仿宋_GB2312" w:hAnsi="仿宋_GB2312" w:eastAsia="仿宋_GB2312" w:cs="仿宋_GB2312"/>
          <w:b w:val="0"/>
          <w:bCs w:val="0"/>
          <w:kern w:val="2"/>
          <w:sz w:val="32"/>
          <w:szCs w:val="32"/>
          <w:lang w:val="en-US" w:eastAsia="zh-CN" w:bidi="hi-IN"/>
        </w:rPr>
        <w:t>对升降机的使用情况监督检查不到位，未及时发现施工单位违规使用未经验收的升降机行为；违反了《建设工程安全生产管理条例》第十四条第三款，</w:t>
      </w:r>
      <w:r>
        <w:rPr>
          <w:rFonts w:hint="eastAsia" w:ascii="仿宋_GB2312" w:hAnsi="仿宋_GB2312" w:eastAsia="仿宋_GB2312" w:cs="仿宋_GB2312"/>
          <w:b w:val="0"/>
          <w:bCs w:val="0"/>
          <w:sz w:val="32"/>
          <w:szCs w:val="32"/>
          <w:lang w:val="en-US" w:eastAsia="zh-CN"/>
        </w:rPr>
        <w:t>《建设工程监理规范》（</w:t>
      </w:r>
      <w:r>
        <w:rPr>
          <w:rFonts w:hint="eastAsia" w:ascii="仿宋_GB2312" w:hAnsi="仿宋_GB2312" w:eastAsia="仿宋_GB2312" w:cs="仿宋_GB2312"/>
          <w:sz w:val="32"/>
          <w:szCs w:val="32"/>
          <w:lang w:val="en-US" w:eastAsia="zh-CN"/>
        </w:rPr>
        <w:t>GB/T50319-2013）第</w:t>
      </w:r>
      <w:r>
        <w:rPr>
          <w:rFonts w:hint="eastAsia" w:ascii="仿宋_GB2312" w:hAnsi="仿宋_GB2312" w:eastAsia="仿宋_GB2312" w:cs="仿宋_GB2312"/>
          <w:b w:val="0"/>
          <w:bCs w:val="0"/>
          <w:sz w:val="32"/>
          <w:szCs w:val="32"/>
          <w:lang w:val="en-US" w:eastAsia="zh-CN"/>
        </w:rPr>
        <w:t>5.5.2</w:t>
      </w:r>
      <w:r>
        <w:rPr>
          <w:rFonts w:hint="eastAsia" w:ascii="仿宋_GB2312" w:hAnsi="仿宋_GB2312" w:eastAsia="仿宋_GB2312" w:cs="仿宋_GB2312"/>
          <w:b w:val="0"/>
          <w:bCs w:val="0"/>
          <w:kern w:val="2"/>
          <w:sz w:val="32"/>
          <w:szCs w:val="32"/>
          <w:lang w:val="en-US" w:eastAsia="zh-CN" w:bidi="hi-IN"/>
        </w:rPr>
        <w:t>之规定，对事故的发生负有直接监理责任，鉴于事发时欧阳某未取得《注册监理工程师资格证书》，责成江西守正工程管理有限公司按照企业管理规定对其给予处理，并报吉州区应急管理局备案</w:t>
      </w:r>
      <w:r>
        <w:rPr>
          <w:rFonts w:hint="eastAsia" w:ascii="仿宋_GB2312" w:hAnsi="宋体" w:eastAsia="仿宋_GB2312" w:cs="仿宋_GB2312"/>
          <w:color w:val="000000"/>
          <w:kern w:val="0"/>
          <w:sz w:val="31"/>
          <w:szCs w:val="31"/>
          <w:lang w:val="en-US" w:eastAsia="zh-CN" w:bidi="ar"/>
        </w:rPr>
        <w:t>。</w:t>
      </w:r>
    </w:p>
    <w:p w14:paraId="1232D9B1">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both"/>
        <w:rPr>
          <w:rFonts w:hint="eastAsia" w:ascii="仿宋_GB2312" w:hAnsi="仿宋_GB2312" w:eastAsia="仿宋_GB2312" w:cs="仿宋_GB2312"/>
          <w:b w:val="0"/>
          <w:bCs w:val="0"/>
          <w:kern w:val="2"/>
          <w:sz w:val="32"/>
          <w:szCs w:val="32"/>
          <w:lang w:val="en-US" w:eastAsia="zh-CN" w:bidi="hi-IN"/>
        </w:rPr>
      </w:pPr>
      <w:r>
        <w:rPr>
          <w:rFonts w:hint="eastAsia" w:ascii="仿宋_GB2312" w:hAnsi="仿宋_GB2312" w:eastAsia="仿宋_GB2312" w:cs="仿宋_GB2312"/>
          <w:b/>
          <w:bCs/>
          <w:kern w:val="2"/>
          <w:sz w:val="32"/>
          <w:szCs w:val="32"/>
          <w:lang w:val="en-US" w:eastAsia="zh-CN" w:bidi="hi-IN"/>
        </w:rPr>
        <w:t>7.吴某根,</w:t>
      </w:r>
      <w:bookmarkStart w:id="1" w:name="_GoBack"/>
      <w:bookmarkEnd w:id="1"/>
      <w:r>
        <w:rPr>
          <w:rFonts w:hint="eastAsia" w:ascii="仿宋_GB2312" w:hAnsi="仿宋_GB2312" w:eastAsia="仿宋_GB2312" w:cs="仿宋_GB2312"/>
          <w:b w:val="0"/>
          <w:bCs w:val="0"/>
          <w:kern w:val="2"/>
          <w:sz w:val="32"/>
          <w:szCs w:val="32"/>
          <w:lang w:val="en-US" w:eastAsia="zh-CN" w:bidi="hi-IN"/>
        </w:rPr>
        <w:t>江西德基新材料有限公司庐陵德基高端智造产业园一期项目，建设单位现场负责人，落实施工现场安全管理工作统一协调、管理职责不到位，未要求施工单位安排人员接替刘某不在岗期间安全员工作。责成江西德基新材料有限公司按照企业管理规定对其给予处理，并报吉州应急管理局备案。</w:t>
      </w:r>
    </w:p>
    <w:p w14:paraId="64467B1B">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both"/>
        <w:rPr>
          <w:rFonts w:hint="default"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（二）对事故责任单位的行政处罚</w:t>
      </w:r>
    </w:p>
    <w:p w14:paraId="296321C9">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kern w:val="0"/>
          <w:sz w:val="32"/>
          <w:szCs w:val="32"/>
          <w:lang w:val="en-US" w:eastAsia="zh-CN"/>
        </w:rPr>
        <w:t>1.江西金安建筑工程有限公司</w:t>
      </w:r>
      <w:r>
        <w:rPr>
          <w:rFonts w:hint="eastAsia" w:ascii="仿宋_GB2312" w:hAnsi="仿宋_GB2312" w:eastAsia="仿宋_GB2312" w:cs="仿宋_GB2312"/>
          <w:sz w:val="32"/>
          <w:szCs w:val="32"/>
        </w:rPr>
        <w:t>，安全生产责任主体落实不到位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val="0"/>
          <w:bCs w:val="0"/>
          <w:sz w:val="32"/>
          <w:szCs w:val="32"/>
          <w:lang w:val="en-US" w:eastAsia="zh-CN"/>
        </w:rPr>
        <w:t>违规使用未经验收的施工升降机</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存在安全生产规章制度和操作规程不完善及缺失</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lang w:val="en-US" w:eastAsia="zh-CN"/>
        </w:rPr>
        <w:t>对从业人员安全生产教育培训不到位流于形式，未如实记录安全生产教育和培训的时间、内容，以及考核结果等情况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lang w:val="en-US" w:eastAsia="zh-CN"/>
        </w:rPr>
        <w:t>安全隐患排查治理不到位，</w:t>
      </w:r>
      <w:r>
        <w:rPr>
          <w:rFonts w:hint="eastAsia" w:ascii="仿宋_GB2312" w:hAnsi="仿宋_GB2312" w:eastAsia="仿宋_GB2312" w:cs="仿宋_GB2312"/>
          <w:b w:val="0"/>
          <w:bCs w:val="0"/>
          <w:sz w:val="32"/>
          <w:szCs w:val="32"/>
          <w:lang w:val="en-US" w:eastAsia="zh-CN"/>
        </w:rPr>
        <w:t>对三轮车进入升降机存在的安全风险未识别，未落实安全防护措施，</w:t>
      </w:r>
      <w:r>
        <w:rPr>
          <w:rFonts w:hint="eastAsia" w:ascii="仿宋_GB2312" w:hAnsi="仿宋_GB2312" w:eastAsia="仿宋_GB2312" w:cs="仿宋_GB2312"/>
          <w:sz w:val="32"/>
          <w:szCs w:val="32"/>
          <w:lang w:val="en-US" w:eastAsia="zh-CN"/>
        </w:rPr>
        <w:t>未及时消除三轮车进入升降机作业存在的安全隐患，制止三轮车进入升降机作业行为。</w:t>
      </w:r>
      <w:r>
        <w:rPr>
          <w:rFonts w:hint="eastAsia" w:ascii="仿宋_GB2312" w:hAnsi="仿宋_GB2312" w:eastAsia="仿宋_GB2312" w:cs="仿宋_GB2312"/>
          <w:color w:val="auto"/>
          <w:sz w:val="32"/>
          <w:szCs w:val="32"/>
        </w:rPr>
        <w:t>其行为违反</w:t>
      </w:r>
      <w:r>
        <w:rPr>
          <w:rFonts w:hint="eastAsia" w:ascii="仿宋_GB2312" w:hAnsi="仿宋_GB2312" w:eastAsia="仿宋_GB2312" w:cs="仿宋_GB2312"/>
          <w:sz w:val="32"/>
          <w:szCs w:val="32"/>
          <w:lang w:val="en-US" w:eastAsia="zh-CN"/>
        </w:rPr>
        <w:t>了《建设工程安全生产管理</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"https://baike.so.com/doc/5114591-5343453.html" \t "https://baike.so.com/doc/_blank"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条例</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》第三十五条</w:t>
      </w:r>
      <w:r>
        <w:rPr>
          <w:rStyle w:val="18"/>
          <w:rFonts w:hint="eastAsia" w:ascii="仿宋_GB2312" w:hAnsi="仿宋_GB2312" w:eastAsia="仿宋_GB2312" w:cs="仿宋_GB2312"/>
          <w:sz w:val="32"/>
          <w:szCs w:val="32"/>
          <w:lang w:val="en-US" w:eastAsia="zh-CN"/>
        </w:rPr>
        <w:t>[</w:t>
      </w:r>
      <w:r>
        <w:rPr>
          <w:rStyle w:val="18"/>
          <w:rFonts w:hint="eastAsia" w:ascii="仿宋_GB2312" w:hAnsi="仿宋_GB2312" w:eastAsia="仿宋_GB2312" w:cs="仿宋_GB2312"/>
          <w:sz w:val="32"/>
          <w:szCs w:val="32"/>
          <w:lang w:val="en-US" w:eastAsia="zh-CN"/>
        </w:rPr>
        <w:footnoteReference w:id="20"/>
      </w:r>
      <w:r>
        <w:rPr>
          <w:rStyle w:val="18"/>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，《建筑起重机械安全监督管理规定》第十六条第一款</w:t>
      </w:r>
      <w:r>
        <w:rPr>
          <w:rStyle w:val="18"/>
          <w:rFonts w:hint="eastAsia" w:ascii="仿宋_GB2312" w:hAnsi="仿宋_GB2312" w:eastAsia="仿宋_GB2312" w:cs="仿宋_GB2312"/>
          <w:sz w:val="32"/>
          <w:szCs w:val="32"/>
          <w:lang w:val="en-US" w:eastAsia="zh-CN"/>
        </w:rPr>
        <w:t>[</w:t>
      </w:r>
      <w:r>
        <w:rPr>
          <w:rStyle w:val="18"/>
          <w:rFonts w:hint="eastAsia" w:ascii="仿宋_GB2312" w:hAnsi="仿宋_GB2312" w:eastAsia="仿宋_GB2312" w:cs="仿宋_GB2312"/>
          <w:sz w:val="32"/>
          <w:szCs w:val="32"/>
          <w:lang w:val="en-US" w:eastAsia="zh-CN"/>
        </w:rPr>
        <w:footnoteReference w:id="21"/>
      </w:r>
      <w:r>
        <w:rPr>
          <w:rStyle w:val="18"/>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eastAsia="zh-CN"/>
        </w:rPr>
        <w:t>华人民共和国</w:t>
      </w:r>
      <w:r>
        <w:rPr>
          <w:rFonts w:hint="eastAsia" w:ascii="仿宋_GB2312" w:hAnsi="仿宋_GB2312" w:eastAsia="仿宋_GB2312" w:cs="仿宋_GB2312"/>
          <w:color w:val="auto"/>
          <w:sz w:val="32"/>
          <w:szCs w:val="32"/>
          <w:lang w:val="en-US" w:eastAsia="zh-CN"/>
        </w:rPr>
        <w:t>安</w:t>
      </w:r>
      <w:r>
        <w:rPr>
          <w:rFonts w:hint="eastAsia" w:ascii="仿宋_GB2312" w:hAnsi="仿宋_GB2312" w:eastAsia="仿宋_GB2312" w:cs="仿宋_GB2312"/>
          <w:color w:val="auto"/>
          <w:sz w:val="32"/>
          <w:szCs w:val="32"/>
          <w:lang w:eastAsia="zh-CN"/>
        </w:rPr>
        <w:t>全生产法</w:t>
      </w:r>
      <w:r>
        <w:rPr>
          <w:rFonts w:hint="eastAsia" w:ascii="仿宋_GB2312" w:hAnsi="仿宋_GB2312" w:eastAsia="仿宋_GB2312" w:cs="仿宋_GB2312"/>
          <w:color w:val="auto"/>
          <w:sz w:val="32"/>
          <w:szCs w:val="32"/>
        </w:rPr>
        <w:t>》、第四条</w:t>
      </w:r>
      <w:r>
        <w:rPr>
          <w:rFonts w:hint="eastAsia" w:ascii="仿宋_GB2312" w:hAnsi="仿宋_GB2312" w:eastAsia="仿宋_GB2312" w:cs="仿宋_GB2312"/>
          <w:color w:val="auto"/>
          <w:sz w:val="32"/>
          <w:szCs w:val="32"/>
          <w:lang w:val="en-US" w:eastAsia="zh-CN"/>
        </w:rPr>
        <w:t>第一款</w:t>
      </w:r>
      <w:r>
        <w:rPr>
          <w:rStyle w:val="18"/>
          <w:rFonts w:hint="eastAsia" w:ascii="仿宋_GB2312" w:hAnsi="仿宋_GB2312" w:eastAsia="仿宋_GB2312" w:cs="仿宋_GB2312"/>
          <w:color w:val="auto"/>
          <w:sz w:val="32"/>
          <w:szCs w:val="32"/>
        </w:rPr>
        <w:t>[</w:t>
      </w:r>
      <w:r>
        <w:rPr>
          <w:rStyle w:val="18"/>
          <w:rFonts w:hint="eastAsia" w:ascii="仿宋_GB2312" w:hAnsi="仿宋_GB2312" w:eastAsia="仿宋_GB2312" w:cs="仿宋_GB2312"/>
          <w:color w:val="auto"/>
          <w:sz w:val="32"/>
          <w:szCs w:val="32"/>
        </w:rPr>
        <w:footnoteReference w:id="22"/>
      </w:r>
      <w:r>
        <w:rPr>
          <w:rStyle w:val="18"/>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第二十八条第一款、第四款</w:t>
      </w:r>
      <w:r>
        <w:rPr>
          <w:rStyle w:val="18"/>
          <w:rFonts w:hint="eastAsia" w:ascii="仿宋_GB2312" w:hAnsi="仿宋_GB2312" w:eastAsia="仿宋_GB2312" w:cs="仿宋_GB2312"/>
          <w:color w:val="auto"/>
          <w:sz w:val="32"/>
          <w:szCs w:val="32"/>
          <w:lang w:val="en-US" w:eastAsia="zh-CN"/>
        </w:rPr>
        <w:t>[</w:t>
      </w:r>
      <w:r>
        <w:rPr>
          <w:rStyle w:val="18"/>
          <w:rFonts w:hint="eastAsia" w:ascii="仿宋_GB2312" w:hAnsi="仿宋_GB2312" w:eastAsia="仿宋_GB2312" w:cs="仿宋_GB2312"/>
          <w:color w:val="auto"/>
          <w:sz w:val="32"/>
          <w:szCs w:val="32"/>
          <w:lang w:val="en-US" w:eastAsia="zh-CN"/>
        </w:rPr>
        <w:footnoteReference w:id="23"/>
      </w:r>
      <w:r>
        <w:rPr>
          <w:rStyle w:val="18"/>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lang w:val="en-US" w:eastAsia="zh-CN"/>
        </w:rPr>
        <w:t>、第四十一条</w:t>
      </w:r>
      <w:r>
        <w:rPr>
          <w:rStyle w:val="18"/>
          <w:rFonts w:hint="eastAsia" w:ascii="仿宋_GB2312" w:hAnsi="仿宋_GB2312" w:eastAsia="仿宋_GB2312" w:cs="仿宋_GB2312"/>
          <w:sz w:val="32"/>
          <w:szCs w:val="32"/>
          <w:lang w:val="en-US" w:eastAsia="zh-CN"/>
        </w:rPr>
        <w:t>[</w:t>
      </w:r>
      <w:r>
        <w:rPr>
          <w:rStyle w:val="18"/>
          <w:rFonts w:hint="eastAsia" w:ascii="仿宋_GB2312" w:hAnsi="仿宋_GB2312" w:eastAsia="仿宋_GB2312" w:cs="仿宋_GB2312"/>
          <w:sz w:val="32"/>
          <w:szCs w:val="32"/>
          <w:lang w:val="en-US" w:eastAsia="zh-CN"/>
        </w:rPr>
        <w:footnoteReference w:id="24"/>
      </w:r>
      <w:r>
        <w:rPr>
          <w:rStyle w:val="18"/>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lang w:val="en-US" w:eastAsia="zh-CN"/>
        </w:rPr>
        <w:t>第四十四条</w:t>
      </w:r>
      <w:r>
        <w:rPr>
          <w:rStyle w:val="18"/>
          <w:rFonts w:hint="eastAsia" w:ascii="仿宋_GB2312" w:hAnsi="仿宋_GB2312" w:eastAsia="仿宋_GB2312" w:cs="仿宋_GB2312"/>
          <w:color w:val="auto"/>
          <w:sz w:val="32"/>
          <w:szCs w:val="32"/>
          <w:lang w:val="en-US" w:eastAsia="zh-CN"/>
        </w:rPr>
        <w:t>[</w:t>
      </w:r>
      <w:r>
        <w:rPr>
          <w:rStyle w:val="18"/>
          <w:rFonts w:hint="eastAsia" w:ascii="仿宋_GB2312" w:hAnsi="仿宋_GB2312" w:eastAsia="仿宋_GB2312" w:cs="仿宋_GB2312"/>
          <w:color w:val="auto"/>
          <w:sz w:val="32"/>
          <w:szCs w:val="32"/>
          <w:lang w:val="en-US" w:eastAsia="zh-CN"/>
        </w:rPr>
        <w:footnoteReference w:id="25"/>
      </w:r>
      <w:r>
        <w:rPr>
          <w:rStyle w:val="18"/>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rPr>
        <w:t>规定，对事</w:t>
      </w:r>
      <w:r>
        <w:rPr>
          <w:rFonts w:hint="eastAsia" w:ascii="仿宋_GB2312" w:hAnsi="仿宋_GB2312" w:eastAsia="仿宋_GB2312" w:cs="仿宋_GB2312"/>
          <w:color w:val="auto"/>
          <w:sz w:val="32"/>
          <w:szCs w:val="32"/>
          <w:lang w:val="en-US" w:eastAsia="zh-CN"/>
        </w:rPr>
        <w:t>故的发生</w:t>
      </w:r>
      <w:r>
        <w:rPr>
          <w:rFonts w:hint="eastAsia" w:ascii="仿宋_GB2312" w:hAnsi="仿宋_GB2312" w:eastAsia="仿宋_GB2312" w:cs="仿宋_GB2312"/>
          <w:sz w:val="32"/>
          <w:szCs w:val="32"/>
        </w:rPr>
        <w:t>负有责任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建议由</w:t>
      </w:r>
      <w:r>
        <w:rPr>
          <w:rFonts w:hint="eastAsia" w:ascii="仿宋_GB2312" w:hAnsi="仿宋_GB2312" w:eastAsia="仿宋_GB2312" w:cs="仿宋_GB2312"/>
          <w:sz w:val="32"/>
          <w:szCs w:val="32"/>
          <w:lang w:val="en-US" w:eastAsia="zh-CN"/>
        </w:rPr>
        <w:t>吉州区</w:t>
      </w:r>
      <w:r>
        <w:rPr>
          <w:rFonts w:hint="eastAsia" w:ascii="仿宋_GB2312" w:hAnsi="仿宋_GB2312" w:eastAsia="仿宋_GB2312" w:cs="仿宋_GB2312"/>
          <w:color w:val="000000" w:themeColor="text1"/>
          <w:sz w:val="32"/>
          <w:szCs w:val="32"/>
          <w14:textFill>
            <w14:solidFill>
              <w14:schemeClr w14:val="tx1"/>
            </w14:solidFill>
          </w14:textFill>
        </w:rPr>
        <w:t>应急管理局依据《</w:t>
      </w:r>
      <w:r>
        <w:rPr>
          <w:rFonts w:hint="eastAsia" w:ascii="仿宋_GB2312" w:hAnsi="仿宋_GB2312" w:eastAsia="仿宋_GB2312" w:cs="仿宋_GB2312"/>
          <w:color w:val="000000" w:themeColor="text1"/>
          <w:sz w:val="32"/>
          <w:szCs w:val="32"/>
          <w:lang w:eastAsia="zh-CN"/>
          <w14:textFill>
            <w14:solidFill>
              <w14:schemeClr w14:val="tx1"/>
            </w14:solidFill>
          </w14:textFill>
        </w:rPr>
        <w:t>中华人民共和国安全生产法</w:t>
      </w:r>
      <w:r>
        <w:rPr>
          <w:rFonts w:hint="eastAsia" w:ascii="仿宋_GB2312" w:hAnsi="仿宋_GB2312" w:eastAsia="仿宋_GB2312" w:cs="仿宋_GB2312"/>
          <w:color w:val="000000" w:themeColor="text1"/>
          <w:sz w:val="32"/>
          <w:szCs w:val="32"/>
          <w14:textFill>
            <w14:solidFill>
              <w14:schemeClr w14:val="tx1"/>
            </w14:solidFill>
          </w14:textFill>
        </w:rPr>
        <w:t>》第一百一十四条第一款</w:t>
      </w:r>
      <w:r>
        <w:rPr>
          <w:rStyle w:val="18"/>
          <w:rFonts w:hint="eastAsia" w:ascii="仿宋_GB2312" w:hAnsi="仿宋_GB2312" w:eastAsia="仿宋_GB2312" w:cs="仿宋_GB2312"/>
          <w:color w:val="000000" w:themeColor="text1"/>
          <w:sz w:val="32"/>
          <w:szCs w:val="32"/>
          <w14:textFill>
            <w14:solidFill>
              <w14:schemeClr w14:val="tx1"/>
            </w14:solidFill>
          </w14:textFill>
        </w:rPr>
        <w:t>[</w:t>
      </w:r>
      <w:r>
        <w:rPr>
          <w:rStyle w:val="18"/>
          <w:rFonts w:hint="eastAsia" w:ascii="仿宋_GB2312" w:hAnsi="仿宋_GB2312" w:eastAsia="仿宋_GB2312" w:cs="仿宋_GB2312"/>
          <w:color w:val="000000" w:themeColor="text1"/>
          <w:sz w:val="32"/>
          <w:szCs w:val="32"/>
          <w14:textFill>
            <w14:solidFill>
              <w14:schemeClr w14:val="tx1"/>
            </w14:solidFill>
          </w14:textFill>
        </w:rPr>
        <w:footnoteReference w:id="26"/>
      </w:r>
      <w:r>
        <w:rPr>
          <w:rStyle w:val="18"/>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的有关规定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处以罚款</w:t>
      </w:r>
      <w:r>
        <w:rPr>
          <w:rFonts w:hint="eastAsia" w:ascii="仿宋_GB2312" w:hAnsi="仿宋_GB2312" w:eastAsia="仿宋_GB2312" w:cs="仿宋_GB2312"/>
          <w:color w:val="000000" w:themeColor="text1"/>
          <w:sz w:val="32"/>
          <w:szCs w:val="32"/>
          <w14:textFill>
            <w14:solidFill>
              <w14:schemeClr w14:val="tx1"/>
            </w14:solidFill>
          </w14:textFill>
        </w:rPr>
        <w:t>。</w:t>
      </w:r>
    </w:p>
    <w:p w14:paraId="7E8C957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rPr>
          <w:rFonts w:hint="eastAsia" w:ascii="仿宋_GB2312" w:hAnsi="仿宋_GB2312" w:eastAsia="仿宋_GB2312" w:cs="仿宋_GB2312"/>
          <w:b w:val="0"/>
          <w:bCs w:val="0"/>
          <w:color w:val="000000"/>
          <w:kern w:val="0"/>
          <w:sz w:val="32"/>
          <w:szCs w:val="32"/>
          <w:lang w:val="en-US" w:eastAsia="zh-CN" w:bidi="ar-SA"/>
        </w:rPr>
      </w:pPr>
      <w:r>
        <w:rPr>
          <w:rFonts w:ascii="仿宋_GB2312" w:hAnsi="仿宋_GB2312" w:eastAsia="仿宋_GB2312" w:cs="仿宋_GB2312"/>
          <w:b/>
          <w:bCs/>
          <w:sz w:val="32"/>
          <w:szCs w:val="32"/>
        </w:rPr>
        <w:t>2.</w:t>
      </w:r>
      <w:r>
        <w:rPr>
          <w:rFonts w:hint="eastAsia" w:ascii="仿宋_GB2312" w:hAnsi="仿宋_GB2312" w:eastAsia="仿宋_GB2312" w:cs="仿宋_GB2312"/>
          <w:b/>
          <w:bCs/>
          <w:color w:val="000000"/>
          <w:kern w:val="0"/>
          <w:sz w:val="32"/>
          <w:szCs w:val="32"/>
          <w:lang w:val="en-US" w:eastAsia="zh-CN"/>
        </w:rPr>
        <w:t>江西守正工程管理有限公司，</w:t>
      </w:r>
      <w:r>
        <w:rPr>
          <w:rFonts w:hint="eastAsia" w:ascii="仿宋_GB2312" w:hAnsi="仿宋_GB2312" w:eastAsia="仿宋_GB2312" w:cs="仿宋_GB2312"/>
          <w:kern w:val="0"/>
          <w:sz w:val="32"/>
          <w:szCs w:val="32"/>
          <w:lang w:val="en-US" w:eastAsia="zh-CN" w:bidi="ar-SA"/>
        </w:rPr>
        <w:t>履行建设工程安全生产管理的监理职责不到位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对施工单位存在的安全管理人员长期不在岗履职未采取相应处理措施；对施工单位违规使用未经验收的升降机、升降机违规运输三轮车未及时发现制止监管不到位；审查施工单位现场安全生产规章制度的建立和实施情况，监管不到位。其行为违反</w:t>
      </w:r>
      <w:r>
        <w:rPr>
          <w:rFonts w:hint="eastAsia" w:ascii="仿宋_GB2312" w:hAnsi="仿宋_GB2312" w:eastAsia="仿宋_GB2312" w:cs="仿宋_GB2312"/>
          <w:sz w:val="32"/>
          <w:szCs w:val="32"/>
        </w:rPr>
        <w:t>《建设工程安全生产管理条例》第十四条</w:t>
      </w:r>
      <w:r>
        <w:rPr>
          <w:rFonts w:hint="eastAsia" w:ascii="仿宋_GB2312" w:hAnsi="仿宋_GB2312" w:eastAsia="仿宋_GB2312" w:cs="仿宋_GB2312"/>
          <w:sz w:val="32"/>
          <w:szCs w:val="32"/>
          <w:lang w:val="en-US" w:eastAsia="zh-CN"/>
        </w:rPr>
        <w:t>第二、三款</w:t>
      </w:r>
      <w:r>
        <w:rPr>
          <w:rStyle w:val="18"/>
          <w:rFonts w:hint="eastAsia" w:ascii="仿宋_GB2312" w:hAnsi="仿宋_GB2312" w:eastAsia="仿宋_GB2312" w:cs="仿宋_GB2312"/>
          <w:sz w:val="32"/>
          <w:szCs w:val="32"/>
          <w:lang w:val="en-US" w:eastAsia="zh-CN"/>
        </w:rPr>
        <w:t>[</w:t>
      </w:r>
      <w:r>
        <w:rPr>
          <w:rStyle w:val="18"/>
          <w:rFonts w:hint="eastAsia" w:ascii="仿宋_GB2312" w:hAnsi="仿宋_GB2312" w:eastAsia="仿宋_GB2312" w:cs="仿宋_GB2312"/>
          <w:sz w:val="32"/>
          <w:szCs w:val="32"/>
          <w:lang w:val="en-US" w:eastAsia="zh-CN"/>
        </w:rPr>
        <w:footnoteReference w:id="27"/>
      </w:r>
      <w:r>
        <w:rPr>
          <w:rStyle w:val="18"/>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建筑起重机械安全监督管理规定</w:t>
      </w:r>
      <w:r>
        <w:rPr>
          <w:rFonts w:hint="eastAsia" w:ascii="仿宋_GB2312" w:hAnsi="仿宋_GB2312" w:eastAsia="仿宋_GB2312" w:cs="仿宋_GB2312"/>
          <w:sz w:val="32"/>
          <w:szCs w:val="32"/>
          <w:lang w:val="en-US" w:eastAsia="zh-CN"/>
        </w:rPr>
        <w:t>》第二十二条第五、六项</w:t>
      </w:r>
      <w:r>
        <w:rPr>
          <w:rStyle w:val="18"/>
          <w:rFonts w:hint="eastAsia" w:ascii="仿宋_GB2312" w:hAnsi="仿宋_GB2312" w:eastAsia="仿宋_GB2312" w:cs="仿宋_GB2312"/>
          <w:sz w:val="32"/>
          <w:szCs w:val="32"/>
          <w:lang w:val="en-US" w:eastAsia="zh-CN"/>
        </w:rPr>
        <w:t>[</w:t>
      </w:r>
      <w:r>
        <w:rPr>
          <w:rStyle w:val="18"/>
          <w:rFonts w:hint="eastAsia" w:ascii="仿宋_GB2312" w:hAnsi="仿宋_GB2312" w:eastAsia="仿宋_GB2312" w:cs="仿宋_GB2312"/>
          <w:sz w:val="32"/>
          <w:szCs w:val="32"/>
          <w:lang w:val="en-US" w:eastAsia="zh-CN"/>
        </w:rPr>
        <w:footnoteReference w:id="28"/>
      </w:r>
      <w:r>
        <w:rPr>
          <w:rStyle w:val="18"/>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val="0"/>
          <w:sz w:val="32"/>
          <w:szCs w:val="32"/>
          <w:lang w:val="en-US" w:eastAsia="zh-CN"/>
        </w:rPr>
        <w:t>《建设工程监理规范》（</w:t>
      </w:r>
      <w:r>
        <w:rPr>
          <w:rFonts w:hint="eastAsia" w:ascii="仿宋_GB2312" w:hAnsi="仿宋_GB2312" w:eastAsia="仿宋_GB2312" w:cs="仿宋_GB2312"/>
          <w:sz w:val="32"/>
          <w:szCs w:val="32"/>
          <w:lang w:val="en-US" w:eastAsia="zh-CN"/>
        </w:rPr>
        <w:t>GB/T50319-2013）第</w:t>
      </w:r>
      <w:r>
        <w:rPr>
          <w:rFonts w:hint="eastAsia" w:ascii="仿宋_GB2312" w:hAnsi="仿宋_GB2312" w:eastAsia="仿宋_GB2312" w:cs="仿宋_GB2312"/>
          <w:b w:val="0"/>
          <w:bCs w:val="0"/>
          <w:sz w:val="32"/>
          <w:szCs w:val="32"/>
          <w:lang w:val="en-US" w:eastAsia="zh-CN"/>
        </w:rPr>
        <w:t>5.5.2，</w:t>
      </w:r>
      <w:r>
        <w:rPr>
          <w:rFonts w:hint="eastAsia" w:ascii="仿宋_GB2312" w:hAnsi="仿宋_GB2312" w:eastAsia="仿宋_GB2312" w:cs="仿宋_GB2312"/>
          <w:b w:val="0"/>
          <w:bCs w:val="0"/>
          <w:color w:val="000000"/>
          <w:kern w:val="0"/>
          <w:sz w:val="32"/>
          <w:szCs w:val="32"/>
          <w:lang w:val="en-US" w:eastAsia="zh-CN" w:bidi="ar-SA"/>
        </w:rPr>
        <w:t>对事故发生负有监理责任。建议由吉州区住建局依据有关法律法规给予行政处罚，并在处罚结束后15日内将处罚结果报至此起事故调查牵头单位（吉州区应急管理局）。</w:t>
      </w:r>
    </w:p>
    <w:p w14:paraId="1C6A1E6A">
      <w:pPr>
        <w:keepNext w:val="0"/>
        <w:keepLines w:val="0"/>
        <w:pageBreakBefore w:val="0"/>
        <w:widowControl/>
        <w:suppressLineNumbers w:val="0"/>
        <w:kinsoku/>
        <w:topLinePunct w:val="0"/>
        <w:autoSpaceDE/>
        <w:autoSpaceDN/>
        <w:bidi w:val="0"/>
        <w:adjustRightInd/>
        <w:snapToGrid/>
        <w:spacing w:line="560" w:lineRule="exact"/>
        <w:ind w:left="0" w:leftChars="0" w:firstLine="643" w:firstLineChars="200"/>
        <w:jc w:val="both"/>
        <w:rPr>
          <w:rFonts w:hint="eastAsia" w:ascii="仿宋_GB2312" w:hAnsi="仿宋_GB2312" w:eastAsia="仿宋_GB2312" w:cs="仿宋_GB2312"/>
          <w:b w:val="0"/>
          <w:bCs w:val="0"/>
          <w:color w:val="000000"/>
          <w:kern w:val="0"/>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3.江西德基新材料有限公司，</w:t>
      </w:r>
      <w:r>
        <w:rPr>
          <w:rFonts w:hint="default" w:ascii="仿宋_GB2312" w:hAnsi="仿宋_GB2312" w:eastAsia="仿宋_GB2312" w:cs="仿宋_GB2312"/>
          <w:b w:val="0"/>
          <w:bCs w:val="0"/>
          <w:color w:val="000000"/>
          <w:kern w:val="0"/>
          <w:sz w:val="32"/>
          <w:szCs w:val="32"/>
          <w:lang w:val="en-US" w:eastAsia="zh-CN" w:bidi="ar-SA"/>
        </w:rPr>
        <w:t>对施工单位、监理单位安全管理措施未督促落实到位</w:t>
      </w:r>
      <w:r>
        <w:rPr>
          <w:rFonts w:hint="eastAsia" w:ascii="仿宋_GB2312" w:hAnsi="仿宋_GB2312" w:eastAsia="仿宋_GB2312" w:cs="仿宋_GB2312"/>
          <w:b w:val="0"/>
          <w:bCs w:val="0"/>
          <w:color w:val="000000"/>
          <w:kern w:val="0"/>
          <w:sz w:val="32"/>
          <w:szCs w:val="32"/>
          <w:lang w:val="en-US" w:eastAsia="zh-CN" w:bidi="ar-SA"/>
        </w:rPr>
        <w:t>，</w:t>
      </w:r>
      <w:r>
        <w:rPr>
          <w:rFonts w:hint="default" w:ascii="仿宋_GB2312" w:hAnsi="仿宋_GB2312" w:eastAsia="仿宋_GB2312" w:cs="仿宋_GB2312"/>
          <w:b w:val="0"/>
          <w:bCs w:val="0"/>
          <w:color w:val="000000"/>
          <w:kern w:val="0"/>
          <w:sz w:val="32"/>
          <w:szCs w:val="32"/>
          <w:lang w:val="en-US" w:eastAsia="zh-CN" w:bidi="ar-SA"/>
        </w:rPr>
        <w:t>对施工单位的违规施工行为未予以制止</w:t>
      </w:r>
      <w:r>
        <w:rPr>
          <w:rFonts w:hint="eastAsia" w:ascii="仿宋_GB2312" w:hAnsi="仿宋_GB2312" w:eastAsia="仿宋_GB2312" w:cs="仿宋_GB2312"/>
          <w:b w:val="0"/>
          <w:bCs w:val="0"/>
          <w:color w:val="000000"/>
          <w:kern w:val="0"/>
          <w:sz w:val="32"/>
          <w:szCs w:val="32"/>
          <w:lang w:val="en-US" w:eastAsia="zh-CN" w:bidi="ar-SA"/>
        </w:rPr>
        <w:t>。建议由吉州区住建局对</w:t>
      </w:r>
      <w:r>
        <w:rPr>
          <w:rFonts w:hint="default" w:ascii="仿宋_GB2312" w:hAnsi="仿宋_GB2312" w:eastAsia="仿宋_GB2312" w:cs="仿宋_GB2312"/>
          <w:b w:val="0"/>
          <w:bCs w:val="0"/>
          <w:color w:val="000000"/>
          <w:kern w:val="0"/>
          <w:sz w:val="32"/>
          <w:szCs w:val="32"/>
          <w:lang w:val="en-US" w:eastAsia="zh-CN" w:bidi="ar-SA"/>
        </w:rPr>
        <w:t>企业负责人及分管项目负责人</w:t>
      </w:r>
      <w:r>
        <w:rPr>
          <w:rFonts w:hint="eastAsia" w:ascii="仿宋_GB2312" w:hAnsi="仿宋_GB2312" w:eastAsia="仿宋_GB2312" w:cs="仿宋_GB2312"/>
          <w:b w:val="0"/>
          <w:bCs w:val="0"/>
          <w:color w:val="000000"/>
          <w:kern w:val="0"/>
          <w:sz w:val="32"/>
          <w:szCs w:val="32"/>
          <w:lang w:val="en-US" w:eastAsia="zh-CN" w:bidi="ar-SA"/>
        </w:rPr>
        <w:t>进行约谈，并在处理结束后15日内将处理结果报至此起事故调查牵头单位（吉州区应急管理局）。</w:t>
      </w:r>
    </w:p>
    <w:p w14:paraId="4F3D4F0F">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黑体" w:hAnsi="黑体" w:eastAsia="黑体" w:cs="黑体"/>
          <w:b/>
          <w:sz w:val="32"/>
          <w:szCs w:val="32"/>
        </w:rPr>
      </w:pPr>
      <w:r>
        <w:rPr>
          <w:rFonts w:hint="eastAsia" w:ascii="黑体" w:hAnsi="黑体" w:eastAsia="黑体" w:cs="黑体"/>
          <w:b/>
          <w:sz w:val="32"/>
          <w:szCs w:val="32"/>
        </w:rPr>
        <w:t>六、事故主要教训</w:t>
      </w:r>
    </w:p>
    <w:p w14:paraId="28CAC1EB">
      <w:pPr>
        <w:keepNext w:val="0"/>
        <w:keepLines w:val="0"/>
        <w:pageBreakBefore w:val="0"/>
        <w:widowControl/>
        <w:suppressLineNumbers w:val="0"/>
        <w:kinsoku/>
        <w:topLinePunct w:val="0"/>
        <w:autoSpaceDE/>
        <w:autoSpaceDN/>
        <w:bidi w:val="0"/>
        <w:adjustRightInd/>
        <w:snapToGrid/>
        <w:spacing w:line="560" w:lineRule="exact"/>
        <w:ind w:left="0" w:leftChars="0" w:firstLine="640" w:firstLineChars="200"/>
        <w:jc w:val="both"/>
        <w:rPr>
          <w:rFonts w:hint="eastAsia" w:ascii="仿宋_GB2312" w:hAnsi="仿宋_GB2312" w:eastAsia="仿宋_GB2312" w:cs="仿宋_GB2312"/>
          <w:b w:val="0"/>
          <w:bCs w:val="0"/>
          <w:color w:val="000000"/>
          <w:kern w:val="0"/>
          <w:sz w:val="32"/>
          <w:szCs w:val="32"/>
          <w:lang w:val="en-US" w:eastAsia="zh-CN" w:bidi="ar-SA"/>
        </w:rPr>
      </w:pPr>
      <w:r>
        <w:rPr>
          <w:rFonts w:hint="eastAsia" w:ascii="仿宋_GB2312" w:hAnsi="仿宋_GB2312" w:eastAsia="仿宋_GB2312" w:cs="仿宋_GB2312"/>
          <w:b w:val="0"/>
          <w:bCs w:val="0"/>
          <w:color w:val="000000"/>
          <w:kern w:val="0"/>
          <w:sz w:val="32"/>
          <w:szCs w:val="32"/>
          <w:lang w:val="en-US" w:eastAsia="zh-CN" w:bidi="ar-SA"/>
        </w:rPr>
        <w:t>金安公司对安全发展理念的贯彻落实不牢固。制度建立及落实不全面，对安全风险的分析研判存在严重缺失，在源头把控上，未能有效识别并控制安全生产设施设备和作业中的潜在危险，导致安全防护措施不足，使作业人员处于风险中。对作业现场疏于管理，对作业现场人员违规作业未及时发现并制止。隐患排查治理落实不到位，对潜在的隐患和风险排查不到位，使得风险没被发现未能及时处理。安全生产规章制度的缺失、对从业人员的安全培训教育不到位等因素，从而最终酿成事故。</w:t>
      </w:r>
    </w:p>
    <w:p w14:paraId="5634C43A">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textAlignment w:val="baseline"/>
        <w:rPr>
          <w:rFonts w:ascii="黑体" w:hAnsi="黑体" w:eastAsia="黑体" w:cs="黑体"/>
          <w:b/>
          <w:sz w:val="32"/>
          <w:szCs w:val="32"/>
        </w:rPr>
      </w:pPr>
      <w:r>
        <w:rPr>
          <w:rFonts w:hint="eastAsia" w:ascii="黑体" w:hAnsi="黑体" w:eastAsia="黑体" w:cs="黑体"/>
          <w:b/>
          <w:sz w:val="32"/>
          <w:szCs w:val="32"/>
        </w:rPr>
        <w:t>七、事故整改和防范措施</w:t>
      </w:r>
    </w:p>
    <w:p w14:paraId="012584C1">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baseline"/>
        <w:rPr>
          <w:rFonts w:ascii="仿宋_GB2312" w:hAnsi="仿宋_GB2312" w:eastAsia="仿宋_GB2312" w:cs="仿宋_GB2312"/>
          <w:color w:val="000000"/>
          <w:kern w:val="0"/>
          <w:sz w:val="32"/>
          <w:szCs w:val="32"/>
        </w:rPr>
      </w:pPr>
      <w:r>
        <w:rPr>
          <w:rFonts w:ascii="仿宋_GB2312" w:hAnsi="仿宋_GB2312" w:eastAsia="仿宋_GB2312" w:cs="仿宋_GB2312"/>
          <w:color w:val="000000"/>
          <w:kern w:val="0"/>
          <w:sz w:val="32"/>
          <w:szCs w:val="32"/>
        </w:rPr>
        <w:t>针对这起事故暴露出的问题，为深刻吸取事故教训，进一步强化安全生产，有效防范类似事故重复发生，提出如下建议措施：</w:t>
      </w:r>
    </w:p>
    <w:p w14:paraId="51DFB647">
      <w:pPr>
        <w:pStyle w:val="6"/>
        <w:keepNext w:val="0"/>
        <w:keepLines w:val="0"/>
        <w:pageBreakBefore w:val="0"/>
        <w:widowControl w:val="0"/>
        <w:kinsoku/>
        <w:wordWrap/>
        <w:overflowPunct/>
        <w:topLinePunct w:val="0"/>
        <w:autoSpaceDE/>
        <w:autoSpaceDN/>
        <w:bidi w:val="0"/>
        <w:adjustRightInd/>
        <w:snapToGrid/>
        <w:spacing w:line="550" w:lineRule="exact"/>
        <w:ind w:left="0" w:leftChars="0" w:firstLine="643" w:firstLineChars="200"/>
        <w:jc w:val="both"/>
        <w:rPr>
          <w:rFonts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1.</w:t>
      </w:r>
      <w:r>
        <w:rPr>
          <w:rFonts w:hint="eastAsia" w:ascii="仿宋_GB2312" w:hAnsi="仿宋_GB2312" w:eastAsia="仿宋_GB2312" w:cs="仿宋_GB2312"/>
          <w:b/>
          <w:bCs/>
          <w:color w:val="000000"/>
          <w:kern w:val="0"/>
          <w:sz w:val="32"/>
          <w:szCs w:val="32"/>
          <w:lang w:val="en-US" w:eastAsia="zh-CN"/>
        </w:rPr>
        <w:t>江西金安建筑工程有限公司</w:t>
      </w:r>
      <w:r>
        <w:rPr>
          <w:rFonts w:ascii="仿宋_GB2312" w:hAnsi="仿宋_GB2312" w:eastAsia="仿宋_GB2312" w:cs="仿宋_GB2312"/>
          <w:b/>
          <w:sz w:val="32"/>
          <w:szCs w:val="32"/>
        </w:rPr>
        <w:t>，</w:t>
      </w:r>
      <w:r>
        <w:rPr>
          <w:rFonts w:ascii="仿宋_GB2312" w:hAnsi="仿宋_GB2312" w:eastAsia="仿宋_GB2312" w:cs="仿宋_GB2312"/>
          <w:sz w:val="32"/>
          <w:szCs w:val="32"/>
        </w:rPr>
        <w:t>一要严格落实企业安全生产主体责任。要深刻吸取“</w:t>
      </w:r>
      <w:r>
        <w:rPr>
          <w:rFonts w:hint="eastAsia" w:ascii="仿宋_GB2312" w:hAnsi="仿宋_GB2312" w:eastAsia="仿宋_GB2312" w:cs="仿宋_GB2312"/>
          <w:sz w:val="32"/>
          <w:szCs w:val="32"/>
          <w:lang w:val="en-US" w:eastAsia="zh-CN"/>
        </w:rPr>
        <w:t>9</w:t>
      </w:r>
      <w:r>
        <w:rPr>
          <w:rFonts w:ascii="仿宋_GB2312" w:hAnsi="仿宋_GB2312" w:eastAsia="仿宋_GB2312" w:cs="仿宋_GB2312"/>
          <w:sz w:val="32"/>
          <w:szCs w:val="32"/>
        </w:rPr>
        <w:t>·2”事故教训，进一步贯彻落实《</w:t>
      </w:r>
      <w:r>
        <w:rPr>
          <w:rFonts w:hint="eastAsia" w:ascii="仿宋_GB2312" w:hAnsi="仿宋_GB2312" w:eastAsia="仿宋_GB2312" w:cs="仿宋_GB2312"/>
          <w:sz w:val="32"/>
          <w:szCs w:val="32"/>
          <w:lang w:eastAsia="zh-CN"/>
        </w:rPr>
        <w:t>中华人民共和国安全生产法</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中华人民共和国建筑法</w:t>
      </w:r>
      <w:r>
        <w:rPr>
          <w:rFonts w:ascii="仿宋_GB2312" w:hAnsi="仿宋_GB2312" w:eastAsia="仿宋_GB2312" w:cs="仿宋_GB2312"/>
          <w:sz w:val="32"/>
          <w:szCs w:val="32"/>
        </w:rPr>
        <w:t>》等相关的法律法规，落实企业安全生产责任制，建立健全安全生产规章制度，把安全生产各项工作真正落实到位，打牢安全管理基础。依法认真履行有关安全职责，承担相应的法定责任。加强安全生产管理，严格执行安全生产规章制度和操作规程，确保各项安全防范措施落到实处。</w:t>
      </w:r>
    </w:p>
    <w:p w14:paraId="7202D446">
      <w:pPr>
        <w:pStyle w:val="6"/>
        <w:keepNext w:val="0"/>
        <w:keepLines w:val="0"/>
        <w:pageBreakBefore w:val="0"/>
        <w:widowControl w:val="0"/>
        <w:kinsoku/>
        <w:wordWrap/>
        <w:overflowPunct/>
        <w:topLinePunct w:val="0"/>
        <w:autoSpaceDE/>
        <w:autoSpaceDN/>
        <w:bidi w:val="0"/>
        <w:adjustRightInd/>
        <w:snapToGrid/>
        <w:spacing w:line="550" w:lineRule="exact"/>
        <w:ind w:left="0" w:leftChars="0" w:firstLine="640" w:firstLineChars="200"/>
        <w:jc w:val="both"/>
        <w:rPr>
          <w:rFonts w:ascii="仿宋_GB2312" w:hAnsi="仿宋_GB2312" w:eastAsia="仿宋_GB2312" w:cs="仿宋_GB2312"/>
          <w:sz w:val="32"/>
          <w:szCs w:val="32"/>
        </w:rPr>
      </w:pPr>
      <w:r>
        <w:rPr>
          <w:rFonts w:ascii="仿宋_GB2312" w:hAnsi="仿宋_GB2312" w:eastAsia="仿宋_GB2312" w:cs="仿宋_GB2312"/>
          <w:sz w:val="32"/>
          <w:szCs w:val="32"/>
        </w:rPr>
        <w:t>二要强化教育培训和施工现场管理。进一步加强从业人员的安全教育培训，外来施工人员进入施工现场前，必须进行安全教育培训，确保从业人员熟悉施工现场存在的各类安全风险，掌握必备的安全生产知识。</w:t>
      </w:r>
      <w:r>
        <w:rPr>
          <w:rFonts w:hint="eastAsia" w:ascii="仿宋_GB2312" w:hAnsi="仿宋_GB2312" w:eastAsia="仿宋_GB2312" w:cs="仿宋_GB2312"/>
          <w:sz w:val="32"/>
          <w:szCs w:val="32"/>
          <w:lang w:val="en-US" w:eastAsia="zh-CN"/>
        </w:rPr>
        <w:t>强化施工起重机械的使用管理，及时组织相关责任单位对起重机械进行验收和办理使用登记，并对起重机械操作人员</w:t>
      </w:r>
      <w:r>
        <w:rPr>
          <w:rFonts w:ascii="仿宋_GB2312" w:hAnsi="仿宋_GB2312" w:eastAsia="仿宋_GB2312" w:cs="仿宋_GB2312"/>
          <w:sz w:val="32"/>
          <w:szCs w:val="32"/>
        </w:rPr>
        <w:t>严格落实安全技术交底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加强对施工现场电动运输车辆的使用管理，严禁电动运输车辆驶入施工升降机、施工楼层或地下室。在日常管理中要加强对起重机械和电动运输车辆使用的检查，杜绝违规使用起重机械的行为，对发现的安全隐患及时消除，</w:t>
      </w:r>
      <w:r>
        <w:rPr>
          <w:rFonts w:ascii="仿宋_GB2312" w:hAnsi="仿宋_GB2312" w:eastAsia="仿宋_GB2312" w:cs="仿宋_GB2312"/>
          <w:sz w:val="32"/>
          <w:szCs w:val="32"/>
        </w:rPr>
        <w:t>确保安全施工。</w:t>
      </w:r>
    </w:p>
    <w:p w14:paraId="7FC2A04B">
      <w:pPr>
        <w:pStyle w:val="4"/>
        <w:keepNext w:val="0"/>
        <w:keepLines w:val="0"/>
        <w:pageBreakBefore w:val="0"/>
        <w:widowControl w:val="0"/>
        <w:kinsoku/>
        <w:wordWrap/>
        <w:overflowPunct/>
        <w:topLinePunct w:val="0"/>
        <w:autoSpaceDE/>
        <w:autoSpaceDN/>
        <w:bidi w:val="0"/>
        <w:adjustRightInd/>
        <w:snapToGrid/>
        <w:spacing w:line="550" w:lineRule="exact"/>
        <w:ind w:left="0" w:leftChars="0" w:firstLine="640" w:firstLineChars="200"/>
        <w:jc w:val="both"/>
        <w:rPr>
          <w:rFonts w:eastAsia="仿宋_GB2312"/>
          <w:lang w:val="en-US" w:eastAsia="zh-CN"/>
        </w:rPr>
      </w:pPr>
      <w:r>
        <w:rPr>
          <w:rFonts w:ascii="仿宋_GB2312" w:hAnsi="仿宋_GB2312" w:eastAsia="仿宋_GB2312" w:cs="仿宋_GB2312"/>
          <w:sz w:val="32"/>
          <w:szCs w:val="32"/>
          <w:lang w:val="en-US" w:eastAsia="zh-CN"/>
        </w:rPr>
        <w:t>三要加强对项目部人员的管理。严格执行考勤</w:t>
      </w:r>
      <w:r>
        <w:rPr>
          <w:rFonts w:hint="eastAsia" w:ascii="仿宋_GB2312" w:hAnsi="仿宋_GB2312" w:eastAsia="仿宋_GB2312" w:cs="仿宋_GB2312"/>
          <w:sz w:val="32"/>
          <w:szCs w:val="32"/>
          <w:lang w:val="en-US" w:eastAsia="zh-CN"/>
        </w:rPr>
        <w:t>及请销假</w:t>
      </w:r>
      <w:r>
        <w:rPr>
          <w:rFonts w:ascii="仿宋_GB2312" w:hAnsi="仿宋_GB2312" w:eastAsia="仿宋_GB2312" w:cs="仿宋_GB2312"/>
          <w:sz w:val="32"/>
          <w:szCs w:val="32"/>
          <w:lang w:val="en-US" w:eastAsia="zh-CN"/>
        </w:rPr>
        <w:t>制度，总结事故教训，组织人员学习，全面开展安全隐患排查</w:t>
      </w:r>
      <w:r>
        <w:rPr>
          <w:rFonts w:ascii="仿宋_GB2312" w:hAnsi="仿宋_GB2312" w:eastAsia="仿宋_GB2312" w:cs="仿宋_GB2312"/>
          <w:sz w:val="32"/>
          <w:szCs w:val="32"/>
        </w:rPr>
        <w:t>，杜绝类似事故再次发生</w:t>
      </w:r>
      <w:r>
        <w:rPr>
          <w:rFonts w:ascii="仿宋_GB2312" w:hAnsi="仿宋_GB2312" w:eastAsia="仿宋_GB2312" w:cs="仿宋_GB2312"/>
          <w:sz w:val="32"/>
          <w:szCs w:val="32"/>
          <w:lang w:eastAsia="zh-CN"/>
        </w:rPr>
        <w:t>。</w:t>
      </w:r>
    </w:p>
    <w:p w14:paraId="03843D6C">
      <w:pPr>
        <w:pStyle w:val="6"/>
        <w:keepNext w:val="0"/>
        <w:keepLines w:val="0"/>
        <w:pageBreakBefore w:val="0"/>
        <w:widowControl w:val="0"/>
        <w:kinsoku/>
        <w:wordWrap/>
        <w:overflowPunct/>
        <w:topLinePunct w:val="0"/>
        <w:autoSpaceDE/>
        <w:autoSpaceDN/>
        <w:bidi w:val="0"/>
        <w:adjustRightInd/>
        <w:snapToGrid/>
        <w:spacing w:line="550" w:lineRule="exact"/>
        <w:ind w:left="0" w:leftChars="0" w:firstLine="643" w:firstLineChars="20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2.</w:t>
      </w:r>
      <w:r>
        <w:rPr>
          <w:rFonts w:hint="eastAsia" w:ascii="仿宋_GB2312" w:hAnsi="仿宋_GB2312" w:eastAsia="仿宋_GB2312" w:cs="仿宋_GB2312"/>
          <w:b/>
          <w:bCs/>
          <w:color w:val="000000"/>
          <w:kern w:val="0"/>
          <w:sz w:val="32"/>
          <w:szCs w:val="32"/>
          <w:lang w:val="en-US" w:eastAsia="zh-CN"/>
        </w:rPr>
        <w:t>江西守正工程管理有限公司</w:t>
      </w:r>
      <w:r>
        <w:rPr>
          <w:rFonts w:ascii="仿宋_GB2312" w:hAnsi="仿宋_GB2312" w:eastAsia="仿宋_GB2312" w:cs="仿宋_GB2312"/>
          <w:b/>
          <w:bCs/>
          <w:color w:val="000000"/>
          <w:kern w:val="0"/>
          <w:sz w:val="32"/>
          <w:szCs w:val="32"/>
        </w:rPr>
        <w:t>，</w:t>
      </w:r>
      <w:r>
        <w:rPr>
          <w:rFonts w:ascii="仿宋_GB2312" w:hAnsi="仿宋_GB2312" w:eastAsia="仿宋_GB2312" w:cs="仿宋_GB2312"/>
          <w:sz w:val="32"/>
          <w:szCs w:val="32"/>
        </w:rPr>
        <w:t>要认真履行安全生产管理监理职责,</w:t>
      </w:r>
      <w:r>
        <w:rPr>
          <w:rFonts w:ascii="仿宋_GB2312" w:hAnsi="仿宋_GB2312" w:eastAsia="仿宋_GB2312" w:cs="仿宋_GB2312"/>
          <w:color w:val="000000"/>
          <w:kern w:val="0"/>
          <w:sz w:val="32"/>
          <w:szCs w:val="32"/>
        </w:rPr>
        <w:t>严格按照有关法律法规、工程强制性标准和《监理合同》《监理实施细则》等规定实施监理，认真督促施工单位落实各项安全管理制度，及时发现存在安全事故隐患并要求施工单位及时整改，</w:t>
      </w:r>
      <w:r>
        <w:rPr>
          <w:rFonts w:ascii="仿宋_GB2312" w:hAnsi="仿宋_GB2312" w:eastAsia="仿宋_GB2312" w:cs="仿宋_GB2312"/>
          <w:color w:val="000000"/>
          <w:kern w:val="0"/>
          <w:sz w:val="32"/>
          <w:szCs w:val="32"/>
          <w:lang w:val="en-US" w:eastAsia="zh-CN"/>
        </w:rPr>
        <w:t>加强对</w:t>
      </w:r>
      <w:r>
        <w:rPr>
          <w:rFonts w:hint="eastAsia" w:ascii="仿宋_GB2312" w:hAnsi="仿宋_GB2312" w:eastAsia="仿宋_GB2312" w:cs="仿宋_GB2312"/>
          <w:color w:val="000000"/>
          <w:kern w:val="0"/>
          <w:sz w:val="32"/>
          <w:szCs w:val="32"/>
          <w:lang w:val="en-US" w:eastAsia="zh-CN"/>
        </w:rPr>
        <w:t>施工单位</w:t>
      </w:r>
      <w:r>
        <w:rPr>
          <w:rFonts w:ascii="仿宋_GB2312" w:hAnsi="仿宋_GB2312" w:eastAsia="仿宋_GB2312" w:cs="仿宋_GB2312"/>
          <w:color w:val="000000"/>
          <w:kern w:val="0"/>
          <w:sz w:val="32"/>
          <w:szCs w:val="32"/>
          <w:lang w:val="en-US" w:eastAsia="zh-CN"/>
        </w:rPr>
        <w:t>人员在岗履职监管</w:t>
      </w:r>
      <w:r>
        <w:rPr>
          <w:rFonts w:hint="eastAsia" w:ascii="仿宋_GB2312" w:hAnsi="仿宋_GB2312" w:eastAsia="仿宋_GB2312" w:cs="仿宋_GB2312"/>
          <w:color w:val="000000"/>
          <w:kern w:val="0"/>
          <w:sz w:val="32"/>
          <w:szCs w:val="32"/>
          <w:lang w:val="en-US" w:eastAsia="zh-CN"/>
        </w:rPr>
        <w:t>，</w:t>
      </w:r>
      <w:r>
        <w:rPr>
          <w:rFonts w:ascii="仿宋_GB2312" w:hAnsi="仿宋_GB2312" w:eastAsia="仿宋_GB2312" w:cs="仿宋_GB2312"/>
          <w:color w:val="000000"/>
          <w:kern w:val="0"/>
          <w:sz w:val="32"/>
          <w:szCs w:val="32"/>
        </w:rPr>
        <w:t>切实履行安全生产管理监理责任</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加强对施工现场特种设备的使用监管。</w:t>
      </w:r>
      <w:r>
        <w:rPr>
          <w:rFonts w:ascii="仿宋_GB2312" w:hAnsi="仿宋_GB2312" w:eastAsia="仿宋_GB2312" w:cs="仿宋_GB2312"/>
          <w:color w:val="000000"/>
          <w:kern w:val="0"/>
          <w:sz w:val="32"/>
          <w:szCs w:val="32"/>
          <w:lang w:val="en-US" w:eastAsia="zh-CN"/>
        </w:rPr>
        <w:t>分析事故发生的原因，开展全面的安全检查，从而找出监理工作中存在的不足吸取事故教训，</w:t>
      </w:r>
      <w:r>
        <w:rPr>
          <w:rFonts w:ascii="仿宋_GB2312" w:hAnsi="仿宋_GB2312" w:eastAsia="仿宋_GB2312" w:cs="仿宋_GB2312"/>
          <w:sz w:val="32"/>
          <w:szCs w:val="32"/>
        </w:rPr>
        <w:t>杜绝类似事故再次发生</w:t>
      </w:r>
      <w:r>
        <w:rPr>
          <w:rFonts w:ascii="仿宋_GB2312" w:hAnsi="仿宋_GB2312" w:eastAsia="仿宋_GB2312" w:cs="仿宋_GB2312"/>
          <w:sz w:val="32"/>
          <w:szCs w:val="32"/>
          <w:lang w:eastAsia="zh-CN"/>
        </w:rPr>
        <w:t>。</w:t>
      </w:r>
    </w:p>
    <w:p w14:paraId="0656B3D5">
      <w:pPr>
        <w:pStyle w:val="6"/>
        <w:keepNext w:val="0"/>
        <w:keepLines w:val="0"/>
        <w:pageBreakBefore w:val="0"/>
        <w:widowControl w:val="0"/>
        <w:kinsoku/>
        <w:wordWrap/>
        <w:overflowPunct/>
        <w:topLinePunct w:val="0"/>
        <w:autoSpaceDE/>
        <w:autoSpaceDN/>
        <w:bidi w:val="0"/>
        <w:adjustRightInd/>
        <w:snapToGrid/>
        <w:spacing w:line="550" w:lineRule="exact"/>
        <w:ind w:left="0" w:leftChars="0" w:firstLine="643" w:firstLineChars="200"/>
        <w:jc w:val="both"/>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b/>
          <w:bCs/>
          <w:color w:val="000000"/>
          <w:kern w:val="0"/>
          <w:sz w:val="32"/>
          <w:szCs w:val="32"/>
          <w:lang w:val="en-US" w:eastAsia="zh-CN"/>
        </w:rPr>
        <w:t>3</w:t>
      </w:r>
      <w:r>
        <w:rPr>
          <w:rFonts w:hint="eastAsia" w:ascii="仿宋_GB2312" w:hAnsi="仿宋_GB2312" w:eastAsia="仿宋_GB2312" w:cs="仿宋_GB2312"/>
          <w:b/>
          <w:bCs/>
          <w:color w:val="000000"/>
          <w:kern w:val="0"/>
          <w:sz w:val="32"/>
          <w:szCs w:val="32"/>
          <w:lang w:eastAsia="zh-CN"/>
        </w:rPr>
        <w:t>.</w:t>
      </w:r>
      <w:r>
        <w:rPr>
          <w:rFonts w:hint="eastAsia" w:ascii="仿宋_GB2312" w:hAnsi="仿宋_GB2312" w:eastAsia="仿宋_GB2312" w:cs="仿宋_GB2312"/>
          <w:b/>
          <w:bCs/>
          <w:color w:val="auto"/>
          <w:kern w:val="2"/>
          <w:sz w:val="32"/>
          <w:szCs w:val="32"/>
          <w:lang w:val="en-US" w:eastAsia="zh-CN" w:bidi="ar-SA"/>
        </w:rPr>
        <w:t>江西德基新材料有限公司</w:t>
      </w:r>
      <w:r>
        <w:rPr>
          <w:rFonts w:hint="eastAsia" w:ascii="仿宋_GB2312" w:hAnsi="仿宋_GB2312" w:eastAsia="仿宋_GB2312" w:cs="仿宋_GB2312"/>
          <w:color w:val="000000"/>
          <w:kern w:val="0"/>
          <w:sz w:val="32"/>
          <w:szCs w:val="32"/>
          <w:lang w:val="en-US" w:eastAsia="zh-CN"/>
        </w:rPr>
        <w:t>，</w:t>
      </w:r>
      <w:r>
        <w:rPr>
          <w:rFonts w:hint="default" w:ascii="仿宋_GB2312" w:hAnsi="仿宋_GB2312" w:eastAsia="仿宋_GB2312" w:cs="仿宋_GB2312"/>
          <w:color w:val="000000"/>
          <w:kern w:val="0"/>
          <w:sz w:val="32"/>
          <w:szCs w:val="32"/>
          <w:lang w:val="en-US" w:eastAsia="zh-CN"/>
        </w:rPr>
        <w:t>加强对参建单位的督促与协调</w:t>
      </w:r>
      <w:r>
        <w:rPr>
          <w:rFonts w:hint="eastAsia" w:ascii="仿宋_GB2312" w:hAnsi="仿宋_GB2312" w:eastAsia="仿宋_GB2312" w:cs="仿宋_GB2312"/>
          <w:color w:val="000000"/>
          <w:kern w:val="0"/>
          <w:sz w:val="32"/>
          <w:szCs w:val="32"/>
          <w:lang w:val="en-US" w:eastAsia="zh-CN"/>
        </w:rPr>
        <w:t>，</w:t>
      </w:r>
      <w:r>
        <w:rPr>
          <w:rFonts w:hint="default" w:ascii="仿宋_GB2312" w:hAnsi="仿宋_GB2312" w:eastAsia="仿宋_GB2312" w:cs="仿宋_GB2312"/>
          <w:color w:val="000000"/>
          <w:kern w:val="0"/>
          <w:sz w:val="32"/>
          <w:szCs w:val="32"/>
          <w:lang w:val="en-US" w:eastAsia="zh-CN"/>
        </w:rPr>
        <w:t>召集项目各参建单位主要负责人，通报本次</w:t>
      </w:r>
      <w:r>
        <w:rPr>
          <w:rFonts w:hint="eastAsia" w:ascii="仿宋_GB2312" w:hAnsi="仿宋_GB2312" w:eastAsia="仿宋_GB2312" w:cs="仿宋_GB2312"/>
          <w:color w:val="000000"/>
          <w:kern w:val="0"/>
          <w:sz w:val="32"/>
          <w:szCs w:val="32"/>
          <w:lang w:val="en-US" w:eastAsia="zh-CN"/>
        </w:rPr>
        <w:t>事故存在</w:t>
      </w:r>
      <w:r>
        <w:rPr>
          <w:rFonts w:hint="default" w:ascii="仿宋_GB2312" w:hAnsi="仿宋_GB2312" w:eastAsia="仿宋_GB2312" w:cs="仿宋_GB2312"/>
          <w:color w:val="000000"/>
          <w:kern w:val="0"/>
          <w:sz w:val="32"/>
          <w:szCs w:val="32"/>
          <w:lang w:val="en-US" w:eastAsia="zh-CN"/>
        </w:rPr>
        <w:t>的问题，重申建设单位的安全管理要求，督促各参建单位严格履行合同约定的安全责任。</w:t>
      </w:r>
    </w:p>
    <w:p w14:paraId="458EFBA2">
      <w:pPr>
        <w:pStyle w:val="6"/>
        <w:keepNext w:val="0"/>
        <w:keepLines w:val="0"/>
        <w:pageBreakBefore w:val="0"/>
        <w:widowControl w:val="0"/>
        <w:kinsoku/>
        <w:wordWrap/>
        <w:overflowPunct/>
        <w:topLinePunct w:val="0"/>
        <w:autoSpaceDE/>
        <w:autoSpaceDN/>
        <w:bidi w:val="0"/>
        <w:adjustRightInd/>
        <w:snapToGrid/>
        <w:spacing w:line="550" w:lineRule="exact"/>
        <w:ind w:left="0" w:leftChars="0" w:firstLine="640" w:firstLineChars="200"/>
        <w:jc w:val="both"/>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定期</w:t>
      </w:r>
      <w:r>
        <w:rPr>
          <w:rFonts w:hint="default" w:ascii="仿宋_GB2312" w:hAnsi="仿宋_GB2312" w:eastAsia="仿宋_GB2312" w:cs="仿宋_GB2312"/>
          <w:color w:val="000000"/>
          <w:kern w:val="0"/>
          <w:sz w:val="32"/>
          <w:szCs w:val="32"/>
          <w:lang w:val="en-US" w:eastAsia="zh-CN"/>
        </w:rPr>
        <w:t>组织</w:t>
      </w:r>
      <w:r>
        <w:rPr>
          <w:rFonts w:hint="eastAsia" w:ascii="仿宋_GB2312" w:hAnsi="仿宋_GB2312" w:eastAsia="仿宋_GB2312" w:cs="仿宋_GB2312"/>
          <w:color w:val="000000"/>
          <w:kern w:val="0"/>
          <w:sz w:val="32"/>
          <w:szCs w:val="32"/>
          <w:lang w:val="en-US" w:eastAsia="zh-CN"/>
        </w:rPr>
        <w:t>各参建单位对</w:t>
      </w:r>
      <w:r>
        <w:rPr>
          <w:rFonts w:hint="default" w:ascii="仿宋_GB2312" w:hAnsi="仿宋_GB2312" w:eastAsia="仿宋_GB2312" w:cs="仿宋_GB2312"/>
          <w:color w:val="000000"/>
          <w:kern w:val="0"/>
          <w:sz w:val="32"/>
          <w:szCs w:val="32"/>
          <w:lang w:val="en-US" w:eastAsia="zh-CN"/>
        </w:rPr>
        <w:t>施工现场安全生产</w:t>
      </w:r>
      <w:r>
        <w:rPr>
          <w:rFonts w:hint="eastAsia" w:ascii="仿宋_GB2312" w:hAnsi="仿宋_GB2312" w:eastAsia="仿宋_GB2312" w:cs="仿宋_GB2312"/>
          <w:color w:val="000000"/>
          <w:kern w:val="0"/>
          <w:sz w:val="32"/>
          <w:szCs w:val="32"/>
          <w:lang w:val="en-US" w:eastAsia="zh-CN"/>
        </w:rPr>
        <w:t>开展</w:t>
      </w:r>
      <w:r>
        <w:rPr>
          <w:rFonts w:hint="default" w:ascii="仿宋_GB2312" w:hAnsi="仿宋_GB2312" w:eastAsia="仿宋_GB2312" w:cs="仿宋_GB2312"/>
          <w:color w:val="000000"/>
          <w:kern w:val="0"/>
          <w:sz w:val="32"/>
          <w:szCs w:val="32"/>
          <w:lang w:val="en-US" w:eastAsia="zh-CN"/>
        </w:rPr>
        <w:t>联合大检查，对检查中发现的问题，建立台账，明确整改责任单位和时限，并跟踪验证整改效果。</w:t>
      </w:r>
    </w:p>
    <w:p w14:paraId="0455B744">
      <w:pPr>
        <w:pStyle w:val="6"/>
        <w:keepNext w:val="0"/>
        <w:keepLines w:val="0"/>
        <w:pageBreakBefore w:val="0"/>
        <w:widowControl w:val="0"/>
        <w:kinsoku/>
        <w:wordWrap/>
        <w:overflowPunct/>
        <w:topLinePunct w:val="0"/>
        <w:autoSpaceDE/>
        <w:autoSpaceDN/>
        <w:bidi w:val="0"/>
        <w:adjustRightInd/>
        <w:snapToGrid/>
        <w:spacing w:line="550" w:lineRule="exact"/>
        <w:ind w:left="0" w:leftChars="0" w:firstLine="640" w:firstLineChars="200"/>
        <w:jc w:val="both"/>
        <w:rPr>
          <w:rFonts w:hint="eastAsia" w:ascii="仿宋_GB2312" w:hAnsi="仿宋_GB2312" w:eastAsia="仿宋_GB2312" w:cs="仿宋_GB2312"/>
          <w:color w:val="000000"/>
          <w:kern w:val="0"/>
          <w:sz w:val="32"/>
          <w:szCs w:val="32"/>
          <w:lang w:val="en-US" w:eastAsia="zh-CN"/>
        </w:rPr>
      </w:pPr>
      <w:r>
        <w:rPr>
          <w:rFonts w:hint="default" w:ascii="仿宋_GB2312" w:hAnsi="仿宋_GB2312" w:eastAsia="仿宋_GB2312" w:cs="仿宋_GB2312"/>
          <w:color w:val="000000"/>
          <w:kern w:val="0"/>
          <w:sz w:val="32"/>
          <w:szCs w:val="32"/>
          <w:lang w:val="en-US" w:eastAsia="zh-CN"/>
        </w:rPr>
        <w:t>强化监理作用</w:t>
      </w:r>
      <w:r>
        <w:rPr>
          <w:rFonts w:hint="eastAsia" w:ascii="仿宋_GB2312" w:hAnsi="仿宋_GB2312" w:eastAsia="仿宋_GB2312" w:cs="仿宋_GB2312"/>
          <w:color w:val="000000"/>
          <w:kern w:val="0"/>
          <w:sz w:val="32"/>
          <w:szCs w:val="32"/>
          <w:lang w:val="en-US" w:eastAsia="zh-CN"/>
        </w:rPr>
        <w:t>，</w:t>
      </w:r>
      <w:r>
        <w:rPr>
          <w:rFonts w:hint="default" w:ascii="仿宋_GB2312" w:hAnsi="仿宋_GB2312" w:eastAsia="仿宋_GB2312" w:cs="仿宋_GB2312"/>
          <w:color w:val="000000"/>
          <w:kern w:val="0"/>
          <w:sz w:val="32"/>
          <w:szCs w:val="32"/>
          <w:lang w:val="en-US" w:eastAsia="zh-CN"/>
        </w:rPr>
        <w:t>明确要求监理单位严格按照法律和合同约定，履行安全监理职责。定期检查监理单位的监理规划、实施细则、安全巡视记录、通知单等资料，确保其监督到位。</w:t>
      </w:r>
    </w:p>
    <w:p w14:paraId="4FE78CD3">
      <w:pPr>
        <w:pStyle w:val="6"/>
        <w:keepNext w:val="0"/>
        <w:keepLines w:val="0"/>
        <w:pageBreakBefore w:val="0"/>
        <w:widowControl w:val="0"/>
        <w:kinsoku/>
        <w:wordWrap/>
        <w:overflowPunct/>
        <w:topLinePunct w:val="0"/>
        <w:autoSpaceDE/>
        <w:autoSpaceDN/>
        <w:bidi w:val="0"/>
        <w:adjustRightInd/>
        <w:snapToGrid/>
        <w:spacing w:line="550" w:lineRule="exact"/>
        <w:ind w:left="0" w:leftChars="0" w:firstLine="640" w:firstLineChars="200"/>
        <w:jc w:val="both"/>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加强对</w:t>
      </w:r>
      <w:r>
        <w:rPr>
          <w:rFonts w:hint="default" w:ascii="仿宋_GB2312" w:hAnsi="仿宋_GB2312" w:eastAsia="仿宋_GB2312" w:cs="仿宋_GB2312"/>
          <w:color w:val="000000"/>
          <w:kern w:val="0"/>
          <w:sz w:val="32"/>
          <w:szCs w:val="32"/>
          <w:lang w:val="en-US" w:eastAsia="zh-CN"/>
        </w:rPr>
        <w:t>项目关键岗位人员管理</w:t>
      </w:r>
      <w:r>
        <w:rPr>
          <w:rFonts w:hint="eastAsia" w:ascii="仿宋_GB2312" w:hAnsi="仿宋_GB2312" w:eastAsia="仿宋_GB2312" w:cs="仿宋_GB2312"/>
          <w:color w:val="000000"/>
          <w:kern w:val="0"/>
          <w:sz w:val="32"/>
          <w:szCs w:val="32"/>
          <w:lang w:val="en-US" w:eastAsia="zh-CN"/>
        </w:rPr>
        <w:t>，</w:t>
      </w:r>
      <w:r>
        <w:rPr>
          <w:rFonts w:hint="default" w:ascii="仿宋_GB2312" w:hAnsi="仿宋_GB2312" w:eastAsia="仿宋_GB2312" w:cs="仿宋_GB2312"/>
          <w:color w:val="000000"/>
          <w:kern w:val="0"/>
          <w:sz w:val="32"/>
          <w:szCs w:val="32"/>
          <w:lang w:val="en-US" w:eastAsia="zh-CN"/>
        </w:rPr>
        <w:t>对项目所有关键岗位人员（特别是施工单位的安全员、项目经理等）</w:t>
      </w:r>
      <w:r>
        <w:rPr>
          <w:rFonts w:hint="eastAsia" w:ascii="仿宋_GB2312" w:hAnsi="仿宋_GB2312" w:eastAsia="仿宋_GB2312" w:cs="仿宋_GB2312"/>
          <w:color w:val="000000"/>
          <w:kern w:val="0"/>
          <w:sz w:val="32"/>
          <w:szCs w:val="32"/>
          <w:lang w:val="en-US" w:eastAsia="zh-CN"/>
        </w:rPr>
        <w:t>不定期抽查</w:t>
      </w:r>
      <w:r>
        <w:rPr>
          <w:rFonts w:hint="default" w:ascii="仿宋_GB2312" w:hAnsi="仿宋_GB2312" w:eastAsia="仿宋_GB2312" w:cs="仿宋_GB2312"/>
          <w:color w:val="000000"/>
          <w:kern w:val="0"/>
          <w:sz w:val="32"/>
          <w:szCs w:val="32"/>
          <w:lang w:val="en-US" w:eastAsia="zh-CN"/>
        </w:rPr>
        <w:t>考勤记录、工作日志等</w:t>
      </w:r>
      <w:r>
        <w:rPr>
          <w:rFonts w:hint="eastAsia" w:ascii="仿宋_GB2312" w:hAnsi="仿宋_GB2312" w:eastAsia="仿宋_GB2312" w:cs="仿宋_GB2312"/>
          <w:color w:val="000000"/>
          <w:kern w:val="0"/>
          <w:sz w:val="32"/>
          <w:szCs w:val="32"/>
          <w:lang w:val="en-US" w:eastAsia="zh-CN"/>
        </w:rPr>
        <w:t>工作开展情况，</w:t>
      </w:r>
      <w:r>
        <w:rPr>
          <w:rFonts w:hint="default" w:ascii="仿宋_GB2312" w:hAnsi="仿宋_GB2312" w:eastAsia="仿宋_GB2312" w:cs="仿宋_GB2312"/>
          <w:color w:val="000000"/>
          <w:kern w:val="0"/>
          <w:sz w:val="32"/>
          <w:szCs w:val="32"/>
          <w:lang w:val="en-US" w:eastAsia="zh-CN"/>
        </w:rPr>
        <w:t>进行全面核查，确保人证相符、在岗履职。</w:t>
      </w:r>
    </w:p>
    <w:p w14:paraId="224DBD05">
      <w:pPr>
        <w:pStyle w:val="6"/>
        <w:keepNext w:val="0"/>
        <w:keepLines w:val="0"/>
        <w:pageBreakBefore w:val="0"/>
        <w:widowControl w:val="0"/>
        <w:kinsoku/>
        <w:wordWrap/>
        <w:overflowPunct/>
        <w:topLinePunct w:val="0"/>
        <w:autoSpaceDE/>
        <w:autoSpaceDN/>
        <w:bidi w:val="0"/>
        <w:adjustRightInd/>
        <w:snapToGrid/>
        <w:spacing w:line="550" w:lineRule="exact"/>
        <w:ind w:left="0" w:leftChars="0"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4</w:t>
      </w:r>
      <w:r>
        <w:rPr>
          <w:rFonts w:ascii="仿宋_GB2312" w:hAnsi="仿宋_GB2312" w:eastAsia="仿宋_GB2312" w:cs="仿宋_GB2312"/>
          <w:b/>
          <w:bCs/>
          <w:sz w:val="32"/>
          <w:szCs w:val="32"/>
        </w:rPr>
        <w:t>.吉</w:t>
      </w:r>
      <w:r>
        <w:rPr>
          <w:rFonts w:hint="eastAsia" w:ascii="仿宋_GB2312" w:hAnsi="仿宋_GB2312" w:eastAsia="仿宋_GB2312" w:cs="仿宋_GB2312"/>
          <w:b/>
          <w:bCs/>
          <w:sz w:val="32"/>
          <w:szCs w:val="32"/>
          <w:lang w:val="en-US" w:eastAsia="zh-CN"/>
        </w:rPr>
        <w:t>州区住房和城乡建设局</w:t>
      </w:r>
      <w:r>
        <w:rPr>
          <w:rFonts w:hint="eastAsia" w:ascii="仿宋_GB2312" w:hAnsi="仿宋_GB2312" w:eastAsia="仿宋_GB2312" w:cs="仿宋_GB2312"/>
          <w:b/>
          <w:bCs/>
          <w:sz w:val="32"/>
          <w:szCs w:val="32"/>
          <w:lang w:eastAsia="zh-CN"/>
        </w:rPr>
        <w:t>，</w:t>
      </w:r>
      <w:r>
        <w:rPr>
          <w:rFonts w:ascii="仿宋_GB2312" w:hAnsi="仿宋_GB2312" w:eastAsia="仿宋_GB2312" w:cs="仿宋_GB2312"/>
          <w:sz w:val="32"/>
          <w:szCs w:val="32"/>
        </w:rPr>
        <w:t>要加大监管力度</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进一步落实建筑工程项目行业监管责任</w:t>
      </w:r>
      <w:r>
        <w:rPr>
          <w:rFonts w:ascii="仿宋_GB2312" w:hAnsi="仿宋_GB2312" w:eastAsia="仿宋_GB2312" w:cs="仿宋_GB2312"/>
          <w:sz w:val="32"/>
          <w:szCs w:val="32"/>
          <w:lang w:eastAsia="zh-CN"/>
        </w:rPr>
        <w:t>。</w:t>
      </w:r>
      <w:r>
        <w:rPr>
          <w:rFonts w:ascii="仿宋_GB2312" w:hAnsi="仿宋_GB2312" w:eastAsia="仿宋_GB2312" w:cs="仿宋_GB2312"/>
          <w:b/>
          <w:bCs/>
          <w:sz w:val="32"/>
          <w:szCs w:val="32"/>
          <w:lang w:val="en-US" w:eastAsia="zh-CN"/>
        </w:rPr>
        <w:t>一是</w:t>
      </w:r>
      <w:r>
        <w:rPr>
          <w:rFonts w:ascii="仿宋_GB2312" w:hAnsi="仿宋_GB2312" w:eastAsia="仿宋_GB2312" w:cs="仿宋_GB2312"/>
          <w:sz w:val="32"/>
          <w:szCs w:val="32"/>
        </w:rPr>
        <w:t>督促各参建单位和人员</w:t>
      </w:r>
      <w:r>
        <w:rPr>
          <w:rFonts w:ascii="仿宋_GB2312" w:hAnsi="仿宋_GB2312" w:eastAsia="仿宋_GB2312" w:cs="仿宋_GB2312"/>
          <w:sz w:val="32"/>
          <w:szCs w:val="32"/>
          <w:lang w:val="en-US" w:eastAsia="zh-CN"/>
        </w:rPr>
        <w:t>严格</w:t>
      </w:r>
      <w:r>
        <w:rPr>
          <w:rFonts w:ascii="仿宋_GB2312" w:hAnsi="仿宋_GB2312" w:eastAsia="仿宋_GB2312" w:cs="仿宋_GB2312"/>
          <w:sz w:val="32"/>
          <w:szCs w:val="32"/>
        </w:rPr>
        <w:t>遵守安全生产</w:t>
      </w:r>
      <w:r>
        <w:rPr>
          <w:rFonts w:ascii="仿宋_GB2312" w:hAnsi="仿宋_GB2312" w:eastAsia="仿宋_GB2312" w:cs="仿宋_GB2312"/>
          <w:sz w:val="32"/>
          <w:szCs w:val="32"/>
          <w:lang w:val="en-US" w:eastAsia="zh-CN"/>
        </w:rPr>
        <w:t>有关</w:t>
      </w:r>
      <w:r>
        <w:rPr>
          <w:rFonts w:hint="eastAsia" w:ascii="仿宋_GB2312" w:hAnsi="仿宋_GB2312" w:eastAsia="仿宋_GB2312" w:cs="仿宋_GB2312"/>
          <w:sz w:val="32"/>
          <w:szCs w:val="32"/>
          <w:lang w:val="en-US" w:eastAsia="zh-CN"/>
        </w:rPr>
        <w:t>法律法规</w:t>
      </w:r>
      <w:r>
        <w:rPr>
          <w:rFonts w:ascii="仿宋_GB2312" w:hAnsi="仿宋_GB2312" w:eastAsia="仿宋_GB2312" w:cs="仿宋_GB2312"/>
          <w:sz w:val="32"/>
          <w:szCs w:val="32"/>
        </w:rPr>
        <w:t>和规章标准，保证工程施工安全</w:t>
      </w:r>
      <w:r>
        <w:rPr>
          <w:rFonts w:ascii="仿宋_GB2312" w:hAnsi="仿宋_GB2312" w:eastAsia="仿宋_GB2312" w:cs="仿宋_GB2312"/>
          <w:sz w:val="32"/>
          <w:szCs w:val="32"/>
          <w:lang w:eastAsia="zh-CN"/>
        </w:rPr>
        <w:t>；</w:t>
      </w:r>
      <w:r>
        <w:rPr>
          <w:rFonts w:ascii="仿宋_GB2312" w:hAnsi="仿宋_GB2312" w:eastAsia="仿宋_GB2312" w:cs="仿宋_GB2312"/>
          <w:b/>
          <w:bCs/>
          <w:sz w:val="32"/>
          <w:szCs w:val="32"/>
          <w:lang w:val="en-US" w:eastAsia="zh-CN"/>
        </w:rPr>
        <w:t>二是</w:t>
      </w:r>
      <w:r>
        <w:rPr>
          <w:rFonts w:ascii="仿宋_GB2312" w:hAnsi="仿宋_GB2312" w:eastAsia="仿宋_GB2312" w:cs="仿宋_GB2312"/>
          <w:sz w:val="32"/>
          <w:szCs w:val="32"/>
        </w:rPr>
        <w:t>要依法</w:t>
      </w:r>
      <w:r>
        <w:rPr>
          <w:rFonts w:ascii="仿宋_GB2312" w:hAnsi="仿宋_GB2312" w:eastAsia="仿宋_GB2312" w:cs="仿宋_GB2312"/>
          <w:sz w:val="32"/>
          <w:szCs w:val="32"/>
          <w:lang w:eastAsia="zh-CN"/>
        </w:rPr>
        <w:t>、</w:t>
      </w:r>
      <w:r>
        <w:rPr>
          <w:rFonts w:ascii="仿宋_GB2312" w:hAnsi="仿宋_GB2312" w:eastAsia="仿宋_GB2312" w:cs="仿宋_GB2312"/>
          <w:sz w:val="32"/>
          <w:szCs w:val="32"/>
        </w:rPr>
        <w:t>依规采取有力措施加强</w:t>
      </w:r>
      <w:r>
        <w:rPr>
          <w:rFonts w:ascii="仿宋_GB2312" w:hAnsi="仿宋_GB2312" w:eastAsia="仿宋_GB2312" w:cs="仿宋_GB2312"/>
          <w:sz w:val="32"/>
          <w:szCs w:val="32"/>
          <w:lang w:val="en-US" w:eastAsia="zh-CN"/>
        </w:rPr>
        <w:t>对施工单位、监理单位人员</w:t>
      </w:r>
      <w:r>
        <w:rPr>
          <w:rFonts w:hint="eastAsia" w:ascii="仿宋_GB2312" w:hAnsi="仿宋_GB2312" w:eastAsia="仿宋_GB2312" w:cs="仿宋_GB2312"/>
          <w:sz w:val="32"/>
          <w:szCs w:val="32"/>
          <w:lang w:val="en-US" w:eastAsia="zh-CN"/>
        </w:rPr>
        <w:t>的监管，确保到岗履职</w:t>
      </w:r>
      <w:r>
        <w:rPr>
          <w:rFonts w:ascii="仿宋_GB2312" w:hAnsi="仿宋_GB2312" w:eastAsia="仿宋_GB2312" w:cs="仿宋_GB2312"/>
          <w:sz w:val="32"/>
          <w:szCs w:val="32"/>
          <w:lang w:val="en-US" w:eastAsia="zh-CN"/>
        </w:rPr>
        <w:t>；</w:t>
      </w:r>
      <w:r>
        <w:rPr>
          <w:rFonts w:ascii="仿宋_GB2312" w:hAnsi="仿宋_GB2312" w:eastAsia="仿宋_GB2312" w:cs="仿宋_GB2312"/>
          <w:b/>
          <w:bCs/>
          <w:sz w:val="32"/>
          <w:szCs w:val="32"/>
          <w:lang w:val="en-US" w:eastAsia="zh-CN"/>
        </w:rPr>
        <w:t>三是</w:t>
      </w:r>
      <w:r>
        <w:rPr>
          <w:rFonts w:ascii="仿宋_GB2312" w:hAnsi="仿宋_GB2312" w:eastAsia="仿宋_GB2312" w:cs="仿宋_GB2312"/>
          <w:sz w:val="32"/>
          <w:szCs w:val="32"/>
          <w:lang w:val="en-US" w:eastAsia="zh-CN"/>
        </w:rPr>
        <w:t>加大对施工现场</w:t>
      </w:r>
      <w:r>
        <w:rPr>
          <w:rFonts w:hint="eastAsia" w:ascii="仿宋_GB2312" w:hAnsi="仿宋_GB2312" w:eastAsia="仿宋_GB2312" w:cs="仿宋_GB2312"/>
          <w:sz w:val="32"/>
          <w:szCs w:val="32"/>
          <w:lang w:val="en-US" w:eastAsia="zh-CN"/>
        </w:rPr>
        <w:t>特种设备的使用</w:t>
      </w:r>
      <w:r>
        <w:rPr>
          <w:rFonts w:ascii="仿宋_GB2312" w:hAnsi="仿宋_GB2312" w:eastAsia="仿宋_GB2312" w:cs="仿宋_GB2312"/>
          <w:sz w:val="32"/>
          <w:szCs w:val="32"/>
          <w:lang w:val="en-US" w:eastAsia="zh-CN"/>
        </w:rPr>
        <w:t>安全</w:t>
      </w:r>
      <w:r>
        <w:rPr>
          <w:rFonts w:ascii="仿宋_GB2312" w:hAnsi="仿宋_GB2312" w:eastAsia="仿宋_GB2312" w:cs="仿宋_GB2312"/>
          <w:sz w:val="32"/>
          <w:szCs w:val="32"/>
        </w:rPr>
        <w:t>监管</w:t>
      </w:r>
      <w:r>
        <w:rPr>
          <w:rFonts w:ascii="仿宋_GB2312" w:hAnsi="仿宋_GB2312" w:eastAsia="仿宋_GB2312" w:cs="仿宋_GB2312"/>
          <w:sz w:val="32"/>
          <w:szCs w:val="32"/>
          <w:lang w:eastAsia="zh-CN"/>
        </w:rPr>
        <w:t>，</w:t>
      </w:r>
      <w:r>
        <w:rPr>
          <w:rFonts w:ascii="仿宋_GB2312" w:hAnsi="仿宋_GB2312" w:eastAsia="仿宋_GB2312" w:cs="仿宋_GB2312"/>
          <w:sz w:val="32"/>
          <w:szCs w:val="32"/>
          <w:lang w:val="en-US" w:eastAsia="zh-CN"/>
        </w:rPr>
        <w:t>坚决制止“三违”现象，确保安全施工，杜绝类似事故再次发生。</w:t>
      </w:r>
    </w:p>
    <w:p w14:paraId="616E8259">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color w:val="auto"/>
          <w:kern w:val="0"/>
          <w:sz w:val="32"/>
          <w:szCs w:val="32"/>
          <w:lang w:val="en-US" w:eastAsia="zh-CN"/>
        </w:rPr>
        <w:t>5.</w:t>
      </w:r>
      <w:r>
        <w:rPr>
          <w:rFonts w:hint="default" w:ascii="仿宋_GB2312" w:hAnsi="仿宋_GB2312" w:eastAsia="仿宋_GB2312" w:cs="仿宋_GB2312"/>
          <w:b/>
          <w:bCs/>
          <w:color w:val="auto"/>
          <w:kern w:val="0"/>
          <w:sz w:val="32"/>
          <w:szCs w:val="32"/>
          <w:lang w:eastAsia="zh-CN"/>
        </w:rPr>
        <w:t>江西吉州工业</w:t>
      </w:r>
      <w:r>
        <w:rPr>
          <w:rFonts w:hint="eastAsia" w:ascii="仿宋_GB2312" w:hAnsi="仿宋_GB2312" w:eastAsia="仿宋_GB2312" w:cs="仿宋_GB2312"/>
          <w:b/>
          <w:bCs/>
          <w:color w:val="auto"/>
          <w:kern w:val="0"/>
          <w:sz w:val="32"/>
          <w:szCs w:val="32"/>
          <w:lang w:val="en-US" w:eastAsia="zh-CN"/>
        </w:rPr>
        <w:t>园</w:t>
      </w:r>
      <w:r>
        <w:rPr>
          <w:rFonts w:hint="default" w:ascii="仿宋_GB2312" w:hAnsi="仿宋_GB2312" w:eastAsia="仿宋_GB2312" w:cs="仿宋_GB2312"/>
          <w:b/>
          <w:bCs/>
          <w:color w:val="auto"/>
          <w:kern w:val="0"/>
          <w:sz w:val="32"/>
          <w:szCs w:val="32"/>
          <w:lang w:eastAsia="zh-CN"/>
          <w:woUserID w:val="1"/>
        </w:rPr>
        <w:t>区</w:t>
      </w:r>
      <w:r>
        <w:rPr>
          <w:rFonts w:hint="eastAsia" w:ascii="仿宋_GB2312" w:hAnsi="仿宋_GB2312" w:eastAsia="仿宋_GB2312" w:cs="仿宋_GB2312"/>
          <w:b/>
          <w:bCs/>
          <w:color w:val="auto"/>
          <w:kern w:val="0"/>
          <w:sz w:val="32"/>
          <w:szCs w:val="32"/>
          <w:lang w:val="en-US" w:eastAsia="zh-CN"/>
        </w:rPr>
        <w:t>管</w:t>
      </w:r>
      <w:r>
        <w:rPr>
          <w:rFonts w:hint="default" w:ascii="仿宋_GB2312" w:hAnsi="仿宋_GB2312" w:eastAsia="仿宋_GB2312" w:cs="仿宋_GB2312"/>
          <w:b/>
          <w:bCs/>
          <w:color w:val="auto"/>
          <w:kern w:val="0"/>
          <w:sz w:val="32"/>
          <w:szCs w:val="32"/>
          <w:lang w:eastAsia="zh-CN"/>
          <w:woUserID w:val="1"/>
        </w:rPr>
        <w:t>理委员</w:t>
      </w:r>
      <w:r>
        <w:rPr>
          <w:rFonts w:hint="eastAsia" w:ascii="仿宋_GB2312" w:hAnsi="仿宋_GB2312" w:eastAsia="仿宋_GB2312" w:cs="仿宋_GB2312"/>
          <w:b/>
          <w:bCs/>
          <w:color w:val="auto"/>
          <w:kern w:val="0"/>
          <w:sz w:val="32"/>
          <w:szCs w:val="32"/>
          <w:lang w:val="en-US" w:eastAsia="zh-CN"/>
        </w:rPr>
        <w:t>会，</w:t>
      </w:r>
      <w:r>
        <w:rPr>
          <w:rFonts w:ascii="仿宋_GB2312" w:hAnsi="仿宋_GB2312" w:eastAsia="仿宋_GB2312" w:cs="仿宋_GB2312"/>
          <w:sz w:val="32"/>
          <w:szCs w:val="32"/>
        </w:rPr>
        <w:t>为进一步夯实属地监管责任，结合安全生产专项整治三年行动部署要求，需对辖区内所有建筑施工工地组织开展专项检查。对检查中发现的安全问题和事故隐患，要及时下达整改指令</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确保</w:t>
      </w:r>
      <w:r>
        <w:rPr>
          <w:rFonts w:hint="eastAsia" w:ascii="仿宋_GB2312" w:hAnsi="仿宋_GB2312" w:eastAsia="仿宋_GB2312" w:cs="仿宋_GB2312"/>
          <w:sz w:val="32"/>
          <w:szCs w:val="32"/>
          <w:lang w:val="en-US" w:eastAsia="zh-CN"/>
        </w:rPr>
        <w:t>辖区内</w:t>
      </w:r>
      <w:r>
        <w:rPr>
          <w:rFonts w:ascii="仿宋_GB2312" w:hAnsi="仿宋_GB2312" w:eastAsia="仿宋_GB2312" w:cs="仿宋_GB2312"/>
          <w:sz w:val="32"/>
          <w:szCs w:val="32"/>
        </w:rPr>
        <w:t>建筑施工领域各项工作安全、有序推进，坚决遏制当前辖区建筑施工领域安全生产事故多发态势，切实防范各类安全风险。</w:t>
      </w:r>
    </w:p>
    <w:p w14:paraId="23C6BB45">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right"/>
        <w:rPr>
          <w:rFonts w:hint="eastAsia" w:ascii="仿宋_GB2312" w:hAnsi="仿宋_GB2312" w:eastAsia="仿宋_GB2312" w:cs="仿宋_GB2312"/>
          <w:sz w:val="32"/>
          <w:szCs w:val="32"/>
          <w:lang w:val="en-US" w:eastAsia="zh-CN"/>
        </w:rPr>
      </w:pPr>
    </w:p>
    <w:p w14:paraId="50A53065">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right"/>
        <w:rPr>
          <w:rFonts w:hint="eastAsia" w:ascii="仿宋_GB2312" w:hAnsi="仿宋_GB2312" w:eastAsia="仿宋_GB2312" w:cs="仿宋_GB2312"/>
          <w:sz w:val="32"/>
          <w:szCs w:val="32"/>
          <w:lang w:val="en-US" w:eastAsia="zh-CN"/>
        </w:rPr>
      </w:pPr>
    </w:p>
    <w:p w14:paraId="483E491E">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righ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吉州白塘江西德基新材料有限公司庐陵德基</w:t>
      </w:r>
    </w:p>
    <w:p w14:paraId="5CAA82CE">
      <w:pPr>
        <w:pStyle w:val="6"/>
        <w:keepNext w:val="0"/>
        <w:keepLines w:val="0"/>
        <w:pageBreakBefore w:val="0"/>
        <w:widowControl w:val="0"/>
        <w:kinsoku/>
        <w:wordWrap w:val="0"/>
        <w:overflowPunct w:val="0"/>
        <w:topLinePunct w:val="0"/>
        <w:autoSpaceDE/>
        <w:autoSpaceDN/>
        <w:bidi w:val="0"/>
        <w:adjustRightInd/>
        <w:snapToGrid/>
        <w:spacing w:line="560" w:lineRule="exact"/>
        <w:ind w:left="0" w:leftChars="0" w:firstLine="640" w:firstLineChars="200"/>
        <w:jc w:val="right"/>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 xml:space="preserve">高端智造产园一期项目“9·2”    </w:t>
      </w:r>
    </w:p>
    <w:p w14:paraId="1C9204A3">
      <w:pPr>
        <w:pStyle w:val="6"/>
        <w:keepNext w:val="0"/>
        <w:keepLines w:val="0"/>
        <w:pageBreakBefore w:val="0"/>
        <w:widowControl w:val="0"/>
        <w:kinsoku/>
        <w:wordWrap w:val="0"/>
        <w:overflowPunct w:val="0"/>
        <w:topLinePunct w:val="0"/>
        <w:autoSpaceDE/>
        <w:autoSpaceDN/>
        <w:bidi w:val="0"/>
        <w:adjustRightInd/>
        <w:snapToGrid/>
        <w:spacing w:line="560" w:lineRule="exact"/>
        <w:ind w:left="0" w:leftChars="0" w:firstLine="640" w:firstLineChars="200"/>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000000"/>
          <w:kern w:val="0"/>
          <w:sz w:val="32"/>
          <w:szCs w:val="32"/>
          <w:lang w:val="en-US" w:eastAsia="zh-CN"/>
        </w:rPr>
        <w:t>一般高处坠落事故调查</w:t>
      </w:r>
      <w:r>
        <w:rPr>
          <w:rFonts w:hint="eastAsia" w:ascii="仿宋_GB2312" w:hAnsi="仿宋_GB2312" w:eastAsia="仿宋_GB2312" w:cs="仿宋_GB2312"/>
          <w:sz w:val="32"/>
          <w:szCs w:val="32"/>
          <w:lang w:val="en-US" w:eastAsia="zh-CN"/>
        </w:rPr>
        <w:t xml:space="preserve">组       </w:t>
      </w:r>
    </w:p>
    <w:p w14:paraId="679DA498">
      <w:pPr>
        <w:pStyle w:val="6"/>
        <w:keepNext w:val="0"/>
        <w:keepLines w:val="0"/>
        <w:pageBreakBefore w:val="0"/>
        <w:widowControl w:val="0"/>
        <w:kinsoku/>
        <w:wordWrap w:val="0"/>
        <w:overflowPunct w:val="0"/>
        <w:topLinePunct w:val="0"/>
        <w:autoSpaceDE/>
        <w:autoSpaceDN/>
        <w:bidi w:val="0"/>
        <w:adjustRightInd/>
        <w:snapToGrid/>
        <w:spacing w:line="560" w:lineRule="exact"/>
        <w:ind w:left="0" w:leftChars="0" w:firstLine="640" w:firstLineChars="20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2025年10月29日         </w:t>
      </w:r>
    </w:p>
    <w:p w14:paraId="4C3E0227">
      <w:pPr>
        <w:pStyle w:val="6"/>
        <w:keepNext w:val="0"/>
        <w:keepLines w:val="0"/>
        <w:pageBreakBefore w:val="0"/>
        <w:widowControl w:val="0"/>
        <w:kinsoku/>
        <w:wordWrap/>
        <w:overflowPunct w:val="0"/>
        <w:topLinePunct w:val="0"/>
        <w:autoSpaceDE/>
        <w:autoSpaceDN/>
        <w:bidi w:val="0"/>
        <w:adjustRightInd/>
        <w:snapToGrid/>
        <w:spacing w:line="560" w:lineRule="exact"/>
        <w:jc w:val="both"/>
        <w:rPr>
          <w:rFonts w:ascii="仿宋_GB2312" w:hAnsi="仿宋_GB2312" w:eastAsia="仿宋_GB2312" w:cs="仿宋_GB2312"/>
          <w:sz w:val="32"/>
          <w:szCs w:val="32"/>
        </w:rPr>
        <w:sectPr>
          <w:footerReference r:id="rId6" w:type="default"/>
          <w:footnotePr>
            <w:numFmt w:val="decimal"/>
          </w:footnotePr>
          <w:pgSz w:w="11906" w:h="16838"/>
          <w:pgMar w:top="2098" w:right="1474" w:bottom="1984" w:left="1587" w:header="851" w:footer="992" w:gutter="0"/>
          <w:pgNumType w:start="1"/>
          <w:cols w:space="720" w:num="1"/>
          <w:formProt w:val="0"/>
          <w:docGrid w:type="lines" w:linePitch="312" w:charSpace="43007"/>
        </w:sectPr>
      </w:pPr>
    </w:p>
    <w:p w14:paraId="52878092">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0" w:firstLineChars="0"/>
        <w:jc w:val="both"/>
        <w:textAlignment w:val="auto"/>
        <w:rPr>
          <w:rFonts w:hint="default" w:ascii="仿宋_GB2312" w:hAnsi="仿宋" w:eastAsia="仿宋_GB2312"/>
          <w:sz w:val="32"/>
          <w:szCs w:val="32"/>
          <w:lang w:val="en-US" w:eastAsia="zh-CN"/>
        </w:rPr>
      </w:pPr>
      <w:bookmarkStart w:id="0" w:name="_GoBack1"/>
      <w:bookmarkEnd w:id="0"/>
    </w:p>
    <w:sectPr>
      <w:footerReference r:id="rId7" w:type="default"/>
      <w:pgSz w:w="11906" w:h="16838"/>
      <w:pgMar w:top="1440" w:right="1519" w:bottom="1440" w:left="1576" w:header="851" w:footer="992" w:gutter="0"/>
      <w:pgNumType w:fmt="decimal"/>
      <w:cols w:space="720" w:num="1"/>
      <w:formProt w:val="0"/>
      <w:docGrid w:type="lines" w:linePitch="312" w:charSpace="4300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3A8C392-4249-4D8D-A73B-4FDF7E807D2E}"/>
  </w:font>
  <w:font w:name="Arial">
    <w:panose1 w:val="020B0604020202020204"/>
    <w:charset w:val="01"/>
    <w:family w:val="swiss"/>
    <w:pitch w:val="default"/>
    <w:sig w:usb0="E0002EFF" w:usb1="C0007843" w:usb2="00000009" w:usb3="00000000" w:csb0="400001FF" w:csb1="FFFF0000"/>
    <w:embedRegular r:id="rId2" w:fontKey="{41909A47-3E38-42B6-B8D2-4C967B499BCA}"/>
  </w:font>
  <w:font w:name="黑体">
    <w:panose1 w:val="02010609060101010101"/>
    <w:charset w:val="86"/>
    <w:family w:val="auto"/>
    <w:pitch w:val="default"/>
    <w:sig w:usb0="800002BF" w:usb1="38CF7CFA" w:usb2="00000016" w:usb3="00000000" w:csb0="00040001" w:csb1="00000000"/>
    <w:embedRegular r:id="rId3" w:fontKey="{605F3885-5364-475C-AF2A-D9D4D84B8354}"/>
  </w:font>
  <w:font w:name="Courier New">
    <w:panose1 w:val="02070309020205020404"/>
    <w:charset w:val="01"/>
    <w:family w:val="modern"/>
    <w:pitch w:val="default"/>
    <w:sig w:usb0="E0002EFF" w:usb1="C0007843" w:usb2="00000009" w:usb3="00000000" w:csb0="400001FF" w:csb1="FFFF0000"/>
    <w:embedRegular r:id="rId4" w:fontKey="{83E8663B-0363-44F3-A821-116A60276968}"/>
  </w:font>
  <w:font w:name="Symbol">
    <w:panose1 w:val="05050102010706020507"/>
    <w:charset w:val="02"/>
    <w:family w:val="roman"/>
    <w:pitch w:val="default"/>
    <w:sig w:usb0="00000000" w:usb1="00000000" w:usb2="00000000" w:usb3="00000000" w:csb0="80000000" w:csb1="00000000"/>
    <w:embedRegular r:id="rId5" w:fontKey="{287DD16E-D651-4D3A-8D60-3073B681ABA1}"/>
  </w:font>
  <w:font w:name="Calibri">
    <w:panose1 w:val="020F0502020204030204"/>
    <w:charset w:val="00"/>
    <w:family w:val="swiss"/>
    <w:pitch w:val="default"/>
    <w:sig w:usb0="E0002AFF" w:usb1="C000247B" w:usb2="00000009" w:usb3="00000000" w:csb0="200001FF" w:csb1="00000000"/>
    <w:embedRegular r:id="rId6" w:fontKey="{7E271962-4758-469C-A185-816D5F4B4742}"/>
  </w:font>
  <w:font w:name="Mangal">
    <w:panose1 w:val="02040503050203030202"/>
    <w:charset w:val="00"/>
    <w:family w:val="roman"/>
    <w:pitch w:val="default"/>
    <w:sig w:usb0="00008003" w:usb1="00000000" w:usb2="00000000" w:usb3="00000000" w:csb0="00000001" w:csb1="00000000"/>
    <w:embedRegular r:id="rId7" w:fontKey="{FD90C1D3-3402-419D-A0FB-0D3029FA94F2}"/>
  </w:font>
  <w:font w:name="方正小标宋简体">
    <w:panose1 w:val="03000509000000000000"/>
    <w:charset w:val="86"/>
    <w:family w:val="roman"/>
    <w:pitch w:val="default"/>
    <w:sig w:usb0="00000001" w:usb1="080E0000" w:usb2="00000000" w:usb3="00000000" w:csb0="00040000" w:csb1="00000000"/>
    <w:embedRegular r:id="rId8" w:fontKey="{02027F8D-4D9D-4BC7-B17E-BAE72E31846F}"/>
  </w:font>
  <w:font w:name="楷体_GB2312">
    <w:panose1 w:val="02010609030101010101"/>
    <w:charset w:val="86"/>
    <w:family w:val="auto"/>
    <w:pitch w:val="default"/>
    <w:sig w:usb0="00000001" w:usb1="080E0000" w:usb2="00000000" w:usb3="00000000" w:csb0="00040000" w:csb1="00000000"/>
    <w:embedRegular r:id="rId9" w:fontKey="{6D775122-A216-4736-933B-A8345B47ACF2}"/>
  </w:font>
  <w:font w:name="方正楷体_GB2312">
    <w:panose1 w:val="02000000000000000000"/>
    <w:charset w:val="86"/>
    <w:family w:val="auto"/>
    <w:pitch w:val="default"/>
    <w:sig w:usb0="A00002BF" w:usb1="184F6CFA" w:usb2="00000012" w:usb3="00000000" w:csb0="00040001" w:csb1="00000000"/>
    <w:embedRegular r:id="rId10" w:fontKey="{6D11BF89-25D0-4581-8C13-D01C8DF93E66}"/>
  </w:font>
  <w:font w:name="仿宋_GB2312">
    <w:panose1 w:val="02010609030101010101"/>
    <w:charset w:val="86"/>
    <w:family w:val="roman"/>
    <w:pitch w:val="default"/>
    <w:sig w:usb0="00000001" w:usb1="080E0000" w:usb2="00000000" w:usb3="00000000" w:csb0="00040000" w:csb1="00000000"/>
    <w:embedRegular r:id="rId11" w:fontKey="{694553C7-47BC-4B38-B63D-9F602A41C679}"/>
  </w:font>
  <w:font w:name="仿宋">
    <w:panose1 w:val="02010609060101010101"/>
    <w:charset w:val="86"/>
    <w:family w:val="modern"/>
    <w:pitch w:val="default"/>
    <w:sig w:usb0="800002BF" w:usb1="38CF7CFA" w:usb2="00000016" w:usb3="00000000" w:csb0="00040001" w:csb1="00000000"/>
    <w:embedRegular r:id="rId12" w:fontKey="{99968E26-3BFF-4601-B72F-444117C88AD8}"/>
  </w:font>
  <w:font w:name="楷体">
    <w:panose1 w:val="02010609060101010101"/>
    <w:charset w:val="86"/>
    <w:family w:val="modern"/>
    <w:pitch w:val="default"/>
    <w:sig w:usb0="800002BF" w:usb1="38CF7CFA" w:usb2="00000016" w:usb3="00000000" w:csb0="00040001" w:csb1="00000000"/>
    <w:embedRegular r:id="rId13" w:fontKey="{584A3204-B1AB-4192-8DCD-C6AC400574F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4D5E3">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CC4E9">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F4CC4E9">
                    <w:pPr>
                      <w:pStyle w:val="8"/>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E8E6B">
    <w:pPr>
      <w:pStyle w:val="19"/>
    </w:pPr>
    <w:r>
      <mc:AlternateContent>
        <mc:Choice Requires="wps">
          <w:drawing>
            <wp:anchor distT="0" distB="0" distL="114300" distR="114300" simplePos="0" relativeHeight="251660288" behindDoc="0" locked="0" layoutInCell="0" allowOverlap="1">
              <wp:simplePos x="0" y="0"/>
              <wp:positionH relativeFrom="margin">
                <wp:align>center</wp:align>
              </wp:positionH>
              <wp:positionV relativeFrom="paragraph">
                <wp:posOffset>0</wp:posOffset>
              </wp:positionV>
              <wp:extent cx="1829435" cy="155575"/>
              <wp:effectExtent l="0" t="0" r="0" b="0"/>
              <wp:wrapNone/>
              <wp:docPr id="14" name="文本框 12"/>
              <wp:cNvGraphicFramePr/>
              <a:graphic xmlns:a="http://schemas.openxmlformats.org/drawingml/2006/main">
                <a:graphicData uri="http://schemas.microsoft.com/office/word/2010/wordprocessingShape">
                  <wps:wsp>
                    <wps:cNvSpPr/>
                    <wps:spPr>
                      <a:xfrm>
                        <a:off x="0" y="0"/>
                        <a:ext cx="1828800" cy="154800"/>
                      </a:xfrm>
                      <a:prstGeom prst="rect">
                        <a:avLst/>
                      </a:prstGeom>
                      <a:noFill/>
                      <a:ln w="6350">
                        <a:noFill/>
                      </a:ln>
                      <a:effectLst/>
                    </wps:spPr>
                    <wps:txbx>
                      <w:txbxContent>
                        <w:p w14:paraId="392C9CFC">
                          <w:pPr>
                            <w:pStyle w:val="19"/>
                            <w:jc w:val="center"/>
                            <w:rPr>
                              <w:color w:val="000000"/>
                            </w:rPr>
                          </w:pPr>
                          <w:r>
                            <w:rPr>
                              <w:color w:val="000000"/>
                            </w:rPr>
                            <w:t>第</w:t>
                          </w:r>
                          <w:r>
                            <w:rPr>
                              <w:color w:val="000000"/>
                            </w:rPr>
                            <w:fldChar w:fldCharType="begin"/>
                          </w:r>
                          <w:r>
                            <w:rPr>
                              <w:color w:val="000000"/>
                            </w:rPr>
                            <w:instrText xml:space="preserve">PAGE</w:instrText>
                          </w:r>
                          <w:r>
                            <w:rPr>
                              <w:color w:val="000000"/>
                            </w:rPr>
                            <w:fldChar w:fldCharType="separate"/>
                          </w:r>
                          <w:r>
                            <w:rPr>
                              <w:color w:val="000000"/>
                            </w:rPr>
                            <w:t>12</w:t>
                          </w:r>
                          <w:r>
                            <w:rPr>
                              <w:color w:val="000000"/>
                            </w:rPr>
                            <w:fldChar w:fldCharType="end"/>
                          </w:r>
                          <w:r>
                            <w:rPr>
                              <w:color w:val="000000"/>
                            </w:rPr>
                            <w:t>页共</w:t>
                          </w:r>
                          <w:r>
                            <w:rPr>
                              <w:rFonts w:hint="eastAsia"/>
                              <w:color w:val="000000"/>
                              <w:lang w:val="en-US" w:eastAsia="zh-CN"/>
                            </w:rPr>
                            <w:t>21</w:t>
                          </w:r>
                          <w:r>
                            <w:rPr>
                              <w:color w:val="000000"/>
                            </w:rPr>
                            <w:t>页</w:t>
                          </w:r>
                        </w:p>
                      </w:txbxContent>
                    </wps:txbx>
                    <wps:bodyPr lIns="0" tIns="0" rIns="0" bIns="0">
                      <a:spAutoFit/>
                    </wps:bodyPr>
                  </wps:wsp>
                </a:graphicData>
              </a:graphic>
            </wp:anchor>
          </w:drawing>
        </mc:Choice>
        <mc:Fallback>
          <w:pict>
            <v:rect id="文本框 12" o:spid="_x0000_s1026" o:spt="1" style="position:absolute;left:0pt;margin-top:0pt;height:12.25pt;width:144.05pt;mso-position-horizontal:center;mso-position-horizontal-relative:margin;z-index:251660288;mso-width-relative:page;mso-height-relative:page;" filled="f" stroked="f" coordsize="21600,21600" o:allowincell="f" o:gfxdata="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Nz1gI1QAAAAQBAAAPAAAAAAAAAAEAIAAAACIAAABkcnMvZG93bnJl&#10;di54bWxQSwECFAAUAAAACACHTuJAx0CK/McBAACPAwAADgAAAAAAAAABACAAAAAkAQAAZHJzL2Uy&#10;b0RvYy54bWxQSwUGAAAAAAYABgBZAQAAXQUAAAAA&#10;">
              <v:fill on="f" focussize="0,0"/>
              <v:stroke on="f" weight="0.5pt"/>
              <v:imagedata o:title=""/>
              <o:lock v:ext="edit" aspectratio="f"/>
              <v:textbox inset="0mm,0mm,0mm,0mm" style="mso-fit-shape-to-text:t;">
                <w:txbxContent>
                  <w:p w14:paraId="392C9CFC">
                    <w:pPr>
                      <w:pStyle w:val="19"/>
                      <w:jc w:val="center"/>
                      <w:rPr>
                        <w:color w:val="000000"/>
                      </w:rPr>
                    </w:pPr>
                    <w:r>
                      <w:rPr>
                        <w:color w:val="000000"/>
                      </w:rPr>
                      <w:t>第</w:t>
                    </w:r>
                    <w:r>
                      <w:rPr>
                        <w:color w:val="000000"/>
                      </w:rPr>
                      <w:fldChar w:fldCharType="begin"/>
                    </w:r>
                    <w:r>
                      <w:rPr>
                        <w:color w:val="000000"/>
                      </w:rPr>
                      <w:instrText xml:space="preserve">PAGE</w:instrText>
                    </w:r>
                    <w:r>
                      <w:rPr>
                        <w:color w:val="000000"/>
                      </w:rPr>
                      <w:fldChar w:fldCharType="separate"/>
                    </w:r>
                    <w:r>
                      <w:rPr>
                        <w:color w:val="000000"/>
                      </w:rPr>
                      <w:t>12</w:t>
                    </w:r>
                    <w:r>
                      <w:rPr>
                        <w:color w:val="000000"/>
                      </w:rPr>
                      <w:fldChar w:fldCharType="end"/>
                    </w:r>
                    <w:r>
                      <w:rPr>
                        <w:color w:val="000000"/>
                      </w:rPr>
                      <w:t>页共</w:t>
                    </w:r>
                    <w:r>
                      <w:rPr>
                        <w:rFonts w:hint="eastAsia"/>
                        <w:color w:val="000000"/>
                        <w:lang w:val="en-US" w:eastAsia="zh-CN"/>
                      </w:rPr>
                      <w:t>21</w:t>
                    </w:r>
                    <w:r>
                      <w:rPr>
                        <w:color w:val="000000"/>
                      </w:rPr>
                      <w:t>页</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E4EC2">
    <w:pPr>
      <w:pStyle w:val="1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74B810">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C74B810">
                    <w:pPr>
                      <w:pStyle w:val="8"/>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58">
    <w:p/>
  </w:footnote>
  <w:footnote w:type="continuationSeparator" w:id="59">
    <w:p/>
  </w:footnote>
  <w:footnote w:id="0">
    <w:p w14:paraId="3E37A677">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i w:val="0"/>
          <w:iCs w:val="0"/>
          <w:caps w:val="0"/>
          <w:color w:val="333333"/>
          <w:spacing w:val="0"/>
          <w:sz w:val="32"/>
          <w:szCs w:val="32"/>
          <w:shd w:val="clear" w:color="auto" w:fill="FFFFFF"/>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]《建设工程安全生产管理</w:t>
      </w:r>
      <w:r>
        <w:rPr>
          <w:rFonts w:hint="eastAsia" w:asciiTheme="minorEastAsia" w:hAnsiTheme="minorEastAsia" w:eastAsiaTheme="minorEastAsia" w:cstheme="minorEastAsia"/>
          <w:sz w:val="18"/>
          <w:szCs w:val="18"/>
          <w:lang w:val="en-US" w:eastAsia="zh-CN"/>
        </w:rPr>
        <w:fldChar w:fldCharType="begin"/>
      </w:r>
      <w:r>
        <w:rPr>
          <w:rFonts w:hint="eastAsia" w:asciiTheme="minorEastAsia" w:hAnsiTheme="minorEastAsia" w:eastAsiaTheme="minorEastAsia" w:cstheme="minorEastAsia"/>
          <w:sz w:val="18"/>
          <w:szCs w:val="18"/>
          <w:lang w:val="en-US" w:eastAsia="zh-CN"/>
        </w:rPr>
        <w:instrText xml:space="preserve"> HYPERLINK "https://baike.so.com/doc/5114591-5343453.html" \t "https://baike.so.com/doc/_blank" </w:instrText>
      </w:r>
      <w:r>
        <w:rPr>
          <w:rFonts w:hint="eastAsia" w:asciiTheme="minorEastAsia" w:hAnsiTheme="minorEastAsia" w:eastAsiaTheme="minorEastAsia" w:cstheme="minorEastAsia"/>
          <w:sz w:val="18"/>
          <w:szCs w:val="18"/>
          <w:lang w:val="en-US" w:eastAsia="zh-CN"/>
        </w:rPr>
        <w:fldChar w:fldCharType="separate"/>
      </w:r>
      <w:r>
        <w:rPr>
          <w:rFonts w:hint="eastAsia" w:asciiTheme="minorEastAsia" w:hAnsiTheme="minorEastAsia" w:eastAsiaTheme="minorEastAsia" w:cstheme="minorEastAsia"/>
          <w:sz w:val="18"/>
          <w:szCs w:val="18"/>
          <w:lang w:val="en-US" w:eastAsia="zh-CN"/>
        </w:rPr>
        <w:t>条例</w:t>
      </w:r>
      <w:r>
        <w:rPr>
          <w:rFonts w:hint="eastAsia" w:asciiTheme="minorEastAsia" w:hAnsiTheme="minorEastAsia" w:eastAsiaTheme="minorEastAsia" w:cstheme="minorEastAsia"/>
          <w:sz w:val="18"/>
          <w:szCs w:val="18"/>
          <w:lang w:val="en-US" w:eastAsia="zh-CN"/>
        </w:rPr>
        <w:fldChar w:fldCharType="end"/>
      </w:r>
      <w:r>
        <w:rPr>
          <w:rFonts w:hint="eastAsia" w:asciiTheme="minorEastAsia" w:hAnsiTheme="minorEastAsia" w:eastAsiaTheme="minorEastAsia" w:cstheme="minorEastAsia"/>
          <w:sz w:val="18"/>
          <w:szCs w:val="18"/>
          <w:lang w:val="en-US" w:eastAsia="zh-CN"/>
        </w:rPr>
        <w:t>》第三十五条规定：施工单位在使用施工起重机械和整体提升脚手架、模板等自升式架设设施前，应当组织有关单位进行验收，也可以委托具有相应资质的检验检测机构进行验收;使用承租的机械设备和施工机具及配件的，由施工总承包单位、分包单位、出租单位和安装单位共同进行验收。验收合格的方可使用。</w:t>
      </w:r>
    </w:p>
    <w:p w14:paraId="4EB0A132">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建筑起重机械安全监督管理规定》第十六条规定：建筑起重机械安装完毕后，使用单位应当组织出租、安装、监理等有关单位进行验收，或者委托具有相应资质的检验检测机构进行验收。建筑起重机械经验收合格后方可投入使用，未经验收或者验收不合格的不得使用。</w:t>
      </w:r>
    </w:p>
  </w:footnote>
  <w:footnote w:id="1">
    <w:p w14:paraId="1DB24BB2">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中华人民共和国安全生产法》第四条规定：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14:paraId="2A284FCA">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江西省安全生产条例</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第十六条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生产经营单位应当制定下列安全生产规章制度：</w:t>
      </w:r>
    </w:p>
    <w:p w14:paraId="574F710D">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（一）全员安全生产责任制度；</w:t>
      </w:r>
    </w:p>
    <w:p w14:paraId="053E935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（二）安全生产教育和培训制度；</w:t>
      </w:r>
    </w:p>
    <w:p w14:paraId="2DB4D1FD">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（三）安全风险分级管控和隐患排查治理制度；</w:t>
      </w:r>
    </w:p>
    <w:p w14:paraId="4FBEA5DA">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（四）安全生产投入制度；</w:t>
      </w:r>
    </w:p>
    <w:p w14:paraId="348C8BEA">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（五）危险作业管理制度；</w:t>
      </w:r>
    </w:p>
    <w:p w14:paraId="14646D7B">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（六）生产经营场所和设施、设备、工艺安全管理制度；</w:t>
      </w:r>
    </w:p>
    <w:p w14:paraId="7E141E17">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（七）劳动防护用品使用和管理制度；</w:t>
      </w:r>
    </w:p>
    <w:p w14:paraId="689E47D8">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（八）生产安全事故报告和处理制度；</w:t>
      </w:r>
    </w:p>
    <w:p w14:paraId="47C05472">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（九）安全生产考核奖惩制度；</w:t>
      </w:r>
    </w:p>
    <w:p w14:paraId="69FD5422">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（十）其他保障安全生产的规章制度。</w:t>
      </w:r>
    </w:p>
    <w:p w14:paraId="7E7C4FB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rPr>
      </w:pPr>
      <w:r>
        <w:rPr>
          <w:rFonts w:hint="eastAsia" w:asciiTheme="minorEastAsia" w:hAnsiTheme="minorEastAsia" w:eastAsiaTheme="minorEastAsia" w:cstheme="minorEastAsia"/>
          <w:sz w:val="18"/>
          <w:szCs w:val="18"/>
        </w:rPr>
        <w:t>生产经营单位根据本单位实际，可以制定包含上一款内容的综合性安全生产规章制度。</w:t>
      </w:r>
    </w:p>
  </w:footnote>
  <w:footnote w:id="2">
    <w:p w14:paraId="2026DB95">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w:t>
      </w:r>
      <w:r>
        <w:rPr>
          <w:rFonts w:hint="eastAsia" w:asciiTheme="minorEastAsia" w:hAnsiTheme="minorEastAsia" w:eastAsiaTheme="minorEastAsia" w:cstheme="minorEastAsia"/>
          <w:sz w:val="18"/>
          <w:szCs w:val="18"/>
          <w:lang w:val="en-US" w:eastAsia="zh-CN"/>
        </w:rPr>
        <w:t>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1547A99D">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生产经营单位应当建立安全生产教育和培训档案，如实记录安全生产教育和培训的时间、</w:t>
      </w:r>
      <w:r>
        <w:rPr>
          <w:rFonts w:hint="eastAsia" w:asciiTheme="minorEastAsia" w:hAnsiTheme="minorEastAsia" w:eastAsiaTheme="minorEastAsia" w:cstheme="minorEastAsia"/>
          <w:sz w:val="18"/>
          <w:szCs w:val="18"/>
        </w:rPr>
        <w:t>内容、参加人员以及考核结果等情况。</w:t>
      </w:r>
    </w:p>
  </w:footnote>
  <w:footnote w:id="3">
    <w:p w14:paraId="066A411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安全生产法》第四十一条</w:t>
      </w:r>
      <w:r>
        <w:rPr>
          <w:rFonts w:hint="eastAsia" w:asciiTheme="minorEastAsia" w:hAnsiTheme="minorEastAsia" w:cstheme="minorEastAsia"/>
          <w:sz w:val="18"/>
          <w:szCs w:val="18"/>
          <w:lang w:eastAsia="zh-CN"/>
        </w:rPr>
        <w:t>：</w:t>
      </w:r>
      <w:r>
        <w:rPr>
          <w:rFonts w:hint="eastAsia" w:asciiTheme="minorEastAsia" w:hAnsiTheme="minorEastAsia" w:eastAsiaTheme="minorEastAsia" w:cstheme="minorEastAsia"/>
          <w:sz w:val="18"/>
          <w:szCs w:val="18"/>
        </w:rPr>
        <w:t>生产经营单位应当建立安全风险分级管控制度，按照安全风险分级采取相应的管控措施。</w:t>
      </w:r>
    </w:p>
    <w:p w14:paraId="6D9E2FC2">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2964A36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w:t>
      </w:r>
      <w:r>
        <w:rPr>
          <w:rFonts w:hint="eastAsia" w:asciiTheme="minorEastAsia" w:hAnsiTheme="minorEastAsia" w:eastAsiaTheme="minorEastAsia" w:cstheme="minorEastAsia"/>
          <w:sz w:val="18"/>
          <w:szCs w:val="18"/>
          <w:lang w:val="en-US" w:eastAsia="zh-CN"/>
        </w:rPr>
        <w:t>第四十四条：生产经营单位应当教育和督促从业人员严格执行本单位的安全生产规章制度和安全操作规程；并向从业人员如实告知作业场所和工作岗位存在的危险因素、防范措施以及事故应急措施。</w:t>
      </w:r>
    </w:p>
    <w:p w14:paraId="4C6D9B4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cstheme="minorEastAsia"/>
          <w:sz w:val="18"/>
          <w:szCs w:val="18"/>
          <w:lang w:val="en-US" w:eastAsia="zh-CN"/>
        </w:rPr>
        <w:t>《江西省安全生产条例》</w:t>
      </w:r>
      <w:r>
        <w:rPr>
          <w:rFonts w:hint="eastAsia" w:asciiTheme="minorEastAsia" w:hAnsiTheme="minorEastAsia" w:eastAsiaTheme="minorEastAsia" w:cstheme="minorEastAsia"/>
          <w:sz w:val="18"/>
          <w:szCs w:val="18"/>
          <w:lang w:val="en-US" w:eastAsia="zh-CN"/>
        </w:rPr>
        <w:t>第二十一条</w:t>
      </w:r>
      <w:r>
        <w:rPr>
          <w:rFonts w:hint="eastAsia" w:asciiTheme="minorEastAsia" w:hAnsi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t>生产经营单位应当建立健全并落实安全风险分级管控制度，定期组织安全生产管理、工程技术、岗位操作等相关人员，对生产工艺、设施设备、作业环境、人员行为等方面存在的安全风险进行全面、系统辨识评估，对辨识出的安全风险进行分类梳理，确定安全风险等级，从制度、组织、技术、管理、应急等方面逐项制定管控措施，编制风险分级管控清单，按照安全风险等级实施分级管控。</w:t>
      </w:r>
    </w:p>
    <w:p w14:paraId="1936351A">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应当建立健全并落实生产安全事故隐患排查治理制度，明确单位各部门（车间）、安全生产管理机构、班组负责人和具体岗位从业人员的事故隐患排查治理责任，定期组织事故隐患排查，编制事故隐患排查治理清单。事故隐患排查治理情况应当如实记录，按照规定建立台账或者信息档案，并通过职工大会或者职工代表大会、信息公示栏等方式向从业人员通报。对事故隐患应当及时采取技术、管理等措施予以消除；对不能及时消除的事故隐患应当采取有效安全防范和监控措施，制定治理方案，明确治理的具体措施、责任、资金、时限和应急预案。</w:t>
      </w:r>
    </w:p>
  </w:footnote>
  <w:footnote w:id="4">
    <w:p w14:paraId="20ED86F0">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建设工程监理规范》5.5安全生产管理的监理工作：5.5.2项目监理机构应审查施工单位现场安全生产规章制度的建立和实施情况，并应审查施工单位安全生产许可证及施工单位项目经理、专职安全生产管理人员和特种作业人员的资格，同时应核查施工机械和设施的安全许可验收手续。</w:t>
      </w:r>
    </w:p>
  </w:footnote>
  <w:footnote w:id="5">
    <w:p w14:paraId="0E8DC7F6">
      <w:pPr>
        <w:pStyle w:val="10"/>
        <w:snapToGrid w:val="0"/>
        <w:rPr>
          <w:rFonts w:hint="default" w:eastAsiaTheme="minorEastAsia"/>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建筑起重机机械安全监督管理规定》第二十二条：监理单位应当履行下列安全职责：（五）监督检查建筑起重机械的使用情况：（六）发现存在生产安全事故隐患的，应当要求安装单位、使用单位限期整改，对安装单位、使用单位拒不整改的，及时向建设单位报告。</w:t>
      </w:r>
    </w:p>
  </w:footnote>
  <w:footnote w:id="6">
    <w:p w14:paraId="14CF769E">
      <w:pPr>
        <w:pStyle w:val="10"/>
        <w:snapToGrid w:val="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建设工程监理规范》5.5安全生产管理的监理工作：5.5.6项目监理机构在实施监理过程中，发现工程存在安全事故隐患时，应签发监理通知单，要求施工单位整改;情况严重时，应签发工程暂停令，并应及时报告建设单位。施工单位拒不整改或不停止施工时，项目监理机构应及时向有关主管部门报送监理报告</w:t>
      </w:r>
    </w:p>
  </w:footnote>
  <w:footnote w:id="7">
    <w:p w14:paraId="0ACD034C">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安全生产法》第二十一条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生产经营单位的主要负责人对本单位安全生产工作负有下列职责:</w:t>
      </w:r>
    </w:p>
    <w:p w14:paraId="15A43E06">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（一）建立健全并落实本单位全员安全生产责任制，加强安全生产标准化建设；</w:t>
      </w:r>
    </w:p>
    <w:p w14:paraId="18824030">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（二）组织制定并实施本单位安全生产规章制度和操作规程；</w:t>
      </w:r>
    </w:p>
    <w:p w14:paraId="2F6F0EEC">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（三）组织制定并实施本单位安全生产教育和培训计划；</w:t>
      </w:r>
    </w:p>
    <w:p w14:paraId="69079D7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（四）保证本单位安全生产投入的有效实施；</w:t>
      </w:r>
    </w:p>
    <w:p w14:paraId="5EF6B61B">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（五）组织建立并落实安全风险分级管控和隐患排查治理双重预防工作机制，督促、检查本单位的安全生产工作，及时消除生产安全事故隐患；</w:t>
      </w:r>
    </w:p>
    <w:p w14:paraId="6A1492CB">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（六）组织制定并实施本单位的生产安全事故应急救援预案；</w:t>
      </w:r>
    </w:p>
    <w:p w14:paraId="10FF3FD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（七）及时、如实报告生产安全事故。</w:t>
      </w:r>
    </w:p>
  </w:footnote>
  <w:footnote w:id="8">
    <w:p w14:paraId="2640A485">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]《建设工程安全生产管理条例》第二十一条第一款：</w:t>
      </w:r>
      <w:r>
        <w:rPr>
          <w:rFonts w:hint="eastAsia" w:asciiTheme="minorEastAsia" w:hAnsiTheme="minorEastAsia" w:eastAsiaTheme="minorEastAsia" w:cstheme="minorEastAsia"/>
          <w:kern w:val="2"/>
          <w:sz w:val="18"/>
          <w:szCs w:val="18"/>
          <w:lang w:val="en-US" w:eastAsia="zh-CN" w:bidi="ar-SA"/>
        </w:rPr>
        <w:t>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footnote>
  <w:footnote w:id="9">
    <w:p w14:paraId="375F29A2">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安全生产法》第九十五条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生产经营单位的主要负责人未履行本法规定的安全生产管理职责，导致发生生产安全事故的，由应急管理部门依照下列规定处以罚款:</w:t>
      </w:r>
    </w:p>
    <w:p w14:paraId="2DD3742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（一）发生一般事故的，处上一年年收入百分之四十的罚款；</w:t>
      </w:r>
    </w:p>
  </w:footnote>
  <w:footnote w:id="10">
    <w:p w14:paraId="09FE4F65">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建设工程安全生产管理条例》第二十一条：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footnote>
  <w:footnote w:id="11">
    <w:p w14:paraId="4CF34DD8">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]《注册建造师管理规定》第二十六条：注册建造师不得有下列行为：（九）法律、法规、规章禁止的其他行为。</w:t>
      </w:r>
    </w:p>
  </w:footnote>
  <w:footnote w:id="12">
    <w:p w14:paraId="61ED7143">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安全生产法》第二十五条</w:t>
      </w:r>
      <w:r>
        <w:rPr>
          <w:rFonts w:hint="eastAsia" w:asciiTheme="minorEastAsia" w:hAnsiTheme="minorEastAsia" w:eastAsiaTheme="minorEastAsia" w:cstheme="minorEastAsia"/>
          <w:sz w:val="18"/>
          <w:szCs w:val="18"/>
          <w:lang w:val="en-US" w:eastAsia="zh-CN"/>
        </w:rPr>
        <w:t>第二、三项</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生产经营单位的安全生产管理机构以及安全生产管理人员履行下列职责:</w:t>
      </w:r>
    </w:p>
    <w:p w14:paraId="5906A7B2">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（二）组织或者参与本单位安全生产教育和培训，如实记录安全生产教育和培训情况；</w:t>
      </w:r>
    </w:p>
    <w:p w14:paraId="23DF72DD">
      <w:pPr>
        <w:keepNext w:val="0"/>
        <w:keepLines w:val="0"/>
        <w:pageBreakBefore w:val="0"/>
        <w:widowControl w:val="0"/>
        <w:kinsoku/>
        <w:wordWrap/>
        <w:overflowPunct/>
        <w:topLinePunct w:val="0"/>
        <w:autoSpaceDE/>
        <w:autoSpaceDN/>
        <w:bidi w:val="0"/>
        <w:adjustRightInd/>
        <w:snapToGrid/>
        <w:ind w:firstLine="0" w:firstLineChars="0"/>
        <w:textAlignment w:val="auto"/>
        <w:rPr>
          <w:b/>
          <w:bCs/>
        </w:rPr>
      </w:pPr>
      <w:r>
        <w:rPr>
          <w:rFonts w:hint="eastAsia" w:asciiTheme="minorEastAsia" w:hAnsiTheme="minorEastAsia" w:eastAsiaTheme="minorEastAsia" w:cstheme="minorEastAsia"/>
          <w:sz w:val="18"/>
          <w:szCs w:val="18"/>
        </w:rPr>
        <w:t>（三）组织开展危险源辨识和评估，督促落实本单位重大危险源的安全管理措施；</w:t>
      </w:r>
    </w:p>
  </w:footnote>
  <w:footnote w:id="13">
    <w:p w14:paraId="2773663C">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]《中华人民共和国安全生产法》第二十六条：生产经营单位的安全生产管理机构以及安全生产管理人员应当恪尽职守，依法履行职责。</w:t>
      </w:r>
    </w:p>
  </w:footnote>
  <w:footnote w:id="14">
    <w:p w14:paraId="6E463CEE">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《中华人民共和国安全生产法》第二十五条：生产经营单位的安全生产管理机构以及安全生产管理人员履行下列职责:</w:t>
      </w:r>
    </w:p>
    <w:p w14:paraId="54954B7F">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（一）组织或者参与拟订本单位安全生产规章制度、操作规程和生产安全事故应急救援预案；</w:t>
      </w:r>
    </w:p>
    <w:p w14:paraId="0652DEC0">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（二）组织或者参与本单位安全生产教育和培训，如实记录安全生产教育和培训情况；</w:t>
      </w:r>
    </w:p>
    <w:p w14:paraId="1F7635A8">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（五）检查本单位的安全生产状况，及时排查生产安全事故隐患，提出改进安全生产管理的建议；</w:t>
      </w:r>
    </w:p>
  </w:footnote>
  <w:footnote w:id="15">
    <w:p w14:paraId="621E9FE1">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《中华人民共和国安全生产法》</w:t>
      </w:r>
      <w:r>
        <w:rPr>
          <w:rFonts w:hint="eastAsia" w:asciiTheme="minorEastAsia" w:hAnsiTheme="minorEastAsia" w:eastAsiaTheme="minorEastAsia" w:cstheme="minorEastAsia"/>
          <w:sz w:val="18"/>
          <w:szCs w:val="18"/>
        </w:rPr>
        <w:t>第二十六条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生产经营单位的安全生产管理机构以及安全生产管理人员应当恪尽职守，依法履行职责。</w:t>
      </w:r>
    </w:p>
  </w:footnote>
  <w:footnote w:id="16">
    <w:p w14:paraId="52DCFC7A">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建筑施工企业主要负责人、项目负责人和专职安全生产管理人员安全生产管理规定》第二十条：项目专职安全生产管理人员应当每天在施工现场开展安全检查，现场监督危险性较大的分部分项工程安全专项施工方案实施。对检查中发现的安全事故隐患，应当立即处理；不能处理的，应当及时报告项目负责人和企业安全生产管理机构。项目负责人应当及时处理。检查及处理情况应当记入项目安全管理档案。</w:t>
      </w:r>
    </w:p>
  </w:footnote>
  <w:footnote w:id="17">
    <w:p w14:paraId="51F30B32">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]《建设工程安全生产管理条例》第十四条第三款：工程监理单位和监理工程师应当按照法律、法规和工程建设强制性标准实施监理，并对建设工程安全生产承担监理责任。</w:t>
      </w:r>
    </w:p>
  </w:footnote>
  <w:footnote w:id="18">
    <w:p w14:paraId="5260B2EE">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建设工程监理规范》(GB/T50319-2013）第5.5.2：项目监理机构应审查施工单位现场安全生产规章制度的建立和实施情况，并应审查施工单位安全生产许可证及施工单位项目经理、专职安全生产管理人员和特种作业人员的资格，同时应核查施工机械和设施的安全许可验收手续。</w:t>
      </w:r>
    </w:p>
  </w:footnote>
  <w:footnote w:id="19">
    <w:p w14:paraId="3B4A4B0F">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]《注册监理工程师管理规定》第二十六条第一、二项，第二十六条注册监理工程师应当履行下列义务：</w:t>
      </w:r>
    </w:p>
    <w:p w14:paraId="7EF84E65">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（一）遵守法律、法规和有关管理规定；</w:t>
      </w:r>
    </w:p>
    <w:p w14:paraId="3800631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（二）履行管理职责，执行技术标准、规范和规程；</w:t>
      </w:r>
    </w:p>
    <w:p w14:paraId="51B0DE68">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p>
  </w:footnote>
  <w:footnote w:id="20">
    <w:p w14:paraId="63890FD7">
      <w:pPr>
        <w:pStyle w:val="10"/>
        <w:snapToGrid w:val="0"/>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]《建设工程安全生产管理</w:t>
      </w:r>
      <w:r>
        <w:rPr>
          <w:rFonts w:hint="eastAsia" w:asciiTheme="minorEastAsia" w:hAnsiTheme="minorEastAsia" w:eastAsiaTheme="minorEastAsia" w:cstheme="minorEastAsia"/>
          <w:sz w:val="18"/>
          <w:szCs w:val="18"/>
          <w:lang w:val="en-US" w:eastAsia="zh-CN"/>
        </w:rPr>
        <w:fldChar w:fldCharType="begin"/>
      </w:r>
      <w:r>
        <w:rPr>
          <w:rFonts w:hint="eastAsia" w:asciiTheme="minorEastAsia" w:hAnsiTheme="minorEastAsia" w:eastAsiaTheme="minorEastAsia" w:cstheme="minorEastAsia"/>
          <w:sz w:val="18"/>
          <w:szCs w:val="18"/>
          <w:lang w:val="en-US" w:eastAsia="zh-CN"/>
        </w:rPr>
        <w:instrText xml:space="preserve"> HYPERLINK "https://baike.so.com/doc/5114591-5343453.html" \t "https://baike.so.com/doc/_blank" </w:instrText>
      </w:r>
      <w:r>
        <w:rPr>
          <w:rFonts w:hint="eastAsia" w:asciiTheme="minorEastAsia" w:hAnsiTheme="minorEastAsia" w:eastAsiaTheme="minorEastAsia" w:cstheme="minorEastAsia"/>
          <w:sz w:val="18"/>
          <w:szCs w:val="18"/>
          <w:lang w:val="en-US" w:eastAsia="zh-CN"/>
        </w:rPr>
        <w:fldChar w:fldCharType="separate"/>
      </w:r>
      <w:r>
        <w:rPr>
          <w:rFonts w:hint="eastAsia" w:asciiTheme="minorEastAsia" w:hAnsiTheme="minorEastAsia" w:eastAsiaTheme="minorEastAsia" w:cstheme="minorEastAsia"/>
          <w:sz w:val="18"/>
          <w:szCs w:val="18"/>
          <w:lang w:val="en-US" w:eastAsia="zh-CN"/>
        </w:rPr>
        <w:t>条例</w:t>
      </w:r>
      <w:r>
        <w:rPr>
          <w:rFonts w:hint="eastAsia" w:asciiTheme="minorEastAsia" w:hAnsiTheme="minorEastAsia" w:eastAsiaTheme="minorEastAsia" w:cstheme="minorEastAsia"/>
          <w:sz w:val="18"/>
          <w:szCs w:val="18"/>
          <w:lang w:val="en-US" w:eastAsia="zh-CN"/>
        </w:rPr>
        <w:fldChar w:fldCharType="end"/>
      </w:r>
      <w:r>
        <w:rPr>
          <w:rFonts w:hint="eastAsia" w:asciiTheme="minorEastAsia" w:hAnsiTheme="minorEastAsia" w:eastAsiaTheme="minorEastAsia" w:cstheme="minorEastAsia"/>
          <w:sz w:val="18"/>
          <w:szCs w:val="18"/>
          <w:lang w:val="en-US" w:eastAsia="zh-CN"/>
        </w:rPr>
        <w:t>》第三十五条：施工单位在使用施工起重机械和整体提升脚手架、模板等自升式架设设施前，应当组织有关单位进行验收，也可以委托具有相应资质的检验检测机构进行验收;使用承租的机械设备和施工机具及配件的，由施工总承包单位、分包单位、出租单位和安装单位共同进行验收。验收合格的方可使用。</w:t>
      </w:r>
    </w:p>
  </w:footnote>
  <w:footnote w:id="21">
    <w:p w14:paraId="1E5E7C7D">
      <w:pPr>
        <w:pStyle w:val="10"/>
        <w:snapToGrid w:val="0"/>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建筑起重机械安全监督管理规定》第十六条：建筑起重机械安装完毕后，使用单位应当组织出租、安装、监理等有关单位进行验收，或者委托具有相应资质的检验检测机构进行验收。建筑起重机械经验收合格后方可投入使用，未经验收或者验收不合格的不得使用。</w:t>
      </w:r>
    </w:p>
  </w:footnote>
  <w:footnote w:id="22">
    <w:p w14:paraId="1C41230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安全生产法》第四条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23">
    <w:p w14:paraId="73521AC0">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安全生产法》第二十八条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4EE7E863">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0978D4AB">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生产经营单位接收中等职业学校、高等学校学生实习的，应当对实习学生进行相应的安全生产教育和培训，提供必要的劳动防护用品。学校应当协助生产经营单位对实习学生进行安全生产教育和培训。</w:t>
      </w:r>
    </w:p>
    <w:p w14:paraId="3E76BC7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生产经营单位应当建立安全生产教育和培训档案，如实记录安全生产教育和培训的时间、内容、参加人员以及考核结果等情况。</w:t>
      </w:r>
    </w:p>
  </w:footnote>
  <w:footnote w:id="24">
    <w:p w14:paraId="32D37E12">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安全生产法》第四十一条</w:t>
      </w:r>
      <w:r>
        <w:rPr>
          <w:rFonts w:hint="eastAsia" w:asciiTheme="minorEastAsia" w:hAnsiTheme="minorEastAsia" w:cstheme="minorEastAsia"/>
          <w:sz w:val="18"/>
          <w:szCs w:val="18"/>
          <w:lang w:eastAsia="zh-CN"/>
        </w:rPr>
        <w:t>：</w:t>
      </w:r>
      <w:r>
        <w:rPr>
          <w:rFonts w:hint="eastAsia" w:asciiTheme="minorEastAsia" w:hAnsiTheme="minorEastAsia" w:eastAsiaTheme="minorEastAsia" w:cstheme="minorEastAsia"/>
          <w:sz w:val="18"/>
          <w:szCs w:val="18"/>
        </w:rPr>
        <w:t>生产经营单位应当建立安全风险分级管控制度，按照安全风险分级采取相应的管控措施。</w:t>
      </w:r>
    </w:p>
    <w:p w14:paraId="3415700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pPr>
      <w:r>
        <w:rPr>
          <w:rFonts w:hint="eastAsia" w:asciiTheme="minorEastAsia" w:hAnsiTheme="minorEastAsia" w:eastAsiaTheme="minorEastAsia" w:cstheme="minorEastAsia"/>
          <w:sz w:val="18"/>
          <w:szCs w:val="18"/>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25">
    <w:p w14:paraId="1E0D935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w:t>
      </w:r>
      <w:r>
        <w:rPr>
          <w:rFonts w:hint="eastAsia" w:asciiTheme="minorEastAsia" w:hAnsiTheme="minorEastAsia" w:eastAsiaTheme="minorEastAsia" w:cstheme="minorEastAsia"/>
          <w:sz w:val="18"/>
          <w:szCs w:val="18"/>
          <w:lang w:val="en-US" w:eastAsia="zh-CN"/>
        </w:rPr>
        <w:t>第四十四条：生产经营单位应当教育和督促从业人员严格执行本单位的安全生产规章制度和安全操作规程；并向从业人员如实告知作业场所和工作岗位存在的危险因素、防范措施以及事故应急措施。</w:t>
      </w:r>
    </w:p>
  </w:footnote>
  <w:footnote w:id="26">
    <w:p w14:paraId="628F9A26">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安全生产法》第一百一十四条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发生生产安全事故，对负有责任的生产经营单位除要求其依法承担相应的赔偿等责任外，由应急管理部门依照下列规定处以罚款：</w:t>
      </w:r>
    </w:p>
    <w:p w14:paraId="4905B25A">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（一）发生一般事故的，处三十万元以上一百万元以下的罚款；</w:t>
      </w:r>
    </w:p>
    <w:p w14:paraId="21618847">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（二）发生较大事故的，处一百万元以上二百万元以下的罚款；</w:t>
      </w:r>
    </w:p>
    <w:p w14:paraId="7CF4E9A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（三）发生重大事故的，处二百万元以上一千万元以下的罚款；</w:t>
      </w:r>
    </w:p>
    <w:p w14:paraId="31ACAD0F">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（四）发生特别重大事故的，处一千万元以上二千万元以下的罚款。</w:t>
      </w:r>
    </w:p>
    <w:p w14:paraId="4C9AA7B9">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发生生产安全事故，情节特别严重、影响特别恶劣的，应急管理部门可以按照前款罚款数额的二倍以上五倍以下对负有责任的生产经营单位处以罚款。</w:t>
      </w:r>
    </w:p>
  </w:footnote>
  <w:footnote w:id="27">
    <w:p w14:paraId="642A2E4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建设工程安全生产管理条例》第十四条第二、三款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14:paraId="1753276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pPr>
      <w:r>
        <w:rPr>
          <w:rFonts w:hint="eastAsia" w:asciiTheme="minorEastAsia" w:hAnsiTheme="minorEastAsia" w:eastAsiaTheme="minorEastAsia" w:cstheme="minorEastAsia"/>
          <w:sz w:val="18"/>
          <w:szCs w:val="18"/>
          <w:lang w:val="en-US" w:eastAsia="zh-CN"/>
        </w:rPr>
        <w:t>工程监理单位和监理工程师应当按照法律、法规和工程建设强制性标准实施监理，并对建设工程安全生产承担监理责任。</w:t>
      </w:r>
    </w:p>
  </w:footnote>
  <w:footnote w:id="28">
    <w:p w14:paraId="0451132A">
      <w:pPr>
        <w:pStyle w:val="10"/>
        <w:snapToGrid w:val="0"/>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w:t>
      </w:r>
      <w:r>
        <w:rPr>
          <w:rFonts w:hint="eastAsia" w:asciiTheme="minorEastAsia" w:hAnsiTheme="minorEastAsia" w:eastAsiaTheme="minorEastAsia" w:cstheme="minorEastAsia"/>
          <w:kern w:val="2"/>
          <w:sz w:val="18"/>
          <w:szCs w:val="18"/>
          <w:lang w:val="en-US" w:eastAsia="zh-CN" w:bidi="ar-SA"/>
        </w:rPr>
        <w:footnoteRef/>
      </w:r>
      <w:r>
        <w:rPr>
          <w:rFonts w:hint="eastAsia" w:asciiTheme="minorEastAsia" w:hAnsiTheme="minorEastAsia" w:eastAsiaTheme="minorEastAsia" w:cstheme="minorEastAsia"/>
          <w:kern w:val="2"/>
          <w:sz w:val="18"/>
          <w:szCs w:val="18"/>
          <w:lang w:val="en-US" w:eastAsia="zh-CN" w:bidi="ar-SA"/>
        </w:rPr>
        <w:t>]《建筑起重机械安全监督管理规定》第二十二条：监理单位应当履行下列安全职责：</w:t>
      </w:r>
    </w:p>
    <w:p w14:paraId="5B7E30ED">
      <w:pPr>
        <w:pStyle w:val="10"/>
        <w:numPr>
          <w:ilvl w:val="0"/>
          <w:numId w:val="1"/>
        </w:numPr>
        <w:snapToGrid w:val="0"/>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监督检查建筑起重机械的使用情况；</w:t>
      </w:r>
    </w:p>
    <w:p w14:paraId="33D386EA">
      <w:pPr>
        <w:pStyle w:val="10"/>
        <w:numPr>
          <w:ilvl w:val="0"/>
          <w:numId w:val="1"/>
        </w:numPr>
        <w:snapToGrid w:val="0"/>
      </w:pPr>
      <w:r>
        <w:rPr>
          <w:rFonts w:hint="eastAsia" w:asciiTheme="minorEastAsia" w:hAnsiTheme="minorEastAsia" w:eastAsiaTheme="minorEastAsia" w:cstheme="minorEastAsia"/>
          <w:kern w:val="2"/>
          <w:sz w:val="18"/>
          <w:szCs w:val="18"/>
          <w:lang w:val="en-US" w:eastAsia="zh-CN" w:bidi="ar-SA"/>
        </w:rPr>
        <w:t>（六）发现存在生产安全事故隐患的，应当要求安装单位、使用单位限期整改，对安装单位、使用单位拒不整改的，及时向建设单位报告。</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4B86A3"/>
    <w:multiLevelType w:val="singleLevel"/>
    <w:tmpl w:val="BB4B86A3"/>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19"/>
  <w:autoHyphenation/>
  <w:displayHorizontalDrawingGridEvery w:val="1"/>
  <w:displayVerticalDrawingGridEvery w:val="1"/>
  <w:noPunctuationKerning w:val="1"/>
  <w:characterSpacingControl w:val="doNotCompress"/>
  <w:footnotePr>
    <w:footnote w:id="58"/>
    <w:footnote w:id="59"/>
  </w:footnotePr>
  <w:endnotePr>
    <w:endnote w:id="0"/>
    <w:endnote w:id="1"/>
  </w:endnotePr>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hNTBmY2ZhMjMxN2M5Njc0MzBkZDkyOWEzNDQ2MmYifQ=="/>
  </w:docVars>
  <w:rsids>
    <w:rsidRoot w:val="003D1C90"/>
    <w:rsid w:val="00040C3D"/>
    <w:rsid w:val="00154A30"/>
    <w:rsid w:val="00167024"/>
    <w:rsid w:val="00223665"/>
    <w:rsid w:val="00343194"/>
    <w:rsid w:val="00360E6B"/>
    <w:rsid w:val="003D1C90"/>
    <w:rsid w:val="003F140D"/>
    <w:rsid w:val="00471B1A"/>
    <w:rsid w:val="004C7C71"/>
    <w:rsid w:val="004F5D14"/>
    <w:rsid w:val="005D3FB6"/>
    <w:rsid w:val="007D5831"/>
    <w:rsid w:val="008E4CDF"/>
    <w:rsid w:val="00AA5C44"/>
    <w:rsid w:val="00AE4881"/>
    <w:rsid w:val="00B00D43"/>
    <w:rsid w:val="00B76EE9"/>
    <w:rsid w:val="00CD21CA"/>
    <w:rsid w:val="00D66044"/>
    <w:rsid w:val="00E4039F"/>
    <w:rsid w:val="00E54129"/>
    <w:rsid w:val="00EB228F"/>
    <w:rsid w:val="00FE1315"/>
    <w:rsid w:val="01855C1F"/>
    <w:rsid w:val="018A58CB"/>
    <w:rsid w:val="01D056DE"/>
    <w:rsid w:val="01FF1E15"/>
    <w:rsid w:val="024B61E8"/>
    <w:rsid w:val="030D40BE"/>
    <w:rsid w:val="03F25B23"/>
    <w:rsid w:val="04846944"/>
    <w:rsid w:val="05300538"/>
    <w:rsid w:val="05EF3F4F"/>
    <w:rsid w:val="06562220"/>
    <w:rsid w:val="06A37F5B"/>
    <w:rsid w:val="06AF5991"/>
    <w:rsid w:val="074B4DF2"/>
    <w:rsid w:val="075524D7"/>
    <w:rsid w:val="078D3A1F"/>
    <w:rsid w:val="0818453F"/>
    <w:rsid w:val="0826583C"/>
    <w:rsid w:val="08AC2F18"/>
    <w:rsid w:val="08EE6740"/>
    <w:rsid w:val="09903A5B"/>
    <w:rsid w:val="09AA6B0A"/>
    <w:rsid w:val="09B5568E"/>
    <w:rsid w:val="0A856C30"/>
    <w:rsid w:val="0AB47F2A"/>
    <w:rsid w:val="0AC82E14"/>
    <w:rsid w:val="0BAD0343"/>
    <w:rsid w:val="0BB04180"/>
    <w:rsid w:val="0C2C7CAB"/>
    <w:rsid w:val="0C3571FF"/>
    <w:rsid w:val="0D4C4C89"/>
    <w:rsid w:val="0D53546C"/>
    <w:rsid w:val="0D9E0871"/>
    <w:rsid w:val="0E6D3CDD"/>
    <w:rsid w:val="0E72571D"/>
    <w:rsid w:val="0E8D2557"/>
    <w:rsid w:val="0F77518B"/>
    <w:rsid w:val="0F9C2F06"/>
    <w:rsid w:val="10186CAC"/>
    <w:rsid w:val="110B1799"/>
    <w:rsid w:val="1117619B"/>
    <w:rsid w:val="112563F5"/>
    <w:rsid w:val="1144122A"/>
    <w:rsid w:val="115F1BDA"/>
    <w:rsid w:val="119157E6"/>
    <w:rsid w:val="11A82B01"/>
    <w:rsid w:val="11DC7A7D"/>
    <w:rsid w:val="125F7627"/>
    <w:rsid w:val="128B3606"/>
    <w:rsid w:val="12AF4B98"/>
    <w:rsid w:val="12DA0C7B"/>
    <w:rsid w:val="14665D24"/>
    <w:rsid w:val="14EA311B"/>
    <w:rsid w:val="157222F6"/>
    <w:rsid w:val="1664317D"/>
    <w:rsid w:val="16C414B1"/>
    <w:rsid w:val="175638FA"/>
    <w:rsid w:val="17C5010E"/>
    <w:rsid w:val="1810088A"/>
    <w:rsid w:val="18EA16B7"/>
    <w:rsid w:val="190A3776"/>
    <w:rsid w:val="19297320"/>
    <w:rsid w:val="193B7A6B"/>
    <w:rsid w:val="194957E2"/>
    <w:rsid w:val="195A572B"/>
    <w:rsid w:val="19D96564"/>
    <w:rsid w:val="1A2D37CA"/>
    <w:rsid w:val="1AAE3A41"/>
    <w:rsid w:val="1B2D1E0F"/>
    <w:rsid w:val="1B3B2E9D"/>
    <w:rsid w:val="1B5747FB"/>
    <w:rsid w:val="1B8D4A98"/>
    <w:rsid w:val="1C9C10DE"/>
    <w:rsid w:val="1CFD4F9F"/>
    <w:rsid w:val="1E6123C7"/>
    <w:rsid w:val="1E624E22"/>
    <w:rsid w:val="1E6C2DEB"/>
    <w:rsid w:val="1E820A99"/>
    <w:rsid w:val="1E90793C"/>
    <w:rsid w:val="1F5C0C50"/>
    <w:rsid w:val="1FA607CC"/>
    <w:rsid w:val="20125347"/>
    <w:rsid w:val="201802E0"/>
    <w:rsid w:val="21B87493"/>
    <w:rsid w:val="21C354A2"/>
    <w:rsid w:val="21C82F51"/>
    <w:rsid w:val="21F45E67"/>
    <w:rsid w:val="21F90CC0"/>
    <w:rsid w:val="22A34CB2"/>
    <w:rsid w:val="22C76174"/>
    <w:rsid w:val="23B75C54"/>
    <w:rsid w:val="23C46526"/>
    <w:rsid w:val="24E54A43"/>
    <w:rsid w:val="24F10F13"/>
    <w:rsid w:val="25034EC9"/>
    <w:rsid w:val="25BD3609"/>
    <w:rsid w:val="26AF134E"/>
    <w:rsid w:val="26E36D60"/>
    <w:rsid w:val="27574607"/>
    <w:rsid w:val="276734B3"/>
    <w:rsid w:val="28CD5F1A"/>
    <w:rsid w:val="2956473B"/>
    <w:rsid w:val="29EF3680"/>
    <w:rsid w:val="2A3D1CDF"/>
    <w:rsid w:val="2A9B76FE"/>
    <w:rsid w:val="2AAD2577"/>
    <w:rsid w:val="2AF7102C"/>
    <w:rsid w:val="2BEE7BFA"/>
    <w:rsid w:val="2C0D6C02"/>
    <w:rsid w:val="2C655D27"/>
    <w:rsid w:val="2C9925D1"/>
    <w:rsid w:val="2C9D3A40"/>
    <w:rsid w:val="2D3B4634"/>
    <w:rsid w:val="2DC3417B"/>
    <w:rsid w:val="2DE93D59"/>
    <w:rsid w:val="2E60513A"/>
    <w:rsid w:val="2E8B228D"/>
    <w:rsid w:val="2EF35FAE"/>
    <w:rsid w:val="2F504BBD"/>
    <w:rsid w:val="2F807842"/>
    <w:rsid w:val="2FE4197F"/>
    <w:rsid w:val="30352579"/>
    <w:rsid w:val="30D00355"/>
    <w:rsid w:val="316E7B6E"/>
    <w:rsid w:val="31D64091"/>
    <w:rsid w:val="32967180"/>
    <w:rsid w:val="329C4871"/>
    <w:rsid w:val="32DE7765"/>
    <w:rsid w:val="33010C9A"/>
    <w:rsid w:val="332227E2"/>
    <w:rsid w:val="33674BFD"/>
    <w:rsid w:val="337A0A4C"/>
    <w:rsid w:val="339733AC"/>
    <w:rsid w:val="33C331DC"/>
    <w:rsid w:val="33FA071E"/>
    <w:rsid w:val="342E0AC8"/>
    <w:rsid w:val="360109F6"/>
    <w:rsid w:val="364621A2"/>
    <w:rsid w:val="374C6A20"/>
    <w:rsid w:val="37974C3A"/>
    <w:rsid w:val="37A8473A"/>
    <w:rsid w:val="37F94635"/>
    <w:rsid w:val="38895B61"/>
    <w:rsid w:val="38E94FE5"/>
    <w:rsid w:val="3A82117B"/>
    <w:rsid w:val="3AC107C7"/>
    <w:rsid w:val="3AEC222F"/>
    <w:rsid w:val="3AEE5047"/>
    <w:rsid w:val="3B190C3C"/>
    <w:rsid w:val="3B9711A7"/>
    <w:rsid w:val="3BCD5AB1"/>
    <w:rsid w:val="3BD137DB"/>
    <w:rsid w:val="3C4165AB"/>
    <w:rsid w:val="3C7054DF"/>
    <w:rsid w:val="3CE36864"/>
    <w:rsid w:val="3D27037D"/>
    <w:rsid w:val="3D850B8F"/>
    <w:rsid w:val="3EFA798A"/>
    <w:rsid w:val="3F584337"/>
    <w:rsid w:val="3FFC231A"/>
    <w:rsid w:val="404A344A"/>
    <w:rsid w:val="41521A3E"/>
    <w:rsid w:val="419D1715"/>
    <w:rsid w:val="41CC2DBB"/>
    <w:rsid w:val="42C86F8D"/>
    <w:rsid w:val="42D80560"/>
    <w:rsid w:val="43430E5B"/>
    <w:rsid w:val="43CA24DE"/>
    <w:rsid w:val="44030F25"/>
    <w:rsid w:val="441328F8"/>
    <w:rsid w:val="443E79B1"/>
    <w:rsid w:val="44BE2E8F"/>
    <w:rsid w:val="44D71F3C"/>
    <w:rsid w:val="44ED5522"/>
    <w:rsid w:val="44F57717"/>
    <w:rsid w:val="45173EE8"/>
    <w:rsid w:val="454B473F"/>
    <w:rsid w:val="45714915"/>
    <w:rsid w:val="45F823D0"/>
    <w:rsid w:val="46431172"/>
    <w:rsid w:val="47356E1A"/>
    <w:rsid w:val="47F0239B"/>
    <w:rsid w:val="484E298E"/>
    <w:rsid w:val="48816BF8"/>
    <w:rsid w:val="48977804"/>
    <w:rsid w:val="48EE1869"/>
    <w:rsid w:val="490177EE"/>
    <w:rsid w:val="49AE2F15"/>
    <w:rsid w:val="49EE5569"/>
    <w:rsid w:val="49FD6A33"/>
    <w:rsid w:val="4ABB577A"/>
    <w:rsid w:val="4ABE4653"/>
    <w:rsid w:val="4B101F6A"/>
    <w:rsid w:val="4B4B2A29"/>
    <w:rsid w:val="4B7D0C6E"/>
    <w:rsid w:val="4BAE52DF"/>
    <w:rsid w:val="4BF75D90"/>
    <w:rsid w:val="4CB21515"/>
    <w:rsid w:val="4D2C0BB1"/>
    <w:rsid w:val="4D4339AC"/>
    <w:rsid w:val="4D8C39CA"/>
    <w:rsid w:val="4E122D00"/>
    <w:rsid w:val="4E5E2927"/>
    <w:rsid w:val="4E5E4D9B"/>
    <w:rsid w:val="4F020FAD"/>
    <w:rsid w:val="4F7866DB"/>
    <w:rsid w:val="4F9A247A"/>
    <w:rsid w:val="4FB629B4"/>
    <w:rsid w:val="4FF260E2"/>
    <w:rsid w:val="50836D3A"/>
    <w:rsid w:val="51337FC8"/>
    <w:rsid w:val="514A5AAA"/>
    <w:rsid w:val="517221EA"/>
    <w:rsid w:val="517C63FE"/>
    <w:rsid w:val="519B6840"/>
    <w:rsid w:val="51C000AC"/>
    <w:rsid w:val="51E952C3"/>
    <w:rsid w:val="526E5A22"/>
    <w:rsid w:val="532950A2"/>
    <w:rsid w:val="533F623F"/>
    <w:rsid w:val="536F5752"/>
    <w:rsid w:val="5386672E"/>
    <w:rsid w:val="53B813F1"/>
    <w:rsid w:val="5442607F"/>
    <w:rsid w:val="54837309"/>
    <w:rsid w:val="556A671B"/>
    <w:rsid w:val="55A760D4"/>
    <w:rsid w:val="55B015CE"/>
    <w:rsid w:val="55CA0847"/>
    <w:rsid w:val="56107A43"/>
    <w:rsid w:val="56296B2A"/>
    <w:rsid w:val="569164B9"/>
    <w:rsid w:val="574A2360"/>
    <w:rsid w:val="58296419"/>
    <w:rsid w:val="58530CC9"/>
    <w:rsid w:val="59A541C5"/>
    <w:rsid w:val="59B27721"/>
    <w:rsid w:val="5A437BF3"/>
    <w:rsid w:val="5ABD2305"/>
    <w:rsid w:val="5ACA0E33"/>
    <w:rsid w:val="5BF60584"/>
    <w:rsid w:val="5C182A2D"/>
    <w:rsid w:val="5C7E53FF"/>
    <w:rsid w:val="5CE40B61"/>
    <w:rsid w:val="5CFA35BA"/>
    <w:rsid w:val="5D7A7717"/>
    <w:rsid w:val="5D8F31C2"/>
    <w:rsid w:val="5DAB5B22"/>
    <w:rsid w:val="5DF91BE5"/>
    <w:rsid w:val="5F9165FD"/>
    <w:rsid w:val="5FDA2EFF"/>
    <w:rsid w:val="60310B86"/>
    <w:rsid w:val="60563087"/>
    <w:rsid w:val="609C10B5"/>
    <w:rsid w:val="60E23609"/>
    <w:rsid w:val="61292712"/>
    <w:rsid w:val="628B3AAF"/>
    <w:rsid w:val="63511D57"/>
    <w:rsid w:val="63A308A2"/>
    <w:rsid w:val="63B079EF"/>
    <w:rsid w:val="649015CE"/>
    <w:rsid w:val="66906FB8"/>
    <w:rsid w:val="66B617C0"/>
    <w:rsid w:val="66C564EF"/>
    <w:rsid w:val="671771FC"/>
    <w:rsid w:val="676F5D62"/>
    <w:rsid w:val="67DA328C"/>
    <w:rsid w:val="68106CAE"/>
    <w:rsid w:val="686139AD"/>
    <w:rsid w:val="693C476F"/>
    <w:rsid w:val="694071DA"/>
    <w:rsid w:val="69EC5D0E"/>
    <w:rsid w:val="6A0D0354"/>
    <w:rsid w:val="6B6A0DCB"/>
    <w:rsid w:val="6BC4672D"/>
    <w:rsid w:val="6C4C0AD1"/>
    <w:rsid w:val="6C737CFB"/>
    <w:rsid w:val="6C7D712C"/>
    <w:rsid w:val="6C7F0FAD"/>
    <w:rsid w:val="6D7D4DE5"/>
    <w:rsid w:val="6D9C243D"/>
    <w:rsid w:val="6DA943DF"/>
    <w:rsid w:val="6DE56617"/>
    <w:rsid w:val="6F187D41"/>
    <w:rsid w:val="6F5A4CB2"/>
    <w:rsid w:val="6FD41A03"/>
    <w:rsid w:val="6FE70842"/>
    <w:rsid w:val="71AB3FB5"/>
    <w:rsid w:val="71E847F7"/>
    <w:rsid w:val="73916786"/>
    <w:rsid w:val="73966C01"/>
    <w:rsid w:val="73EC4A73"/>
    <w:rsid w:val="741C5549"/>
    <w:rsid w:val="74255B94"/>
    <w:rsid w:val="748D119D"/>
    <w:rsid w:val="749F1AE5"/>
    <w:rsid w:val="74F37D19"/>
    <w:rsid w:val="751002ED"/>
    <w:rsid w:val="752726C4"/>
    <w:rsid w:val="75483F2B"/>
    <w:rsid w:val="75680129"/>
    <w:rsid w:val="760A0722"/>
    <w:rsid w:val="772205A1"/>
    <w:rsid w:val="77450125"/>
    <w:rsid w:val="774539FA"/>
    <w:rsid w:val="77465145"/>
    <w:rsid w:val="77472DB0"/>
    <w:rsid w:val="786468B7"/>
    <w:rsid w:val="79EC613E"/>
    <w:rsid w:val="7A1C07A1"/>
    <w:rsid w:val="7ABB0CFB"/>
    <w:rsid w:val="7BEE5100"/>
    <w:rsid w:val="7BF97907"/>
    <w:rsid w:val="7BFA7F7A"/>
    <w:rsid w:val="7C8920FF"/>
    <w:rsid w:val="7CA44BAE"/>
    <w:rsid w:val="7D3957CF"/>
    <w:rsid w:val="7DC4436B"/>
    <w:rsid w:val="7DE47C5D"/>
    <w:rsid w:val="7E1B6FAC"/>
    <w:rsid w:val="7E611BB9"/>
    <w:rsid w:val="7E633F8B"/>
    <w:rsid w:val="7EF6799E"/>
    <w:rsid w:val="7F3A210C"/>
    <w:rsid w:val="7F4F5200"/>
    <w:rsid w:val="7F914720"/>
    <w:rsid w:val="7FE323B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hi-IN"/>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color w:val="333333"/>
      <w:kern w:val="44"/>
      <w:sz w:val="42"/>
      <w:szCs w:val="42"/>
      <w:lang w:val="en-US" w:eastAsia="zh-CN" w:bidi="ar"/>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ind w:left="120"/>
    </w:pPr>
    <w:rPr>
      <w:rFonts w:ascii="宋体" w:hAnsi="宋体" w:eastAsia="宋体" w:cs="宋体"/>
      <w:sz w:val="32"/>
      <w:szCs w:val="32"/>
    </w:rPr>
  </w:style>
  <w:style w:type="paragraph" w:styleId="4">
    <w:name w:val="Body Text Indent"/>
    <w:basedOn w:val="5"/>
    <w:qFormat/>
    <w:uiPriority w:val="0"/>
    <w:pPr>
      <w:ind w:firstLine="881"/>
    </w:pPr>
    <w:rPr>
      <w:rFonts w:ascii="Times New Roman" w:hAnsi="Times New Roman" w:cs="Times New Roman"/>
      <w:sz w:val="28"/>
      <w:szCs w:val="24"/>
    </w:rPr>
  </w:style>
  <w:style w:type="paragraph" w:customStyle="1" w:styleId="5">
    <w:name w:val="正文文本1"/>
    <w:basedOn w:val="6"/>
    <w:qFormat/>
    <w:uiPriority w:val="0"/>
    <w:pPr>
      <w:ind w:left="120"/>
    </w:pPr>
    <w:rPr>
      <w:rFonts w:ascii="宋体" w:hAnsi="宋体" w:eastAsia="宋体" w:cs="宋体"/>
      <w:sz w:val="32"/>
      <w:szCs w:val="32"/>
    </w:rPr>
  </w:style>
  <w:style w:type="paragraph" w:customStyle="1" w:styleId="6">
    <w:name w:val="正文1"/>
    <w:next w:val="4"/>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7">
    <w:name w:val="Balloon Text"/>
    <w:basedOn w:val="1"/>
    <w:link w:val="24"/>
    <w:semiHidden/>
    <w:unhideWhenUsed/>
    <w:qFormat/>
    <w:uiPriority w:val="99"/>
    <w:rPr>
      <w:rFonts w:cs="Mangal"/>
      <w:sz w:val="18"/>
      <w:szCs w:val="16"/>
    </w:rPr>
  </w:style>
  <w:style w:type="paragraph" w:styleId="8">
    <w:name w:val="footer"/>
    <w:basedOn w:val="1"/>
    <w:link w:val="23"/>
    <w:semiHidden/>
    <w:unhideWhenUsed/>
    <w:qFormat/>
    <w:uiPriority w:val="99"/>
    <w:pPr>
      <w:tabs>
        <w:tab w:val="center" w:pos="4153"/>
        <w:tab w:val="right" w:pos="8306"/>
      </w:tabs>
      <w:snapToGrid w:val="0"/>
      <w:jc w:val="left"/>
    </w:pPr>
    <w:rPr>
      <w:rFonts w:cs="Mangal"/>
      <w:sz w:val="18"/>
      <w:szCs w:val="16"/>
    </w:rPr>
  </w:style>
  <w:style w:type="paragraph" w:styleId="9">
    <w:name w:val="header"/>
    <w:basedOn w:val="1"/>
    <w:link w:val="22"/>
    <w:semiHidden/>
    <w:unhideWhenUsed/>
    <w:qFormat/>
    <w:uiPriority w:val="99"/>
    <w:pPr>
      <w:pBdr>
        <w:bottom w:val="single" w:color="auto" w:sz="6" w:space="1"/>
      </w:pBdr>
      <w:tabs>
        <w:tab w:val="center" w:pos="4153"/>
        <w:tab w:val="right" w:pos="8306"/>
      </w:tabs>
      <w:snapToGrid w:val="0"/>
      <w:jc w:val="center"/>
    </w:pPr>
    <w:rPr>
      <w:rFonts w:cs="Mangal"/>
      <w:sz w:val="18"/>
      <w:szCs w:val="16"/>
    </w:rPr>
  </w:style>
  <w:style w:type="paragraph" w:styleId="10">
    <w:name w:val="footnote text"/>
    <w:basedOn w:val="1"/>
    <w:semiHidden/>
    <w:unhideWhenUsed/>
    <w:qFormat/>
    <w:uiPriority w:val="99"/>
    <w:pPr>
      <w:snapToGrid w:val="0"/>
      <w:jc w:val="left"/>
    </w:pPr>
    <w:rPr>
      <w:sz w:val="18"/>
    </w:rPr>
  </w:style>
  <w:style w:type="paragraph" w:styleId="11">
    <w:name w:val="Normal (Web)"/>
    <w:basedOn w:val="1"/>
    <w:qFormat/>
    <w:uiPriority w:val="0"/>
    <w:pPr>
      <w:spacing w:beforeAutospacing="1" w:afterAutospacing="1"/>
      <w:jc w:val="left"/>
    </w:pPr>
    <w:rPr>
      <w:sz w:val="24"/>
      <w:lang w:bidi="ar-SA"/>
    </w:rPr>
  </w:style>
  <w:style w:type="paragraph" w:styleId="12">
    <w:name w:val="Body Text First Indent"/>
    <w:basedOn w:val="3"/>
    <w:qFormat/>
    <w:uiPriority w:val="0"/>
    <w:pPr>
      <w:widowControl w:val="0"/>
      <w:spacing w:after="10" w:afterLines="0"/>
      <w:ind w:firstLine="881"/>
      <w:jc w:val="both"/>
    </w:pPr>
    <w:rPr>
      <w:rFonts w:ascii="Times New Roman" w:hAnsi="Times New Roman" w:eastAsia="宋体" w:cs="Times New Roman"/>
      <w:kern w:val="2"/>
      <w:sz w:val="28"/>
      <w:szCs w:val="24"/>
      <w:lang w:val="en-US" w:eastAsia="zh-CN" w:bidi="ar-SA"/>
    </w:r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character" w:styleId="18">
    <w:name w:val="footnote reference"/>
    <w:basedOn w:val="15"/>
    <w:unhideWhenUsed/>
    <w:qFormat/>
    <w:uiPriority w:val="99"/>
    <w:rPr>
      <w:vertAlign w:val="superscript"/>
    </w:rPr>
  </w:style>
  <w:style w:type="paragraph" w:customStyle="1" w:styleId="19">
    <w:name w:val="页脚1"/>
    <w:basedOn w:val="6"/>
    <w:semiHidden/>
    <w:unhideWhenUsed/>
    <w:qFormat/>
    <w:uiPriority w:val="99"/>
    <w:pPr>
      <w:tabs>
        <w:tab w:val="center" w:pos="4153"/>
        <w:tab w:val="right" w:pos="8306"/>
      </w:tabs>
      <w:snapToGrid w:val="0"/>
      <w:jc w:val="left"/>
    </w:pPr>
    <w:rPr>
      <w:sz w:val="18"/>
      <w:szCs w:val="18"/>
    </w:rPr>
  </w:style>
  <w:style w:type="paragraph" w:customStyle="1" w:styleId="20">
    <w:name w:val="页眉1"/>
    <w:basedOn w:val="6"/>
    <w:semiHidden/>
    <w:unhideWhenUsed/>
    <w:qFormat/>
    <w:uiPriority w:val="99"/>
    <w:pPr>
      <w:pBdr>
        <w:bottom w:val="single" w:color="000000" w:sz="6" w:space="1"/>
      </w:pBdr>
      <w:tabs>
        <w:tab w:val="center" w:pos="4153"/>
        <w:tab w:val="right" w:pos="8306"/>
      </w:tabs>
      <w:snapToGrid w:val="0"/>
      <w:jc w:val="center"/>
    </w:pPr>
    <w:rPr>
      <w:sz w:val="18"/>
      <w:szCs w:val="18"/>
    </w:rPr>
  </w:style>
  <w:style w:type="paragraph" w:customStyle="1" w:styleId="21">
    <w:name w:val="列表段落"/>
    <w:basedOn w:val="6"/>
    <w:qFormat/>
    <w:uiPriority w:val="34"/>
    <w:pPr>
      <w:ind w:firstLine="200" w:firstLineChars="200"/>
    </w:pPr>
  </w:style>
  <w:style w:type="character" w:customStyle="1" w:styleId="22">
    <w:name w:val="页眉 Char"/>
    <w:basedOn w:val="15"/>
    <w:link w:val="9"/>
    <w:semiHidden/>
    <w:qFormat/>
    <w:uiPriority w:val="99"/>
    <w:rPr>
      <w:rFonts w:cs="Mangal"/>
      <w:sz w:val="18"/>
      <w:szCs w:val="16"/>
      <w:lang w:bidi="hi-IN"/>
    </w:rPr>
  </w:style>
  <w:style w:type="character" w:customStyle="1" w:styleId="23">
    <w:name w:val="页脚 Char"/>
    <w:basedOn w:val="15"/>
    <w:link w:val="8"/>
    <w:semiHidden/>
    <w:qFormat/>
    <w:uiPriority w:val="99"/>
    <w:rPr>
      <w:rFonts w:cs="Mangal"/>
      <w:sz w:val="18"/>
      <w:szCs w:val="16"/>
      <w:lang w:bidi="hi-IN"/>
    </w:rPr>
  </w:style>
  <w:style w:type="character" w:customStyle="1" w:styleId="24">
    <w:name w:val="批注框文本 Char"/>
    <w:basedOn w:val="15"/>
    <w:link w:val="7"/>
    <w:semiHidden/>
    <w:qFormat/>
    <w:uiPriority w:val="99"/>
    <w:rPr>
      <w:rFonts w:cs="Mangal"/>
      <w:sz w:val="18"/>
      <w:szCs w:val="16"/>
      <w:lang w:bidi="hi-I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24</Pages>
  <Words>8877</Words>
  <Characters>9217</Characters>
  <Lines>41</Lines>
  <Paragraphs>11</Paragraphs>
  <TotalTime>1101</TotalTime>
  <ScaleCrop>false</ScaleCrop>
  <LinksUpToDate>false</LinksUpToDate>
  <CharactersWithSpaces>9261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2023-05-29T00:51:00Z</dcterms:created>
  <dc:creator>???</dc:creator>
  <cp:lastModifiedBy>爱唱歌的王Sir</cp:lastModifiedBy>
  <cp:lastPrinted>2025-10-28T02:54:00Z</cp:lastPrinted>
  <dcterms:modified xsi:type="dcterms:W3CDTF">2025-11-17T07:20:36Z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5AA36EB7D73A4B30B2276D36A7479D87_13</vt:lpwstr>
  </property>
  <property fmtid="{D5CDD505-2E9C-101B-9397-08002B2CF9AE}" pid="3" name="KSOProductBuildVer">
    <vt:lpwstr>2052-12.1.0.21915</vt:lpwstr>
  </property>
  <property fmtid="{D5CDD505-2E9C-101B-9397-08002B2CF9AE}" pid="4" name="KSOTemplateDocerSaveRecord">
    <vt:lpwstr>eyJoZGlkIjoiMjhiYWRhMTU2Y2ZlNjVmNzBjNGUzZTM3ODAwMjJmZDkiLCJ1c2VySWQiOiIxMDg2MjgzNCJ9</vt:lpwstr>
  </property>
</Properties>
</file>