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00265">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42AD51D">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664696B1">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53263759">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15940759">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kern w:val="2"/>
          <w:sz w:val="44"/>
          <w:szCs w:val="44"/>
          <w:lang w:val="en-US" w:eastAsia="zh-CN" w:bidi="ar-SA"/>
        </w:rPr>
      </w:pPr>
      <w:r>
        <w:rPr>
          <w:rFonts w:hint="eastAsia" w:ascii="方正小标宋简体" w:hAnsi="方正小标宋简体" w:eastAsia="方正小标宋简体" w:cs="方正小标宋简体"/>
          <w:bCs/>
          <w:w w:val="98"/>
          <w:sz w:val="44"/>
          <w:szCs w:val="44"/>
          <w:lang w:val="en-US" w:eastAsia="zh-CN"/>
        </w:rPr>
        <w:t>吉州</w:t>
      </w:r>
      <w:r>
        <w:rPr>
          <w:rFonts w:hint="eastAsia" w:ascii="方正小标宋简体" w:hAnsi="方正小标宋简体" w:eastAsia="方正小标宋简体" w:cs="方正小标宋简体"/>
          <w:bCs/>
          <w:kern w:val="2"/>
          <w:sz w:val="44"/>
          <w:szCs w:val="44"/>
          <w:lang w:val="en-US" w:eastAsia="zh-CN" w:bidi="ar-SA"/>
        </w:rPr>
        <w:t>工业园江西乐家芯科技有限公司“3·3”</w:t>
      </w:r>
    </w:p>
    <w:p w14:paraId="01EAD24E">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Cs/>
          <w:kern w:val="2"/>
          <w:sz w:val="44"/>
          <w:szCs w:val="44"/>
          <w:lang w:val="en-US" w:eastAsia="zh-CN" w:bidi="ar-SA"/>
        </w:rPr>
        <w:t>一般机械伤害事故</w:t>
      </w:r>
      <w:r>
        <w:rPr>
          <w:rFonts w:ascii="方正小标宋简体" w:hAnsi="方正小标宋简体" w:eastAsia="方正小标宋简体" w:cs="方正小标宋简体"/>
          <w:sz w:val="44"/>
          <w:szCs w:val="44"/>
        </w:rPr>
        <w:t>调查报告</w:t>
      </w:r>
    </w:p>
    <w:p w14:paraId="4406E2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6A45A4A">
      <w:pPr>
        <w:pStyle w:val="4"/>
        <w:keepNext w:val="0"/>
        <w:keepLines w:val="0"/>
        <w:pageBreakBefore w:val="0"/>
        <w:widowControl w:val="0"/>
        <w:kinsoku/>
        <w:wordWrap/>
        <w:topLinePunct w:val="0"/>
        <w:autoSpaceDE/>
        <w:autoSpaceDN/>
        <w:bidi w:val="0"/>
        <w:adjustRightInd/>
        <w:snapToGrid/>
        <w:spacing w:line="560" w:lineRule="exact"/>
        <w:ind w:left="0" w:leftChars="0" w:firstLine="560" w:firstLineChars="200"/>
        <w:jc w:val="both"/>
        <w:textAlignment w:val="auto"/>
      </w:pPr>
    </w:p>
    <w:p w14:paraId="68F33D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0C37183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6770879A">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5871845">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5F5E2751">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0E54ACB2">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7B0842FF">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rPr>
          <w:rFonts w:ascii="方正小标宋简体" w:hAnsi="方正小标宋简体" w:eastAsia="方正小标宋简体" w:cs="方正小标宋简体"/>
          <w:sz w:val="44"/>
          <w:szCs w:val="44"/>
        </w:rPr>
      </w:pPr>
    </w:p>
    <w:p w14:paraId="0C32D679">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rPr>
          <w:rFonts w:ascii="方正小标宋简体" w:hAnsi="方正小标宋简体" w:eastAsia="方正小标宋简体" w:cs="方正小标宋简体"/>
          <w:sz w:val="44"/>
          <w:szCs w:val="44"/>
        </w:rPr>
      </w:pPr>
    </w:p>
    <w:p w14:paraId="183627E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FC88B9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hint="eastAsia" w:ascii="方正小标宋简体" w:hAnsi="方正小标宋简体" w:eastAsia="方正小标宋简体" w:cs="方正小标宋简体"/>
          <w:sz w:val="44"/>
          <w:szCs w:val="44"/>
          <w:lang w:val="en-US" w:eastAsia="zh-CN"/>
        </w:rPr>
      </w:pPr>
    </w:p>
    <w:p w14:paraId="37ED4458">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吉州</w:t>
      </w:r>
      <w:r>
        <w:rPr>
          <w:rFonts w:hint="eastAsia" w:ascii="楷体_GB2312" w:hAnsi="楷体_GB2312" w:eastAsia="楷体_GB2312" w:cs="楷体_GB2312"/>
          <w:b/>
          <w:bCs/>
          <w:sz w:val="32"/>
          <w:szCs w:val="32"/>
        </w:rPr>
        <w:t>区政府</w:t>
      </w:r>
      <w:r>
        <w:rPr>
          <w:rFonts w:hint="eastAsia" w:ascii="楷体_GB2312" w:hAnsi="楷体_GB2312" w:eastAsia="楷体_GB2312" w:cs="楷体_GB2312"/>
          <w:b/>
          <w:bCs/>
          <w:sz w:val="32"/>
          <w:szCs w:val="32"/>
          <w:lang w:val="en-US" w:eastAsia="zh-CN"/>
        </w:rPr>
        <w:t>事故</w:t>
      </w:r>
      <w:r>
        <w:rPr>
          <w:rFonts w:hint="eastAsia" w:ascii="楷体_GB2312" w:hAnsi="楷体_GB2312" w:eastAsia="楷体_GB2312" w:cs="楷体_GB2312"/>
          <w:b/>
          <w:bCs/>
          <w:sz w:val="32"/>
          <w:szCs w:val="32"/>
        </w:rPr>
        <w:t>调查组</w:t>
      </w:r>
    </w:p>
    <w:p w14:paraId="73166281">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方正楷体_GB2312" w:hAnsi="方正楷体_GB2312" w:eastAsia="方正楷体_GB2312" w:cs="方正楷体_GB2312"/>
          <w:b/>
          <w:bCs/>
          <w:sz w:val="32"/>
          <w:szCs w:val="32"/>
        </w:rPr>
      </w:pPr>
      <w:r>
        <w:rPr>
          <w:rFonts w:hint="eastAsia" w:ascii="楷体_GB2312" w:hAnsi="楷体_GB2312" w:eastAsia="楷体_GB2312" w:cs="楷体_GB2312"/>
          <w:b/>
          <w:bCs/>
          <w:sz w:val="32"/>
          <w:szCs w:val="32"/>
        </w:rPr>
        <w:t>202</w:t>
      </w: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年</w:t>
      </w: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月</w:t>
      </w:r>
    </w:p>
    <w:p w14:paraId="2EB9688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720C8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12DE8ED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5F5BC137">
      <w:pPr>
        <w:pStyle w:val="6"/>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ascii="方正小标宋简体" w:hAnsi="方正小标宋简体" w:eastAsia="方正小标宋简体" w:cs="方正小标宋简体"/>
          <w:sz w:val="44"/>
          <w:szCs w:val="44"/>
        </w:rPr>
      </w:pPr>
    </w:p>
    <w:p w14:paraId="335988B9">
      <w:pPr>
        <w:pStyle w:val="4"/>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auto"/>
        <w:rPr>
          <w:b/>
          <w:bCs/>
          <w:sz w:val="32"/>
          <w:szCs w:val="32"/>
        </w:rPr>
        <w:sectPr>
          <w:pgSz w:w="11906" w:h="16838"/>
          <w:pgMar w:top="1440" w:right="1519" w:bottom="1440" w:left="1576" w:header="851" w:footer="992" w:gutter="0"/>
          <w:pgBorders>
            <w:top w:val="none" w:sz="0" w:space="0"/>
            <w:left w:val="none" w:sz="0" w:space="0"/>
            <w:bottom w:val="none" w:sz="0" w:space="0"/>
            <w:right w:val="none" w:sz="0" w:space="0"/>
          </w:pgBorders>
          <w:pgNumType w:fmt="decimal" w:start="1"/>
          <w:cols w:space="720" w:num="1"/>
          <w:formProt w:val="0"/>
          <w:docGrid w:type="lines" w:linePitch="312" w:charSpace="43007"/>
        </w:sectPr>
      </w:pPr>
    </w:p>
    <w:p w14:paraId="1BE032C4">
      <w:pPr>
        <w:pStyle w:val="4"/>
        <w:keepNext w:val="0"/>
        <w:keepLines w:val="0"/>
        <w:pageBreakBefore w:val="0"/>
        <w:widowControl w:val="0"/>
        <w:kinsoku/>
        <w:wordWrap/>
        <w:topLinePunct w:val="0"/>
        <w:autoSpaceDE/>
        <w:autoSpaceDN/>
        <w:bidi w:val="0"/>
        <w:adjustRightInd/>
        <w:snapToGrid/>
        <w:spacing w:line="560" w:lineRule="exact"/>
        <w:ind w:left="0" w:leftChars="0" w:firstLine="0" w:firstLineChars="0"/>
        <w:jc w:val="center"/>
        <w:textAlignment w:val="auto"/>
        <w:rPr>
          <w:rFonts w:hint="default" w:eastAsia="宋体"/>
          <w:b/>
          <w:bCs/>
          <w:sz w:val="32"/>
          <w:szCs w:val="32"/>
          <w:lang w:val="en-US" w:eastAsia="zh-CN"/>
        </w:rPr>
      </w:pPr>
      <w:r>
        <w:rPr>
          <w:rFonts w:hint="eastAsia"/>
          <w:b/>
          <w:bCs/>
          <w:sz w:val="32"/>
          <w:szCs w:val="32"/>
        </w:rPr>
        <w:t>目</w:t>
      </w:r>
      <w:r>
        <w:rPr>
          <w:rFonts w:hint="eastAsia"/>
          <w:b/>
          <w:bCs/>
          <w:sz w:val="32"/>
          <w:szCs w:val="32"/>
          <w:lang w:eastAsia="zh-CN"/>
        </w:rPr>
        <w:t>　</w:t>
      </w:r>
      <w:r>
        <w:rPr>
          <w:rFonts w:hint="eastAsia"/>
          <w:b/>
          <w:bCs/>
          <w:sz w:val="32"/>
          <w:szCs w:val="32"/>
        </w:rPr>
        <w:t>录</w:t>
      </w:r>
    </w:p>
    <w:p w14:paraId="00E4316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一、事故基本情况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412C0827">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（一）</w:t>
      </w:r>
      <w:r>
        <w:rPr>
          <w:rFonts w:hint="eastAsia" w:ascii="宋体" w:hAnsi="宋体" w:eastAsia="宋体" w:cs="宋体"/>
          <w:b w:val="0"/>
          <w:bCs w:val="0"/>
          <w:sz w:val="24"/>
          <w:szCs w:val="24"/>
          <w:lang w:val="en-US" w:eastAsia="zh-CN"/>
        </w:rPr>
        <w:t>事故发生单位及相关单位概况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0D0F215E">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（二）</w:t>
      </w:r>
      <w:r>
        <w:rPr>
          <w:rFonts w:hint="eastAsia" w:ascii="宋体" w:hAnsi="宋体" w:eastAsia="宋体" w:cs="宋体"/>
          <w:b w:val="0"/>
          <w:bCs w:val="0"/>
          <w:sz w:val="24"/>
          <w:szCs w:val="24"/>
          <w:lang w:val="en-US" w:eastAsia="zh-CN"/>
        </w:rPr>
        <w:t>事故发生单位安全管理情况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3</w:t>
      </w:r>
    </w:p>
    <w:p w14:paraId="043B51B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（三）</w:t>
      </w:r>
      <w:r>
        <w:rPr>
          <w:rFonts w:hint="eastAsia" w:ascii="宋体" w:hAnsi="宋体" w:eastAsia="宋体" w:cs="宋体"/>
          <w:b w:val="0"/>
          <w:bCs w:val="0"/>
          <w:sz w:val="24"/>
          <w:szCs w:val="24"/>
          <w:lang w:val="en-US" w:eastAsia="zh-CN"/>
        </w:rPr>
        <w:t>事故发生经过</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3</w:t>
      </w:r>
    </w:p>
    <w:p w14:paraId="24DE06C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（四）</w:t>
      </w:r>
      <w:r>
        <w:rPr>
          <w:rFonts w:hint="eastAsia" w:ascii="宋体" w:hAnsi="宋体" w:eastAsia="宋体" w:cs="宋体"/>
          <w:b w:val="0"/>
          <w:bCs w:val="0"/>
          <w:sz w:val="24"/>
          <w:szCs w:val="24"/>
          <w:lang w:val="en-US" w:eastAsia="zh-CN"/>
        </w:rPr>
        <w:t>事故现场情况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2895D5F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五</w:t>
      </w:r>
      <w:r>
        <w:rPr>
          <w:rFonts w:hint="eastAsia" w:ascii="宋体" w:hAnsi="宋体" w:eastAsia="宋体" w:cs="宋体"/>
          <w:b w:val="0"/>
          <w:bCs w:val="0"/>
          <w:sz w:val="24"/>
          <w:szCs w:val="24"/>
        </w:rPr>
        <w:t>）人员伤亡和直接经济损失情</w:t>
      </w:r>
      <w:r>
        <w:rPr>
          <w:rFonts w:hint="eastAsia" w:ascii="宋体" w:hAnsi="宋体" w:eastAsia="宋体" w:cs="宋体"/>
          <w:b w:val="0"/>
          <w:bCs w:val="0"/>
          <w:sz w:val="24"/>
          <w:szCs w:val="24"/>
          <w:lang w:val="en-US" w:eastAsia="zh-CN"/>
        </w:rPr>
        <w:t>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06907D4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二、事故应急处置评估情况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4C5AE078">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（一）事故信息接报及响应情况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77471F8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（二）事故现场应急处置情况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39A155FB">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（三）医疗救助善后情况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6511CBA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（四）事故应急处置评估</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6ABFC11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三、事故原因分析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68722FC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7D26C39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261878F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四、有关责任单位存在的问题</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0199008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五、对有关责任人员和责任单位的处理意见</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8</w:t>
      </w:r>
    </w:p>
    <w:p w14:paraId="3DAD74B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（一）对事故有关责任人员的行政处罚建议</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8</w:t>
      </w:r>
    </w:p>
    <w:p w14:paraId="31F6B4D3">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（二）对事故责任单位的行政处罚建议</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78A564D2">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六、事故主要教训</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10</w:t>
      </w:r>
    </w:p>
    <w:p w14:paraId="349A5FA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七、事故整改和防范措施</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10</w:t>
      </w:r>
    </w:p>
    <w:p w14:paraId="6E7F8FC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（一）乐家芯公司</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11</w:t>
      </w:r>
    </w:p>
    <w:p w14:paraId="2CA78051">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2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（二）政府有关部门</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11</w:t>
      </w:r>
    </w:p>
    <w:p w14:paraId="263A94C0">
      <w:pPr>
        <w:pStyle w:val="4"/>
        <w:keepNext w:val="0"/>
        <w:keepLines w:val="0"/>
        <w:pageBreakBefore w:val="0"/>
        <w:widowControl w:val="0"/>
        <w:kinsoku/>
        <w:topLinePunct w:val="0"/>
        <w:autoSpaceDE/>
        <w:autoSpaceDN/>
        <w:bidi w:val="0"/>
        <w:adjustRightInd/>
        <w:snapToGrid/>
        <w:rPr>
          <w:rFonts w:hint="default"/>
          <w:lang w:val="en-US" w:eastAsia="zh-CN"/>
        </w:rPr>
      </w:pPr>
    </w:p>
    <w:p w14:paraId="526BAB57">
      <w:pPr>
        <w:pStyle w:val="4"/>
        <w:keepNext w:val="0"/>
        <w:keepLines w:val="0"/>
        <w:pageBreakBefore w:val="0"/>
        <w:widowControl w:val="0"/>
        <w:kinsoku/>
        <w:wordWrap/>
        <w:topLinePunct w:val="0"/>
        <w:autoSpaceDE/>
        <w:autoSpaceDN/>
        <w:bidi w:val="0"/>
        <w:adjustRightInd/>
        <w:snapToGrid/>
        <w:spacing w:line="560" w:lineRule="exact"/>
        <w:ind w:left="0" w:leftChars="0" w:firstLine="0" w:firstLineChars="0"/>
        <w:jc w:val="both"/>
        <w:textAlignment w:val="auto"/>
        <w:rPr>
          <w:rFonts w:ascii="宋体" w:hAnsi="宋体" w:cs="宋体"/>
          <w:b/>
          <w:sz w:val="24"/>
        </w:rPr>
      </w:pPr>
    </w:p>
    <w:p w14:paraId="7D5380C8">
      <w:pPr>
        <w:pStyle w:val="6"/>
        <w:keepNext w:val="0"/>
        <w:keepLines w:val="0"/>
        <w:pageBreakBefore w:val="0"/>
        <w:widowControl w:val="0"/>
        <w:tabs>
          <w:tab w:val="left" w:pos="8091"/>
        </w:tabs>
        <w:kinsoku/>
        <w:wordWrap/>
        <w:overflowPunct w:val="0"/>
        <w:topLinePunct w:val="0"/>
        <w:autoSpaceDE/>
        <w:autoSpaceDN/>
        <w:bidi w:val="0"/>
        <w:adjustRightInd/>
        <w:snapToGrid/>
        <w:spacing w:line="560" w:lineRule="exact"/>
        <w:ind w:left="0" w:leftChars="0" w:firstLine="482" w:firstLineChars="200"/>
        <w:jc w:val="both"/>
        <w:textAlignment w:val="auto"/>
        <w:rPr>
          <w:rFonts w:hint="default" w:ascii="宋体" w:hAnsi="宋体" w:eastAsia="宋体" w:cs="宋体"/>
          <w:b/>
          <w:sz w:val="24"/>
          <w:szCs w:val="24"/>
          <w:lang w:val="en-US" w:eastAsia="zh-CN"/>
        </w:rPr>
        <w:sectPr>
          <w:footerReference r:id="rId4" w:type="default"/>
          <w:pgSz w:w="11906" w:h="16838"/>
          <w:pgMar w:top="1440" w:right="1519" w:bottom="1440" w:left="1576" w:header="851" w:footer="992" w:gutter="0"/>
          <w:pgBorders>
            <w:top w:val="none" w:sz="0" w:space="0"/>
            <w:left w:val="none" w:sz="0" w:space="0"/>
            <w:bottom w:val="none" w:sz="0" w:space="0"/>
            <w:right w:val="none" w:sz="0" w:space="0"/>
          </w:pgBorders>
          <w:pgNumType w:fmt="decimal" w:start="1"/>
          <w:cols w:space="720" w:num="1"/>
          <w:formProt w:val="0"/>
          <w:docGrid w:type="lines" w:linePitch="312" w:charSpace="43007"/>
        </w:sectPr>
      </w:pPr>
    </w:p>
    <w:p w14:paraId="5264653B">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仿宋_GB2312" w:eastAsia="仿宋_GB2312"/>
          <w:color w:val="000000"/>
          <w:sz w:val="32"/>
          <w:szCs w:val="32"/>
        </w:rPr>
      </w:pPr>
      <w:r>
        <w:rPr>
          <w:rFonts w:hint="eastAsia" w:ascii="仿宋_GB2312" w:hAnsi="仿宋_GB2312" w:eastAsia="仿宋_GB2312" w:cs="仿宋_GB2312"/>
          <w:color w:val="000000"/>
          <w:sz w:val="32"/>
          <w:szCs w:val="32"/>
          <w:lang w:val="en-US" w:eastAsia="zh-CN"/>
        </w:rPr>
        <w:t>2026年3月3日12时2分许，</w:t>
      </w:r>
      <w:r>
        <w:rPr>
          <w:rFonts w:hint="eastAsia" w:ascii="仿宋_GB2312" w:hAnsi="仿宋_GB2312" w:eastAsia="仿宋_GB2312" w:cs="仿宋_GB2312"/>
          <w:color w:val="000000"/>
          <w:sz w:val="32"/>
          <w:szCs w:val="32"/>
        </w:rPr>
        <w:t>江西乐家芯科技有限公司</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1名工人工作时被卷入线路板黑化线电动机内，造成1人死亡</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直接经济损失约</w:t>
      </w:r>
      <w:r>
        <w:rPr>
          <w:rFonts w:hint="eastAsia" w:ascii="仿宋_GB2312" w:hAnsi="仿宋_GB2312" w:eastAsia="仿宋_GB2312" w:cs="仿宋_GB2312"/>
          <w:color w:val="000000"/>
          <w:sz w:val="32"/>
          <w:szCs w:val="32"/>
          <w:lang w:val="en-US" w:eastAsia="zh-CN"/>
        </w:rPr>
        <w:t>118万</w:t>
      </w:r>
      <w:r>
        <w:rPr>
          <w:rFonts w:hint="eastAsia" w:ascii="仿宋_GB2312" w:eastAsia="仿宋_GB2312"/>
          <w:color w:val="000000"/>
          <w:sz w:val="32"/>
          <w:szCs w:val="32"/>
          <w:lang w:val="en-US" w:eastAsia="zh-CN"/>
        </w:rPr>
        <w:t>元</w:t>
      </w:r>
      <w:r>
        <w:rPr>
          <w:rFonts w:hint="eastAsia" w:ascii="仿宋_GB2312" w:eastAsia="仿宋_GB2312"/>
          <w:color w:val="000000"/>
          <w:sz w:val="32"/>
          <w:szCs w:val="32"/>
        </w:rPr>
        <w:t>。</w:t>
      </w:r>
    </w:p>
    <w:p w14:paraId="39370623">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依据《中华人民共和国安全生产法》和《生产安全事故报告和调查处理条例》（国务院令第493号）等有关法律法规，吉州区政府成立了由区应急管理局牵头，区纪委监委、工业园区管委会、区工信局、区公安分局、区总工会、区人社局等部门，派员组成的江西乐家芯科技有限公司“3·3”一般机械伤害事故调查组（以下简称事故调查组），负责事故调查工作，并邀请区检察院派员参加。</w:t>
      </w:r>
    </w:p>
    <w:p w14:paraId="046CC6B2">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事故调查组按照“科学严谨、依法依规、实事求是、注重实效”和“四不放过”的原则，认真开展事故调查工作。通过现场勘查、问询调查、查阅有关资料和综合分析，查清了事故发生经过、原因，认定了事故性质和责任。</w:t>
      </w:r>
    </w:p>
    <w:p w14:paraId="3E6526EF">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auto"/>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经调查认定，</w:t>
      </w:r>
      <w:r>
        <w:rPr>
          <w:rFonts w:hint="eastAsia" w:ascii="仿宋_GB2312" w:hAnsi="仿宋_GB2312" w:eastAsia="仿宋_GB2312" w:cs="仿宋_GB2312"/>
          <w:sz w:val="32"/>
          <w:szCs w:val="32"/>
          <w:lang w:val="en-US" w:eastAsia="zh-CN"/>
        </w:rPr>
        <w:t>江西乐家芯科技有限公司“3·3”一般机械伤害事故</w:t>
      </w:r>
      <w:r>
        <w:rPr>
          <w:rFonts w:ascii="仿宋_GB2312" w:hAnsi="仿宋_GB2312" w:eastAsia="仿宋_GB2312" w:cs="仿宋_GB2312"/>
          <w:sz w:val="32"/>
          <w:szCs w:val="32"/>
          <w:lang w:val="en-US" w:eastAsia="zh-CN"/>
        </w:rPr>
        <w:t>是一起</w:t>
      </w:r>
      <w:r>
        <w:rPr>
          <w:rFonts w:hint="eastAsia" w:ascii="仿宋_GB2312" w:hAnsi="仿宋_GB2312" w:eastAsia="仿宋_GB2312" w:cs="仿宋_GB2312"/>
          <w:sz w:val="32"/>
          <w:szCs w:val="32"/>
          <w:lang w:val="en-US" w:eastAsia="zh-CN"/>
        </w:rPr>
        <w:t>因安全管理不到位造成的一般生产安全责任事故。</w:t>
      </w:r>
    </w:p>
    <w:p w14:paraId="5E2D441D">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textAlignment w:val="auto"/>
        <w:rPr>
          <w:rFonts w:ascii="黑体" w:hAnsi="黑体" w:eastAsia="黑体" w:cs="黑体"/>
          <w:b/>
          <w:sz w:val="32"/>
          <w:szCs w:val="32"/>
        </w:rPr>
      </w:pPr>
      <w:r>
        <w:rPr>
          <w:rFonts w:ascii="黑体" w:hAnsi="黑体" w:eastAsia="黑体" w:cs="黑体"/>
          <w:b/>
          <w:sz w:val="32"/>
          <w:szCs w:val="32"/>
        </w:rPr>
        <w:t>一、</w:t>
      </w:r>
      <w:r>
        <w:rPr>
          <w:rFonts w:hint="eastAsia" w:ascii="黑体" w:hAnsi="黑体" w:eastAsia="黑体" w:cs="黑体"/>
          <w:b/>
          <w:sz w:val="32"/>
          <w:szCs w:val="32"/>
        </w:rPr>
        <w:t>事故</w:t>
      </w:r>
      <w:r>
        <w:rPr>
          <w:rFonts w:ascii="黑体" w:hAnsi="黑体" w:eastAsia="黑体" w:cs="黑体"/>
          <w:b/>
          <w:sz w:val="32"/>
          <w:szCs w:val="32"/>
        </w:rPr>
        <w:t>基本情况</w:t>
      </w:r>
    </w:p>
    <w:p w14:paraId="000DBA1D">
      <w:pPr>
        <w:keepNext w:val="0"/>
        <w:keepLines w:val="0"/>
        <w:pageBreakBefore w:val="0"/>
        <w:widowControl w:val="0"/>
        <w:suppressLineNumbers w:val="0"/>
        <w:kinsoku/>
        <w:wordWrap/>
        <w:topLinePunct w:val="0"/>
        <w:autoSpaceDE/>
        <w:autoSpaceDN/>
        <w:bidi w:val="0"/>
        <w:adjustRightInd/>
        <w:snapToGrid/>
        <w:spacing w:line="550" w:lineRule="exact"/>
        <w:ind w:left="0" w:leftChars="0" w:firstLine="643" w:firstLineChars="200"/>
        <w:jc w:val="both"/>
        <w:textAlignment w:val="auto"/>
        <w:rPr>
          <w:b/>
          <w:bCs/>
        </w:rPr>
      </w:pPr>
      <w:r>
        <w:rPr>
          <w:rFonts w:hint="eastAsia" w:ascii="楷体_GB2312" w:hAnsi="楷体_GB2312" w:eastAsia="楷体_GB2312" w:cs="楷体_GB2312"/>
          <w:b/>
          <w:bCs/>
          <w:color w:val="000000"/>
          <w:kern w:val="0"/>
          <w:sz w:val="32"/>
          <w:szCs w:val="32"/>
          <w:lang w:val="en-US" w:eastAsia="zh-CN" w:bidi="ar"/>
        </w:rPr>
        <w:t>（一）事故发生单位及相关单位概况</w:t>
      </w:r>
    </w:p>
    <w:p w14:paraId="0F39EEC3">
      <w:pPr>
        <w:keepNext w:val="0"/>
        <w:keepLines w:val="0"/>
        <w:pageBreakBefore w:val="0"/>
        <w:widowControl w:val="0"/>
        <w:suppressLineNumbers w:val="0"/>
        <w:kinsoku/>
        <w:wordWrap/>
        <w:overflowPunct/>
        <w:topLinePunct w:val="0"/>
        <w:autoSpaceDE/>
        <w:autoSpaceDN/>
        <w:bidi w:val="0"/>
        <w:adjustRightInd/>
        <w:snapToGrid/>
        <w:spacing w:line="550" w:lineRule="exact"/>
        <w:ind w:left="0" w:leftChars="0"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sz w:val="32"/>
          <w:szCs w:val="32"/>
          <w:lang w:val="en-US" w:eastAsia="zh-CN"/>
        </w:rPr>
        <w:t>1.事故发生单位：江西乐家芯科技有限公司</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乐家芯公司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，注册时间：2025年8月1日</w:t>
      </w:r>
      <w:r>
        <w:rPr>
          <w:rFonts w:hint="eastAsia" w:ascii="仿宋_GB2312" w:hAnsi="仿宋_GB2312" w:eastAsia="仿宋_GB2312" w:cs="仿宋_GB2312"/>
          <w:color w:val="000000"/>
          <w:kern w:val="0"/>
          <w:sz w:val="32"/>
          <w:szCs w:val="32"/>
          <w:lang w:val="en-US" w:eastAsia="zh-CN" w:bidi="ar"/>
        </w:rPr>
        <w:t>，法定代表人雷某，统一社会信用代码91360802MAER979C0Q。公司住所位于江西省吉安市吉州区城南专业市场钓源大道36号8栋3-88号，类型为有限责任公司，注册资本100万元，经营范围一般项目：集成电路设计，软件开发，电子元器件零售，电力电子元器件销售，化工产品销售（不含许可类化工产品），信息咨询服务（不含许可类信息咨询服务），电子产品销售（除依法须经批准的项目外，凭营业执照依法自主开展经营活动）。</w:t>
      </w:r>
    </w:p>
    <w:p w14:paraId="7C9D3AB9">
      <w:pPr>
        <w:keepNext w:val="0"/>
        <w:keepLines w:val="0"/>
        <w:pageBreakBefore w:val="0"/>
        <w:widowControl w:val="0"/>
        <w:suppressLineNumbers w:val="0"/>
        <w:kinsoku/>
        <w:wordWrap/>
        <w:overflowPunct/>
        <w:topLinePunct w:val="0"/>
        <w:autoSpaceDE/>
        <w:autoSpaceDN/>
        <w:bidi w:val="0"/>
        <w:adjustRightInd/>
        <w:snapToGrid/>
        <w:spacing w:line="550" w:lineRule="exact"/>
        <w:ind w:left="0" w:leftChars="0"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rPr>
        <w:t>2.厂房租赁情况：</w:t>
      </w:r>
      <w:r>
        <w:rPr>
          <w:rFonts w:hint="eastAsia" w:ascii="仿宋_GB2312" w:hAnsi="仿宋_GB2312" w:eastAsia="仿宋_GB2312" w:cs="仿宋_GB2312"/>
          <w:color w:val="000000"/>
          <w:kern w:val="0"/>
          <w:sz w:val="32"/>
          <w:szCs w:val="32"/>
          <w:lang w:val="en-US" w:eastAsia="zh-CN" w:bidi="ar"/>
        </w:rPr>
        <w:t>2021年11月1日，江西省和盈电路有限公司与江西诚之益科技有限公司签订了厂房租赁合同，将位于江西省吉州区双秀路20号江西省和盈电路有限公司园区内第6栋一层至五层面积13004平方米（含公摊10％）的厂房出租给江西诚之益科技有限公司作为线路板生产车间使用，租赁期为15年。</w:t>
      </w:r>
    </w:p>
    <w:p w14:paraId="0DAD5A13">
      <w:pPr>
        <w:keepNext w:val="0"/>
        <w:keepLines w:val="0"/>
        <w:pageBreakBefore w:val="0"/>
        <w:widowControl w:val="0"/>
        <w:suppressLineNumbers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2024年4月1日，江西诚之益科技有限公司与江西兆兴电子材料有限公司签订了合作协议，并将江西省和盈电路有限公司园区内第6栋厂房（五层面积一半）约1250平方米出租给江西兆兴电子材料有限公司作为生产PCB药水及OSP加工和办公使用，租赁期为10年。</w:t>
      </w:r>
    </w:p>
    <w:p w14:paraId="3D856A5E">
      <w:pPr>
        <w:keepNext w:val="0"/>
        <w:keepLines w:val="0"/>
        <w:pageBreakBefore w:val="0"/>
        <w:widowControl w:val="0"/>
        <w:suppressLineNumbers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2025年9月1日，江西兆兴电子材料有限公司与江西乐家芯科技有限公司签订了合作协议，并将江西省和盈电路有限公司园区内第6栋厂房（五层面积部分）约200平方米出租给江西乐家芯科技有限公司作为生产PCB黑化代加工和办公使用，租赁期为3年。</w:t>
      </w:r>
    </w:p>
    <w:p w14:paraId="4BB6D68B">
      <w:pPr>
        <w:keepNext w:val="0"/>
        <w:keepLines w:val="0"/>
        <w:pageBreakBefore w:val="0"/>
        <w:widowControl w:val="0"/>
        <w:suppressLineNumbers w:val="0"/>
        <w:kinsoku/>
        <w:wordWrap/>
        <w:overflowPunct/>
        <w:topLinePunct w:val="0"/>
        <w:autoSpaceDE/>
        <w:autoSpaceDN/>
        <w:bidi w:val="0"/>
        <w:adjustRightInd/>
        <w:snapToGrid/>
        <w:spacing w:line="550" w:lineRule="exact"/>
        <w:ind w:left="0" w:leftChars="0" w:firstLine="643" w:firstLineChars="200"/>
        <w:jc w:val="both"/>
        <w:textAlignment w:val="auto"/>
        <w:rPr>
          <w:rFonts w:hint="default"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3.安全生产管理协议签订情况：</w:t>
      </w:r>
      <w:r>
        <w:rPr>
          <w:rFonts w:hint="eastAsia" w:ascii="仿宋_GB2312" w:hAnsi="仿宋_GB2312" w:eastAsia="仿宋_GB2312" w:cs="仿宋_GB2312"/>
          <w:color w:val="000000"/>
          <w:kern w:val="0"/>
          <w:sz w:val="32"/>
          <w:szCs w:val="32"/>
          <w:lang w:val="en-US" w:eastAsia="zh-CN" w:bidi="ar"/>
        </w:rPr>
        <w:t>江西省和盈电路有限公司、江西诚之益科技有限公司、江西兆兴电子材料有限公司、江西乐家芯科技有限公司四家公司相互间均签订安全生产管理协议。</w:t>
      </w:r>
    </w:p>
    <w:p w14:paraId="6C86B189">
      <w:pPr>
        <w:keepNext w:val="0"/>
        <w:keepLines w:val="0"/>
        <w:pageBreakBefore w:val="0"/>
        <w:widowControl w:val="0"/>
        <w:suppressLineNumbers w:val="0"/>
        <w:kinsoku/>
        <w:wordWrap/>
        <w:topLinePunct w:val="0"/>
        <w:autoSpaceDE/>
        <w:autoSpaceDN/>
        <w:bidi w:val="0"/>
        <w:adjustRightInd/>
        <w:snapToGrid/>
        <w:spacing w:line="550" w:lineRule="exact"/>
        <w:ind w:left="0" w:leftChars="0" w:firstLine="643" w:firstLineChars="2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（二）事故发生单位安全管理情况</w:t>
      </w:r>
    </w:p>
    <w:p w14:paraId="263B7323">
      <w:pPr>
        <w:pStyle w:val="4"/>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乐家芯公司只有1条垂直式导电膜自动生产线用于线路板黑化处理（以下简称黑化线），员工3名（含法定代表人），2名工作人员负责从事线路板黑化处理工作。该公司安全生产管理责任落实不到位，安全管理规章制度缺失，员工安全生产教育和培训未落实，安全风险辨识、隐患排查不到位，未辨识涉事生产线电动机存在的安全风险，亦未采取必要的安全防护措施。</w:t>
      </w:r>
    </w:p>
    <w:p w14:paraId="4C4D4F5B">
      <w:pPr>
        <w:keepNext w:val="0"/>
        <w:keepLines w:val="0"/>
        <w:pageBreakBefore w:val="0"/>
        <w:widowControl w:val="0"/>
        <w:suppressLineNumbers w:val="0"/>
        <w:kinsoku/>
        <w:wordWrap/>
        <w:topLinePunct w:val="0"/>
        <w:autoSpaceDE/>
        <w:autoSpaceDN/>
        <w:bidi w:val="0"/>
        <w:adjustRightInd/>
        <w:snapToGrid/>
        <w:spacing w:line="550" w:lineRule="exact"/>
        <w:ind w:left="0" w:leftChars="0" w:firstLine="643" w:firstLineChars="200"/>
        <w:jc w:val="left"/>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（三）事故发生经过</w:t>
      </w:r>
    </w:p>
    <w:p w14:paraId="26D98C6B">
      <w:pPr>
        <w:pStyle w:val="4"/>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2026年3月3日，刘某清穿着长款工作服在车间内对线路板进行黑化处理，12时2分许，其前往黑化线前端氧化槽打开盖板时，衣物被卷入安装在氧化槽上沿下方的电动机内。12时3分许何某苗（刘某清妻子）来到车间，发现刘某清被卷入电动机内，立即前往关闭电源。</w:t>
      </w:r>
    </w:p>
    <w:p w14:paraId="33D73FB1">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（四）事故现场情况</w:t>
      </w:r>
    </w:p>
    <w:p w14:paraId="54FEBF58">
      <w:pPr>
        <w:pStyle w:val="4"/>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rPr>
          <w:rFonts w:hint="eastAsia" w:ascii="仿宋_GB2312" w:hAnsi="仿宋_GB2312" w:eastAsia="仿宋_GB2312" w:cs="仿宋_GB2312"/>
          <w:strike w:val="0"/>
          <w:dstrike w:val="0"/>
          <w:color w:val="FF0000"/>
          <w:sz w:val="32"/>
          <w:szCs w:val="32"/>
          <w:lang w:val="en-US" w:eastAsia="zh-CN"/>
        </w:rPr>
      </w:pPr>
      <w:r>
        <w:rPr>
          <w:rFonts w:hint="eastAsia" w:ascii="仿宋_GB2312" w:hAnsi="仿宋_GB2312" w:eastAsia="仿宋_GB2312" w:cs="仿宋_GB2312"/>
          <w:color w:val="auto"/>
          <w:sz w:val="32"/>
          <w:szCs w:val="32"/>
          <w:lang w:val="en-US" w:eastAsia="zh-CN"/>
        </w:rPr>
        <w:t>经现场勘查，事发车间安装两条生产线（分属乐家芯公司和兆兴公司），线路板黑化线前端氧化槽上沿安装一台电动机未安装防护罩，黑化线传动架因事故造成损坏，事发电动机在救援过程中被切割拆除，摆放在地面。</w:t>
      </w:r>
    </w:p>
    <w:p w14:paraId="2632F50E">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（五）人员伤亡和直接经济损失情况</w:t>
      </w:r>
    </w:p>
    <w:p w14:paraId="6ECC5B67">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1.人员伤亡情况</w:t>
      </w:r>
    </w:p>
    <w:p w14:paraId="24D50F35">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本次事故造成1人死亡。死者：刘某清</w:t>
      </w:r>
      <w:r>
        <w:rPr>
          <w:rFonts w:hint="default" w:ascii="仿宋_GB2312" w:hAnsi="仿宋_GB2312" w:eastAsia="仿宋_GB2312" w:cs="仿宋_GB2312"/>
          <w:color w:val="auto"/>
          <w:sz w:val="32"/>
          <w:szCs w:val="32"/>
          <w:lang w:val="en-US" w:eastAsia="zh-CN"/>
        </w:rPr>
        <w:t>，男，</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岁，湖北省仙桃市</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人，身份证号：42900419</w:t>
      </w:r>
      <w:r>
        <w:rPr>
          <w:rFonts w:hint="eastAsia" w:ascii="仿宋_GB2312" w:hAnsi="仿宋_GB2312" w:eastAsia="仿宋_GB2312" w:cs="仿宋_GB2312"/>
          <w:color w:val="auto"/>
          <w:sz w:val="32"/>
          <w:szCs w:val="32"/>
          <w:lang w:val="en-US" w:eastAsia="zh-CN"/>
        </w:rPr>
        <w:t>**********。</w:t>
      </w:r>
    </w:p>
    <w:p w14:paraId="1860451B">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2.直接经济损失</w:t>
      </w:r>
    </w:p>
    <w:p w14:paraId="06044C65">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依据《企业职工伤亡事故经济损失统计标准》（GB6721-1986）等标准核定，本起事故直接经济损失约118万元。</w:t>
      </w:r>
    </w:p>
    <w:p w14:paraId="7B53BA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ascii="楷体" w:hAnsi="楷体" w:eastAsia="楷体" w:cs="楷体"/>
          <w:b/>
          <w:color w:val="FF0000"/>
          <w:sz w:val="32"/>
          <w:szCs w:val="32"/>
        </w:rPr>
      </w:pPr>
      <w:r>
        <w:rPr>
          <w:rFonts w:hint="eastAsia" w:ascii="黑体" w:hAnsi="黑体" w:eastAsia="黑体" w:cs="黑体"/>
          <w:b/>
          <w:sz w:val="32"/>
          <w:szCs w:val="32"/>
        </w:rPr>
        <w:t>二、事故应急处置评估情况</w:t>
      </w:r>
    </w:p>
    <w:p w14:paraId="203273D3">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（一）事故信息接报及响应情况</w:t>
      </w:r>
    </w:p>
    <w:p w14:paraId="62132FB4">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事故发生后，现场人员和有关企业人员立即分别上报企业负责人，和有关监管部门。区应急管理局接到报告后，第一时间向区人民政府和市应急管理部门上报事故情况，同时立即派员赶赴现场了解情况。</w:t>
      </w:r>
    </w:p>
    <w:p w14:paraId="460CB919">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（二）事故现场应急处置情况</w:t>
      </w:r>
    </w:p>
    <w:p w14:paraId="4A4D733B">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发生事故后，现场人员立即拨打了120急救电话和119救援电话，并安排人员到厂区门口接应。政府有关部门接到报告后立即派员赶赴现场，组织现场处置，防止次生事故的发生。</w:t>
      </w:r>
    </w:p>
    <w:p w14:paraId="27A6AC17">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（三）医疗救助善后情况</w:t>
      </w:r>
    </w:p>
    <w:p w14:paraId="1B4BC8C4">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120接到急救电话后立即赶往事故现场，经检查确认刘某清已死亡。119救援人员到现场后将刘某清遗体从电动机上移出。死者刘某清是乐家芯公司法定代表人雷某的亲叔叔，因刘某清夫妇没有儿子，多年来一直跟随雷某工作和生活。雷某按家乡习俗将刘某清遗体送往家乡妥善安葬。</w:t>
      </w:r>
    </w:p>
    <w:p w14:paraId="2C94BFD4">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（四）事故应急处置评估</w:t>
      </w:r>
    </w:p>
    <w:p w14:paraId="03DFCF6A">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调查评估，企业及时上报了事故情况，政府有关部门第一时间赶赴现场指挥救援，妥善做好了现场救援和善后处置工作，未发生次生事故。从企业自救情况来看，乐家芯公司在第一时间拨打了120和119电话，寻求救治和救援，处置得当。</w:t>
      </w:r>
    </w:p>
    <w:p w14:paraId="23973B8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黑体" w:hAnsi="黑体" w:eastAsia="黑体" w:cs="黑体"/>
          <w:b/>
          <w:sz w:val="32"/>
          <w:szCs w:val="32"/>
        </w:rPr>
      </w:pPr>
      <w:r>
        <w:rPr>
          <w:rFonts w:hint="eastAsia" w:ascii="黑体" w:hAnsi="黑体" w:eastAsia="黑体" w:cs="黑体"/>
          <w:b/>
          <w:sz w:val="32"/>
          <w:szCs w:val="32"/>
        </w:rPr>
        <w:t>三、事故原因分析</w:t>
      </w:r>
    </w:p>
    <w:p w14:paraId="3366BBEA">
      <w:pPr>
        <w:keepNext w:val="0"/>
        <w:keepLines w:val="0"/>
        <w:pageBreakBefore w:val="0"/>
        <w:widowControl w:val="0"/>
        <w:kinsoku/>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bCs/>
          <w:color w:val="auto"/>
          <w:kern w:val="0"/>
          <w:sz w:val="32"/>
          <w:szCs w:val="36"/>
        </w:rPr>
      </w:pPr>
      <w:r>
        <w:rPr>
          <w:rFonts w:hint="eastAsia" w:ascii="仿宋_GB2312" w:hAnsi="仿宋_GB2312" w:eastAsia="仿宋_GB2312" w:cs="仿宋_GB2312"/>
          <w:color w:val="auto"/>
          <w:sz w:val="32"/>
          <w:szCs w:val="32"/>
        </w:rPr>
        <w:t>事故发生后，公安机关结合现场勘查、尸检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调查</w:t>
      </w:r>
      <w:r>
        <w:rPr>
          <w:rFonts w:hint="eastAsia" w:ascii="仿宋_GB2312" w:hAnsi="仿宋_GB2312" w:eastAsia="仿宋_GB2312" w:cs="仿宋_GB2312"/>
          <w:color w:val="auto"/>
          <w:sz w:val="32"/>
          <w:szCs w:val="32"/>
          <w:lang w:eastAsia="zh-CN"/>
        </w:rPr>
        <w:t>询问</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eastAsia="zh-CN"/>
        </w:rPr>
        <w:t>情况进行</w:t>
      </w:r>
      <w:r>
        <w:rPr>
          <w:rFonts w:hint="eastAsia" w:ascii="仿宋_GB2312" w:hAnsi="仿宋_GB2312" w:eastAsia="仿宋_GB2312" w:cs="仿宋_GB2312"/>
          <w:color w:val="auto"/>
          <w:sz w:val="32"/>
          <w:szCs w:val="32"/>
        </w:rPr>
        <w:t>分析，排除人为故意刑事犯罪嫌疑。事故调查组</w:t>
      </w:r>
      <w:r>
        <w:rPr>
          <w:rFonts w:hint="eastAsia" w:ascii="仿宋_GB2312" w:hAnsi="仿宋_GB2312" w:eastAsia="仿宋_GB2312" w:cs="仿宋_GB2312"/>
          <w:color w:val="auto"/>
          <w:sz w:val="32"/>
          <w:szCs w:val="32"/>
          <w:lang w:eastAsia="zh-CN"/>
        </w:rPr>
        <w:t>通过</w:t>
      </w:r>
      <w:r>
        <w:rPr>
          <w:rFonts w:hint="eastAsia" w:ascii="仿宋_GB2312" w:hAnsi="仿宋_GB2312" w:eastAsia="仿宋_GB2312" w:cs="仿宋_GB2312"/>
          <w:color w:val="auto"/>
          <w:sz w:val="32"/>
          <w:szCs w:val="32"/>
        </w:rPr>
        <w:t>现场勘查</w:t>
      </w:r>
      <w:r>
        <w:rPr>
          <w:rFonts w:hint="eastAsia" w:ascii="仿宋_GB2312" w:hAnsi="仿宋_GB2312" w:eastAsia="仿宋_GB2312" w:cs="仿宋_GB2312"/>
          <w:color w:val="auto"/>
          <w:sz w:val="32"/>
          <w:szCs w:val="32"/>
          <w:lang w:eastAsia="zh-CN"/>
        </w:rPr>
        <w:t>，依法调取相关物证和书证，</w:t>
      </w:r>
      <w:r>
        <w:rPr>
          <w:rFonts w:hint="eastAsia" w:ascii="仿宋_GB2312" w:hAnsi="仿宋_GB2312" w:eastAsia="仿宋_GB2312" w:cs="仿宋_GB2312"/>
          <w:color w:val="auto"/>
          <w:sz w:val="32"/>
          <w:szCs w:val="32"/>
        </w:rPr>
        <w:t>对相关人员</w:t>
      </w:r>
      <w:r>
        <w:rPr>
          <w:rFonts w:hint="eastAsia" w:ascii="仿宋_GB2312" w:hAnsi="仿宋_GB2312" w:eastAsia="仿宋_GB2312" w:cs="仿宋_GB2312"/>
          <w:color w:val="auto"/>
          <w:sz w:val="32"/>
          <w:szCs w:val="32"/>
          <w:lang w:eastAsia="zh-CN"/>
        </w:rPr>
        <w:t>进行调查</w:t>
      </w:r>
      <w:r>
        <w:rPr>
          <w:rFonts w:hint="eastAsia" w:ascii="仿宋_GB2312" w:hAnsi="仿宋_GB2312" w:eastAsia="仿宋_GB2312" w:cs="仿宋_GB2312"/>
          <w:color w:val="auto"/>
          <w:sz w:val="32"/>
          <w:szCs w:val="32"/>
        </w:rPr>
        <w:t>询问，</w:t>
      </w:r>
      <w:r>
        <w:rPr>
          <w:rFonts w:hint="eastAsia" w:ascii="仿宋_GB2312" w:hAnsi="仿宋_GB2312" w:eastAsia="仿宋_GB2312" w:cs="仿宋_GB2312"/>
          <w:bCs/>
          <w:color w:val="auto"/>
          <w:kern w:val="0"/>
          <w:sz w:val="32"/>
          <w:szCs w:val="36"/>
        </w:rPr>
        <w:t>查明了事故原因及性质。</w:t>
      </w:r>
    </w:p>
    <w:p w14:paraId="6CA2AAC0">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（一）直接原因</w:t>
      </w:r>
    </w:p>
    <w:p w14:paraId="3D6189D9">
      <w:pPr>
        <w:keepNext w:val="0"/>
        <w:keepLines w:val="0"/>
        <w:pageBreakBefore w:val="0"/>
        <w:widowControl w:val="0"/>
        <w:suppressLineNumbers w:val="0"/>
        <w:kinsoku/>
        <w:topLinePunct w:val="0"/>
        <w:autoSpaceDE/>
        <w:autoSpaceDN/>
        <w:bidi w:val="0"/>
        <w:adjustRightInd/>
        <w:snapToGrid/>
        <w:spacing w:line="560" w:lineRule="exact"/>
        <w:ind w:left="0" w:leftChars="0" w:firstLine="640"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仿宋_GB2312" w:hAnsi="仿宋_GB2312" w:eastAsia="仿宋_GB2312" w:cs="仿宋_GB2312"/>
          <w:color w:val="auto"/>
          <w:sz w:val="32"/>
          <w:szCs w:val="32"/>
          <w:lang w:val="en-US" w:eastAsia="zh-CN"/>
        </w:rPr>
        <w:t>事故直接原因：刘某清被卷入线路板黑化生产线电动机内导致死亡。</w:t>
      </w:r>
    </w:p>
    <w:p w14:paraId="2E9E3DB5">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sz w:val="32"/>
          <w:szCs w:val="32"/>
          <w:lang w:val="en-US" w:eastAsia="zh-CN"/>
        </w:rPr>
        <w:t>黑化生产线上的电动机传动轴外露，未安装防护罩，导致安全隐患长期存在，引发事故。</w:t>
      </w:r>
    </w:p>
    <w:p w14:paraId="3C506DA7">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刘某清工作时未按要求着装，未穿着符合防机械卷入要求的工作服，导致衣物被卷入电动机，引发事故。</w:t>
      </w:r>
    </w:p>
    <w:p w14:paraId="728D72CC">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（二）间接原因</w:t>
      </w:r>
    </w:p>
    <w:p w14:paraId="5FAFD7EE">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3" w:firstLineChars="200"/>
        <w:jc w:val="both"/>
        <w:textAlignment w:val="auto"/>
        <w:rPr>
          <w:sz w:val="32"/>
          <w:szCs w:val="32"/>
        </w:rPr>
      </w:pPr>
      <w:r>
        <w:rPr>
          <w:rFonts w:hint="eastAsia" w:ascii="仿宋_GB2312" w:hAnsi="仿宋_GB2312" w:eastAsia="仿宋_GB2312" w:cs="仿宋_GB2312"/>
          <w:b/>
          <w:bCs/>
          <w:color w:val="000000"/>
          <w:kern w:val="0"/>
          <w:sz w:val="32"/>
          <w:szCs w:val="32"/>
          <w:lang w:val="en-US" w:eastAsia="zh-CN"/>
        </w:rPr>
        <w:t>乐家芯公司</w:t>
      </w:r>
      <w:r>
        <w:rPr>
          <w:rFonts w:hint="eastAsia" w:ascii="仿宋_GB2312" w:hAnsi="仿宋_GB2312" w:eastAsia="仿宋_GB2312" w:cs="仿宋_GB2312"/>
          <w:color w:val="auto"/>
          <w:kern w:val="2"/>
          <w:sz w:val="32"/>
          <w:szCs w:val="32"/>
          <w:lang w:val="en-US" w:eastAsia="zh-CN" w:bidi="ar-SA"/>
        </w:rPr>
        <w:t>安全管理规章制度缺失，未依法对从业人员进行安全生产教育和培训，事故隐患排查整改不力。</w:t>
      </w:r>
    </w:p>
    <w:p w14:paraId="45158C5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黑体" w:hAnsi="黑体" w:eastAsia="黑体" w:cs="黑体"/>
          <w:b/>
          <w:sz w:val="32"/>
          <w:szCs w:val="32"/>
        </w:rPr>
      </w:pPr>
      <w:r>
        <w:rPr>
          <w:rFonts w:hint="eastAsia" w:ascii="黑体" w:hAnsi="黑体" w:eastAsia="黑体" w:cs="黑体"/>
          <w:b/>
          <w:sz w:val="32"/>
          <w:szCs w:val="32"/>
        </w:rPr>
        <w:t>四、有关责任单位存在的问题</w:t>
      </w:r>
    </w:p>
    <w:p w14:paraId="2A5A03BD">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000000"/>
          <w:kern w:val="0"/>
          <w:sz w:val="32"/>
          <w:szCs w:val="32"/>
          <w:lang w:val="en-US" w:eastAsia="zh-CN"/>
        </w:rPr>
        <w:t>1.乐家芯公司</w:t>
      </w:r>
      <w:r>
        <w:rPr>
          <w:rFonts w:hint="eastAsia" w:ascii="仿宋_GB2312" w:hAnsi="仿宋_GB2312" w:eastAsia="仿宋_GB2312" w:cs="仿宋_GB2312"/>
          <w:sz w:val="32"/>
          <w:szCs w:val="32"/>
        </w:rPr>
        <w:t>，安全生产主体责任落实不到位</w:t>
      </w:r>
      <w:r>
        <w:rPr>
          <w:rFonts w:hint="eastAsia" w:ascii="仿宋_GB2312" w:hAnsi="仿宋_GB2312" w:eastAsia="仿宋_GB2312" w:cs="仿宋_GB2312"/>
          <w:sz w:val="32"/>
          <w:szCs w:val="32"/>
          <w:lang w:eastAsia="zh-CN"/>
        </w:rPr>
        <w:t>。具体表现为：</w:t>
      </w:r>
    </w:p>
    <w:p w14:paraId="2B70490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一是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安全管理规章制度缺失。</w:t>
      </w:r>
      <w:r>
        <w:rPr>
          <w:rFonts w:hint="eastAsia" w:ascii="仿宋_GB2312" w:hAnsi="仿宋_GB2312" w:eastAsia="仿宋_GB2312" w:cs="仿宋_GB2312"/>
          <w:sz w:val="32"/>
          <w:szCs w:val="32"/>
        </w:rPr>
        <w:t>未建立全员安全生产责任制、安全生产教育和培训制度、安全风险分级管控和隐患排查治理制度等必要的规章制度。</w:t>
      </w:r>
      <w:r>
        <w:rPr>
          <w:rStyle w:val="19"/>
          <w:rFonts w:hint="eastAsia" w:ascii="仿宋_GB2312" w:hAnsi="仿宋_GB2312" w:eastAsia="仿宋_GB2312" w:cs="仿宋_GB2312"/>
          <w:color w:val="000000" w:themeColor="text1"/>
          <w:sz w:val="32"/>
          <w:szCs w:val="32"/>
          <w14:textFill>
            <w14:solidFill>
              <w14:schemeClr w14:val="tx1"/>
            </w14:solidFill>
          </w14:textFill>
        </w:rPr>
        <w:t>[</w:t>
      </w:r>
      <w:r>
        <w:rPr>
          <w:rStyle w:val="19"/>
          <w:rFonts w:hint="eastAsia" w:ascii="仿宋_GB2312" w:hAnsi="仿宋_GB2312" w:eastAsia="仿宋_GB2312" w:cs="仿宋_GB2312"/>
          <w:color w:val="000000" w:themeColor="text1"/>
          <w:sz w:val="32"/>
          <w:szCs w:val="32"/>
          <w14:textFill>
            <w14:solidFill>
              <w14:schemeClr w14:val="tx1"/>
            </w14:solidFill>
          </w14:textFill>
        </w:rPr>
        <w:footnoteReference w:id="0"/>
      </w:r>
      <w:r>
        <w:rPr>
          <w:rStyle w:val="19"/>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18480F6E">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Style w:val="19"/>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二是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未依法对从业人员进行安全生产教育和培训。</w:t>
      </w:r>
      <w:r>
        <w:rPr>
          <w:rFonts w:hint="eastAsia" w:ascii="仿宋_GB2312" w:hAnsi="仿宋_GB2312" w:eastAsia="仿宋_GB2312" w:cs="仿宋_GB2312"/>
          <w:sz w:val="32"/>
          <w:szCs w:val="32"/>
        </w:rPr>
        <w:t>未保证从业人员具备必要的安全生产知识，未熟悉有关安全规章制度和安全操作规程，未掌握本岗位安全操作技能。</w:t>
      </w:r>
      <w:r>
        <w:rPr>
          <w:rStyle w:val="19"/>
          <w:rFonts w:hint="eastAsia" w:ascii="仿宋_GB2312" w:hAnsi="仿宋_GB2312" w:eastAsia="仿宋_GB2312" w:cs="仿宋_GB2312"/>
          <w:color w:val="000000" w:themeColor="text1"/>
          <w:sz w:val="32"/>
          <w:szCs w:val="32"/>
          <w14:textFill>
            <w14:solidFill>
              <w14:schemeClr w14:val="tx1"/>
            </w14:solidFill>
          </w14:textFill>
        </w:rPr>
        <w:t>[</w:t>
      </w:r>
      <w:r>
        <w:rPr>
          <w:rStyle w:val="19"/>
          <w:rFonts w:hint="eastAsia" w:ascii="仿宋_GB2312" w:hAnsi="仿宋_GB2312" w:eastAsia="仿宋_GB2312" w:cs="仿宋_GB2312"/>
          <w:color w:val="000000" w:themeColor="text1"/>
          <w:sz w:val="32"/>
          <w:szCs w:val="32"/>
          <w14:textFill>
            <w14:solidFill>
              <w14:schemeClr w14:val="tx1"/>
            </w14:solidFill>
          </w14:textFill>
        </w:rPr>
        <w:footnoteReference w:id="1"/>
      </w:r>
      <w:r>
        <w:rPr>
          <w:rStyle w:val="19"/>
          <w:rFonts w:hint="eastAsia" w:ascii="仿宋_GB2312" w:hAnsi="仿宋_GB2312" w:eastAsia="仿宋_GB2312" w:cs="仿宋_GB2312"/>
          <w:color w:val="000000" w:themeColor="text1"/>
          <w:sz w:val="32"/>
          <w:szCs w:val="32"/>
          <w14:textFill>
            <w14:solidFill>
              <w14:schemeClr w14:val="tx1"/>
            </w14:solidFill>
          </w14:textFill>
        </w:rPr>
        <w:t>]</w:t>
      </w:r>
    </w:p>
    <w:p w14:paraId="3EC08DC1">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三是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未依法开展安全风险辨识和隐患排查治理。未辨识涉事生产线电动机存在的安全风险，对电动机存在的安全隐患未及时消除。</w:t>
      </w:r>
      <w:r>
        <w:rPr>
          <w:rStyle w:val="19"/>
          <w:rFonts w:hint="eastAsia" w:ascii="仿宋_GB2312" w:hAnsi="仿宋_GB2312" w:eastAsia="仿宋_GB2312" w:cs="仿宋_GB2312"/>
          <w:sz w:val="32"/>
          <w:szCs w:val="32"/>
          <w:lang w:val="en-US" w:eastAsia="zh-CN"/>
        </w:rPr>
        <w:t>[</w:t>
      </w:r>
      <w:r>
        <w:rPr>
          <w:rStyle w:val="19"/>
          <w:rFonts w:hint="eastAsia" w:ascii="仿宋_GB2312" w:hAnsi="仿宋_GB2312" w:eastAsia="仿宋_GB2312" w:cs="仿宋_GB2312"/>
          <w:sz w:val="32"/>
          <w:szCs w:val="32"/>
          <w:lang w:val="en-US" w:eastAsia="zh-CN"/>
        </w:rPr>
        <w:footnoteReference w:id="2"/>
      </w:r>
      <w:r>
        <w:rPr>
          <w:rStyle w:val="19"/>
          <w:rFonts w:hint="eastAsia" w:ascii="仿宋_GB2312" w:hAnsi="仿宋_GB2312" w:eastAsia="仿宋_GB2312" w:cs="仿宋_GB2312"/>
          <w:sz w:val="32"/>
          <w:szCs w:val="32"/>
          <w:lang w:val="en-US" w:eastAsia="zh-CN"/>
        </w:rPr>
        <w:t>]</w:t>
      </w:r>
    </w:p>
    <w:p w14:paraId="3B83DA7A">
      <w:pPr>
        <w:pStyle w:val="4"/>
        <w:keepNext w:val="0"/>
        <w:keepLines w:val="0"/>
        <w:pageBreakBefore w:val="0"/>
        <w:widowControl w:val="0"/>
        <w:numPr>
          <w:ilvl w:val="0"/>
          <w:numId w:val="0"/>
        </w:numPr>
        <w:kinsoku/>
        <w:wordWrap/>
        <w:topLinePunct w:val="0"/>
        <w:autoSpaceDE/>
        <w:autoSpaceDN/>
        <w:bidi w:val="0"/>
        <w:adjustRightInd/>
        <w:snapToGrid/>
        <w:spacing w:line="56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五、对有关责任人员和责任单位的处理意见</w:t>
      </w:r>
    </w:p>
    <w:p w14:paraId="2F841FFC">
      <w:pPr>
        <w:keepNext w:val="0"/>
        <w:keepLines w:val="0"/>
        <w:pageBreakBefore w:val="0"/>
        <w:widowControl w:val="0"/>
        <w:suppressLineNumbers w:val="0"/>
        <w:kinsoku/>
        <w:topLinePunct w:val="0"/>
        <w:autoSpaceDE/>
        <w:autoSpaceDN/>
        <w:bidi w:val="0"/>
        <w:adjustRightInd/>
        <w:snapToGrid/>
        <w:spacing w:line="560" w:lineRule="exact"/>
        <w:ind w:left="0" w:leftChars="0" w:firstLine="643"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（一）对事故有关责任人员的行政处罚建议</w:t>
      </w:r>
    </w:p>
    <w:p w14:paraId="65540FBF">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bCs/>
          <w:color w:val="auto"/>
          <w:sz w:val="32"/>
          <w:szCs w:val="32"/>
          <w:lang w:val="en-US" w:eastAsia="zh-CN"/>
        </w:rPr>
        <w:t>刘某清</w:t>
      </w:r>
      <w:r>
        <w:rPr>
          <w:rFonts w:hint="eastAsia" w:ascii="仿宋_GB2312" w:hAnsi="仿宋_GB2312" w:eastAsia="仿宋_GB2312" w:cs="仿宋_GB2312"/>
          <w:b/>
          <w:sz w:val="32"/>
          <w:szCs w:val="32"/>
          <w:lang w:val="en-US" w:eastAsia="zh-CN"/>
        </w:rPr>
        <w:t>。</w:t>
      </w:r>
      <w:r>
        <w:rPr>
          <w:rFonts w:hint="eastAsia" w:ascii="仿宋_GB2312" w:hAnsi="仿宋_GB2312" w:eastAsia="仿宋_GB2312" w:cs="仿宋_GB2312"/>
          <w:sz w:val="32"/>
          <w:szCs w:val="32"/>
        </w:rPr>
        <w:t>安全意识淡薄，</w:t>
      </w:r>
      <w:r>
        <w:rPr>
          <w:rFonts w:hint="eastAsia" w:ascii="仿宋_GB2312" w:hAnsi="仿宋_GB2312" w:eastAsia="仿宋_GB2312" w:cs="仿宋_GB2312"/>
          <w:color w:val="auto"/>
          <w:sz w:val="32"/>
          <w:szCs w:val="32"/>
          <w:lang w:val="en-US" w:eastAsia="zh-CN"/>
        </w:rPr>
        <w:t>工作时未按要求着装，未穿着符合防机械卷入要求的工作服，导致衣物被卷入电动机引发事故。</w:t>
      </w:r>
      <w:r>
        <w:rPr>
          <w:rFonts w:hint="eastAsia" w:ascii="仿宋_GB2312" w:hAnsi="仿宋_GB2312" w:eastAsia="仿宋_GB2312" w:cs="仿宋_GB2312"/>
          <w:sz w:val="32"/>
          <w:szCs w:val="32"/>
        </w:rPr>
        <w:t>鉴于其在事故中已经死亡，不再追究相关责任。</w:t>
      </w:r>
    </w:p>
    <w:p w14:paraId="55A02706">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val="0"/>
          <w:color w:val="auto"/>
          <w:kern w:val="0"/>
          <w:sz w:val="32"/>
          <w:szCs w:val="32"/>
          <w:lang w:val="en-US" w:eastAsia="zh-CN" w:bidi="hi-IN"/>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sz w:val="32"/>
          <w:szCs w:val="32"/>
          <w:lang w:val="en-US" w:eastAsia="zh-CN"/>
        </w:rPr>
        <w:t>雷某</w:t>
      </w:r>
      <w:bookmarkStart w:id="0" w:name="_GoBack"/>
      <w:bookmarkEnd w:id="0"/>
      <w:r>
        <w:rPr>
          <w:rFonts w:hint="eastAsia" w:ascii="仿宋_GB2312" w:hAnsi="仿宋_GB2312" w:eastAsia="仿宋_GB2312" w:cs="仿宋_GB2312"/>
          <w:b/>
          <w:bCs/>
          <w:sz w:val="32"/>
          <w:szCs w:val="32"/>
        </w:rPr>
        <w:t>，</w:t>
      </w:r>
      <w:r>
        <w:rPr>
          <w:rFonts w:hint="eastAsia" w:ascii="仿宋_GB2312" w:hAnsi="仿宋_GB2312" w:eastAsia="仿宋_GB2312" w:cs="仿宋_GB2312"/>
          <w:color w:val="000000"/>
          <w:sz w:val="32"/>
          <w:szCs w:val="32"/>
          <w:lang w:val="en-US" w:eastAsia="zh-CN"/>
        </w:rPr>
        <w:t>乐家芯公司法定代表人</w:t>
      </w:r>
      <w:r>
        <w:rPr>
          <w:rFonts w:hint="eastAsia" w:ascii="仿宋_GB2312" w:hAnsi="仿宋_GB2312" w:eastAsia="仿宋_GB2312" w:cs="仿宋_GB2312"/>
          <w:bCs/>
          <w:sz w:val="32"/>
          <w:szCs w:val="32"/>
          <w:lang w:val="en-US" w:eastAsia="zh-CN"/>
        </w:rPr>
        <w:t>。未依法履行主要负责人安全生产工作职责：未组织制定并实施本单位安全生产规章制度和操作规程；</w:t>
      </w:r>
      <w:r>
        <w:rPr>
          <w:rFonts w:hint="eastAsia" w:ascii="仿宋_GB2312" w:hAnsi="仿宋_GB2312" w:eastAsia="仿宋_GB2312" w:cs="仿宋_GB2312"/>
          <w:color w:val="000000"/>
          <w:sz w:val="32"/>
          <w:szCs w:val="32"/>
          <w:lang w:val="en-US" w:eastAsia="zh-CN"/>
        </w:rPr>
        <w:t>未组织制定并实施本单位安全生产教育和培训计划；未建立落实安全风险分级管控和隐患排查治理双重预防工作机制，督促、检查本单位的安全生产工作，及时消除生产安全事故隐患。</w:t>
      </w:r>
      <w:r>
        <w:rPr>
          <w:rFonts w:hint="eastAsia" w:ascii="仿宋_GB2312" w:hAnsi="仿宋_GB2312" w:eastAsia="仿宋_GB2312" w:cs="仿宋_GB2312"/>
          <w:b w:val="0"/>
          <w:bCs w:val="0"/>
          <w:color w:val="auto"/>
          <w:kern w:val="0"/>
          <w:sz w:val="32"/>
          <w:szCs w:val="32"/>
          <w:lang w:val="en-US" w:eastAsia="zh-CN" w:bidi="hi-IN"/>
        </w:rPr>
        <w:t>其行为违反了《中华人民共和国安全生产法》第二十一条，第（二）项、第（三）项、第（五）项</w:t>
      </w:r>
      <w:r>
        <w:rPr>
          <w:rStyle w:val="19"/>
          <w:rFonts w:hint="eastAsia" w:ascii="仿宋_GB2312" w:hAnsi="仿宋_GB2312" w:eastAsia="仿宋_GB2312" w:cs="仿宋_GB2312"/>
          <w:kern w:val="2"/>
          <w:sz w:val="32"/>
          <w:szCs w:val="32"/>
          <w:lang w:val="en-US" w:eastAsia="zh-CN" w:bidi="ar-SA"/>
        </w:rPr>
        <w:t>[</w:t>
      </w:r>
      <w:r>
        <w:rPr>
          <w:rStyle w:val="19"/>
          <w:rFonts w:hint="eastAsia" w:ascii="仿宋_GB2312" w:hAnsi="仿宋_GB2312" w:eastAsia="仿宋_GB2312" w:cs="仿宋_GB2312"/>
          <w:kern w:val="2"/>
          <w:sz w:val="32"/>
          <w:szCs w:val="32"/>
          <w:lang w:val="en-US" w:eastAsia="zh-CN" w:bidi="ar-SA"/>
        </w:rPr>
        <w:footnoteReference w:id="3"/>
      </w:r>
      <w:r>
        <w:rPr>
          <w:rStyle w:val="19"/>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的规定，对该起事故的发生负有主要领导责任。建议由吉州区应急管理局依据《中华人民共和国安全生产法》第九十五条</w:t>
      </w:r>
      <w:r>
        <w:rPr>
          <w:rStyle w:val="19"/>
          <w:rFonts w:hint="eastAsia" w:ascii="仿宋_GB2312" w:hAnsi="仿宋_GB2312" w:eastAsia="仿宋_GB2312" w:cs="仿宋_GB2312"/>
          <w:b w:val="0"/>
          <w:bCs/>
          <w:color w:val="auto"/>
          <w:kern w:val="2"/>
          <w:sz w:val="32"/>
          <w:szCs w:val="32"/>
          <w:lang w:val="en-US" w:eastAsia="zh-CN" w:bidi="ar-SA"/>
        </w:rPr>
        <w:t>[</w:t>
      </w:r>
      <w:r>
        <w:rPr>
          <w:rStyle w:val="19"/>
          <w:rFonts w:hint="eastAsia" w:ascii="仿宋_GB2312" w:hAnsi="仿宋_GB2312" w:eastAsia="仿宋_GB2312" w:cs="仿宋_GB2312"/>
          <w:b w:val="0"/>
          <w:bCs/>
          <w:color w:val="auto"/>
          <w:kern w:val="2"/>
          <w:sz w:val="32"/>
          <w:szCs w:val="32"/>
          <w:lang w:val="en-US" w:eastAsia="zh-CN" w:bidi="ar-SA"/>
        </w:rPr>
        <w:footnoteReference w:id="4"/>
      </w:r>
      <w:r>
        <w:rPr>
          <w:rStyle w:val="19"/>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的有关规定，对其处以罚款。</w:t>
      </w:r>
    </w:p>
    <w:p w14:paraId="64467B1B">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3" w:firstLineChars="200"/>
        <w:jc w:val="left"/>
        <w:textAlignment w:val="auto"/>
        <w:rPr>
          <w:rFonts w:hint="default"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（二）对事故责任单位的行政处罚建议</w:t>
      </w:r>
    </w:p>
    <w:p w14:paraId="296321C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kern w:val="0"/>
          <w:sz w:val="32"/>
          <w:szCs w:val="32"/>
          <w:lang w:val="en-US" w:eastAsia="zh-CN"/>
        </w:rPr>
        <w:t>1.乐家芯公司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安全生产主体责任落实不到位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一是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安全管理规章制度缺失</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二是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未依法对员工进行安全生产教育和培训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三是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未依法开展安全风险辨识、隐患排查，未辨识涉事生产线电动机存在的安全风险，对电动机存在的安全隐患未及时消除</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rPr>
        <w:t>其行为违反</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eastAsia="zh-CN"/>
        </w:rPr>
        <w:t>华人民共和国</w:t>
      </w:r>
      <w:r>
        <w:rPr>
          <w:rFonts w:hint="eastAsia" w:ascii="仿宋_GB2312" w:hAnsi="仿宋_GB2312" w:eastAsia="仿宋_GB2312" w:cs="仿宋_GB2312"/>
          <w:color w:val="auto"/>
          <w:sz w:val="32"/>
          <w:szCs w:val="32"/>
          <w:lang w:val="en-US" w:eastAsia="zh-CN"/>
        </w:rPr>
        <w:t>安</w:t>
      </w:r>
      <w:r>
        <w:rPr>
          <w:rFonts w:hint="eastAsia" w:ascii="仿宋_GB2312" w:hAnsi="仿宋_GB2312" w:eastAsia="仿宋_GB2312" w:cs="仿宋_GB2312"/>
          <w:color w:val="auto"/>
          <w:sz w:val="32"/>
          <w:szCs w:val="32"/>
          <w:lang w:eastAsia="zh-CN"/>
        </w:rPr>
        <w:t>全生产法</w:t>
      </w:r>
      <w:r>
        <w:rPr>
          <w:rFonts w:hint="eastAsia" w:ascii="仿宋_GB2312" w:hAnsi="仿宋_GB2312" w:eastAsia="仿宋_GB2312" w:cs="仿宋_GB2312"/>
          <w:color w:val="auto"/>
          <w:sz w:val="32"/>
          <w:szCs w:val="32"/>
        </w:rPr>
        <w:t>》、第四条</w:t>
      </w:r>
      <w:r>
        <w:rPr>
          <w:rFonts w:hint="eastAsia" w:ascii="仿宋_GB2312" w:hAnsi="仿宋_GB2312" w:eastAsia="仿宋_GB2312" w:cs="仿宋_GB2312"/>
          <w:color w:val="auto"/>
          <w:sz w:val="32"/>
          <w:szCs w:val="32"/>
          <w:lang w:val="en-US" w:eastAsia="zh-CN"/>
        </w:rPr>
        <w:t>第一款</w:t>
      </w:r>
      <w:r>
        <w:rPr>
          <w:rStyle w:val="19"/>
          <w:rFonts w:hint="eastAsia" w:ascii="仿宋_GB2312" w:hAnsi="仿宋_GB2312" w:eastAsia="仿宋_GB2312" w:cs="仿宋_GB2312"/>
          <w:color w:val="auto"/>
          <w:sz w:val="32"/>
          <w:szCs w:val="32"/>
        </w:rPr>
        <w:t>[</w:t>
      </w:r>
      <w:r>
        <w:rPr>
          <w:rStyle w:val="19"/>
          <w:rFonts w:hint="eastAsia" w:ascii="仿宋_GB2312" w:hAnsi="仿宋_GB2312" w:eastAsia="仿宋_GB2312" w:cs="仿宋_GB2312"/>
          <w:color w:val="auto"/>
          <w:sz w:val="32"/>
          <w:szCs w:val="32"/>
        </w:rPr>
        <w:footnoteReference w:id="5"/>
      </w:r>
      <w:r>
        <w:rPr>
          <w:rStyle w:val="19"/>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第二十八条第一款、第四款</w:t>
      </w:r>
      <w:r>
        <w:rPr>
          <w:rStyle w:val="19"/>
          <w:rFonts w:hint="eastAsia" w:ascii="仿宋_GB2312" w:hAnsi="仿宋_GB2312" w:eastAsia="仿宋_GB2312" w:cs="仿宋_GB2312"/>
          <w:color w:val="auto"/>
          <w:sz w:val="32"/>
          <w:szCs w:val="32"/>
          <w:lang w:val="en-US" w:eastAsia="zh-CN"/>
        </w:rPr>
        <w:t>[</w:t>
      </w:r>
      <w:r>
        <w:rPr>
          <w:rStyle w:val="19"/>
          <w:rFonts w:hint="eastAsia" w:ascii="仿宋_GB2312" w:hAnsi="仿宋_GB2312" w:eastAsia="仿宋_GB2312" w:cs="仿宋_GB2312"/>
          <w:color w:val="auto"/>
          <w:sz w:val="32"/>
          <w:szCs w:val="32"/>
          <w:lang w:val="en-US" w:eastAsia="zh-CN"/>
        </w:rPr>
        <w:footnoteReference w:id="6"/>
      </w:r>
      <w:r>
        <w:rPr>
          <w:rStyle w:val="19"/>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、第四十一条第一款、第二款</w:t>
      </w:r>
      <w:r>
        <w:rPr>
          <w:rStyle w:val="19"/>
          <w:rFonts w:hint="eastAsia" w:ascii="仿宋_GB2312" w:hAnsi="仿宋_GB2312" w:eastAsia="仿宋_GB2312" w:cs="仿宋_GB2312"/>
          <w:sz w:val="32"/>
          <w:szCs w:val="32"/>
          <w:lang w:val="en-US" w:eastAsia="zh-CN"/>
        </w:rPr>
        <w:t>[</w:t>
      </w:r>
      <w:r>
        <w:rPr>
          <w:rStyle w:val="19"/>
          <w:rFonts w:hint="eastAsia" w:ascii="仿宋_GB2312" w:hAnsi="仿宋_GB2312" w:eastAsia="仿宋_GB2312" w:cs="仿宋_GB2312"/>
          <w:sz w:val="32"/>
          <w:szCs w:val="32"/>
          <w:lang w:val="en-US" w:eastAsia="zh-CN"/>
        </w:rPr>
        <w:footnoteReference w:id="7"/>
      </w:r>
      <w:r>
        <w:rPr>
          <w:rStyle w:val="19"/>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规定，对事</w:t>
      </w:r>
      <w:r>
        <w:rPr>
          <w:rFonts w:hint="eastAsia" w:ascii="仿宋_GB2312" w:hAnsi="仿宋_GB2312" w:eastAsia="仿宋_GB2312" w:cs="仿宋_GB2312"/>
          <w:color w:val="auto"/>
          <w:sz w:val="32"/>
          <w:szCs w:val="32"/>
          <w:lang w:val="en-US" w:eastAsia="zh-CN"/>
        </w:rPr>
        <w:t>故的发生</w:t>
      </w:r>
      <w:r>
        <w:rPr>
          <w:rFonts w:hint="eastAsia" w:ascii="仿宋_GB2312" w:hAnsi="仿宋_GB2312" w:eastAsia="仿宋_GB2312" w:cs="仿宋_GB2312"/>
          <w:sz w:val="32"/>
          <w:szCs w:val="32"/>
        </w:rPr>
        <w:t>负有责任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建议由</w:t>
      </w:r>
      <w:r>
        <w:rPr>
          <w:rFonts w:hint="eastAsia" w:ascii="仿宋_GB2312" w:hAnsi="仿宋_GB2312" w:eastAsia="仿宋_GB2312" w:cs="仿宋_GB2312"/>
          <w:sz w:val="32"/>
          <w:szCs w:val="32"/>
          <w:lang w:val="en-US" w:eastAsia="zh-CN"/>
        </w:rPr>
        <w:t>吉州区</w:t>
      </w:r>
      <w:r>
        <w:rPr>
          <w:rFonts w:hint="eastAsia" w:ascii="仿宋_GB2312" w:hAnsi="仿宋_GB2312" w:eastAsia="仿宋_GB2312" w:cs="仿宋_GB2312"/>
          <w:color w:val="000000" w:themeColor="text1"/>
          <w:sz w:val="32"/>
          <w:szCs w:val="32"/>
          <w14:textFill>
            <w14:solidFill>
              <w14:schemeClr w14:val="tx1"/>
            </w14:solidFill>
          </w14:textFill>
        </w:rPr>
        <w:t>应急管理局依据《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中华人民共和国安全生产法</w:t>
      </w:r>
      <w:r>
        <w:rPr>
          <w:rFonts w:hint="eastAsia" w:ascii="仿宋_GB2312" w:hAnsi="仿宋_GB2312" w:eastAsia="仿宋_GB2312" w:cs="仿宋_GB2312"/>
          <w:color w:val="000000" w:themeColor="text1"/>
          <w:sz w:val="32"/>
          <w:szCs w:val="32"/>
          <w14:textFill>
            <w14:solidFill>
              <w14:schemeClr w14:val="tx1"/>
            </w14:solidFill>
          </w14:textFill>
        </w:rPr>
        <w:t>》第一百一十四条第一款</w:t>
      </w:r>
      <w:r>
        <w:rPr>
          <w:rStyle w:val="19"/>
          <w:rFonts w:hint="eastAsia" w:ascii="仿宋_GB2312" w:hAnsi="仿宋_GB2312" w:eastAsia="仿宋_GB2312" w:cs="仿宋_GB2312"/>
          <w:color w:val="000000" w:themeColor="text1"/>
          <w:sz w:val="32"/>
          <w:szCs w:val="32"/>
          <w14:textFill>
            <w14:solidFill>
              <w14:schemeClr w14:val="tx1"/>
            </w14:solidFill>
          </w14:textFill>
        </w:rPr>
        <w:t>[</w:t>
      </w:r>
      <w:r>
        <w:rPr>
          <w:rStyle w:val="19"/>
          <w:rFonts w:hint="eastAsia" w:ascii="仿宋_GB2312" w:hAnsi="仿宋_GB2312" w:eastAsia="仿宋_GB2312" w:cs="仿宋_GB2312"/>
          <w:color w:val="000000" w:themeColor="text1"/>
          <w:sz w:val="32"/>
          <w:szCs w:val="32"/>
          <w14:textFill>
            <w14:solidFill>
              <w14:schemeClr w14:val="tx1"/>
            </w14:solidFill>
          </w14:textFill>
        </w:rPr>
        <w:footnoteReference w:id="8"/>
      </w:r>
      <w:r>
        <w:rPr>
          <w:rStyle w:val="19"/>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的有关规定</w:t>
      </w:r>
      <w:r>
        <w:rPr>
          <w:rFonts w:hint="eastAsia" w:ascii="仿宋_GB2312" w:hAnsi="仿宋_GB2312" w:eastAsia="仿宋_GB2312" w:cs="仿宋_GB2312"/>
          <w:color w:val="000000" w:themeColor="text1"/>
          <w:sz w:val="32"/>
          <w:szCs w:val="32"/>
          <w:lang w:eastAsia="zh-CN"/>
          <w14:textFill>
            <w14:solidFill>
              <w14:schemeClr w14:val="tx1"/>
            </w14:solidFill>
          </w14:textFill>
        </w:rPr>
        <w:t>，对其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处以罚款</w:t>
      </w:r>
      <w:r>
        <w:rPr>
          <w:rFonts w:hint="eastAsia" w:ascii="仿宋_GB2312" w:hAnsi="仿宋_GB2312" w:eastAsia="仿宋_GB2312" w:cs="仿宋_GB2312"/>
          <w:color w:val="000000" w:themeColor="text1"/>
          <w:sz w:val="32"/>
          <w:szCs w:val="32"/>
          <w14:textFill>
            <w14:solidFill>
              <w14:schemeClr w14:val="tx1"/>
            </w14:solidFill>
          </w14:textFill>
        </w:rPr>
        <w:t>。</w:t>
      </w:r>
    </w:p>
    <w:p w14:paraId="4F3D4F0F">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rPr>
          <w:rFonts w:ascii="黑体" w:hAnsi="黑体" w:eastAsia="黑体" w:cs="黑体"/>
          <w:b/>
          <w:sz w:val="32"/>
          <w:szCs w:val="32"/>
        </w:rPr>
      </w:pPr>
      <w:r>
        <w:rPr>
          <w:rFonts w:hint="eastAsia" w:ascii="黑体" w:hAnsi="黑体" w:eastAsia="黑体" w:cs="黑体"/>
          <w:b/>
          <w:sz w:val="32"/>
          <w:szCs w:val="32"/>
        </w:rPr>
        <w:t>六、事故主要教训</w:t>
      </w:r>
    </w:p>
    <w:p w14:paraId="28CAC1EB">
      <w:pPr>
        <w:keepNext w:val="0"/>
        <w:keepLines w:val="0"/>
        <w:pageBreakBefore w:val="0"/>
        <w:widowControl w:val="0"/>
        <w:suppressLineNumbers w:val="0"/>
        <w:kinsoku/>
        <w:wordWrap/>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乐家芯公司对安全发展理念的贯彻落实不牢固。制度建立及落实不全面，对安全风险的分析研判存在严重缺失，在源头把控上，未能有效识别并控制安全生产设施设备及作业中的潜在危险，导致安全防护措施不足，使作业人员处于风险中。对作业现场疏于管理，对作业现场人员未按要求着装未及时发现并制止。隐患排查治理落实不到位，对潜在的隐患和风险排查不力，使得风险没被发现未能及时处理。安全生产规章制度的缺失、对从业人员的安全培训教育不落实等因素，最终酿成事故。</w:t>
      </w:r>
    </w:p>
    <w:p w14:paraId="5634C43A">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textAlignment w:val="baseline"/>
        <w:rPr>
          <w:rFonts w:ascii="黑体" w:hAnsi="黑体" w:eastAsia="黑体" w:cs="黑体"/>
          <w:b/>
          <w:sz w:val="32"/>
          <w:szCs w:val="32"/>
        </w:rPr>
      </w:pPr>
      <w:r>
        <w:rPr>
          <w:rFonts w:hint="eastAsia" w:ascii="黑体" w:hAnsi="黑体" w:eastAsia="黑体" w:cs="黑体"/>
          <w:b/>
          <w:sz w:val="32"/>
          <w:szCs w:val="32"/>
        </w:rPr>
        <w:t>七、事故整改和防范措施</w:t>
      </w:r>
    </w:p>
    <w:p w14:paraId="012584C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针对这起事故暴露出的问题，为深刻吸取事故教训，进一步强化安全生产，有效防范类似事故重复发生，提出如下建议措施：</w:t>
      </w:r>
    </w:p>
    <w:p w14:paraId="13DA0B7F">
      <w:pPr>
        <w:pStyle w:val="6"/>
        <w:keepNext w:val="0"/>
        <w:keepLines w:val="0"/>
        <w:pageBreakBefore w:val="0"/>
        <w:widowControl w:val="0"/>
        <w:numPr>
          <w:ilvl w:val="0"/>
          <w:numId w:val="0"/>
        </w:numPr>
        <w:kinsoku/>
        <w:wordWrap/>
        <w:overflowPunct w:val="0"/>
        <w:topLinePunct w:val="0"/>
        <w:autoSpaceDE/>
        <w:autoSpaceDN/>
        <w:bidi w:val="0"/>
        <w:adjustRightInd/>
        <w:snapToGrid/>
        <w:spacing w:line="550" w:lineRule="exact"/>
        <w:ind w:left="0" w:leftChars="0" w:firstLine="643"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b/>
          <w:sz w:val="32"/>
          <w:szCs w:val="32"/>
          <w:lang w:eastAsia="zh-CN"/>
        </w:rPr>
        <w:t>（一）</w:t>
      </w:r>
      <w:r>
        <w:rPr>
          <w:rFonts w:hint="eastAsia" w:ascii="楷体_GB2312" w:hAnsi="楷体_GB2312" w:eastAsia="楷体_GB2312" w:cs="楷体_GB2312"/>
          <w:b/>
          <w:bCs/>
          <w:color w:val="000000"/>
          <w:kern w:val="0"/>
          <w:sz w:val="32"/>
          <w:szCs w:val="32"/>
          <w:lang w:val="en-US" w:eastAsia="zh-CN"/>
        </w:rPr>
        <w:t>乐家芯公司</w:t>
      </w:r>
      <w:r>
        <w:rPr>
          <w:rFonts w:hint="eastAsia" w:ascii="楷体_GB2312" w:hAnsi="楷体_GB2312" w:eastAsia="楷体_GB2312" w:cs="楷体_GB2312"/>
          <w:b/>
          <w:sz w:val="32"/>
          <w:szCs w:val="32"/>
        </w:rPr>
        <w:t>，</w:t>
      </w:r>
      <w:r>
        <w:rPr>
          <w:rFonts w:hint="default" w:ascii="仿宋_GB2312" w:hAnsi="仿宋_GB2312" w:eastAsia="仿宋_GB2312" w:cs="仿宋_GB2312"/>
          <w:color w:val="000000"/>
          <w:kern w:val="0"/>
          <w:sz w:val="32"/>
          <w:szCs w:val="32"/>
          <w:lang w:eastAsia="zh-CN"/>
        </w:rPr>
        <w:t>应</w:t>
      </w:r>
      <w:r>
        <w:rPr>
          <w:rFonts w:hint="eastAsia" w:ascii="仿宋_GB2312" w:hAnsi="仿宋_GB2312" w:eastAsia="仿宋_GB2312" w:cs="仿宋_GB2312"/>
          <w:color w:val="000000"/>
          <w:kern w:val="0"/>
          <w:sz w:val="32"/>
          <w:szCs w:val="32"/>
          <w:lang w:val="en-US" w:eastAsia="zh-CN"/>
        </w:rPr>
        <w:t>深刻总结事故教训，加强企业的管理</w:t>
      </w:r>
      <w:r>
        <w:rPr>
          <w:rFonts w:hint="default" w:ascii="仿宋_GB2312" w:hAnsi="仿宋_GB2312" w:eastAsia="仿宋_GB2312" w:cs="仿宋_GB2312"/>
          <w:color w:val="000000"/>
          <w:kern w:val="0"/>
          <w:sz w:val="32"/>
          <w:szCs w:val="32"/>
          <w:lang w:eastAsia="zh-CN"/>
        </w:rPr>
        <w:t>,从以下</w:t>
      </w:r>
      <w:r>
        <w:rPr>
          <w:rFonts w:hint="eastAsia" w:ascii="仿宋_GB2312" w:hAnsi="仿宋_GB2312" w:eastAsia="仿宋_GB2312" w:cs="仿宋_GB2312"/>
          <w:color w:val="000000"/>
          <w:kern w:val="0"/>
          <w:sz w:val="32"/>
          <w:szCs w:val="32"/>
          <w:lang w:eastAsia="zh-CN"/>
        </w:rPr>
        <w:t>几</w:t>
      </w:r>
      <w:r>
        <w:rPr>
          <w:rFonts w:hint="default" w:ascii="仿宋_GB2312" w:hAnsi="仿宋_GB2312" w:eastAsia="仿宋_GB2312" w:cs="仿宋_GB2312"/>
          <w:color w:val="000000"/>
          <w:kern w:val="0"/>
          <w:sz w:val="32"/>
          <w:szCs w:val="32"/>
          <w:lang w:eastAsia="zh-CN"/>
        </w:rPr>
        <w:t>个方面加强安全生产管理工作</w:t>
      </w:r>
      <w:r>
        <w:rPr>
          <w:rFonts w:hint="eastAsia" w:ascii="仿宋_GB2312" w:hAnsi="仿宋_GB2312" w:eastAsia="仿宋_GB2312" w:cs="仿宋_GB2312"/>
          <w:color w:val="000000"/>
          <w:kern w:val="0"/>
          <w:sz w:val="32"/>
          <w:szCs w:val="32"/>
          <w:lang w:val="en-US" w:eastAsia="zh-CN"/>
        </w:rPr>
        <w:t>：</w:t>
      </w:r>
    </w:p>
    <w:p w14:paraId="39DBDDDF">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完善机械安全风险</w:t>
      </w:r>
      <w:r>
        <w:rPr>
          <w:rFonts w:hint="eastAsia" w:ascii="仿宋_GB2312" w:hAnsi="仿宋_GB2312" w:eastAsia="仿宋_GB2312" w:cs="仿宋_GB2312"/>
          <w:color w:val="000000"/>
          <w:kern w:val="0"/>
          <w:sz w:val="32"/>
          <w:szCs w:val="32"/>
          <w:lang w:eastAsia="zh-CN"/>
        </w:rPr>
        <w:t>辨识</w:t>
      </w:r>
      <w:r>
        <w:rPr>
          <w:rFonts w:ascii="仿宋_GB2312" w:hAnsi="仿宋_GB2312" w:eastAsia="仿宋_GB2312" w:cs="仿宋_GB2312"/>
          <w:color w:val="000000"/>
          <w:kern w:val="0"/>
          <w:sz w:val="32"/>
          <w:szCs w:val="32"/>
        </w:rPr>
        <w:t>与控制</w:t>
      </w:r>
      <w:r>
        <w:rPr>
          <w:rFonts w:hint="eastAsia" w:ascii="仿宋_GB2312" w:hAnsi="仿宋_GB2312" w:eastAsia="仿宋_GB2312" w:cs="仿宋_GB2312"/>
          <w:color w:val="000000"/>
          <w:kern w:val="0"/>
          <w:sz w:val="32"/>
          <w:szCs w:val="32"/>
          <w:lang w:eastAsia="zh-CN"/>
        </w:rPr>
        <w:t>。</w:t>
      </w:r>
      <w:r>
        <w:rPr>
          <w:rFonts w:ascii="仿宋_GB2312" w:hAnsi="仿宋_GB2312" w:eastAsia="仿宋_GB2312" w:cs="仿宋_GB2312"/>
          <w:color w:val="000000"/>
          <w:kern w:val="0"/>
          <w:sz w:val="32"/>
          <w:szCs w:val="32"/>
        </w:rPr>
        <w:t>进行全面机械安全风险评估，识别作业</w:t>
      </w:r>
      <w:r>
        <w:rPr>
          <w:rFonts w:hint="eastAsia" w:ascii="仿宋_GB2312" w:hAnsi="仿宋_GB2312" w:eastAsia="仿宋_GB2312" w:cs="仿宋_GB2312"/>
          <w:color w:val="000000"/>
          <w:kern w:val="0"/>
          <w:sz w:val="32"/>
          <w:szCs w:val="32"/>
          <w:lang w:val="en-US" w:eastAsia="zh-CN"/>
        </w:rPr>
        <w:t>过程</w:t>
      </w:r>
      <w:r>
        <w:rPr>
          <w:rFonts w:ascii="仿宋_GB2312" w:hAnsi="仿宋_GB2312" w:eastAsia="仿宋_GB2312" w:cs="仿宋_GB2312"/>
          <w:color w:val="000000"/>
          <w:kern w:val="0"/>
          <w:sz w:val="32"/>
          <w:szCs w:val="32"/>
        </w:rPr>
        <w:t>中的潜在危险点，制定针对性的风险控制措施。加强安全防护设施的建设与维护，确保员工</w:t>
      </w:r>
      <w:r>
        <w:rPr>
          <w:rFonts w:hint="eastAsia" w:ascii="仿宋_GB2312" w:hAnsi="仿宋_GB2312" w:eastAsia="仿宋_GB2312" w:cs="仿宋_GB2312"/>
          <w:color w:val="000000"/>
          <w:kern w:val="0"/>
          <w:sz w:val="32"/>
          <w:szCs w:val="32"/>
          <w:lang w:val="en-US" w:eastAsia="zh-CN"/>
        </w:rPr>
        <w:t>人身和财产安全</w:t>
      </w:r>
      <w:r>
        <w:rPr>
          <w:rFonts w:ascii="仿宋_GB2312" w:hAnsi="仿宋_GB2312" w:eastAsia="仿宋_GB2312" w:cs="仿宋_GB2312"/>
          <w:color w:val="000000"/>
          <w:kern w:val="0"/>
          <w:sz w:val="32"/>
          <w:szCs w:val="32"/>
        </w:rPr>
        <w:t>，同时设置明显的安全警示标识。</w:t>
      </w:r>
    </w:p>
    <w:p w14:paraId="0F05524C">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建立健全隐患排查治理机制</w:t>
      </w:r>
      <w:r>
        <w:rPr>
          <w:rFonts w:hint="eastAsia" w:ascii="仿宋_GB2312" w:hAnsi="仿宋_GB2312" w:eastAsia="仿宋_GB2312" w:cs="仿宋_GB2312"/>
          <w:color w:val="000000"/>
          <w:kern w:val="0"/>
          <w:sz w:val="32"/>
          <w:szCs w:val="32"/>
          <w:lang w:eastAsia="zh-CN"/>
        </w:rPr>
        <w:t>。</w:t>
      </w:r>
      <w:r>
        <w:rPr>
          <w:rFonts w:ascii="仿宋_GB2312" w:hAnsi="仿宋_GB2312" w:eastAsia="仿宋_GB2312" w:cs="仿宋_GB2312"/>
          <w:color w:val="000000"/>
          <w:kern w:val="0"/>
          <w:sz w:val="32"/>
          <w:szCs w:val="32"/>
        </w:rPr>
        <w:t>定期进行全面的安全检查，确保隐患早发现、早报告、早治理。建立隐患排查治理台账，跟踪整改情况直至隐患完全消除。对于排查出的重大隐患，应立即采取临时控制措施，并制定详细整改方案限时整改。</w:t>
      </w:r>
    </w:p>
    <w:p w14:paraId="1866FA64">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完善安全生产规章制度与操作规程</w:t>
      </w:r>
      <w:r>
        <w:rPr>
          <w:rFonts w:hint="eastAsia" w:ascii="仿宋_GB2312" w:hAnsi="仿宋_GB2312" w:eastAsia="仿宋_GB2312" w:cs="仿宋_GB2312"/>
          <w:color w:val="000000"/>
          <w:kern w:val="0"/>
          <w:sz w:val="32"/>
          <w:szCs w:val="32"/>
          <w:lang w:eastAsia="zh-CN"/>
        </w:rPr>
        <w:t>。</w:t>
      </w:r>
      <w:r>
        <w:rPr>
          <w:rFonts w:ascii="仿宋_GB2312" w:hAnsi="仿宋_GB2312" w:eastAsia="仿宋_GB2312" w:cs="仿宋_GB2312"/>
          <w:color w:val="000000"/>
          <w:kern w:val="0"/>
          <w:sz w:val="32"/>
          <w:szCs w:val="32"/>
        </w:rPr>
        <w:t>结合企业实际情况，制定或修订安全生产规章制度和操作规程，确保其科学、有效、易于执行。规章制度和操作规程</w:t>
      </w:r>
      <w:r>
        <w:rPr>
          <w:rFonts w:hint="eastAsia" w:ascii="仿宋_GB2312" w:hAnsi="仿宋_GB2312" w:eastAsia="仿宋_GB2312" w:cs="仿宋_GB2312"/>
          <w:color w:val="000000"/>
          <w:kern w:val="0"/>
          <w:sz w:val="32"/>
          <w:szCs w:val="32"/>
          <w:lang w:eastAsia="zh-CN"/>
        </w:rPr>
        <w:t>应</w:t>
      </w:r>
      <w:r>
        <w:rPr>
          <w:rFonts w:ascii="仿宋_GB2312" w:hAnsi="仿宋_GB2312" w:eastAsia="仿宋_GB2312" w:cs="仿宋_GB2312"/>
          <w:color w:val="000000"/>
          <w:kern w:val="0"/>
          <w:sz w:val="32"/>
          <w:szCs w:val="32"/>
        </w:rPr>
        <w:t>便于员工随时查阅学习。</w:t>
      </w:r>
    </w:p>
    <w:p w14:paraId="6CE88C70">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eastAsia="zh-CN"/>
        </w:rPr>
      </w:pPr>
      <w:r>
        <w:rPr>
          <w:rFonts w:ascii="仿宋_GB2312" w:hAnsi="仿宋_GB2312" w:eastAsia="仿宋_GB2312" w:cs="仿宋_GB2312"/>
          <w:color w:val="000000"/>
          <w:kern w:val="0"/>
          <w:sz w:val="32"/>
          <w:szCs w:val="32"/>
        </w:rPr>
        <w:t>加强安全教育培训</w:t>
      </w:r>
      <w:r>
        <w:rPr>
          <w:rFonts w:hint="eastAsia" w:ascii="仿宋_GB2312" w:hAnsi="仿宋_GB2312" w:eastAsia="仿宋_GB2312" w:cs="仿宋_GB2312"/>
          <w:color w:val="000000"/>
          <w:kern w:val="0"/>
          <w:sz w:val="32"/>
          <w:szCs w:val="32"/>
          <w:lang w:eastAsia="zh-CN"/>
        </w:rPr>
        <w:t>。</w:t>
      </w:r>
      <w:r>
        <w:rPr>
          <w:rFonts w:ascii="仿宋_GB2312" w:hAnsi="仿宋_GB2312" w:eastAsia="仿宋_GB2312" w:cs="仿宋_GB2312"/>
          <w:color w:val="000000"/>
          <w:kern w:val="0"/>
          <w:sz w:val="32"/>
          <w:szCs w:val="32"/>
        </w:rPr>
        <w:t>对所有从业人员进行定期的安全教育培训，特别是对新入职员工和转岗员工，要进行系统的安全教育和岗位技能培训</w:t>
      </w:r>
      <w:r>
        <w:rPr>
          <w:rFonts w:hint="eastAsia" w:ascii="仿宋_GB2312" w:hAnsi="仿宋_GB2312" w:eastAsia="仿宋_GB2312" w:cs="仿宋_GB2312"/>
          <w:color w:val="000000"/>
          <w:kern w:val="0"/>
          <w:sz w:val="32"/>
          <w:szCs w:val="32"/>
          <w:lang w:eastAsia="zh-CN"/>
        </w:rPr>
        <w:t>，加强</w:t>
      </w:r>
      <w:r>
        <w:rPr>
          <w:rFonts w:hint="eastAsia" w:ascii="仿宋_GB2312" w:hAnsi="仿宋_GB2312" w:eastAsia="仿宋_GB2312" w:cs="仿宋_GB2312"/>
          <w:color w:val="000000"/>
          <w:kern w:val="0"/>
          <w:sz w:val="32"/>
          <w:szCs w:val="32"/>
          <w:lang w:val="en-US" w:eastAsia="zh-CN"/>
        </w:rPr>
        <w:t>机械设备作业操作规程和健全防护措施的教育，</w:t>
      </w:r>
      <w:r>
        <w:rPr>
          <w:rFonts w:ascii="仿宋_GB2312" w:hAnsi="仿宋_GB2312" w:eastAsia="仿宋_GB2312" w:cs="仿宋_GB2312"/>
          <w:color w:val="000000"/>
          <w:kern w:val="0"/>
          <w:sz w:val="32"/>
          <w:szCs w:val="32"/>
        </w:rPr>
        <w:t>确保每位员工都熟悉安全操作规程，掌握必要的应急处置技能</w:t>
      </w:r>
      <w:r>
        <w:rPr>
          <w:rFonts w:hint="eastAsia" w:ascii="仿宋_GB2312" w:hAnsi="仿宋_GB2312" w:eastAsia="仿宋_GB2312" w:cs="仿宋_GB2312"/>
          <w:color w:val="000000"/>
          <w:kern w:val="0"/>
          <w:sz w:val="32"/>
          <w:szCs w:val="32"/>
          <w:lang w:eastAsia="zh-CN"/>
        </w:rPr>
        <w:t>。</w:t>
      </w:r>
    </w:p>
    <w:p w14:paraId="0BBC888A">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color w:val="000000"/>
          <w:kern w:val="0"/>
          <w:sz w:val="32"/>
          <w:szCs w:val="32"/>
          <w:lang w:val="en-US" w:eastAsia="zh-CN"/>
        </w:rPr>
        <w:t>（二）政府有关部门，</w:t>
      </w:r>
      <w:r>
        <w:rPr>
          <w:rFonts w:hint="eastAsia" w:ascii="仿宋_GB2312" w:hAnsi="仿宋_GB2312" w:eastAsia="仿宋_GB2312" w:cs="仿宋_GB2312"/>
          <w:sz w:val="32"/>
          <w:szCs w:val="32"/>
          <w:lang w:val="en-US" w:eastAsia="zh-CN"/>
        </w:rPr>
        <w:t>应举一反三，强化监管。坚决遏制机械伤害事故多发态势。</w:t>
      </w:r>
    </w:p>
    <w:p w14:paraId="157E9295">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近三年来，</w:t>
      </w:r>
      <w:r>
        <w:rPr>
          <w:rFonts w:hint="eastAsia" w:ascii="仿宋_GB2312" w:hAnsi="仿宋_GB2312" w:eastAsia="仿宋_GB2312" w:cs="仿宋_GB2312"/>
          <w:sz w:val="32"/>
          <w:szCs w:val="32"/>
          <w:lang w:val="en-US" w:eastAsia="zh-CN"/>
        </w:rPr>
        <w:t>本</w:t>
      </w:r>
      <w:r>
        <w:rPr>
          <w:rFonts w:hint="default" w:ascii="仿宋_GB2312" w:hAnsi="仿宋_GB2312" w:eastAsia="仿宋_GB2312" w:cs="仿宋_GB2312"/>
          <w:sz w:val="32"/>
          <w:szCs w:val="32"/>
          <w:lang w:val="en-US" w:eastAsia="zh-CN"/>
        </w:rPr>
        <w:t>区工业园区内机械伤害事故连续发生，暴露出在安全生产管理、责任落实、风险管控等方面仍存在薄弱环节。为深刻吸取事故教训，现针对园区管委会、行业主管部门及安全监管部门提出以下整改和防范措施建议：</w:t>
      </w:r>
    </w:p>
    <w:p w14:paraId="4AF8DFA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w:t>
      </w:r>
      <w:r>
        <w:rPr>
          <w:rFonts w:hint="default" w:ascii="仿宋_GB2312" w:hAnsi="仿宋_GB2312" w:eastAsia="仿宋_GB2312" w:cs="仿宋_GB2312"/>
          <w:b/>
          <w:bCs/>
          <w:sz w:val="32"/>
          <w:szCs w:val="32"/>
          <w:lang w:val="en-US" w:eastAsia="zh-CN"/>
        </w:rPr>
        <w:t>提高政治站位，压实各方安全生产责任</w:t>
      </w:r>
    </w:p>
    <w:p w14:paraId="433FB7BB">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强化园区管委会属地管理责任</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园区管委会要深刻认识到当前安全生产形势的严峻性，切实担负起“促一方发展、保一方平安”的政治责任。定期专题研究安全生产工作，主要负责同志要亲自部署、亲自督查，将安全生产与园区经济发展同规划、同部署、同落实。建立健全园区安全生产协调机制，明确内部各部门安全监管职责，消除监管盲区。</w:t>
      </w:r>
    </w:p>
    <w:p w14:paraId="368E3563">
      <w:pPr>
        <w:keepNext w:val="0"/>
        <w:keepLines w:val="0"/>
        <w:pageBreakBefore w:val="0"/>
        <w:widowControl/>
        <w:suppressLineNumbers w:val="0"/>
        <w:kinsoku/>
        <w:wordWrap/>
        <w:topLinePunct w:val="0"/>
        <w:autoSpaceDE/>
        <w:autoSpaceDN/>
        <w:bidi w:val="0"/>
        <w:adjustRightInd/>
        <w:snapToGrid/>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落实行业主管部门“三管三必须”要求</w:t>
      </w:r>
      <w:r>
        <w:rPr>
          <w:rFonts w:hint="eastAsia" w:ascii="仿宋_GB2312" w:hAnsi="仿宋_GB2312" w:eastAsia="仿宋_GB2312" w:cs="仿宋_GB2312"/>
          <w:sz w:val="32"/>
          <w:szCs w:val="32"/>
          <w:lang w:val="en-US" w:eastAsia="zh-CN"/>
        </w:rPr>
        <w:t>。区</w:t>
      </w:r>
      <w:r>
        <w:rPr>
          <w:rFonts w:hint="default" w:ascii="仿宋_GB2312" w:hAnsi="仿宋_GB2312" w:eastAsia="仿宋_GB2312" w:cs="仿宋_GB2312"/>
          <w:sz w:val="32"/>
          <w:szCs w:val="32"/>
          <w:lang w:val="en-US" w:eastAsia="zh-CN"/>
        </w:rPr>
        <w:t>工信</w:t>
      </w:r>
      <w:r>
        <w:rPr>
          <w:rFonts w:hint="eastAsia" w:ascii="仿宋_GB2312" w:hAnsi="仿宋_GB2312" w:eastAsia="仿宋_GB2312" w:cs="仿宋_GB2312"/>
          <w:sz w:val="32"/>
          <w:szCs w:val="32"/>
          <w:lang w:val="en-US" w:eastAsia="zh-CN"/>
        </w:rPr>
        <w:t>局</w:t>
      </w:r>
      <w:r>
        <w:rPr>
          <w:rFonts w:hint="default" w:ascii="仿宋_GB2312" w:hAnsi="仿宋_GB2312" w:eastAsia="仿宋_GB2312" w:cs="仿宋_GB2312"/>
          <w:sz w:val="32"/>
          <w:szCs w:val="32"/>
          <w:lang w:val="en-US" w:eastAsia="zh-CN"/>
        </w:rPr>
        <w:t>要按照“管行业必须管安全、管业务必须管安全、管生产经营必须管安全”的原则，依法履行行业安全生产管理职责。将安全生产作为行业管理的重要内容，从行业发展规划、政策法规、标准规范等方面加强安全生产工作，督促指导工业制造行业领域企业加强安全生产管理。</w:t>
      </w:r>
    </w:p>
    <w:p w14:paraId="3E5221BE">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压实安全监管部门综合监管责任</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应急管理部门要依法履行安全生产综合监管职责，加强对园区管委会、行业主管部门安全生产工作的指导、协调和监督。加大对园区企业，特别是涉及机械加工、制造等重点企业的执法检查力度，对发现的违法违规行为依法严肃处理。</w:t>
      </w:r>
    </w:p>
    <w:p w14:paraId="22DBBBE5">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w:t>
      </w:r>
      <w:r>
        <w:rPr>
          <w:rFonts w:hint="default" w:ascii="仿宋_GB2312" w:hAnsi="仿宋_GB2312" w:eastAsia="仿宋_GB2312" w:cs="仿宋_GB2312"/>
          <w:b/>
          <w:bCs/>
          <w:sz w:val="32"/>
          <w:szCs w:val="32"/>
          <w:lang w:val="en-US" w:eastAsia="zh-CN"/>
        </w:rPr>
        <w:t>深化源头治理，全面排查整治风险隐患</w:t>
      </w:r>
    </w:p>
    <w:p w14:paraId="6B30F0E0">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开展机械伤害专项整治行动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由园区管委会牵头，联合应急管理、行业主管部门，立即在全区工业园区范围内开展为期不少于三个月的机械伤害事故专项整治行动。聚焦涉械企业，特别是发生过事故、存在重大风险的企业，全面排查设备设施、作业环境、安全管理等方面存在的隐患。</w:t>
      </w:r>
    </w:p>
    <w:p w14:paraId="3AA0E12F">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强化重点设备与环节安全监管</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行业主管和安全监管部门要加强对冲压、剪切、锻造、铸造、起重、传输等易发生机械伤害的设备设施的安全监管。重点检查设备的防护罩、安全联锁装置、紧急制动装置、光电保护等安全设施是否齐全、有效；检维修作业、调试作业、交叉作业等关键环节的安全管理是否到位，是否严格执行“断电、挂牌、上锁”等规定。</w:t>
      </w:r>
    </w:p>
    <w:p w14:paraId="3A15CF3E">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w:t>
      </w:r>
      <w:r>
        <w:rPr>
          <w:rFonts w:hint="default" w:ascii="仿宋_GB2312" w:hAnsi="仿宋_GB2312" w:eastAsia="仿宋_GB2312" w:cs="仿宋_GB2312"/>
          <w:b/>
          <w:bCs/>
          <w:sz w:val="32"/>
          <w:szCs w:val="32"/>
          <w:lang w:val="en-US" w:eastAsia="zh-CN"/>
        </w:rPr>
        <w:t>加强警示教育，提升全员安全意识</w:t>
      </w:r>
    </w:p>
    <w:p w14:paraId="376FBA13">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开展常态化警示教育</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园区管委会要定期组织涉械企业负责人、安全管理人员开展集中警示教育，观看机械伤害事故警示教育片，剖析事故原因，深刻吸取教训。督促企业利用班前会、安全活动日等多种形式，将警示教育延伸到车间、班组和每一位员工。</w:t>
      </w:r>
    </w:p>
    <w:p w14:paraId="7C3CEDBE">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创新安全宣传方式</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充分利用园区宣传栏、电子显示屏、微信公众号等多种媒介，广泛宣传机械伤害的危害性、防范措施以及相关法律法规。组织开展安全知识竞赛、应急演练等活动，营造“人人讲安全、事事为安全、时时想安全、处处要安全”的浓厚氛围。</w:t>
      </w:r>
    </w:p>
    <w:p w14:paraId="3914C8B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请各相关单位务必高度重视，对照以上措施建议，结合本单位实际，制定具体落实方案，明确责任分工和完成时限，确保各项整改和防范措施落地见效，坚决扭转机械伤害事故频发的被动局面，为全区经济社会高质量发展营造安全稳定的环境。</w:t>
      </w:r>
    </w:p>
    <w:p w14:paraId="2E686502">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ascii="仿宋_GB2312" w:hAnsi="仿宋_GB2312" w:eastAsia="仿宋_GB2312" w:cs="仿宋_GB2312"/>
          <w:sz w:val="32"/>
          <w:szCs w:val="32"/>
        </w:rPr>
      </w:pPr>
    </w:p>
    <w:p w14:paraId="23C6BB45">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lang w:val="en-US" w:eastAsia="zh-CN"/>
        </w:rPr>
      </w:pPr>
    </w:p>
    <w:p w14:paraId="50A53065">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lang w:val="en-US" w:eastAsia="zh-CN"/>
        </w:rPr>
      </w:pPr>
    </w:p>
    <w:p w14:paraId="450FC67C">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江西乐家芯科技有限公司“3·3”</w:t>
      </w:r>
    </w:p>
    <w:p w14:paraId="1C9204A3">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default" w:ascii="仿宋_GB2312" w:hAnsi="仿宋_GB2312" w:eastAsia="仿宋_GB2312" w:cs="仿宋_GB2312"/>
          <w:sz w:val="32"/>
          <w:szCs w:val="32"/>
          <w:lang w:val="en-US" w:eastAsia="zh-CN"/>
        </w:rPr>
      </w:pPr>
      <w:r>
        <w:rPr>
          <w:rFonts w:hint="eastAsia" w:ascii="仿宋_GB2312" w:hAnsi="仿宋" w:eastAsia="仿宋_GB2312" w:cs="Times New Roman"/>
          <w:sz w:val="32"/>
          <w:szCs w:val="32"/>
          <w:lang w:val="en-US" w:eastAsia="zh-CN"/>
        </w:rPr>
        <w:t>一般机械伤害事故调查</w:t>
      </w:r>
      <w:r>
        <w:rPr>
          <w:rFonts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 xml:space="preserve">    </w:t>
      </w:r>
    </w:p>
    <w:p w14:paraId="679DA498">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40" w:firstLineChars="2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2026年4月</w:t>
      </w:r>
      <w:r>
        <w:rPr>
          <w:rFonts w:hint="eastAsia" w:ascii="仿宋_GB2312" w:hAnsi="仿宋" w:eastAsia="仿宋_GB2312" w:cs="Times New Roman"/>
          <w:sz w:val="32"/>
          <w:szCs w:val="32"/>
          <w:lang w:val="en-US" w:eastAsia="zh-CN"/>
        </w:rPr>
        <w:t>21</w:t>
      </w:r>
      <w:r>
        <w:rPr>
          <w:rFonts w:hint="eastAsia" w:ascii="仿宋_GB2312" w:hAnsi="仿宋_GB2312" w:eastAsia="仿宋_GB2312" w:cs="仿宋_GB2312"/>
          <w:sz w:val="32"/>
          <w:szCs w:val="32"/>
          <w:lang w:val="en-US" w:eastAsia="zh-CN"/>
        </w:rPr>
        <w:t xml:space="preserve">日      </w:t>
      </w:r>
    </w:p>
    <w:p w14:paraId="71A56F81">
      <w:pPr>
        <w:pStyle w:val="4"/>
        <w:ind w:left="0" w:leftChars="0" w:firstLine="0" w:firstLineChars="0"/>
        <w:rPr>
          <w:rFonts w:ascii="仿宋_GB2312" w:hAnsi="仿宋_GB2312" w:eastAsia="仿宋_GB2312" w:cs="仿宋_GB2312"/>
          <w:sz w:val="32"/>
          <w:szCs w:val="32"/>
        </w:rPr>
        <w:sectPr>
          <w:footerReference r:id="rId5" w:type="default"/>
          <w:footnotePr>
            <w:numFmt w:val="decimal"/>
          </w:footnotePr>
          <w:pgSz w:w="11906" w:h="16838"/>
          <w:pgMar w:top="2098" w:right="1474" w:bottom="1984" w:left="1587" w:header="851" w:footer="992" w:gutter="0"/>
          <w:pgBorders>
            <w:top w:val="none" w:sz="0" w:space="0"/>
            <w:left w:val="none" w:sz="0" w:space="0"/>
            <w:bottom w:val="none" w:sz="0" w:space="0"/>
            <w:right w:val="none" w:sz="0" w:space="0"/>
          </w:pgBorders>
          <w:pgNumType w:start="1"/>
          <w:cols w:space="720" w:num="1"/>
          <w:formProt w:val="0"/>
          <w:docGrid w:type="lines" w:linePitch="312" w:charSpace="43007"/>
        </w:sectPr>
      </w:pPr>
    </w:p>
    <w:p w14:paraId="7620F739">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both"/>
        <w:textAlignment w:val="auto"/>
        <w:rPr>
          <w:rFonts w:hint="default" w:ascii="仿宋_GB2312" w:hAnsi="仿宋" w:eastAsia="仿宋_GB2312"/>
          <w:sz w:val="32"/>
          <w:szCs w:val="32"/>
          <w:lang w:val="en-US" w:eastAsia="zh-CN"/>
        </w:rPr>
      </w:pPr>
    </w:p>
    <w:sectPr>
      <w:footerReference r:id="rId6" w:type="default"/>
      <w:pgSz w:w="11906" w:h="16838"/>
      <w:pgMar w:top="1440" w:right="1519" w:bottom="1440" w:left="1576" w:header="851" w:footer="992" w:gutter="0"/>
      <w:pgBorders>
        <w:top w:val="none" w:sz="0" w:space="0"/>
        <w:left w:val="none" w:sz="0" w:space="0"/>
        <w:bottom w:val="none" w:sz="0" w:space="0"/>
        <w:right w:val="none" w:sz="0" w:space="0"/>
      </w:pgBorders>
      <w:pgNumType w:fmt="decimal"/>
      <w:cols w:space="720" w:num="1"/>
      <w:formProt w:val="0"/>
      <w:docGrid w:type="lines" w:linePitch="312" w:charSpace="430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BAA05DE-E405-45A6-9184-AB62AD5CF08E}"/>
  </w:font>
  <w:font w:name="Arial">
    <w:panose1 w:val="020B0604020202020204"/>
    <w:charset w:val="01"/>
    <w:family w:val="swiss"/>
    <w:pitch w:val="default"/>
    <w:sig w:usb0="E0002EFF" w:usb1="C0007843" w:usb2="00000009" w:usb3="00000000" w:csb0="400001FF" w:csb1="FFFF0000"/>
    <w:embedRegular r:id="rId2" w:fontKey="{3B06741F-8876-4E29-8AEE-E23E09B34C59}"/>
  </w:font>
  <w:font w:name="黑体">
    <w:panose1 w:val="02010609060101010101"/>
    <w:charset w:val="86"/>
    <w:family w:val="auto"/>
    <w:pitch w:val="default"/>
    <w:sig w:usb0="800002BF" w:usb1="38CF7CFA" w:usb2="00000016" w:usb3="00000000" w:csb0="00040001" w:csb1="00000000"/>
    <w:embedRegular r:id="rId3" w:fontKey="{A6903D4C-CE49-43AC-94F4-0EE019754429}"/>
  </w:font>
  <w:font w:name="Courier New">
    <w:panose1 w:val="02070309020205020404"/>
    <w:charset w:val="01"/>
    <w:family w:val="modern"/>
    <w:pitch w:val="default"/>
    <w:sig w:usb0="E0002EFF" w:usb1="C0007843" w:usb2="00000009" w:usb3="00000000" w:csb0="400001FF" w:csb1="FFFF0000"/>
    <w:embedRegular r:id="rId4" w:fontKey="{9BF3850D-10EA-4219-91CE-976D5ABEF675}"/>
  </w:font>
  <w:font w:name="Symbol">
    <w:panose1 w:val="05050102010706020507"/>
    <w:charset w:val="02"/>
    <w:family w:val="roman"/>
    <w:pitch w:val="default"/>
    <w:sig w:usb0="00000000" w:usb1="00000000" w:usb2="00000000" w:usb3="00000000" w:csb0="80000000" w:csb1="00000000"/>
    <w:embedRegular r:id="rId5" w:fontKey="{E7BC46F8-3895-4C78-A2B8-D8C697441EDE}"/>
  </w:font>
  <w:font w:name="Calibri">
    <w:panose1 w:val="020F0502020204030204"/>
    <w:charset w:val="00"/>
    <w:family w:val="swiss"/>
    <w:pitch w:val="default"/>
    <w:sig w:usb0="E0002AFF" w:usb1="C000247B" w:usb2="00000009" w:usb3="00000000" w:csb0="200001FF" w:csb1="00000000"/>
    <w:embedRegular r:id="rId6" w:fontKey="{C007798A-0656-43D7-A6BC-03FEF67F2C08}"/>
  </w:font>
  <w:font w:name="Mangal">
    <w:altName w:val="Segoe Print"/>
    <w:panose1 w:val="02040503050203030202"/>
    <w:charset w:val="00"/>
    <w:family w:val="roman"/>
    <w:pitch w:val="default"/>
    <w:sig w:usb0="00000000" w:usb1="00000000" w:usb2="00000000" w:usb3="00000000" w:csb0="00000001" w:csb1="00000000"/>
  </w:font>
  <w:font w:name="方正小标宋简体">
    <w:panose1 w:val="03000509000000000000"/>
    <w:charset w:val="86"/>
    <w:family w:val="roman"/>
    <w:pitch w:val="default"/>
    <w:sig w:usb0="00000001" w:usb1="080E0000" w:usb2="00000000" w:usb3="00000000" w:csb0="00040000" w:csb1="00000000"/>
    <w:embedRegular r:id="rId7" w:fontKey="{281506EC-F9FE-44A4-A8B9-289B7D584DBB}"/>
  </w:font>
  <w:font w:name="楷体_GB2312">
    <w:panose1 w:val="02010609030101010101"/>
    <w:charset w:val="86"/>
    <w:family w:val="auto"/>
    <w:pitch w:val="default"/>
    <w:sig w:usb0="00000001" w:usb1="080E0000" w:usb2="00000000" w:usb3="00000000" w:csb0="00040000" w:csb1="00000000"/>
    <w:embedRegular r:id="rId8" w:fontKey="{9BC66F05-1B01-4A1E-91C4-3276B95B85E7}"/>
  </w:font>
  <w:font w:name="方正楷体_GB2312">
    <w:altName w:val="楷体_GB2312"/>
    <w:panose1 w:val="02000000000000000000"/>
    <w:charset w:val="86"/>
    <w:family w:val="auto"/>
    <w:pitch w:val="default"/>
    <w:sig w:usb0="00000000" w:usb1="00000000" w:usb2="00000012" w:usb3="00000000" w:csb0="00040001" w:csb1="00000000"/>
    <w:embedRegular r:id="rId9" w:fontKey="{CC88A67B-08A6-44C7-BBA9-6BDBFD1037C0}"/>
  </w:font>
  <w:font w:name="仿宋_GB2312">
    <w:panose1 w:val="02010609030101010101"/>
    <w:charset w:val="86"/>
    <w:family w:val="roman"/>
    <w:pitch w:val="default"/>
    <w:sig w:usb0="00000001" w:usb1="080E0000" w:usb2="00000000" w:usb3="00000000" w:csb0="00040000" w:csb1="00000000"/>
    <w:embedRegular r:id="rId10" w:fontKey="{465A31CA-8C79-4379-A034-F9CE952FD729}"/>
  </w:font>
  <w:font w:name="楷体">
    <w:panose1 w:val="02010609060101010101"/>
    <w:charset w:val="86"/>
    <w:family w:val="modern"/>
    <w:pitch w:val="default"/>
    <w:sig w:usb0="800002BF" w:usb1="38CF7CFA" w:usb2="00000016" w:usb3="00000000" w:csb0="00040001" w:csb1="00000000"/>
    <w:embedRegular r:id="rId11" w:fontKey="{73D9B2E8-3E99-4651-990C-0F420E089611}"/>
  </w:font>
  <w:font w:name="仿宋">
    <w:panose1 w:val="02010609060101010101"/>
    <w:charset w:val="86"/>
    <w:family w:val="modern"/>
    <w:pitch w:val="default"/>
    <w:sig w:usb0="800002BF" w:usb1="38CF7CFA" w:usb2="00000016" w:usb3="00000000" w:csb0="00040001" w:csb1="00000000"/>
    <w:embedRegular r:id="rId12" w:fontKey="{DF2FCEE5-73CD-482A-99EA-7181CAA322A7}"/>
  </w:font>
  <w:font w:name="Segoe Print">
    <w:panose1 w:val="02000600000000000000"/>
    <w:charset w:val="00"/>
    <w:family w:val="auto"/>
    <w:pitch w:val="default"/>
    <w:sig w:usb0="0000028F" w:usb1="00000000" w:usb2="00000000" w:usb3="00000000" w:csb0="2000009F" w:csb1="47010000"/>
    <w:embedRegular r:id="rId13" w:fontKey="{149EEA0A-AF90-437F-BC6D-6B397A078E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4D5E3">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CC4E9">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F4CC4E9">
                    <w:pPr>
                      <w:pStyle w:val="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8E6B">
    <w:pPr>
      <w:pStyle w:val="20"/>
    </w:pPr>
    <w:r>
      <mc:AlternateContent>
        <mc:Choice Requires="wps">
          <w:drawing>
            <wp:anchor distT="0" distB="0" distL="114300" distR="114300" simplePos="0" relativeHeight="251660288" behindDoc="0" locked="0" layoutInCell="0" allowOverlap="1">
              <wp:simplePos x="0" y="0"/>
              <wp:positionH relativeFrom="margin">
                <wp:align>center</wp:align>
              </wp:positionH>
              <wp:positionV relativeFrom="paragraph">
                <wp:posOffset>0</wp:posOffset>
              </wp:positionV>
              <wp:extent cx="1829435" cy="155575"/>
              <wp:effectExtent l="0" t="0" r="0" b="0"/>
              <wp:wrapNone/>
              <wp:docPr id="14" name="文本框 12"/>
              <wp:cNvGraphicFramePr/>
              <a:graphic xmlns:a="http://schemas.openxmlformats.org/drawingml/2006/main">
                <a:graphicData uri="http://schemas.microsoft.com/office/word/2010/wordprocessingShape">
                  <wps:wsp>
                    <wps:cNvSpPr/>
                    <wps:spPr>
                      <a:xfrm>
                        <a:off x="0" y="0"/>
                        <a:ext cx="1828800" cy="154800"/>
                      </a:xfrm>
                      <a:prstGeom prst="rect">
                        <a:avLst/>
                      </a:prstGeom>
                      <a:noFill/>
                      <a:ln w="6350">
                        <a:noFill/>
                      </a:ln>
                      <a:effectLst/>
                    </wps:spPr>
                    <wps:txbx>
                      <w:txbxContent>
                        <w:p w14:paraId="392C9CFC">
                          <w:pPr>
                            <w:pStyle w:val="20"/>
                            <w:jc w:val="center"/>
                            <w:rPr>
                              <w:color w:val="000000"/>
                            </w:rPr>
                          </w:pPr>
                          <w:r>
                            <w:rPr>
                              <w:color w:val="000000"/>
                            </w:rPr>
                            <w:t>第</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页共</w:t>
                          </w:r>
                          <w:r>
                            <w:rPr>
                              <w:rFonts w:hint="eastAsia"/>
                              <w:color w:val="000000"/>
                              <w:lang w:val="en-US" w:eastAsia="zh-CN"/>
                            </w:rPr>
                            <w:t>14</w:t>
                          </w:r>
                          <w:r>
                            <w:rPr>
                              <w:color w:val="000000"/>
                            </w:rPr>
                            <w:t>页</w:t>
                          </w:r>
                        </w:p>
                      </w:txbxContent>
                    </wps:txbx>
                    <wps:bodyPr lIns="0" tIns="0" rIns="0" bIns="0">
                      <a:spAutoFit/>
                    </wps:bodyPr>
                  </wps:wsp>
                </a:graphicData>
              </a:graphic>
            </wp:anchor>
          </w:drawing>
        </mc:Choice>
        <mc:Fallback>
          <w:pict>
            <v:rect id="文本框 12" o:spid="_x0000_s1026" o:spt="1" style="position:absolute;left:0pt;margin-top:0pt;height:12.25pt;width:144.05pt;mso-position-horizontal:center;mso-position-horizontal-relative:margin;z-index:251660288;mso-width-relative:page;mso-height-relative:page;" filled="f" stroked="f" coordsize="21600,21600" o:allowincell="f" o:gfxdata="UEsDBAoAAAAAAIdO4kAAAAAAAAAAAAAAAAAEAAAAZHJzL1BLAwQUAAAACACHTuJADc9YCNUAAAAE&#10;AQAADwAAAGRycy9kb3ducmV2LnhtbE2PzU7DQAyE70i8w8pIXFC7SWmrKGRTCRDcODQgcXWzbhLI&#10;etPs9u/tMVzKxRprrJnPxerkenWgMXSeDaTTBBRx7W3HjYGP95dJBipEZIu9ZzJwpgCr8vqqwNz6&#10;I6/pUMVGSQiHHA20MQ651qFuyWGY+oFYvK0fHUZZx0bbEY8S7no9S5KldtixNLQ40FNL9Xe1dwbu&#10;7evdl/us5o9rfV4Mb8+7alcvjbm9SZMHUJFO8XIMv/iCDqUwbfyebVC9AXkk/k3xZlmWgtqImC9A&#10;l4X+D1/+AFBLAwQUAAAACACHTuJAx0CK/McBAACPAwAADgAAAGRycy9lMm9Eb2MueG1srVNLbtsw&#10;EN0XyB0I7mNJzgeGYDkIYKQoUKQB0h6ApkiLAH/g0JZ8geYGXXXTfc/lc3RIyU6RbrLohnrDGT7O&#10;exwt7wajyV4EUM42tJqVlAjLXavstqHfvj5cLiiByGzLtLOioQcB9G518WHZ+1rMXed0KwJBEgt1&#10;7xvaxejrogDeCcNg5rywmJQuGBYxDNuiDaxHdqOLeVneFr0LrQ+OCwDcXY9JOjGG9xA6KRUXa8d3&#10;Rtg4sgahWURJ0CkPdJW7lVLw+EVKEJHohqLSmFe8BPEmrcVqyeptYL5TfGqBvaeFN5oMUxYvPVOt&#10;WWRkF9Q/VEbx4MDJOOPOFKOQ7AiqqMo33jx3zIusBa0GfzYd/h8tf9w/BaJanIRrSiwz+OLHHy/H&#10;n7+Pv76Tap4M6j3UWPfsn8IUAcKkdpDBpC/qIEM29XA2VQyRcNysFvPFokS/Oeaqm+uEkaZ4Pe0D&#10;xI/CGZJAQwM+WvaS7T9DHEtPJeky6x6U1rjPam1J39Dbq5syHzhnkFzbVCDyCEw0ScfYeUJx2AyT&#10;nI1rD+iC/mTR2TQlJxBOYDOBxAn+fhexh9xaYhqPo6QU4DtlcdNMpUH4O85Vr//R6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z1gI1QAAAAQBAAAPAAAAAAAAAAEAIAAAACIAAABkcnMvZG93bnJl&#10;di54bWxQSwECFAAUAAAACACHTuJAx0CK/McBAACPAwAADgAAAAAAAAABACAAAAAkAQAAZHJzL2Uy&#10;b0RvYy54bWxQSwUGAAAAAAYABgBZAQAAXQUAAAAA&#10;">
              <v:fill on="f" focussize="0,0"/>
              <v:stroke on="f" weight="0.5pt"/>
              <v:imagedata o:title=""/>
              <o:lock v:ext="edit" aspectratio="f"/>
              <v:textbox inset="0mm,0mm,0mm,0mm" style="mso-fit-shape-to-text:t;">
                <w:txbxContent>
                  <w:p w14:paraId="392C9CFC">
                    <w:pPr>
                      <w:pStyle w:val="20"/>
                      <w:jc w:val="center"/>
                      <w:rPr>
                        <w:color w:val="000000"/>
                      </w:rPr>
                    </w:pPr>
                    <w:r>
                      <w:rPr>
                        <w:color w:val="000000"/>
                      </w:rPr>
                      <w:t>第</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页共</w:t>
                    </w:r>
                    <w:r>
                      <w:rPr>
                        <w:rFonts w:hint="eastAsia"/>
                        <w:color w:val="000000"/>
                        <w:lang w:val="en-US" w:eastAsia="zh-CN"/>
                      </w:rPr>
                      <w:t>14</w:t>
                    </w:r>
                    <w:r>
                      <w:rPr>
                        <w:color w:val="000000"/>
                      </w:rPr>
                      <w:t>页</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EC2">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4B810">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C74B810">
                    <w:pPr>
                      <w:pStyle w:val="8"/>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7E6BC902">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四条规定：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4A32B26E">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第十六条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生产经营单位应当制定下列安全生产规章制度：</w:t>
      </w:r>
    </w:p>
    <w:p w14:paraId="12D01181">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（一）全员安全生产责任制度；</w:t>
      </w:r>
    </w:p>
    <w:p w14:paraId="38086C9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（二）安全生产教育和培训制度；</w:t>
      </w:r>
    </w:p>
    <w:p w14:paraId="5D519275">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（三）安全风险分级管控和隐患排查治理制度；</w:t>
      </w:r>
    </w:p>
    <w:p w14:paraId="000271D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（四）安全生产投入制度；</w:t>
      </w:r>
    </w:p>
    <w:p w14:paraId="49F2DAB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（五）危险作业管理制度；</w:t>
      </w:r>
    </w:p>
    <w:p w14:paraId="5C254BC9">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（六）生产经营场所和设施、设备、工艺安全管理制度；</w:t>
      </w:r>
    </w:p>
    <w:p w14:paraId="25758B6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（七）劳动防护用品使用和管理制度；</w:t>
      </w:r>
    </w:p>
    <w:p w14:paraId="3EE985B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（八）生产安全事故报告和处理制度；</w:t>
      </w:r>
    </w:p>
    <w:p w14:paraId="3E27C228">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（九）安全生产考核奖惩制度；</w:t>
      </w:r>
    </w:p>
    <w:p w14:paraId="3A438FF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（十）其他保障安全生产的规章制度。</w:t>
      </w:r>
    </w:p>
    <w:p w14:paraId="1DB1FFB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rPr>
      </w:pPr>
      <w:r>
        <w:rPr>
          <w:rFonts w:hint="eastAsia" w:asciiTheme="minorEastAsia" w:hAnsiTheme="minorEastAsia" w:eastAsiaTheme="minorEastAsia" w:cstheme="minorEastAsia"/>
          <w:sz w:val="18"/>
          <w:szCs w:val="18"/>
        </w:rPr>
        <w:t>生产经营单位根据本单位实际，可以制定包含上一款内容的综合性安全生产规章制度。</w:t>
      </w:r>
    </w:p>
  </w:footnote>
  <w:footnote w:id="1">
    <w:p w14:paraId="423A315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04C42F0F">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w:t>
      </w:r>
      <w:r>
        <w:rPr>
          <w:rFonts w:hint="eastAsia" w:asciiTheme="minorEastAsia" w:hAnsiTheme="minorEastAsia" w:eastAsiaTheme="minorEastAsia" w:cstheme="minorEastAsia"/>
          <w:sz w:val="18"/>
          <w:szCs w:val="18"/>
        </w:rPr>
        <w:t>内容、参加人员以及考核结果等情况。</w:t>
      </w:r>
    </w:p>
  </w:footnote>
  <w:footnote w:id="2">
    <w:p w14:paraId="066A411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安全生产法》第四十一条</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生产经营单位应当建立安全风险分级管控制度，按照安全风险分级采取相应的管控措施。</w:t>
      </w:r>
    </w:p>
    <w:p w14:paraId="6D9E2FC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2964A36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p w14:paraId="4C6D9B4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val="en-US" w:eastAsia="zh-CN"/>
        </w:rPr>
        <w:t>第二十一条</w:t>
      </w:r>
      <w:r>
        <w:rPr>
          <w:rFonts w:hint="eastAsia" w:asciiTheme="minorEastAsia" w:hAnsi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t>生产经营单位应当建立健全并落实安全风险分级管控制度，定期组织安全生产管理、工程技术、岗位操作等相关人员，对生产工艺、设施设备、作业环境、人员行为等方面存在的安全风险进行全面、系统辨识评估，对辨识出的安全风险进行分类梳理，确定安全风险等级，从制度、组织、技术、管理、应急等方面逐项制定管控措施，编制风险分级管控清单，按照安全风险等级实施分级管控。</w:t>
      </w:r>
    </w:p>
    <w:p w14:paraId="1936351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健全并落实生产安全事故隐患排查治理制度，明确单位各部门（车间）、安全生产管理机构、班组负责人和具体岗位从业人员的事故隐患排查治理责任，定期组织事故隐患排查，编制事故隐患排查治理清单。事故隐患排查治理情况应当如实记录，按照规定建立台账或者信息档案，并通过职工大会或者职工代表大会、信息公示栏等方式向从业人员通报。对事故隐患应当及时采取技术、管理等措施予以消除；对不能及时消除的事故隐患应当采取有效安全防范和监控措施，制定治理方案，明确治理的具体措施、责任、资金、时限和应急预案。</w:t>
      </w:r>
    </w:p>
  </w:footnote>
  <w:footnote w:id="3">
    <w:p w14:paraId="0ACD034C">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安全生产法》第二十一条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生产经营单位的主要负责人对本单位安全生产工作负有下列职责:</w:t>
      </w:r>
    </w:p>
    <w:p w14:paraId="15A43E0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（一）建立健全并落实本单位全员安全生产责任制，加强安全生产标准化建设；</w:t>
      </w:r>
    </w:p>
    <w:p w14:paraId="1882403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（二）组织制定并实施本单位安全生产规章制度和操作规程；</w:t>
      </w:r>
    </w:p>
    <w:p w14:paraId="2F6F0EEC">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（三）组织制定并实施本单位安全生产教育和培训计划；</w:t>
      </w:r>
    </w:p>
    <w:p w14:paraId="69079D7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（四）保证本单位安全生产投入的有效实施；</w:t>
      </w:r>
    </w:p>
    <w:p w14:paraId="5EF6B61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（五）组织建立并落实安全风险分级管控和隐患排查治理双重预防工作机制，督促、检查本单位的安全生产工作，及时消除生产安全事故隐患；</w:t>
      </w:r>
    </w:p>
    <w:p w14:paraId="6A1492C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（六）组织制定并实施本单位的生产安全事故应急救援预案；</w:t>
      </w:r>
    </w:p>
    <w:p w14:paraId="10FF3FD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（七）及时、如实报告生产安全事故。</w:t>
      </w:r>
    </w:p>
  </w:footnote>
  <w:footnote w:id="4">
    <w:p w14:paraId="375F29A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安全生产法》第九十五条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生产经营单位的主要负责人未履行本法规定的安全生产管理职责，导致发生生产安全事故的，由应急管理部门依照下列规定处以罚款:</w:t>
      </w:r>
    </w:p>
    <w:p w14:paraId="2DD3742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（一）发生一般事故的，处上一年年收入百分之四十的罚款；</w:t>
      </w:r>
    </w:p>
  </w:footnote>
  <w:footnote w:id="5">
    <w:p w14:paraId="1C41230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6">
    <w:p w14:paraId="73521AC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安全生产法》第二十八条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4EE7E863">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0978D4A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生产经营单位接收中等职业学校、高等学校学生实习的，应当对实习学生进行相应的安全生产教育和培训，提供必要的劳动防护用品。学校应当协助生产经营单位对实习学生进行安全生产教育和培训。</w:t>
      </w:r>
    </w:p>
    <w:p w14:paraId="3E76BC7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生产经营单位应当建立安全生产教育和培训档案，如实记录安全生产教育和培训的时间、内容、参加人员以及考核结果等情况。</w:t>
      </w:r>
    </w:p>
  </w:footnote>
  <w:footnote w:id="7">
    <w:p w14:paraId="32D37E1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安全生产法》第四十一条</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生产经营单位应当建立安全风险分级管控制度，按照安全风险分级采取相应的管控措施。</w:t>
      </w:r>
    </w:p>
    <w:p w14:paraId="3415700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pPr>
      <w:r>
        <w:rPr>
          <w:rFonts w:hint="eastAsia" w:asciiTheme="minorEastAsia" w:hAnsiTheme="minorEastAsia" w:eastAsiaTheme="minorEastAsia" w:cstheme="minorEastAsia"/>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8">
    <w:p w14:paraId="628F9A2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安全生产法》第一百一十四条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发生生产安全事故，对负有责任的生产经营单位除要求其依法承担相应的赔偿等责任外，由应急管理部门依照下列规定处以罚款：</w:t>
      </w:r>
    </w:p>
    <w:p w14:paraId="4905B25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（一）发生一般事故的，处三十万元以上一百万元以下的罚款；</w:t>
      </w:r>
    </w:p>
    <w:p w14:paraId="21618847">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（二）发生较大事故的，处一百万元以上二百万元以下的罚款；</w:t>
      </w:r>
    </w:p>
    <w:p w14:paraId="7CF4E9A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（三）发生重大事故的，处二百万元以上一千万元以下的罚款；</w:t>
      </w:r>
    </w:p>
    <w:p w14:paraId="31ACAD0F">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（四）发生特别重大事故的，处一千万元以上二千万元以下的罚款。</w:t>
      </w:r>
    </w:p>
    <w:p w14:paraId="4C9AA7B9">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发生生产安全事故，情节特别严重、影响特别恶劣的，应急管理部门可以按照前款罚款数额的二倍以上五倍以下对负有责任的生产经营单位处以罚款。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19"/>
  <w:autoHyphenation/>
  <w:displayHorizontalDrawingGridEvery w:val="1"/>
  <w:displayVerticalDrawingGridEvery w:val="1"/>
  <w:noPunctuationKerning w:val="1"/>
  <w:characterSpacingControl w:val="doNotCompress"/>
  <w:hdrShapeDefaults>
    <o:shapelayout v:ext="edit">
      <o:idmap v:ext="edit" data="2"/>
    </o:shapelayout>
  </w:hdrShapeDefaults>
  <w:footnotePr>
    <w:footnote w:id="18"/>
    <w:footnote w:id="19"/>
  </w:foot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TBmY2ZhMjMxN2M5Njc0MzBkZDkyOWEzNDQ2MmYifQ=="/>
  </w:docVars>
  <w:rsids>
    <w:rsidRoot w:val="003D1C90"/>
    <w:rsid w:val="00040C3D"/>
    <w:rsid w:val="00154A30"/>
    <w:rsid w:val="00167024"/>
    <w:rsid w:val="00223665"/>
    <w:rsid w:val="00343194"/>
    <w:rsid w:val="00360E6B"/>
    <w:rsid w:val="003D1C90"/>
    <w:rsid w:val="003F140D"/>
    <w:rsid w:val="00471B1A"/>
    <w:rsid w:val="004C7C71"/>
    <w:rsid w:val="004F5D14"/>
    <w:rsid w:val="005D3FB6"/>
    <w:rsid w:val="007D5831"/>
    <w:rsid w:val="008E4CDF"/>
    <w:rsid w:val="00AA5C44"/>
    <w:rsid w:val="00AE4881"/>
    <w:rsid w:val="00B00D43"/>
    <w:rsid w:val="00B76EE9"/>
    <w:rsid w:val="00CD21CA"/>
    <w:rsid w:val="00D66044"/>
    <w:rsid w:val="00E4039F"/>
    <w:rsid w:val="00E54129"/>
    <w:rsid w:val="00EB228F"/>
    <w:rsid w:val="00FE1315"/>
    <w:rsid w:val="01855C1F"/>
    <w:rsid w:val="018A58CB"/>
    <w:rsid w:val="01D056DE"/>
    <w:rsid w:val="01FF1E15"/>
    <w:rsid w:val="024B61E8"/>
    <w:rsid w:val="030D40BE"/>
    <w:rsid w:val="03F25B23"/>
    <w:rsid w:val="04846944"/>
    <w:rsid w:val="05300538"/>
    <w:rsid w:val="05EF3F4F"/>
    <w:rsid w:val="06562220"/>
    <w:rsid w:val="06A37F5B"/>
    <w:rsid w:val="06AF5991"/>
    <w:rsid w:val="074B4DF2"/>
    <w:rsid w:val="075524D7"/>
    <w:rsid w:val="078D3A1F"/>
    <w:rsid w:val="0818453F"/>
    <w:rsid w:val="0826583C"/>
    <w:rsid w:val="08AC2F18"/>
    <w:rsid w:val="08EE6740"/>
    <w:rsid w:val="09903A5B"/>
    <w:rsid w:val="09AA6B0A"/>
    <w:rsid w:val="09B5568E"/>
    <w:rsid w:val="0A856C30"/>
    <w:rsid w:val="0AB47F2A"/>
    <w:rsid w:val="0AC82E14"/>
    <w:rsid w:val="0BAD0343"/>
    <w:rsid w:val="0BB04180"/>
    <w:rsid w:val="0C2C7CAB"/>
    <w:rsid w:val="0C3571FF"/>
    <w:rsid w:val="0D4C4C89"/>
    <w:rsid w:val="0D53546C"/>
    <w:rsid w:val="0D9E0871"/>
    <w:rsid w:val="0E6D3CDD"/>
    <w:rsid w:val="0E72571D"/>
    <w:rsid w:val="0E8D2557"/>
    <w:rsid w:val="0F77518B"/>
    <w:rsid w:val="0F9C2F06"/>
    <w:rsid w:val="0FF7C928"/>
    <w:rsid w:val="10186CAC"/>
    <w:rsid w:val="110B1799"/>
    <w:rsid w:val="1117619B"/>
    <w:rsid w:val="112563F5"/>
    <w:rsid w:val="1144122A"/>
    <w:rsid w:val="115F1BDA"/>
    <w:rsid w:val="119157E6"/>
    <w:rsid w:val="11A82B01"/>
    <w:rsid w:val="11DC7A7D"/>
    <w:rsid w:val="125F7627"/>
    <w:rsid w:val="128B3606"/>
    <w:rsid w:val="12DA0C7B"/>
    <w:rsid w:val="14665D24"/>
    <w:rsid w:val="14EA311B"/>
    <w:rsid w:val="157222F6"/>
    <w:rsid w:val="1664317D"/>
    <w:rsid w:val="16C414B1"/>
    <w:rsid w:val="175638FA"/>
    <w:rsid w:val="17C5010E"/>
    <w:rsid w:val="1810088A"/>
    <w:rsid w:val="18EA16B7"/>
    <w:rsid w:val="190A3776"/>
    <w:rsid w:val="19297320"/>
    <w:rsid w:val="193B7A6B"/>
    <w:rsid w:val="194957E2"/>
    <w:rsid w:val="195A572B"/>
    <w:rsid w:val="19D96564"/>
    <w:rsid w:val="1A2D37CA"/>
    <w:rsid w:val="1AAE3A41"/>
    <w:rsid w:val="1B2D1E0F"/>
    <w:rsid w:val="1B3B2E9D"/>
    <w:rsid w:val="1B5747FB"/>
    <w:rsid w:val="1B8D4A98"/>
    <w:rsid w:val="1C9C10DE"/>
    <w:rsid w:val="1CFD4F9F"/>
    <w:rsid w:val="1E6123C7"/>
    <w:rsid w:val="1E624E22"/>
    <w:rsid w:val="1E6C2DEB"/>
    <w:rsid w:val="1E820A99"/>
    <w:rsid w:val="1E90793C"/>
    <w:rsid w:val="1F5C0C50"/>
    <w:rsid w:val="1FA607CC"/>
    <w:rsid w:val="1FB9C88D"/>
    <w:rsid w:val="20125347"/>
    <w:rsid w:val="201802E0"/>
    <w:rsid w:val="21B87493"/>
    <w:rsid w:val="21C354A2"/>
    <w:rsid w:val="21C82F51"/>
    <w:rsid w:val="21F45E67"/>
    <w:rsid w:val="21F90CC0"/>
    <w:rsid w:val="22A34CB2"/>
    <w:rsid w:val="22C76174"/>
    <w:rsid w:val="23B75C54"/>
    <w:rsid w:val="23C46526"/>
    <w:rsid w:val="24E54A43"/>
    <w:rsid w:val="24F10F13"/>
    <w:rsid w:val="25034EC9"/>
    <w:rsid w:val="25BD3609"/>
    <w:rsid w:val="26AF134E"/>
    <w:rsid w:val="26E36D60"/>
    <w:rsid w:val="27574607"/>
    <w:rsid w:val="276734B3"/>
    <w:rsid w:val="28CD5F1A"/>
    <w:rsid w:val="2956473B"/>
    <w:rsid w:val="2A3D1CDF"/>
    <w:rsid w:val="2A9B76FE"/>
    <w:rsid w:val="2AAD2577"/>
    <w:rsid w:val="2AF7102C"/>
    <w:rsid w:val="2BEE7BFA"/>
    <w:rsid w:val="2BFF406A"/>
    <w:rsid w:val="2C0D6C02"/>
    <w:rsid w:val="2C655D27"/>
    <w:rsid w:val="2C9925D1"/>
    <w:rsid w:val="2C9D3A40"/>
    <w:rsid w:val="2D3B4634"/>
    <w:rsid w:val="2DC3417B"/>
    <w:rsid w:val="2DE93D59"/>
    <w:rsid w:val="2E60513A"/>
    <w:rsid w:val="2E8B228D"/>
    <w:rsid w:val="2EF35FAE"/>
    <w:rsid w:val="2F504BBD"/>
    <w:rsid w:val="2F807842"/>
    <w:rsid w:val="2FDD1022"/>
    <w:rsid w:val="2FE4197F"/>
    <w:rsid w:val="30352579"/>
    <w:rsid w:val="30D00355"/>
    <w:rsid w:val="316E7B6E"/>
    <w:rsid w:val="31D64091"/>
    <w:rsid w:val="32967180"/>
    <w:rsid w:val="329C4871"/>
    <w:rsid w:val="32DE7765"/>
    <w:rsid w:val="33010C9A"/>
    <w:rsid w:val="332227E2"/>
    <w:rsid w:val="33674BFD"/>
    <w:rsid w:val="337A0A4C"/>
    <w:rsid w:val="339733AC"/>
    <w:rsid w:val="33C331DC"/>
    <w:rsid w:val="33FA071E"/>
    <w:rsid w:val="342E0AC8"/>
    <w:rsid w:val="360109F6"/>
    <w:rsid w:val="364621A2"/>
    <w:rsid w:val="374C6A20"/>
    <w:rsid w:val="378E7918"/>
    <w:rsid w:val="37974C3A"/>
    <w:rsid w:val="37A8473A"/>
    <w:rsid w:val="37F94635"/>
    <w:rsid w:val="38895B61"/>
    <w:rsid w:val="38E94FE5"/>
    <w:rsid w:val="3A82117B"/>
    <w:rsid w:val="3AC107C7"/>
    <w:rsid w:val="3AEC222F"/>
    <w:rsid w:val="3AEE5047"/>
    <w:rsid w:val="3B190C3C"/>
    <w:rsid w:val="3B9711A7"/>
    <w:rsid w:val="3BCD5AB1"/>
    <w:rsid w:val="3BD137DB"/>
    <w:rsid w:val="3C4165AB"/>
    <w:rsid w:val="3C7054DF"/>
    <w:rsid w:val="3CE36864"/>
    <w:rsid w:val="3D27037D"/>
    <w:rsid w:val="3D850B8F"/>
    <w:rsid w:val="3E7E4455"/>
    <w:rsid w:val="3EFA798A"/>
    <w:rsid w:val="3F584337"/>
    <w:rsid w:val="3FFC231A"/>
    <w:rsid w:val="404A344A"/>
    <w:rsid w:val="41521A3E"/>
    <w:rsid w:val="419D1715"/>
    <w:rsid w:val="41CC2DBB"/>
    <w:rsid w:val="42C86F8D"/>
    <w:rsid w:val="42D80560"/>
    <w:rsid w:val="43430E5B"/>
    <w:rsid w:val="43CA24DE"/>
    <w:rsid w:val="44030F25"/>
    <w:rsid w:val="441328F8"/>
    <w:rsid w:val="443E79B1"/>
    <w:rsid w:val="44BE2E8F"/>
    <w:rsid w:val="44D71F3C"/>
    <w:rsid w:val="44ED5522"/>
    <w:rsid w:val="44F57717"/>
    <w:rsid w:val="45173EE8"/>
    <w:rsid w:val="454B473F"/>
    <w:rsid w:val="45714915"/>
    <w:rsid w:val="45F823D0"/>
    <w:rsid w:val="46431172"/>
    <w:rsid w:val="47356E1A"/>
    <w:rsid w:val="47F0239B"/>
    <w:rsid w:val="484E298E"/>
    <w:rsid w:val="48816BF8"/>
    <w:rsid w:val="48977804"/>
    <w:rsid w:val="48EE1869"/>
    <w:rsid w:val="490177EE"/>
    <w:rsid w:val="49AE2F15"/>
    <w:rsid w:val="49EE5569"/>
    <w:rsid w:val="49FD6A33"/>
    <w:rsid w:val="4ABB577A"/>
    <w:rsid w:val="4ABE4653"/>
    <w:rsid w:val="4B101F6A"/>
    <w:rsid w:val="4B4B2A29"/>
    <w:rsid w:val="4B7D0C6E"/>
    <w:rsid w:val="4B8FB29F"/>
    <w:rsid w:val="4BAE52DF"/>
    <w:rsid w:val="4BF75D90"/>
    <w:rsid w:val="4CB21515"/>
    <w:rsid w:val="4D2C0BB1"/>
    <w:rsid w:val="4D4339AC"/>
    <w:rsid w:val="4D8C39CA"/>
    <w:rsid w:val="4E122D00"/>
    <w:rsid w:val="4E5E2927"/>
    <w:rsid w:val="4E5E4D9B"/>
    <w:rsid w:val="4F020FAD"/>
    <w:rsid w:val="4F7866DB"/>
    <w:rsid w:val="4F9A247A"/>
    <w:rsid w:val="4FB629B4"/>
    <w:rsid w:val="4FF260E2"/>
    <w:rsid w:val="50836D3A"/>
    <w:rsid w:val="51337FC8"/>
    <w:rsid w:val="514A5AAA"/>
    <w:rsid w:val="517221EA"/>
    <w:rsid w:val="517C63FE"/>
    <w:rsid w:val="519B6840"/>
    <w:rsid w:val="51C000AC"/>
    <w:rsid w:val="51E952C3"/>
    <w:rsid w:val="526E5A22"/>
    <w:rsid w:val="532950A2"/>
    <w:rsid w:val="533F623F"/>
    <w:rsid w:val="536F5752"/>
    <w:rsid w:val="5386672E"/>
    <w:rsid w:val="53B813F1"/>
    <w:rsid w:val="5442607F"/>
    <w:rsid w:val="54837309"/>
    <w:rsid w:val="556A671B"/>
    <w:rsid w:val="55A760D4"/>
    <w:rsid w:val="55B015CE"/>
    <w:rsid w:val="55CA0847"/>
    <w:rsid w:val="56107A43"/>
    <w:rsid w:val="56296B2A"/>
    <w:rsid w:val="569164B9"/>
    <w:rsid w:val="574A2360"/>
    <w:rsid w:val="58296419"/>
    <w:rsid w:val="58530CC9"/>
    <w:rsid w:val="59A541C5"/>
    <w:rsid w:val="59B27721"/>
    <w:rsid w:val="5A437BF3"/>
    <w:rsid w:val="5ABD2305"/>
    <w:rsid w:val="5ACA0E33"/>
    <w:rsid w:val="5BF60584"/>
    <w:rsid w:val="5C182A2D"/>
    <w:rsid w:val="5C7E53FF"/>
    <w:rsid w:val="5CE40B61"/>
    <w:rsid w:val="5CFA35BA"/>
    <w:rsid w:val="5D7A7717"/>
    <w:rsid w:val="5D8F31C2"/>
    <w:rsid w:val="5DAB5B22"/>
    <w:rsid w:val="5DF91BE5"/>
    <w:rsid w:val="5F9165FD"/>
    <w:rsid w:val="5FDA2EFF"/>
    <w:rsid w:val="5FFFBFFF"/>
    <w:rsid w:val="60310B86"/>
    <w:rsid w:val="60563087"/>
    <w:rsid w:val="609C10B5"/>
    <w:rsid w:val="60E23609"/>
    <w:rsid w:val="61292712"/>
    <w:rsid w:val="628B3AAF"/>
    <w:rsid w:val="63511D57"/>
    <w:rsid w:val="63A308A2"/>
    <w:rsid w:val="63B079EF"/>
    <w:rsid w:val="649015CE"/>
    <w:rsid w:val="66906FB8"/>
    <w:rsid w:val="66B617C0"/>
    <w:rsid w:val="66C564EF"/>
    <w:rsid w:val="671771FC"/>
    <w:rsid w:val="676F5D62"/>
    <w:rsid w:val="67DA328C"/>
    <w:rsid w:val="68106CAE"/>
    <w:rsid w:val="686139AD"/>
    <w:rsid w:val="693C476F"/>
    <w:rsid w:val="694071DA"/>
    <w:rsid w:val="69EC5D0E"/>
    <w:rsid w:val="6A0D0354"/>
    <w:rsid w:val="6AEEC517"/>
    <w:rsid w:val="6B6A0DCB"/>
    <w:rsid w:val="6BC4672D"/>
    <w:rsid w:val="6BCA0F5F"/>
    <w:rsid w:val="6C4C0AD1"/>
    <w:rsid w:val="6C737CFB"/>
    <w:rsid w:val="6C7D712C"/>
    <w:rsid w:val="6C7F0FAD"/>
    <w:rsid w:val="6D7D4DE5"/>
    <w:rsid w:val="6D9C243D"/>
    <w:rsid w:val="6DA943DF"/>
    <w:rsid w:val="6DE56617"/>
    <w:rsid w:val="6F187D41"/>
    <w:rsid w:val="6F5A4CB2"/>
    <w:rsid w:val="6FD41A03"/>
    <w:rsid w:val="6FE70842"/>
    <w:rsid w:val="6FF725CF"/>
    <w:rsid w:val="71AB3FB5"/>
    <w:rsid w:val="71E847F7"/>
    <w:rsid w:val="71FC3F42"/>
    <w:rsid w:val="73916786"/>
    <w:rsid w:val="73966C01"/>
    <w:rsid w:val="73EC4A73"/>
    <w:rsid w:val="741C5549"/>
    <w:rsid w:val="74255B94"/>
    <w:rsid w:val="748D119D"/>
    <w:rsid w:val="749F1AE5"/>
    <w:rsid w:val="74F37D19"/>
    <w:rsid w:val="751002ED"/>
    <w:rsid w:val="752726C4"/>
    <w:rsid w:val="75483F2B"/>
    <w:rsid w:val="75680129"/>
    <w:rsid w:val="760A0722"/>
    <w:rsid w:val="772205A1"/>
    <w:rsid w:val="77450125"/>
    <w:rsid w:val="774539FA"/>
    <w:rsid w:val="77465145"/>
    <w:rsid w:val="77472DB0"/>
    <w:rsid w:val="77FFEBD3"/>
    <w:rsid w:val="786468B7"/>
    <w:rsid w:val="79EC613E"/>
    <w:rsid w:val="7A1C07A1"/>
    <w:rsid w:val="7ABB0CFB"/>
    <w:rsid w:val="7BEE5100"/>
    <w:rsid w:val="7BF97907"/>
    <w:rsid w:val="7BFA7F7A"/>
    <w:rsid w:val="7C8920FF"/>
    <w:rsid w:val="7CA44BAE"/>
    <w:rsid w:val="7D3957CF"/>
    <w:rsid w:val="7DC4436B"/>
    <w:rsid w:val="7DE47C5D"/>
    <w:rsid w:val="7E1B6FAC"/>
    <w:rsid w:val="7E611BB9"/>
    <w:rsid w:val="7E633F8B"/>
    <w:rsid w:val="7EF6799E"/>
    <w:rsid w:val="7F3A210C"/>
    <w:rsid w:val="7F4F5200"/>
    <w:rsid w:val="7F914720"/>
    <w:rsid w:val="7FE323B7"/>
    <w:rsid w:val="9DAD29AF"/>
    <w:rsid w:val="B7E6D865"/>
    <w:rsid w:val="BFFF1F27"/>
    <w:rsid w:val="D2D79215"/>
    <w:rsid w:val="D3FC7987"/>
    <w:rsid w:val="D697BB4C"/>
    <w:rsid w:val="D6EF9DD1"/>
    <w:rsid w:val="D7FD277C"/>
    <w:rsid w:val="DDFFC02F"/>
    <w:rsid w:val="EAFE9B7B"/>
    <w:rsid w:val="EC8EC91F"/>
    <w:rsid w:val="F76F8BF3"/>
    <w:rsid w:val="F7B77C22"/>
    <w:rsid w:val="FFEF8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color w:val="333333"/>
      <w:kern w:val="44"/>
      <w:sz w:val="42"/>
      <w:szCs w:val="42"/>
      <w:lang w:val="en-US" w:eastAsia="zh-CN" w:bidi="ar"/>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ind w:left="120"/>
    </w:pPr>
    <w:rPr>
      <w:rFonts w:ascii="宋体" w:hAnsi="宋体" w:eastAsia="宋体" w:cs="宋体"/>
      <w:sz w:val="32"/>
      <w:szCs w:val="32"/>
    </w:rPr>
  </w:style>
  <w:style w:type="paragraph" w:styleId="4">
    <w:name w:val="Body Text Indent"/>
    <w:basedOn w:val="5"/>
    <w:qFormat/>
    <w:uiPriority w:val="0"/>
    <w:pPr>
      <w:ind w:firstLine="881"/>
    </w:pPr>
    <w:rPr>
      <w:rFonts w:ascii="Times New Roman" w:hAnsi="Times New Roman" w:cs="Times New Roman"/>
      <w:sz w:val="28"/>
      <w:szCs w:val="24"/>
    </w:rPr>
  </w:style>
  <w:style w:type="paragraph" w:customStyle="1" w:styleId="5">
    <w:name w:val="正文文本1"/>
    <w:basedOn w:val="6"/>
    <w:qFormat/>
    <w:uiPriority w:val="0"/>
    <w:pPr>
      <w:ind w:left="120"/>
    </w:pPr>
    <w:rPr>
      <w:rFonts w:ascii="宋体" w:hAnsi="宋体" w:eastAsia="宋体" w:cs="宋体"/>
      <w:sz w:val="32"/>
      <w:szCs w:val="32"/>
    </w:rPr>
  </w:style>
  <w:style w:type="paragraph" w:customStyle="1" w:styleId="6">
    <w:name w:val="正文1"/>
    <w:next w:val="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Balloon Text"/>
    <w:basedOn w:val="1"/>
    <w:link w:val="25"/>
    <w:semiHidden/>
    <w:unhideWhenUsed/>
    <w:qFormat/>
    <w:uiPriority w:val="99"/>
    <w:rPr>
      <w:rFonts w:cs="Mangal"/>
      <w:sz w:val="18"/>
      <w:szCs w:val="16"/>
    </w:rPr>
  </w:style>
  <w:style w:type="paragraph" w:styleId="8">
    <w:name w:val="footer"/>
    <w:basedOn w:val="1"/>
    <w:link w:val="24"/>
    <w:semiHidden/>
    <w:unhideWhenUsed/>
    <w:qFormat/>
    <w:uiPriority w:val="99"/>
    <w:pPr>
      <w:tabs>
        <w:tab w:val="center" w:pos="4153"/>
        <w:tab w:val="right" w:pos="8306"/>
      </w:tabs>
      <w:snapToGrid w:val="0"/>
      <w:jc w:val="left"/>
    </w:pPr>
    <w:rPr>
      <w:rFonts w:cs="Mangal"/>
      <w:sz w:val="18"/>
      <w:szCs w:val="16"/>
    </w:rPr>
  </w:style>
  <w:style w:type="paragraph" w:styleId="9">
    <w:name w:val="header"/>
    <w:basedOn w:val="1"/>
    <w:link w:val="23"/>
    <w:semiHidden/>
    <w:unhideWhenUsed/>
    <w:qFormat/>
    <w:uiPriority w:val="99"/>
    <w:pPr>
      <w:pBdr>
        <w:bottom w:val="single" w:color="auto" w:sz="6" w:space="1"/>
      </w:pBdr>
      <w:tabs>
        <w:tab w:val="center" w:pos="4153"/>
        <w:tab w:val="right" w:pos="8306"/>
      </w:tabs>
      <w:snapToGrid w:val="0"/>
      <w:jc w:val="center"/>
    </w:pPr>
    <w:rPr>
      <w:rFonts w:cs="Mangal"/>
      <w:sz w:val="18"/>
      <w:szCs w:val="16"/>
    </w:rPr>
  </w:style>
  <w:style w:type="paragraph" w:styleId="10">
    <w:name w:val="footnote text"/>
    <w:basedOn w:val="1"/>
    <w:semiHidden/>
    <w:unhideWhenUsed/>
    <w:qFormat/>
    <w:uiPriority w:val="99"/>
    <w:pPr>
      <w:snapToGrid w:val="0"/>
      <w:jc w:val="left"/>
    </w:pPr>
    <w:rPr>
      <w:sz w:val="18"/>
    </w:rPr>
  </w:style>
  <w:style w:type="paragraph" w:styleId="11">
    <w:name w:val="index 9"/>
    <w:basedOn w:val="1"/>
    <w:next w:val="1"/>
    <w:qFormat/>
    <w:uiPriority w:val="0"/>
    <w:pPr>
      <w:ind w:left="3360"/>
    </w:pPr>
    <w:rPr>
      <w:szCs w:val="24"/>
    </w:rPr>
  </w:style>
  <w:style w:type="paragraph" w:styleId="12">
    <w:name w:val="Normal (Web)"/>
    <w:basedOn w:val="1"/>
    <w:qFormat/>
    <w:uiPriority w:val="0"/>
    <w:pPr>
      <w:spacing w:beforeAutospacing="1" w:afterAutospacing="1"/>
      <w:jc w:val="left"/>
    </w:pPr>
    <w:rPr>
      <w:sz w:val="24"/>
      <w:lang w:bidi="ar-SA"/>
    </w:rPr>
  </w:style>
  <w:style w:type="paragraph" w:styleId="13">
    <w:name w:val="Body Text First Indent"/>
    <w:basedOn w:val="3"/>
    <w:qFormat/>
    <w:uiPriority w:val="0"/>
    <w:pPr>
      <w:widowControl w:val="0"/>
      <w:spacing w:after="10" w:afterLines="0"/>
      <w:ind w:firstLine="881"/>
      <w:jc w:val="both"/>
    </w:pPr>
    <w:rPr>
      <w:rFonts w:ascii="Times New Roman" w:hAnsi="Times New Roman" w:eastAsia="宋体" w:cs="Times New Roman"/>
      <w:kern w:val="2"/>
      <w:sz w:val="28"/>
      <w:szCs w:val="24"/>
      <w:lang w:val="en-US" w:eastAsia="zh-CN" w:bidi="ar-SA"/>
    </w:rPr>
  </w:style>
  <w:style w:type="table" w:styleId="15">
    <w:name w:val="Table Grid"/>
    <w:basedOn w:val="1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character" w:styleId="19">
    <w:name w:val="footnote reference"/>
    <w:basedOn w:val="16"/>
    <w:unhideWhenUsed/>
    <w:qFormat/>
    <w:uiPriority w:val="99"/>
    <w:rPr>
      <w:vertAlign w:val="superscript"/>
    </w:rPr>
  </w:style>
  <w:style w:type="paragraph" w:customStyle="1" w:styleId="20">
    <w:name w:val="页脚1"/>
    <w:basedOn w:val="6"/>
    <w:semiHidden/>
    <w:unhideWhenUsed/>
    <w:qFormat/>
    <w:uiPriority w:val="99"/>
    <w:pPr>
      <w:tabs>
        <w:tab w:val="center" w:pos="4153"/>
        <w:tab w:val="right" w:pos="8306"/>
      </w:tabs>
      <w:snapToGrid w:val="0"/>
      <w:jc w:val="left"/>
    </w:pPr>
    <w:rPr>
      <w:sz w:val="18"/>
      <w:szCs w:val="18"/>
    </w:rPr>
  </w:style>
  <w:style w:type="paragraph" w:customStyle="1" w:styleId="21">
    <w:name w:val="页眉1"/>
    <w:basedOn w:val="6"/>
    <w:semiHidden/>
    <w:unhideWhenUsed/>
    <w:qFormat/>
    <w:uiPriority w:val="99"/>
    <w:pPr>
      <w:pBdr>
        <w:bottom w:val="single" w:color="000000" w:sz="6" w:space="1"/>
      </w:pBdr>
      <w:tabs>
        <w:tab w:val="center" w:pos="4153"/>
        <w:tab w:val="right" w:pos="8306"/>
      </w:tabs>
      <w:snapToGrid w:val="0"/>
      <w:jc w:val="center"/>
    </w:pPr>
    <w:rPr>
      <w:sz w:val="18"/>
      <w:szCs w:val="18"/>
    </w:rPr>
  </w:style>
  <w:style w:type="paragraph" w:customStyle="1" w:styleId="22">
    <w:name w:val="列表段落"/>
    <w:basedOn w:val="6"/>
    <w:qFormat/>
    <w:uiPriority w:val="34"/>
    <w:pPr>
      <w:ind w:firstLine="200" w:firstLineChars="200"/>
    </w:pPr>
  </w:style>
  <w:style w:type="character" w:customStyle="1" w:styleId="23">
    <w:name w:val="页眉 Char"/>
    <w:basedOn w:val="16"/>
    <w:link w:val="9"/>
    <w:semiHidden/>
    <w:qFormat/>
    <w:uiPriority w:val="99"/>
    <w:rPr>
      <w:rFonts w:cs="Mangal"/>
      <w:sz w:val="18"/>
      <w:szCs w:val="16"/>
      <w:lang w:bidi="hi-IN"/>
    </w:rPr>
  </w:style>
  <w:style w:type="character" w:customStyle="1" w:styleId="24">
    <w:name w:val="页脚 Char"/>
    <w:basedOn w:val="16"/>
    <w:link w:val="8"/>
    <w:semiHidden/>
    <w:qFormat/>
    <w:uiPriority w:val="99"/>
    <w:rPr>
      <w:rFonts w:cs="Mangal"/>
      <w:sz w:val="18"/>
      <w:szCs w:val="16"/>
      <w:lang w:bidi="hi-IN"/>
    </w:rPr>
  </w:style>
  <w:style w:type="character" w:customStyle="1" w:styleId="25">
    <w:name w:val="批注框文本 Char"/>
    <w:basedOn w:val="16"/>
    <w:link w:val="7"/>
    <w:semiHidden/>
    <w:qFormat/>
    <w:uiPriority w:val="99"/>
    <w:rPr>
      <w:rFonts w:cs="Mangal"/>
      <w:sz w:val="18"/>
      <w:szCs w:val="16"/>
      <w:lang w:bidi="hi-I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16</Pages>
  <Words>5599</Words>
  <Characters>5732</Characters>
  <Lines>41</Lines>
  <Paragraphs>11</Paragraphs>
  <TotalTime>359</TotalTime>
  <ScaleCrop>false</ScaleCrop>
  <LinksUpToDate>false</LinksUpToDate>
  <CharactersWithSpaces>5779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2023-06-01T00:51:00Z</dcterms:created>
  <dc:creator>???</dc:creator>
  <cp:lastModifiedBy>爱唱歌的王Sir</cp:lastModifiedBy>
  <cp:lastPrinted>2026-05-06T19:28:00Z</cp:lastPrinted>
  <dcterms:modified xsi:type="dcterms:W3CDTF">2026-05-07T07:22:12Z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5AA36EB7D73A4B30B2276D36A7479D87_13</vt:lpwstr>
  </property>
  <property fmtid="{D5CDD505-2E9C-101B-9397-08002B2CF9AE}" pid="3" name="KSOProductBuildVer">
    <vt:lpwstr>2052-12.1.0.25865</vt:lpwstr>
  </property>
  <property fmtid="{D5CDD505-2E9C-101B-9397-08002B2CF9AE}" pid="4" name="KSOTemplateDocerSaveRecord">
    <vt:lpwstr>eyJoZGlkIjoiMjhiYWRhMTU2Y2ZlNjVmNzBjNGUzZTM3ODAwMjJmZDkiLCJ1c2VySWQiOiIxMDg2MjgzNCJ9</vt:lpwstr>
  </property>
</Properties>
</file>