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96B6B">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微软雅黑" w:hAnsi="微软雅黑" w:eastAsia="微软雅黑" w:cs="微软雅黑"/>
          <w:sz w:val="44"/>
          <w:szCs w:val="44"/>
        </w:rPr>
      </w:pPr>
    </w:p>
    <w:p w14:paraId="6FA00265">
      <w:pPr>
        <w:pStyle w:val="7"/>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微软雅黑" w:hAnsi="微软雅黑" w:eastAsia="微软雅黑" w:cs="微软雅黑"/>
          <w:sz w:val="44"/>
          <w:szCs w:val="44"/>
        </w:rPr>
      </w:pPr>
    </w:p>
    <w:p w14:paraId="4D717455">
      <w:pPr>
        <w:pStyle w:val="9"/>
        <w:keepNext w:val="0"/>
        <w:keepLines w:val="0"/>
        <w:pageBreakBefore w:val="0"/>
        <w:widowControl w:val="0"/>
        <w:kinsoku/>
        <w:wordWrap/>
        <w:overflowPunct/>
        <w:topLinePunct w:val="0"/>
        <w:autoSpaceDE/>
        <w:autoSpaceDN/>
        <w:bidi w:val="0"/>
        <w:adjustRightInd/>
        <w:snapToGrid/>
        <w:spacing w:line="560" w:lineRule="exact"/>
        <w:jc w:val="center"/>
        <w:rPr>
          <w:rFonts w:hint="eastAsia" w:ascii="微软雅黑" w:hAnsi="微软雅黑" w:eastAsia="微软雅黑" w:cs="微软雅黑"/>
          <w:b w:val="0"/>
          <w:bCs/>
          <w:sz w:val="44"/>
          <w:szCs w:val="44"/>
          <w:lang w:val="en-US" w:eastAsia="zh-CN"/>
        </w:rPr>
      </w:pPr>
      <w:r>
        <w:rPr>
          <w:rFonts w:hint="eastAsia" w:ascii="微软雅黑" w:hAnsi="微软雅黑" w:eastAsia="微软雅黑" w:cs="微软雅黑"/>
          <w:bCs/>
          <w:w w:val="98"/>
          <w:sz w:val="44"/>
          <w:szCs w:val="44"/>
          <w:lang w:val="en-US" w:eastAsia="zh-CN"/>
        </w:rPr>
        <w:t>吉州</w:t>
      </w:r>
      <w:r>
        <w:rPr>
          <w:rFonts w:hint="eastAsia" w:ascii="微软雅黑" w:hAnsi="微软雅黑" w:eastAsia="微软雅黑" w:cs="微软雅黑"/>
          <w:bCs/>
          <w:kern w:val="2"/>
          <w:sz w:val="44"/>
          <w:szCs w:val="44"/>
          <w:lang w:val="en-US" w:eastAsia="zh-CN" w:bidi="ar-SA"/>
        </w:rPr>
        <w:t>工业园</w:t>
      </w:r>
      <w:r>
        <w:rPr>
          <w:rFonts w:hint="eastAsia" w:ascii="微软雅黑" w:hAnsi="微软雅黑" w:eastAsia="微软雅黑" w:cs="微软雅黑"/>
          <w:color w:val="auto"/>
          <w:kern w:val="2"/>
          <w:sz w:val="44"/>
          <w:szCs w:val="44"/>
          <w:lang w:val="en-US" w:eastAsia="zh-CN" w:bidi="ar-SA"/>
        </w:rPr>
        <w:t>江西兆鸿科新电路有限公司</w:t>
      </w:r>
    </w:p>
    <w:p w14:paraId="7AF4723C">
      <w:pPr>
        <w:pStyle w:val="9"/>
        <w:keepNext w:val="0"/>
        <w:keepLines w:val="0"/>
        <w:pageBreakBefore w:val="0"/>
        <w:widowControl w:val="0"/>
        <w:kinsoku/>
        <w:wordWrap/>
        <w:overflowPunct/>
        <w:topLinePunct w:val="0"/>
        <w:autoSpaceDE/>
        <w:autoSpaceDN/>
        <w:bidi w:val="0"/>
        <w:adjustRightInd/>
        <w:snapToGrid/>
        <w:spacing w:line="560" w:lineRule="exact"/>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b w:val="0"/>
          <w:bCs/>
          <w:sz w:val="44"/>
          <w:szCs w:val="44"/>
        </w:rPr>
        <w:t>“</w:t>
      </w:r>
      <w:r>
        <w:rPr>
          <w:rFonts w:hint="eastAsia" w:ascii="微软雅黑" w:hAnsi="微软雅黑" w:eastAsia="微软雅黑" w:cs="微软雅黑"/>
          <w:b w:val="0"/>
          <w:bCs/>
          <w:sz w:val="44"/>
          <w:szCs w:val="44"/>
          <w:lang w:val="en-US" w:eastAsia="zh-CN"/>
        </w:rPr>
        <w:t>7</w:t>
      </w:r>
      <w:r>
        <w:rPr>
          <w:rFonts w:hint="eastAsia" w:ascii="微软雅黑" w:hAnsi="微软雅黑" w:eastAsia="微软雅黑" w:cs="微软雅黑"/>
          <w:b w:val="0"/>
          <w:bCs/>
          <w:sz w:val="44"/>
          <w:szCs w:val="44"/>
        </w:rPr>
        <w:t>·</w:t>
      </w:r>
      <w:r>
        <w:rPr>
          <w:rFonts w:hint="eastAsia" w:ascii="微软雅黑" w:hAnsi="微软雅黑" w:eastAsia="微软雅黑" w:cs="微软雅黑"/>
          <w:b w:val="0"/>
          <w:bCs/>
          <w:sz w:val="44"/>
          <w:szCs w:val="44"/>
          <w:lang w:val="en-US" w:eastAsia="zh-CN"/>
        </w:rPr>
        <w:t>31</w:t>
      </w:r>
      <w:r>
        <w:rPr>
          <w:rFonts w:hint="eastAsia" w:ascii="微软雅黑" w:hAnsi="微软雅黑" w:eastAsia="微软雅黑" w:cs="微软雅黑"/>
          <w:b w:val="0"/>
          <w:bCs/>
          <w:sz w:val="44"/>
          <w:szCs w:val="44"/>
        </w:rPr>
        <w:t>”</w:t>
      </w:r>
      <w:r>
        <w:rPr>
          <w:rFonts w:hint="eastAsia" w:ascii="微软雅黑" w:hAnsi="微软雅黑" w:eastAsia="微软雅黑" w:cs="微软雅黑"/>
          <w:b w:val="0"/>
          <w:bCs/>
          <w:sz w:val="44"/>
          <w:szCs w:val="44"/>
          <w:lang w:val="en-US" w:eastAsia="zh-CN"/>
        </w:rPr>
        <w:t>一般机械伤害</w:t>
      </w:r>
      <w:r>
        <w:rPr>
          <w:rFonts w:hint="eastAsia" w:ascii="微软雅黑" w:hAnsi="微软雅黑" w:eastAsia="微软雅黑" w:cs="微软雅黑"/>
          <w:b w:val="0"/>
          <w:bCs/>
          <w:sz w:val="44"/>
          <w:szCs w:val="44"/>
        </w:rPr>
        <w:t>事故</w:t>
      </w:r>
      <w:r>
        <w:rPr>
          <w:rFonts w:hint="eastAsia" w:ascii="微软雅黑" w:hAnsi="微软雅黑" w:eastAsia="微软雅黑" w:cs="微软雅黑"/>
          <w:sz w:val="44"/>
          <w:szCs w:val="44"/>
          <w:lang w:val="en-US" w:eastAsia="zh-CN"/>
        </w:rPr>
        <w:t>调查报告</w:t>
      </w:r>
    </w:p>
    <w:p w14:paraId="4406E26F">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微软雅黑" w:hAnsi="微软雅黑" w:eastAsia="微软雅黑" w:cs="微软雅黑"/>
          <w:sz w:val="44"/>
          <w:szCs w:val="44"/>
        </w:rPr>
      </w:pPr>
    </w:p>
    <w:p w14:paraId="36A45A4A">
      <w:pPr>
        <w:pStyle w:val="7"/>
        <w:keepNext w:val="0"/>
        <w:keepLines w:val="0"/>
        <w:pageBreakBefore w:val="0"/>
        <w:widowControl w:val="0"/>
        <w:kinsoku/>
        <w:wordWrap/>
        <w:topLinePunct w:val="0"/>
        <w:autoSpaceDE/>
        <w:autoSpaceDN/>
        <w:bidi w:val="0"/>
        <w:adjustRightInd/>
        <w:snapToGrid/>
        <w:spacing w:line="560" w:lineRule="exact"/>
        <w:ind w:left="0" w:leftChars="0" w:firstLine="560" w:firstLineChars="200"/>
        <w:jc w:val="both"/>
        <w:textAlignment w:val="auto"/>
      </w:pPr>
    </w:p>
    <w:p w14:paraId="68F33DF1">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微软雅黑" w:hAnsi="微软雅黑" w:eastAsia="微软雅黑" w:cs="微软雅黑"/>
          <w:sz w:val="44"/>
          <w:szCs w:val="44"/>
        </w:rPr>
      </w:pPr>
    </w:p>
    <w:p w14:paraId="0C371838">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微软雅黑" w:hAnsi="微软雅黑" w:eastAsia="微软雅黑" w:cs="微软雅黑"/>
          <w:sz w:val="44"/>
          <w:szCs w:val="44"/>
        </w:rPr>
      </w:pPr>
    </w:p>
    <w:p w14:paraId="6770879A">
      <w:pPr>
        <w:pStyle w:val="7"/>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微软雅黑" w:hAnsi="微软雅黑" w:eastAsia="微软雅黑" w:cs="微软雅黑"/>
          <w:sz w:val="44"/>
          <w:szCs w:val="44"/>
        </w:rPr>
      </w:pPr>
    </w:p>
    <w:p w14:paraId="35871845">
      <w:pPr>
        <w:pStyle w:val="7"/>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微软雅黑" w:hAnsi="微软雅黑" w:eastAsia="微软雅黑" w:cs="微软雅黑"/>
          <w:sz w:val="44"/>
          <w:szCs w:val="44"/>
        </w:rPr>
      </w:pPr>
    </w:p>
    <w:p w14:paraId="5F5E2751">
      <w:pPr>
        <w:pStyle w:val="7"/>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微软雅黑" w:hAnsi="微软雅黑" w:eastAsia="微软雅黑" w:cs="微软雅黑"/>
          <w:sz w:val="44"/>
          <w:szCs w:val="44"/>
        </w:rPr>
      </w:pPr>
    </w:p>
    <w:p w14:paraId="0E54ACB2">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微软雅黑" w:hAnsi="微软雅黑" w:eastAsia="微软雅黑" w:cs="微软雅黑"/>
          <w:sz w:val="44"/>
          <w:szCs w:val="44"/>
        </w:rPr>
      </w:pPr>
    </w:p>
    <w:p w14:paraId="7B0842FF">
      <w:pPr>
        <w:pStyle w:val="7"/>
        <w:keepNext w:val="0"/>
        <w:keepLines w:val="0"/>
        <w:pageBreakBefore w:val="0"/>
        <w:widowControl w:val="0"/>
        <w:kinsoku/>
        <w:wordWrap/>
        <w:topLinePunct w:val="0"/>
        <w:autoSpaceDE/>
        <w:autoSpaceDN/>
        <w:bidi w:val="0"/>
        <w:spacing w:line="560" w:lineRule="exact"/>
        <w:ind w:left="0" w:leftChars="0" w:firstLine="880" w:firstLineChars="200"/>
        <w:rPr>
          <w:rFonts w:ascii="微软雅黑" w:hAnsi="微软雅黑" w:eastAsia="微软雅黑" w:cs="微软雅黑"/>
          <w:sz w:val="44"/>
          <w:szCs w:val="44"/>
        </w:rPr>
      </w:pPr>
    </w:p>
    <w:p w14:paraId="0C32D679">
      <w:pPr>
        <w:pStyle w:val="7"/>
        <w:keepNext w:val="0"/>
        <w:keepLines w:val="0"/>
        <w:pageBreakBefore w:val="0"/>
        <w:widowControl w:val="0"/>
        <w:kinsoku/>
        <w:wordWrap/>
        <w:topLinePunct w:val="0"/>
        <w:autoSpaceDE/>
        <w:autoSpaceDN/>
        <w:bidi w:val="0"/>
        <w:spacing w:line="560" w:lineRule="exact"/>
        <w:ind w:left="0" w:leftChars="0" w:firstLine="880" w:firstLineChars="200"/>
        <w:rPr>
          <w:rFonts w:ascii="微软雅黑" w:hAnsi="微软雅黑" w:eastAsia="微软雅黑" w:cs="微软雅黑"/>
          <w:sz w:val="44"/>
          <w:szCs w:val="44"/>
        </w:rPr>
      </w:pPr>
    </w:p>
    <w:p w14:paraId="183627EF">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微软雅黑" w:hAnsi="微软雅黑" w:eastAsia="微软雅黑" w:cs="微软雅黑"/>
          <w:sz w:val="44"/>
          <w:szCs w:val="44"/>
        </w:rPr>
      </w:pPr>
    </w:p>
    <w:p w14:paraId="3FC88B9B">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hint="eastAsia" w:ascii="微软雅黑" w:hAnsi="微软雅黑" w:eastAsia="微软雅黑" w:cs="微软雅黑"/>
          <w:sz w:val="44"/>
          <w:szCs w:val="44"/>
          <w:lang w:val="en-US" w:eastAsia="zh-CN"/>
        </w:rPr>
      </w:pPr>
    </w:p>
    <w:p w14:paraId="37ED4458">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center"/>
        <w:textAlignment w:val="auto"/>
        <w:rPr>
          <w:rFonts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吉州</w:t>
      </w:r>
      <w:r>
        <w:rPr>
          <w:rFonts w:hint="eastAsia" w:ascii="楷体_GB2312" w:hAnsi="楷体_GB2312" w:eastAsia="楷体_GB2312" w:cs="楷体_GB2312"/>
          <w:b/>
          <w:bCs/>
          <w:sz w:val="32"/>
          <w:szCs w:val="32"/>
        </w:rPr>
        <w:t>区政府调查组</w:t>
      </w:r>
    </w:p>
    <w:p w14:paraId="73166281">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center"/>
        <w:textAlignment w:val="auto"/>
        <w:rPr>
          <w:rFonts w:ascii="方正楷体_GB2312" w:hAnsi="方正楷体_GB2312" w:eastAsia="方正楷体_GB2312" w:cs="方正楷体_GB2312"/>
          <w:b/>
          <w:bCs/>
          <w:sz w:val="32"/>
          <w:szCs w:val="32"/>
        </w:rPr>
      </w:pPr>
      <w:r>
        <w:rPr>
          <w:rFonts w:hint="eastAsia" w:ascii="楷体_GB2312" w:hAnsi="楷体_GB2312" w:eastAsia="楷体_GB2312" w:cs="楷体_GB2312"/>
          <w:b/>
          <w:bCs/>
          <w:sz w:val="32"/>
          <w:szCs w:val="32"/>
        </w:rPr>
        <w:t>202</w:t>
      </w:r>
      <w:r>
        <w:rPr>
          <w:rFonts w:hint="eastAsia" w:ascii="楷体_GB2312" w:hAnsi="楷体_GB2312" w:eastAsia="楷体_GB2312" w:cs="楷体_GB2312"/>
          <w:b/>
          <w:bCs/>
          <w:sz w:val="32"/>
          <w:szCs w:val="32"/>
          <w:lang w:val="en-US" w:eastAsia="zh-CN"/>
        </w:rPr>
        <w:t>6</w:t>
      </w:r>
      <w:r>
        <w:rPr>
          <w:rFonts w:hint="eastAsia" w:ascii="楷体_GB2312" w:hAnsi="楷体_GB2312" w:eastAsia="楷体_GB2312" w:cs="楷体_GB2312"/>
          <w:b/>
          <w:bCs/>
          <w:sz w:val="32"/>
          <w:szCs w:val="32"/>
        </w:rPr>
        <w:t>年</w:t>
      </w:r>
      <w:r>
        <w:rPr>
          <w:rFonts w:hint="eastAsia" w:ascii="楷体_GB2312" w:hAnsi="楷体_GB2312" w:eastAsia="楷体_GB2312" w:cs="楷体_GB2312"/>
          <w:b/>
          <w:bCs/>
          <w:sz w:val="32"/>
          <w:szCs w:val="32"/>
          <w:lang w:val="en-US" w:eastAsia="zh-CN"/>
        </w:rPr>
        <w:t>9</w:t>
      </w:r>
      <w:r>
        <w:rPr>
          <w:rFonts w:hint="eastAsia" w:ascii="楷体_GB2312" w:hAnsi="楷体_GB2312" w:eastAsia="楷体_GB2312" w:cs="楷体_GB2312"/>
          <w:b/>
          <w:bCs/>
          <w:sz w:val="32"/>
          <w:szCs w:val="32"/>
        </w:rPr>
        <w:t>月</w:t>
      </w:r>
    </w:p>
    <w:p w14:paraId="2EB96886">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微软雅黑" w:hAnsi="微软雅黑" w:eastAsia="微软雅黑" w:cs="微软雅黑"/>
          <w:sz w:val="44"/>
          <w:szCs w:val="44"/>
        </w:rPr>
      </w:pPr>
    </w:p>
    <w:p w14:paraId="3720C86F">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微软雅黑" w:hAnsi="微软雅黑" w:eastAsia="微软雅黑" w:cs="微软雅黑"/>
          <w:sz w:val="44"/>
          <w:szCs w:val="44"/>
        </w:rPr>
      </w:pPr>
    </w:p>
    <w:p w14:paraId="12DE8ED8">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微软雅黑" w:hAnsi="微软雅黑" w:eastAsia="微软雅黑" w:cs="微软雅黑"/>
          <w:sz w:val="44"/>
          <w:szCs w:val="44"/>
        </w:rPr>
      </w:pPr>
    </w:p>
    <w:p w14:paraId="5F5BC137">
      <w:pPr>
        <w:pStyle w:val="9"/>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ascii="微软雅黑" w:hAnsi="微软雅黑" w:eastAsia="微软雅黑" w:cs="微软雅黑"/>
          <w:sz w:val="44"/>
          <w:szCs w:val="44"/>
        </w:rPr>
      </w:pPr>
    </w:p>
    <w:p w14:paraId="335988B9">
      <w:pPr>
        <w:pStyle w:val="7"/>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both"/>
        <w:textAlignment w:val="auto"/>
        <w:rPr>
          <w:b/>
          <w:bCs/>
          <w:sz w:val="32"/>
          <w:szCs w:val="32"/>
        </w:rPr>
        <w:sectPr>
          <w:pgSz w:w="11906" w:h="16838"/>
          <w:pgMar w:top="1440" w:right="1519" w:bottom="1440" w:left="1576" w:header="851" w:footer="992" w:gutter="0"/>
          <w:pgNumType w:fmt="decimal" w:start="1"/>
          <w:cols w:space="720" w:num="1"/>
          <w:formProt w:val="0"/>
          <w:docGrid w:type="lines" w:linePitch="312" w:charSpace="43007"/>
        </w:sectPr>
      </w:pPr>
    </w:p>
    <w:p w14:paraId="1BE032C4">
      <w:pPr>
        <w:pStyle w:val="7"/>
        <w:keepNext w:val="0"/>
        <w:keepLines w:val="0"/>
        <w:pageBreakBefore w:val="0"/>
        <w:widowControl w:val="0"/>
        <w:kinsoku/>
        <w:wordWrap/>
        <w:topLinePunct w:val="0"/>
        <w:autoSpaceDE/>
        <w:autoSpaceDN/>
        <w:bidi w:val="0"/>
        <w:adjustRightInd/>
        <w:snapToGrid/>
        <w:spacing w:line="560" w:lineRule="exact"/>
        <w:ind w:left="0" w:leftChars="0" w:firstLine="0" w:firstLineChars="0"/>
        <w:jc w:val="center"/>
        <w:textAlignment w:val="auto"/>
        <w:rPr>
          <w:rFonts w:hint="default" w:eastAsia="宋体"/>
          <w:b/>
          <w:bCs/>
          <w:sz w:val="32"/>
          <w:szCs w:val="32"/>
          <w:lang w:val="en-US" w:eastAsia="zh-CN"/>
        </w:rPr>
      </w:pPr>
      <w:r>
        <w:rPr>
          <w:rFonts w:hint="eastAsia"/>
          <w:b/>
          <w:bCs/>
          <w:sz w:val="32"/>
          <w:szCs w:val="32"/>
        </w:rPr>
        <w:t>目</w:t>
      </w:r>
      <w:r>
        <w:rPr>
          <w:rFonts w:hint="eastAsia"/>
          <w:b/>
          <w:bCs/>
          <w:sz w:val="32"/>
          <w:szCs w:val="32"/>
          <w:lang w:eastAsia="zh-CN"/>
        </w:rPr>
        <w:t>　</w:t>
      </w:r>
      <w:r>
        <w:rPr>
          <w:rFonts w:hint="eastAsia"/>
          <w:b/>
          <w:bCs/>
          <w:sz w:val="32"/>
          <w:szCs w:val="32"/>
        </w:rPr>
        <w:t>录</w:t>
      </w:r>
    </w:p>
    <w:p w14:paraId="00E4316C">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rPr>
        <w:t>一、事故基本情况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w:t>
      </w:r>
    </w:p>
    <w:p w14:paraId="412C0827">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（一）</w:t>
      </w:r>
      <w:r>
        <w:rPr>
          <w:rFonts w:hint="eastAsia" w:ascii="宋体" w:hAnsi="宋体" w:eastAsia="宋体" w:cs="宋体"/>
          <w:b w:val="0"/>
          <w:bCs w:val="0"/>
          <w:sz w:val="24"/>
          <w:szCs w:val="24"/>
          <w:lang w:val="en-US" w:eastAsia="zh-CN"/>
        </w:rPr>
        <w:t>事故单位</w:t>
      </w:r>
      <w:r>
        <w:rPr>
          <w:rFonts w:hint="eastAsia" w:ascii="宋体" w:hAnsi="宋体" w:eastAsia="宋体" w:cs="宋体"/>
          <w:b w:val="0"/>
          <w:bCs w:val="0"/>
          <w:sz w:val="24"/>
          <w:szCs w:val="24"/>
        </w:rPr>
        <w:t>概况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w:t>
      </w:r>
    </w:p>
    <w:p w14:paraId="0D0F215E">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（二）</w:t>
      </w:r>
      <w:r>
        <w:rPr>
          <w:rFonts w:hint="eastAsia" w:ascii="宋体" w:hAnsi="宋体" w:eastAsia="宋体" w:cs="宋体"/>
          <w:b w:val="0"/>
          <w:bCs w:val="0"/>
          <w:sz w:val="24"/>
          <w:szCs w:val="24"/>
          <w:lang w:val="en-US" w:eastAsia="zh-CN"/>
        </w:rPr>
        <w:t>事故发生单位安全管理情况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2</w:t>
      </w:r>
    </w:p>
    <w:p w14:paraId="043B51BA">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（三）</w:t>
      </w:r>
      <w:r>
        <w:rPr>
          <w:rFonts w:hint="eastAsia" w:ascii="宋体" w:hAnsi="宋体" w:eastAsia="宋体" w:cs="宋体"/>
          <w:b w:val="0"/>
          <w:bCs w:val="0"/>
          <w:sz w:val="24"/>
          <w:szCs w:val="24"/>
          <w:lang w:val="en-US" w:eastAsia="zh-CN"/>
        </w:rPr>
        <w:t>事故发生经过</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3</w:t>
      </w:r>
    </w:p>
    <w:p w14:paraId="24DE06C5">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（四）</w:t>
      </w:r>
      <w:r>
        <w:rPr>
          <w:rFonts w:hint="eastAsia" w:ascii="宋体" w:hAnsi="宋体" w:eastAsia="宋体" w:cs="宋体"/>
          <w:b w:val="0"/>
          <w:bCs w:val="0"/>
          <w:sz w:val="24"/>
          <w:szCs w:val="24"/>
          <w:lang w:val="en-US" w:eastAsia="zh-CN"/>
        </w:rPr>
        <w:t>事故现场情况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3</w:t>
      </w:r>
    </w:p>
    <w:p w14:paraId="2895D5F0">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五</w:t>
      </w:r>
      <w:r>
        <w:rPr>
          <w:rFonts w:hint="eastAsia" w:ascii="宋体" w:hAnsi="宋体" w:eastAsia="宋体" w:cs="宋体"/>
          <w:b w:val="0"/>
          <w:bCs w:val="0"/>
          <w:sz w:val="24"/>
          <w:szCs w:val="24"/>
        </w:rPr>
        <w:t>）人员伤亡和直接经济损失情</w:t>
      </w:r>
      <w:r>
        <w:rPr>
          <w:rFonts w:hint="eastAsia" w:ascii="宋体" w:hAnsi="宋体" w:eastAsia="宋体" w:cs="宋体"/>
          <w:b w:val="0"/>
          <w:bCs w:val="0"/>
          <w:sz w:val="24"/>
          <w:szCs w:val="24"/>
          <w:lang w:val="en-US" w:eastAsia="zh-CN"/>
        </w:rPr>
        <w:t>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4</w:t>
      </w:r>
    </w:p>
    <w:p w14:paraId="06907D44">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rPr>
        <w:t>二、事故应急处置评估情况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4</w:t>
      </w:r>
    </w:p>
    <w:p w14:paraId="4C5AE078">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（一）事故信息接报及响应情况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4</w:t>
      </w:r>
    </w:p>
    <w:p w14:paraId="77471F8C">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（二）事故现场应急处置情况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4</w:t>
      </w:r>
    </w:p>
    <w:p w14:paraId="39A155FB">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（三）医疗救助善后情况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6511CBA0">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（四）事故应急处置评估</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6ABFC11F">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rPr>
        <w:t>三、事故原因分析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68722FC0">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（一）直接原因分析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7D26C39F">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（二）间接原因分析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261878FF">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四、有关责任单位存在的问题</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0199008A">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五、对有关责任人员和责任单位的处理意见</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8</w:t>
      </w:r>
    </w:p>
    <w:p w14:paraId="3DAD74B5">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（一）对事故有关责任人员的行政处罚建议</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8</w:t>
      </w:r>
    </w:p>
    <w:p w14:paraId="31F6B4D3">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（二）对事故责任单位的行政处罚</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9</w:t>
      </w:r>
    </w:p>
    <w:p w14:paraId="78A564D2">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六、事故主要教训</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10</w:t>
      </w:r>
    </w:p>
    <w:p w14:paraId="349A5FAF">
      <w:pPr>
        <w:pStyle w:val="9"/>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七、事故整改和防范措施</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w:t>
      </w:r>
      <w:r>
        <w:rPr>
          <w:rFonts w:hint="default" w:ascii="宋体" w:hAnsi="宋体" w:eastAsia="宋体" w:cs="宋体"/>
          <w:b w:val="0"/>
          <w:bCs w:val="0"/>
          <w:sz w:val="24"/>
          <w:szCs w:val="24"/>
          <w:lang w:val="en-US" w:eastAsia="zh-CN"/>
        </w:rPr>
        <w:t>0</w:t>
      </w:r>
    </w:p>
    <w:p w14:paraId="526BAB57">
      <w:pPr>
        <w:pStyle w:val="7"/>
        <w:keepNext w:val="0"/>
        <w:keepLines w:val="0"/>
        <w:pageBreakBefore w:val="0"/>
        <w:widowControl w:val="0"/>
        <w:kinsoku/>
        <w:wordWrap/>
        <w:topLinePunct w:val="0"/>
        <w:autoSpaceDE/>
        <w:autoSpaceDN/>
        <w:bidi w:val="0"/>
        <w:adjustRightInd/>
        <w:snapToGrid/>
        <w:spacing w:line="560" w:lineRule="exact"/>
        <w:ind w:left="0" w:leftChars="0" w:firstLine="482" w:firstLineChars="200"/>
        <w:jc w:val="both"/>
        <w:textAlignment w:val="auto"/>
        <w:rPr>
          <w:rFonts w:ascii="宋体" w:hAnsi="宋体" w:cs="宋体"/>
          <w:b/>
          <w:sz w:val="24"/>
        </w:rPr>
      </w:pPr>
    </w:p>
    <w:p w14:paraId="7D5380C8">
      <w:pPr>
        <w:pStyle w:val="9"/>
        <w:keepNext w:val="0"/>
        <w:keepLines w:val="0"/>
        <w:pageBreakBefore w:val="0"/>
        <w:widowControl w:val="0"/>
        <w:tabs>
          <w:tab w:val="left" w:pos="8091"/>
        </w:tabs>
        <w:kinsoku/>
        <w:wordWrap/>
        <w:overflowPunct w:val="0"/>
        <w:topLinePunct w:val="0"/>
        <w:autoSpaceDE/>
        <w:autoSpaceDN/>
        <w:bidi w:val="0"/>
        <w:adjustRightInd/>
        <w:snapToGrid/>
        <w:spacing w:line="560" w:lineRule="exact"/>
        <w:ind w:left="0" w:leftChars="0" w:firstLine="482" w:firstLineChars="200"/>
        <w:jc w:val="both"/>
        <w:textAlignment w:val="auto"/>
        <w:rPr>
          <w:rFonts w:hint="default" w:ascii="宋体" w:hAnsi="宋体" w:eastAsia="宋体" w:cs="宋体"/>
          <w:b/>
          <w:sz w:val="24"/>
          <w:szCs w:val="24"/>
          <w:lang w:val="en-US" w:eastAsia="zh-CN"/>
        </w:rPr>
        <w:sectPr>
          <w:footerReference r:id="rId4" w:type="default"/>
          <w:pgSz w:w="11906" w:h="16838"/>
          <w:pgMar w:top="1440" w:right="1519" w:bottom="1440" w:left="1576" w:header="851" w:footer="992" w:gutter="0"/>
          <w:pgNumType w:fmt="decimal" w:start="1"/>
          <w:cols w:space="720" w:num="1"/>
          <w:formProt w:val="0"/>
          <w:docGrid w:type="lines" w:linePitch="312" w:charSpace="43007"/>
        </w:sectPr>
      </w:pPr>
    </w:p>
    <w:p w14:paraId="0E623F23">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2026年7月31日5时55分许</w:t>
      </w:r>
      <w:r>
        <w:rPr>
          <w:rFonts w:hint="eastAsia" w:ascii="仿宋_GB2312" w:eastAsia="仿宋_GB2312"/>
          <w:color w:val="000000"/>
          <w:sz w:val="32"/>
          <w:szCs w:val="32"/>
        </w:rPr>
        <w:t>，</w:t>
      </w:r>
      <w:r>
        <w:rPr>
          <w:rFonts w:hint="eastAsia" w:ascii="仿宋_GB2312" w:hAnsi="Times New Roman" w:eastAsia="仿宋_GB2312" w:cs="Times New Roman"/>
          <w:color w:val="000000"/>
          <w:kern w:val="2"/>
          <w:sz w:val="32"/>
          <w:szCs w:val="32"/>
          <w:lang w:val="en-US" w:eastAsia="zh-CN" w:bidi="ar-SA"/>
        </w:rPr>
        <w:t>吉州区工业园江西兆鸿科新电路有限公司发生一起机械伤害事故</w:t>
      </w:r>
      <w:r>
        <w:rPr>
          <w:rFonts w:hint="eastAsia" w:ascii="仿宋_GB2312" w:eastAsia="仿宋_GB2312"/>
          <w:color w:val="000000"/>
          <w:sz w:val="32"/>
          <w:szCs w:val="32"/>
          <w:lang w:val="en-US" w:eastAsia="zh-CN"/>
        </w:rPr>
        <w:t>，造成1人死亡，直接经济损失约</w:t>
      </w:r>
      <w:r>
        <w:rPr>
          <w:rFonts w:hint="default" w:ascii="仿宋_GB2312" w:eastAsia="仿宋_GB2312"/>
          <w:color w:val="000000"/>
          <w:sz w:val="32"/>
          <w:szCs w:val="32"/>
          <w:lang w:val="en-US" w:eastAsia="zh-CN"/>
        </w:rPr>
        <w:t>123</w:t>
      </w:r>
      <w:r>
        <w:rPr>
          <w:rFonts w:hint="eastAsia" w:ascii="仿宋_GB2312" w:eastAsia="仿宋_GB2312"/>
          <w:color w:val="000000"/>
          <w:sz w:val="32"/>
          <w:szCs w:val="32"/>
          <w:lang w:val="en-US" w:eastAsia="zh-CN"/>
        </w:rPr>
        <w:t>万元。</w:t>
      </w:r>
    </w:p>
    <w:p w14:paraId="2326090A">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依据《中华人民共和国安全生产法》和《生产安全事故报告和调查处理条例》（国务院令第493号）等有关法律法规，吉州区政府</w:t>
      </w:r>
      <w:r>
        <w:rPr>
          <w:rFonts w:hint="eastAsia" w:ascii="仿宋_GB2312" w:eastAsia="仿宋_GB2312"/>
          <w:color w:val="000000"/>
          <w:sz w:val="32"/>
          <w:szCs w:val="32"/>
        </w:rPr>
        <w:t>成立</w:t>
      </w:r>
      <w:r>
        <w:rPr>
          <w:rFonts w:hint="eastAsia" w:ascii="仿宋_GB2312" w:hAnsi="仿宋" w:eastAsia="仿宋_GB2312"/>
          <w:sz w:val="32"/>
          <w:szCs w:val="32"/>
        </w:rPr>
        <w:t>由区应急管理局</w:t>
      </w:r>
      <w:r>
        <w:rPr>
          <w:rFonts w:hint="eastAsia" w:ascii="仿宋_GB2312" w:hAnsi="仿宋" w:eastAsia="仿宋_GB2312"/>
          <w:sz w:val="32"/>
          <w:szCs w:val="32"/>
          <w:lang w:val="en-US" w:eastAsia="zh-CN"/>
        </w:rPr>
        <w:t>牵头</w:t>
      </w:r>
      <w:r>
        <w:rPr>
          <w:rFonts w:hint="eastAsia" w:ascii="仿宋_GB2312" w:hAnsi="仿宋" w:eastAsia="仿宋_GB2312"/>
          <w:sz w:val="32"/>
          <w:szCs w:val="32"/>
          <w:lang w:eastAsia="zh-CN"/>
        </w:rPr>
        <w:t>，</w:t>
      </w:r>
      <w:r>
        <w:rPr>
          <w:rFonts w:hint="eastAsia" w:ascii="仿宋_GB2312" w:hAnsi="仿宋" w:eastAsia="仿宋_GB2312"/>
          <w:sz w:val="32"/>
          <w:szCs w:val="32"/>
        </w:rPr>
        <w:t>区公安分局、</w:t>
      </w:r>
      <w:r>
        <w:rPr>
          <w:rFonts w:hint="eastAsia" w:ascii="仿宋_GB2312" w:hAnsi="仿宋" w:eastAsia="仿宋_GB2312"/>
          <w:sz w:val="32"/>
          <w:szCs w:val="32"/>
          <w:lang w:val="en-US" w:eastAsia="zh-CN"/>
        </w:rPr>
        <w:t>区工信局、</w:t>
      </w:r>
      <w:r>
        <w:rPr>
          <w:rFonts w:hint="eastAsia" w:ascii="仿宋_GB2312" w:hAnsi="仿宋" w:eastAsia="仿宋_GB2312"/>
          <w:sz w:val="32"/>
          <w:szCs w:val="32"/>
        </w:rPr>
        <w:t>区总工会、区人社局、</w:t>
      </w:r>
      <w:r>
        <w:rPr>
          <w:rFonts w:hint="eastAsia" w:ascii="仿宋_GB2312" w:hAnsi="仿宋" w:eastAsia="仿宋_GB2312"/>
          <w:sz w:val="32"/>
          <w:szCs w:val="32"/>
          <w:lang w:val="en-US" w:eastAsia="zh-CN"/>
        </w:rPr>
        <w:t>区工业园管委会</w:t>
      </w:r>
      <w:r>
        <w:rPr>
          <w:rFonts w:hint="eastAsia" w:ascii="仿宋_GB2312" w:hAnsi="仿宋" w:eastAsia="仿宋_GB2312"/>
          <w:sz w:val="32"/>
          <w:szCs w:val="32"/>
        </w:rPr>
        <w:t>等部门组成的</w:t>
      </w:r>
      <w:r>
        <w:rPr>
          <w:rFonts w:hint="eastAsia" w:ascii="仿宋_GB2312" w:eastAsia="仿宋_GB2312"/>
          <w:color w:val="000000"/>
          <w:sz w:val="32"/>
          <w:szCs w:val="32"/>
          <w:lang w:val="en-US" w:eastAsia="zh-CN"/>
        </w:rPr>
        <w:t>江西兆鸿科新电路有限公司</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7</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31</w:t>
      </w:r>
      <w:r>
        <w:rPr>
          <w:rFonts w:hint="eastAsia" w:ascii="仿宋_GB2312" w:eastAsia="仿宋_GB2312"/>
          <w:color w:val="000000"/>
          <w:sz w:val="32"/>
          <w:szCs w:val="32"/>
        </w:rPr>
        <w:t>”一般</w:t>
      </w:r>
      <w:r>
        <w:rPr>
          <w:rFonts w:hint="eastAsia" w:ascii="仿宋_GB2312" w:eastAsia="仿宋_GB2312"/>
          <w:color w:val="000000"/>
          <w:sz w:val="32"/>
          <w:szCs w:val="32"/>
          <w:lang w:val="en-US" w:eastAsia="zh-CN"/>
        </w:rPr>
        <w:t>机械伤害</w:t>
      </w:r>
      <w:r>
        <w:rPr>
          <w:rFonts w:hint="eastAsia" w:ascii="仿宋_GB2312" w:eastAsia="仿宋_GB2312"/>
          <w:color w:val="000000"/>
          <w:sz w:val="32"/>
          <w:szCs w:val="32"/>
        </w:rPr>
        <w:t>事故调查组</w:t>
      </w:r>
      <w:r>
        <w:rPr>
          <w:rFonts w:ascii="仿宋_GB2312" w:hAnsi="仿宋_GB2312" w:eastAsia="仿宋_GB2312" w:cs="仿宋_GB2312"/>
          <w:sz w:val="32"/>
          <w:szCs w:val="32"/>
        </w:rPr>
        <w:t>（以下简称事故调查组），负责事故调查工作，并邀请区纪委监委</w:t>
      </w:r>
      <w:r>
        <w:rPr>
          <w:rFonts w:hint="eastAsia" w:ascii="仿宋_GB2312" w:hAnsi="仿宋_GB2312" w:eastAsia="仿宋_GB2312" w:cs="仿宋_GB2312"/>
          <w:sz w:val="32"/>
          <w:szCs w:val="32"/>
          <w:lang w:eastAsia="zh-CN"/>
        </w:rPr>
        <w:t>、</w:t>
      </w:r>
      <w:r>
        <w:rPr>
          <w:rFonts w:hint="eastAsia" w:ascii="仿宋_GB2312" w:eastAsia="仿宋_GB2312"/>
          <w:color w:val="000000"/>
          <w:sz w:val="32"/>
          <w:szCs w:val="32"/>
          <w:lang w:val="en-US" w:eastAsia="zh-CN"/>
        </w:rPr>
        <w:t>区检察院</w:t>
      </w:r>
      <w:r>
        <w:rPr>
          <w:rFonts w:ascii="仿宋_GB2312" w:hAnsi="仿宋_GB2312" w:eastAsia="仿宋_GB2312" w:cs="仿宋_GB2312"/>
          <w:sz w:val="32"/>
          <w:szCs w:val="32"/>
        </w:rPr>
        <w:t>派员参加。</w:t>
      </w:r>
    </w:p>
    <w:p w14:paraId="046CC6B2">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事故调查组按照“科学严谨、依法依规、实事求是、注重实效”和“四不放过”的原则，认真开展事故调查工作。通过现场勘查、问询调查、查阅有关资料和综合分析，查清了事故发生经过、原因，认定了事故性质和责任。</w:t>
      </w:r>
    </w:p>
    <w:p w14:paraId="439F2E66">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经调查认定：</w:t>
      </w:r>
      <w:r>
        <w:rPr>
          <w:rFonts w:hint="eastAsia" w:ascii="仿宋_GB2312" w:eastAsia="仿宋_GB2312"/>
          <w:color w:val="000000"/>
          <w:sz w:val="32"/>
          <w:szCs w:val="32"/>
          <w:lang w:val="en-US" w:eastAsia="zh-CN"/>
        </w:rPr>
        <w:t>江西兆鸿科新电路有限公司</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7</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31</w:t>
      </w:r>
      <w:r>
        <w:rPr>
          <w:rFonts w:hint="eastAsia" w:ascii="仿宋_GB2312" w:eastAsia="仿宋_GB2312"/>
          <w:color w:val="000000"/>
          <w:sz w:val="32"/>
          <w:szCs w:val="32"/>
        </w:rPr>
        <w:t>”一般</w:t>
      </w:r>
      <w:r>
        <w:rPr>
          <w:rFonts w:hint="eastAsia" w:ascii="仿宋_GB2312" w:eastAsia="仿宋_GB2312"/>
          <w:color w:val="000000"/>
          <w:sz w:val="32"/>
          <w:szCs w:val="32"/>
          <w:lang w:val="en-US" w:eastAsia="zh-CN"/>
        </w:rPr>
        <w:t>机械伤害</w:t>
      </w:r>
      <w:r>
        <w:rPr>
          <w:rFonts w:hint="eastAsia" w:ascii="仿宋_GB2312" w:eastAsia="仿宋_GB2312"/>
          <w:color w:val="000000"/>
          <w:sz w:val="32"/>
          <w:szCs w:val="32"/>
        </w:rPr>
        <w:t>事故，</w:t>
      </w:r>
      <w:r>
        <w:rPr>
          <w:rFonts w:hint="eastAsia" w:ascii="仿宋_GB2312" w:eastAsia="仿宋_GB2312"/>
          <w:color w:val="000000"/>
          <w:sz w:val="32"/>
          <w:szCs w:val="32"/>
          <w:lang w:val="en-US" w:eastAsia="zh-CN"/>
        </w:rPr>
        <w:t>是一起因作业人员违章操作、企业安全生产</w:t>
      </w:r>
      <w:r>
        <w:rPr>
          <w:rFonts w:hint="eastAsia" w:ascii="仿宋_GB2312" w:hAnsi="仿宋_GB2312" w:eastAsia="仿宋_GB2312" w:cs="仿宋_GB2312"/>
          <w:sz w:val="32"/>
          <w:szCs w:val="32"/>
          <w:lang w:val="en-US" w:eastAsia="zh-CN"/>
        </w:rPr>
        <w:t>主体责任落实不到位</w:t>
      </w:r>
      <w:r>
        <w:rPr>
          <w:rFonts w:hint="eastAsia" w:ascii="仿宋_GB2312" w:eastAsia="仿宋_GB2312"/>
          <w:color w:val="000000"/>
          <w:sz w:val="32"/>
          <w:szCs w:val="32"/>
          <w:lang w:val="en-US" w:eastAsia="zh-CN"/>
        </w:rPr>
        <w:t>造成的一般生产安全责任事故。现将有关情况报告如下：</w:t>
      </w:r>
    </w:p>
    <w:p w14:paraId="5E2D441D">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黑体" w:hAnsi="黑体" w:eastAsia="黑体" w:cs="黑体"/>
          <w:b/>
          <w:sz w:val="32"/>
          <w:szCs w:val="32"/>
        </w:rPr>
      </w:pPr>
      <w:r>
        <w:rPr>
          <w:rFonts w:ascii="黑体" w:hAnsi="黑体" w:eastAsia="黑体" w:cs="黑体"/>
          <w:b/>
          <w:sz w:val="32"/>
          <w:szCs w:val="32"/>
        </w:rPr>
        <w:t>一、</w:t>
      </w:r>
      <w:r>
        <w:rPr>
          <w:rFonts w:hint="eastAsia" w:ascii="黑体" w:hAnsi="黑体" w:eastAsia="黑体" w:cs="黑体"/>
          <w:b/>
          <w:sz w:val="32"/>
          <w:szCs w:val="32"/>
        </w:rPr>
        <w:t>事故</w:t>
      </w:r>
      <w:r>
        <w:rPr>
          <w:rFonts w:ascii="黑体" w:hAnsi="黑体" w:eastAsia="黑体" w:cs="黑体"/>
          <w:b/>
          <w:sz w:val="32"/>
          <w:szCs w:val="32"/>
        </w:rPr>
        <w:t>基本情况</w:t>
      </w:r>
    </w:p>
    <w:p w14:paraId="21CC36C2">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楷体" w:hAnsi="楷体" w:eastAsia="楷体" w:cs="楷体"/>
          <w:b/>
          <w:bCs w:val="0"/>
          <w:sz w:val="32"/>
          <w:szCs w:val="32"/>
        </w:rPr>
      </w:pPr>
      <w:r>
        <w:rPr>
          <w:rFonts w:ascii="楷体" w:hAnsi="楷体" w:eastAsia="楷体" w:cs="楷体"/>
          <w:b/>
          <w:bCs w:val="0"/>
          <w:sz w:val="32"/>
          <w:szCs w:val="32"/>
        </w:rPr>
        <w:t>（一）</w:t>
      </w:r>
      <w:r>
        <w:rPr>
          <w:rFonts w:hint="eastAsia" w:ascii="楷体" w:hAnsi="楷体" w:eastAsia="楷体" w:cs="楷体"/>
          <w:b/>
          <w:bCs w:val="0"/>
          <w:sz w:val="32"/>
          <w:szCs w:val="32"/>
          <w:lang w:val="en-US" w:eastAsia="zh-CN"/>
        </w:rPr>
        <w:t>事故单位</w:t>
      </w:r>
      <w:r>
        <w:rPr>
          <w:rFonts w:ascii="楷体" w:hAnsi="楷体" w:eastAsia="楷体" w:cs="楷体"/>
          <w:b/>
          <w:bCs w:val="0"/>
          <w:sz w:val="32"/>
          <w:szCs w:val="32"/>
        </w:rPr>
        <w:t>概况</w:t>
      </w:r>
    </w:p>
    <w:p w14:paraId="030652FB">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仿宋_GB2312" w:hAnsi="仿宋_GB2312" w:eastAsia="仿宋_GB2312" w:cs="仿宋_GB2312"/>
          <w:color w:val="000000"/>
          <w:kern w:val="0"/>
          <w:sz w:val="32"/>
          <w:szCs w:val="32"/>
        </w:rPr>
      </w:pPr>
      <w:r>
        <w:rPr>
          <w:rFonts w:hint="eastAsia" w:ascii="仿宋_GB2312" w:eastAsia="仿宋_GB2312"/>
          <w:b/>
          <w:bCs/>
          <w:color w:val="000000"/>
          <w:sz w:val="32"/>
          <w:szCs w:val="32"/>
          <w:lang w:val="en-US" w:eastAsia="zh-CN"/>
        </w:rPr>
        <w:t>江西兆鸿科新电路有限公司</w:t>
      </w:r>
      <w:r>
        <w:rPr>
          <w:rFonts w:ascii="仿宋_GB2312" w:hAnsi="仿宋_GB2312" w:eastAsia="仿宋_GB2312" w:cs="仿宋_GB2312"/>
          <w:sz w:val="32"/>
          <w:szCs w:val="32"/>
        </w:rPr>
        <w:t>（以下简称</w:t>
      </w:r>
      <w:r>
        <w:rPr>
          <w:rFonts w:hint="eastAsia" w:ascii="仿宋_GB2312" w:hAnsi="仿宋_GB2312" w:eastAsia="仿宋_GB2312" w:cs="仿宋_GB2312"/>
          <w:sz w:val="32"/>
          <w:szCs w:val="32"/>
          <w:lang w:val="en-US" w:eastAsia="zh-CN"/>
        </w:rPr>
        <w:t>兆鸿公司</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kern w:val="0"/>
          <w:sz w:val="32"/>
          <w:szCs w:val="32"/>
          <w:lang w:val="en-US" w:eastAsia="zh-CN"/>
        </w:rPr>
        <w:t>，</w:t>
      </w:r>
      <w:r>
        <w:rPr>
          <w:rFonts w:ascii="仿宋_GB2312" w:hAnsi="仿宋_GB2312" w:eastAsia="仿宋_GB2312" w:cs="仿宋_GB2312"/>
          <w:color w:val="000000"/>
          <w:kern w:val="0"/>
          <w:sz w:val="32"/>
          <w:szCs w:val="32"/>
        </w:rPr>
        <w:t>统一社会信用代码：</w:t>
      </w:r>
      <w:r>
        <w:rPr>
          <w:rFonts w:hint="eastAsia" w:ascii="仿宋_GB2312" w:hAnsi="仿宋_GB2312" w:eastAsia="仿宋_GB2312" w:cs="仿宋_GB2312"/>
          <w:color w:val="000000"/>
          <w:kern w:val="0"/>
          <w:sz w:val="32"/>
          <w:szCs w:val="32"/>
          <w:lang w:val="en-US" w:eastAsia="zh-CN"/>
        </w:rPr>
        <w:t>91360802MAEE64XXXX</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企业类型：其他有限责任公司，</w:t>
      </w:r>
      <w:r>
        <w:rPr>
          <w:rFonts w:ascii="仿宋_GB2312" w:hAnsi="仿宋_GB2312" w:eastAsia="仿宋_GB2312" w:cs="仿宋_GB2312"/>
          <w:color w:val="000000"/>
          <w:kern w:val="0"/>
          <w:sz w:val="32"/>
          <w:szCs w:val="32"/>
        </w:rPr>
        <w:t>法定代表人：</w:t>
      </w:r>
      <w:r>
        <w:rPr>
          <w:rFonts w:hint="eastAsia" w:ascii="仿宋_GB2312" w:hAnsi="仿宋_GB2312" w:eastAsia="仿宋_GB2312" w:cs="仿宋_GB2312"/>
          <w:color w:val="000000"/>
          <w:kern w:val="0"/>
          <w:sz w:val="32"/>
          <w:szCs w:val="32"/>
          <w:lang w:val="en-US" w:eastAsia="zh-CN"/>
        </w:rPr>
        <w:t>樊某</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成立</w:t>
      </w:r>
      <w:r>
        <w:rPr>
          <w:rFonts w:hint="eastAsia" w:ascii="仿宋_GB2312" w:hAnsi="仿宋_GB2312" w:eastAsia="仿宋_GB2312" w:cs="仿宋_GB2312"/>
          <w:color w:val="000000"/>
          <w:kern w:val="0"/>
          <w:sz w:val="32"/>
          <w:szCs w:val="32"/>
          <w:lang w:val="en-US" w:eastAsia="zh-CN"/>
        </w:rPr>
        <w:t>日期：2025年3月12日，</w:t>
      </w:r>
      <w:r>
        <w:rPr>
          <w:rFonts w:hint="eastAsia" w:ascii="仿宋_GB2312" w:hAnsi="仿宋_GB2312" w:eastAsia="仿宋_GB2312" w:cs="仿宋_GB2312"/>
          <w:b w:val="0"/>
          <w:bCs w:val="0"/>
          <w:sz w:val="32"/>
          <w:szCs w:val="32"/>
          <w:lang w:val="en-US" w:eastAsia="zh-CN"/>
        </w:rPr>
        <w:t>经营范围：一般项目：集成电路制造，电子元器件制造，电子元器件零售，集成电路销售，集成电路设计，集成电路芯片及产品制造，集成电路芯片设计及服务，集成电路芯片及产品销售，电子元器件批发，技术服务、技术开发、技术咨询、技术交流、技术转让、技术推广，国内贸易代理，进出口代理，喷涂加工，电镀加工，电子专用材料制造，电子专用材料销售，电子专用材料研发，货物进出口（除依法须经批准的项目外，凭营业执照依法自主开展经营活动）。</w:t>
      </w:r>
      <w:r>
        <w:rPr>
          <w:rFonts w:ascii="仿宋_GB2312" w:hAnsi="仿宋_GB2312" w:eastAsia="仿宋_GB2312" w:cs="仿宋_GB2312"/>
          <w:color w:val="000000"/>
          <w:kern w:val="0"/>
          <w:sz w:val="32"/>
          <w:szCs w:val="32"/>
        </w:rPr>
        <w:t>注册地址：</w:t>
      </w:r>
      <w:r>
        <w:rPr>
          <w:rFonts w:hint="eastAsia" w:ascii="仿宋_GB2312" w:hAnsi="仿宋_GB2312" w:eastAsia="仿宋_GB2312" w:cs="仿宋_GB2312"/>
          <w:color w:val="000000"/>
          <w:kern w:val="0"/>
          <w:sz w:val="32"/>
          <w:szCs w:val="32"/>
          <w:lang w:val="en-US" w:eastAsia="zh-CN"/>
        </w:rPr>
        <w:t>江西省吉安市吉州区工业园吉贤路45号吉安市宏源科技有限公司4号厂房3楼</w:t>
      </w:r>
      <w:r>
        <w:rPr>
          <w:rFonts w:hint="eastAsia" w:ascii="仿宋_GB2312" w:hAnsi="仿宋_GB2312" w:eastAsia="仿宋_GB2312" w:cs="仿宋_GB2312"/>
          <w:color w:val="000000"/>
          <w:kern w:val="0"/>
          <w:sz w:val="32"/>
          <w:szCs w:val="32"/>
        </w:rPr>
        <w:t>。</w:t>
      </w:r>
    </w:p>
    <w:p w14:paraId="6C86B189">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楷体" w:hAnsi="楷体" w:eastAsia="楷体" w:cs="楷体"/>
          <w:b/>
          <w:sz w:val="32"/>
          <w:szCs w:val="32"/>
        </w:rPr>
      </w:pPr>
      <w:r>
        <w:rPr>
          <w:rFonts w:ascii="楷体" w:hAnsi="楷体" w:eastAsia="楷体" w:cs="楷体"/>
          <w:b/>
          <w:sz w:val="32"/>
          <w:szCs w:val="32"/>
        </w:rPr>
        <w:t>（</w:t>
      </w:r>
      <w:r>
        <w:rPr>
          <w:rFonts w:hint="eastAsia" w:ascii="楷体" w:hAnsi="楷体" w:eastAsia="楷体" w:cs="楷体"/>
          <w:b/>
          <w:sz w:val="32"/>
          <w:szCs w:val="32"/>
          <w:lang w:val="en-US" w:eastAsia="zh-CN"/>
        </w:rPr>
        <w:t>二</w:t>
      </w:r>
      <w:r>
        <w:rPr>
          <w:rFonts w:ascii="楷体" w:hAnsi="楷体" w:eastAsia="楷体" w:cs="楷体"/>
          <w:b/>
          <w:sz w:val="32"/>
          <w:szCs w:val="32"/>
        </w:rPr>
        <w:t>）</w:t>
      </w:r>
      <w:r>
        <w:rPr>
          <w:rFonts w:hint="eastAsia" w:ascii="楷体" w:hAnsi="楷体" w:eastAsia="楷体" w:cs="楷体"/>
          <w:b/>
          <w:sz w:val="32"/>
          <w:szCs w:val="32"/>
        </w:rPr>
        <w:t>事故发生单位安全管理情况</w:t>
      </w:r>
    </w:p>
    <w:p w14:paraId="02D1F02B">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20" w:firstLineChars="200"/>
        <w:jc w:val="both"/>
        <w:rPr>
          <w:rFonts w:hint="eastAsia" w:ascii="仿宋_GB2312" w:eastAsia="仿宋_GB2312" w:cs="仿宋_GB2312"/>
          <w:i w:val="0"/>
          <w:iCs w:val="0"/>
          <w:caps w:val="0"/>
          <w:color w:val="000000"/>
          <w:spacing w:val="0"/>
          <w:sz w:val="31"/>
          <w:szCs w:val="31"/>
          <w:shd w:val="clear" w:color="auto" w:fill="FFFFFF"/>
        </w:rPr>
      </w:pPr>
      <w:r>
        <w:rPr>
          <w:rFonts w:hint="eastAsia" w:ascii="仿宋_GB2312" w:eastAsia="仿宋_GB2312" w:cs="仿宋_GB2312"/>
          <w:i w:val="0"/>
          <w:iCs w:val="0"/>
          <w:caps w:val="0"/>
          <w:color w:val="000000"/>
          <w:spacing w:val="0"/>
          <w:sz w:val="31"/>
          <w:szCs w:val="31"/>
          <w:shd w:val="clear" w:color="auto" w:fill="FFFFFF"/>
        </w:rPr>
        <w:t>本起事故涉及该公司</w:t>
      </w:r>
      <w:r>
        <w:rPr>
          <w:rFonts w:hint="eastAsia" w:ascii="仿宋_GB2312" w:eastAsia="仿宋_GB2312" w:cs="仿宋_GB2312"/>
          <w:i w:val="0"/>
          <w:iCs w:val="0"/>
          <w:caps w:val="0"/>
          <w:color w:val="000000"/>
          <w:spacing w:val="0"/>
          <w:sz w:val="31"/>
          <w:szCs w:val="31"/>
          <w:shd w:val="clear" w:color="auto" w:fill="FFFFFF"/>
          <w:lang w:eastAsia="zh-CN"/>
        </w:rPr>
        <w:t>丝印</w:t>
      </w:r>
      <w:r>
        <w:rPr>
          <w:rFonts w:hint="eastAsia" w:ascii="仿宋_GB2312" w:eastAsia="仿宋_GB2312" w:cs="仿宋_GB2312"/>
          <w:i w:val="0"/>
          <w:iCs w:val="0"/>
          <w:caps w:val="0"/>
          <w:color w:val="000000"/>
          <w:spacing w:val="0"/>
          <w:sz w:val="31"/>
          <w:szCs w:val="31"/>
          <w:shd w:val="clear" w:color="auto" w:fill="FFFFFF"/>
        </w:rPr>
        <w:t>车间，位于公司三楼，该车间有丝印机</w:t>
      </w:r>
      <w:r>
        <w:rPr>
          <w:rFonts w:hint="eastAsia" w:ascii="仿宋_GB2312" w:eastAsia="仿宋_GB2312" w:cs="仿宋_GB2312"/>
          <w:i w:val="0"/>
          <w:iCs w:val="0"/>
          <w:caps w:val="0"/>
          <w:color w:val="000000"/>
          <w:spacing w:val="0"/>
          <w:sz w:val="31"/>
          <w:szCs w:val="31"/>
          <w:shd w:val="clear" w:color="auto" w:fill="FFFFFF"/>
          <w:lang w:val="en-US" w:eastAsia="zh-CN"/>
        </w:rPr>
        <w:t>3</w:t>
      </w:r>
      <w:r>
        <w:rPr>
          <w:rFonts w:hint="eastAsia" w:ascii="仿宋_GB2312" w:eastAsia="仿宋_GB2312" w:cs="仿宋_GB2312"/>
          <w:i w:val="0"/>
          <w:iCs w:val="0"/>
          <w:caps w:val="0"/>
          <w:color w:val="000000"/>
          <w:spacing w:val="0"/>
          <w:sz w:val="31"/>
          <w:szCs w:val="31"/>
          <w:shd w:val="clear" w:color="auto" w:fill="FFFFFF"/>
        </w:rPr>
        <w:t>台，内部编号为1-</w:t>
      </w:r>
      <w:r>
        <w:rPr>
          <w:rFonts w:hint="eastAsia" w:ascii="仿宋_GB2312" w:eastAsia="仿宋_GB2312" w:cs="仿宋_GB2312"/>
          <w:i w:val="0"/>
          <w:iCs w:val="0"/>
          <w:caps w:val="0"/>
          <w:color w:val="000000"/>
          <w:spacing w:val="0"/>
          <w:sz w:val="31"/>
          <w:szCs w:val="31"/>
          <w:shd w:val="clear" w:color="auto" w:fill="FFFFFF"/>
          <w:lang w:val="en-US" w:eastAsia="zh-CN"/>
        </w:rPr>
        <w:t>3</w:t>
      </w:r>
      <w:r>
        <w:rPr>
          <w:rFonts w:hint="eastAsia" w:ascii="仿宋_GB2312" w:eastAsia="仿宋_GB2312" w:cs="仿宋_GB2312"/>
          <w:i w:val="0"/>
          <w:iCs w:val="0"/>
          <w:caps w:val="0"/>
          <w:color w:val="000000"/>
          <w:spacing w:val="0"/>
          <w:sz w:val="31"/>
          <w:szCs w:val="31"/>
          <w:shd w:val="clear" w:color="auto" w:fill="FFFFFF"/>
        </w:rPr>
        <w:t>号机，其中机身编号为</w:t>
      </w:r>
      <w:r>
        <w:rPr>
          <w:rFonts w:hint="eastAsia" w:ascii="仿宋_GB2312" w:eastAsia="仿宋_GB2312" w:cs="仿宋_GB2312"/>
          <w:i w:val="0"/>
          <w:iCs w:val="0"/>
          <w:caps w:val="0"/>
          <w:color w:val="000000"/>
          <w:spacing w:val="0"/>
          <w:sz w:val="31"/>
          <w:szCs w:val="31"/>
          <w:shd w:val="clear" w:color="auto" w:fill="FFFFFF"/>
          <w:lang w:val="en-US" w:eastAsia="zh-CN"/>
        </w:rPr>
        <w:t>智子（ZV-63150）</w:t>
      </w:r>
      <w:r>
        <w:rPr>
          <w:rFonts w:hint="eastAsia" w:ascii="仿宋_GB2312" w:eastAsia="仿宋_GB2312" w:cs="仿宋_GB2312"/>
          <w:i w:val="0"/>
          <w:iCs w:val="0"/>
          <w:caps w:val="0"/>
          <w:color w:val="000000"/>
          <w:spacing w:val="0"/>
          <w:sz w:val="31"/>
          <w:szCs w:val="31"/>
          <w:shd w:val="clear" w:color="auto" w:fill="FFFFFF"/>
        </w:rPr>
        <w:t>的</w:t>
      </w:r>
      <w:r>
        <w:rPr>
          <w:rFonts w:hint="eastAsia" w:ascii="仿宋_GB2312" w:eastAsia="仿宋_GB2312" w:cs="仿宋_GB2312"/>
          <w:i w:val="0"/>
          <w:iCs w:val="0"/>
          <w:caps w:val="0"/>
          <w:color w:val="000000"/>
          <w:spacing w:val="0"/>
          <w:sz w:val="31"/>
          <w:szCs w:val="31"/>
          <w:shd w:val="clear" w:color="auto" w:fill="FFFFFF"/>
          <w:lang w:val="en-US" w:eastAsia="zh-CN"/>
        </w:rPr>
        <w:t>1</w:t>
      </w:r>
      <w:r>
        <w:rPr>
          <w:rFonts w:hint="eastAsia" w:ascii="仿宋_GB2312" w:eastAsia="仿宋_GB2312" w:cs="仿宋_GB2312"/>
          <w:i w:val="0"/>
          <w:iCs w:val="0"/>
          <w:caps w:val="0"/>
          <w:color w:val="000000"/>
          <w:spacing w:val="0"/>
          <w:sz w:val="31"/>
          <w:szCs w:val="31"/>
          <w:shd w:val="clear" w:color="auto" w:fill="FFFFFF"/>
        </w:rPr>
        <w:t>号丝印机是本次事故发生所涉及的设备。</w:t>
      </w:r>
    </w:p>
    <w:p w14:paraId="263B7323">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该公司安全生产管理责任落实不到位。安全生产规章制度、操作规程缺失，未制定设备检维修操作规程；安全生产教育和培训不到位，未按规定如实记录安全生产教育和培训的时间、内容以及考核结果等情况，从业人员对有关的安全生产规章制度和安全操作规程不熟悉；安全风险辨识缺项，未辨识涉事设备维修作业存在机械伤害风险，隐患排查治理不到位，未做好安全防护措施。</w:t>
      </w:r>
    </w:p>
    <w:p w14:paraId="4C4D4F5B">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仿宋_GB2312" w:hAnsi="仿宋_GB2312" w:eastAsia="楷体" w:cs="仿宋_GB2312"/>
          <w:color w:val="000000"/>
          <w:kern w:val="0"/>
          <w:sz w:val="32"/>
          <w:szCs w:val="32"/>
        </w:rPr>
      </w:pPr>
      <w:r>
        <w:rPr>
          <w:rFonts w:hint="eastAsia" w:ascii="楷体" w:hAnsi="楷体" w:eastAsia="楷体" w:cs="楷体"/>
          <w:b/>
          <w:sz w:val="32"/>
          <w:szCs w:val="32"/>
        </w:rPr>
        <w:t>（</w:t>
      </w:r>
      <w:r>
        <w:rPr>
          <w:rFonts w:hint="eastAsia" w:ascii="楷体" w:hAnsi="楷体" w:eastAsia="楷体" w:cs="楷体"/>
          <w:b/>
          <w:sz w:val="32"/>
          <w:szCs w:val="32"/>
          <w:lang w:val="en-US" w:eastAsia="zh-CN"/>
        </w:rPr>
        <w:t>三</w:t>
      </w:r>
      <w:r>
        <w:rPr>
          <w:rFonts w:hint="eastAsia" w:ascii="楷体" w:hAnsi="楷体" w:eastAsia="楷体" w:cs="楷体"/>
          <w:b/>
          <w:sz w:val="32"/>
          <w:szCs w:val="32"/>
        </w:rPr>
        <w:t>）</w:t>
      </w:r>
      <w:r>
        <w:rPr>
          <w:rFonts w:ascii="楷体" w:hAnsi="楷体" w:eastAsia="楷体" w:cs="楷体"/>
          <w:b/>
          <w:sz w:val="32"/>
          <w:szCs w:val="32"/>
        </w:rPr>
        <w:t>事故发生经过</w:t>
      </w:r>
    </w:p>
    <w:p w14:paraId="241A262F">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兆鸿公司安排员工吴某（男，苗族），2026年7月30日20时至7月31日8时，1人在公司三楼车间上夜班，从事1号丝印机丝印作业。经现场监控视频还原，7月31日5时55分许，吴</w:t>
      </w:r>
      <w:r>
        <w:rPr>
          <w:rFonts w:hint="eastAsia" w:ascii="仿宋_GB2312" w:hAnsi="仿宋_GB2312" w:eastAsia="仿宋_GB2312" w:cs="仿宋_GB2312"/>
          <w:color w:val="000000"/>
          <w:kern w:val="0"/>
          <w:sz w:val="32"/>
          <w:szCs w:val="32"/>
          <w:lang w:val="en-US" w:eastAsia="zh-CN"/>
        </w:rPr>
        <w:t>某</w:t>
      </w:r>
      <w:r>
        <w:rPr>
          <w:rFonts w:hint="eastAsia" w:ascii="仿宋_GB2312" w:hAnsi="仿宋_GB2312" w:eastAsia="仿宋_GB2312" w:cs="仿宋_GB2312"/>
          <w:color w:val="auto"/>
          <w:sz w:val="32"/>
          <w:szCs w:val="32"/>
          <w:lang w:val="en-US" w:eastAsia="zh-CN"/>
        </w:rPr>
        <w:t>在检查1号丝印机印刷网板时，不慎踩到丝印机控制开关，致使丝印机网板下降并挤压其颈部，导致事故发生。直至7时45分许，车间主管陈</w:t>
      </w:r>
      <w:r>
        <w:rPr>
          <w:rFonts w:hint="eastAsia" w:ascii="仿宋_GB2312" w:hAnsi="仿宋_GB2312" w:eastAsia="仿宋_GB2312" w:cs="仿宋_GB2312"/>
          <w:color w:val="000000"/>
          <w:kern w:val="0"/>
          <w:sz w:val="32"/>
          <w:szCs w:val="32"/>
          <w:lang w:val="en-US" w:eastAsia="zh-CN"/>
        </w:rPr>
        <w:t>某</w:t>
      </w:r>
      <w:r>
        <w:rPr>
          <w:rFonts w:hint="eastAsia" w:ascii="仿宋_GB2312" w:hAnsi="仿宋_GB2312" w:eastAsia="仿宋_GB2312" w:cs="仿宋_GB2312"/>
          <w:color w:val="auto"/>
          <w:sz w:val="32"/>
          <w:szCs w:val="32"/>
          <w:lang w:val="en-US" w:eastAsia="zh-CN"/>
        </w:rPr>
        <w:t>兵到厂上班时才发现。陈</w:t>
      </w:r>
      <w:r>
        <w:rPr>
          <w:rFonts w:hint="eastAsia" w:ascii="仿宋_GB2312" w:hAnsi="仿宋_GB2312" w:eastAsia="仿宋_GB2312" w:cs="仿宋_GB2312"/>
          <w:color w:val="000000"/>
          <w:kern w:val="0"/>
          <w:sz w:val="32"/>
          <w:szCs w:val="32"/>
          <w:lang w:val="en-US" w:eastAsia="zh-CN"/>
        </w:rPr>
        <w:t>某</w:t>
      </w:r>
      <w:r>
        <w:rPr>
          <w:rFonts w:hint="eastAsia" w:ascii="仿宋_GB2312" w:hAnsi="仿宋_GB2312" w:eastAsia="仿宋_GB2312" w:cs="仿宋_GB2312"/>
          <w:color w:val="auto"/>
          <w:sz w:val="32"/>
          <w:szCs w:val="32"/>
          <w:lang w:val="en-US" w:eastAsia="zh-CN"/>
        </w:rPr>
        <w:t>兵立即组织人员施救，现场人员用木棒撬开丝印网板，将吴</w:t>
      </w:r>
      <w:r>
        <w:rPr>
          <w:rFonts w:hint="eastAsia" w:ascii="仿宋_GB2312" w:hAnsi="仿宋_GB2312" w:eastAsia="仿宋_GB2312" w:cs="仿宋_GB2312"/>
          <w:color w:val="000000"/>
          <w:kern w:val="0"/>
          <w:sz w:val="32"/>
          <w:szCs w:val="32"/>
          <w:lang w:val="en-US" w:eastAsia="zh-CN"/>
        </w:rPr>
        <w:t>某</w:t>
      </w:r>
      <w:r>
        <w:rPr>
          <w:rFonts w:hint="eastAsia" w:ascii="仿宋_GB2312" w:hAnsi="仿宋_GB2312" w:eastAsia="仿宋_GB2312" w:cs="仿宋_GB2312"/>
          <w:color w:val="auto"/>
          <w:sz w:val="32"/>
          <w:szCs w:val="32"/>
          <w:lang w:val="en-US" w:eastAsia="zh-CN"/>
        </w:rPr>
        <w:t xml:space="preserve">从丝印机中移出，同时拨打120急救电话和110报警电话。120救护车到达现场后，经医生抢救无效，宣布吴某已无生命体征。  </w:t>
      </w:r>
    </w:p>
    <w:p w14:paraId="33D73FB1">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hint="eastAsia" w:ascii="楷体" w:hAnsi="楷体" w:eastAsia="楷体" w:cs="楷体"/>
          <w:b/>
          <w:sz w:val="32"/>
          <w:szCs w:val="32"/>
        </w:rPr>
      </w:pPr>
      <w:r>
        <w:rPr>
          <w:rFonts w:hint="eastAsia" w:ascii="楷体" w:hAnsi="楷体" w:eastAsia="楷体" w:cs="楷体"/>
          <w:b/>
          <w:sz w:val="32"/>
          <w:szCs w:val="32"/>
        </w:rPr>
        <w:t>（</w:t>
      </w:r>
      <w:r>
        <w:rPr>
          <w:rFonts w:hint="eastAsia" w:ascii="楷体" w:hAnsi="楷体" w:eastAsia="楷体" w:cs="楷体"/>
          <w:b/>
          <w:sz w:val="32"/>
          <w:szCs w:val="32"/>
          <w:lang w:val="en-US" w:eastAsia="zh-CN"/>
        </w:rPr>
        <w:t>四</w:t>
      </w:r>
      <w:r>
        <w:rPr>
          <w:rFonts w:hint="eastAsia" w:ascii="楷体" w:hAnsi="楷体" w:eastAsia="楷体" w:cs="楷体"/>
          <w:b/>
          <w:sz w:val="32"/>
          <w:szCs w:val="32"/>
        </w:rPr>
        <w:t>）事故现场情况</w:t>
      </w:r>
    </w:p>
    <w:p w14:paraId="1983954C">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经现场勘查：事故发生车间摆放三台丝印机，事发设备为1号丝印机（智子ZV-63150）。三台丝印机均安装了安全防护装置，但安全防护装置的触发联动挡杆被拆除。</w:t>
      </w:r>
    </w:p>
    <w:p w14:paraId="2632F50E">
      <w:pPr>
        <w:pStyle w:val="9"/>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rPr>
          <w:rFonts w:ascii="楷体" w:hAnsi="楷体" w:eastAsia="楷体" w:cs="楷体"/>
          <w:b/>
          <w:sz w:val="32"/>
          <w:szCs w:val="32"/>
        </w:rPr>
      </w:pPr>
      <w:r>
        <w:rPr>
          <w:rFonts w:ascii="楷体" w:hAnsi="楷体" w:eastAsia="楷体" w:cs="楷体"/>
          <w:b/>
          <w:sz w:val="32"/>
          <w:szCs w:val="32"/>
        </w:rPr>
        <w:t>（</w:t>
      </w:r>
      <w:r>
        <w:rPr>
          <w:rFonts w:hint="eastAsia" w:ascii="楷体" w:hAnsi="楷体" w:eastAsia="楷体" w:cs="楷体"/>
          <w:b/>
          <w:sz w:val="32"/>
          <w:szCs w:val="32"/>
          <w:lang w:val="en-US" w:eastAsia="zh-CN"/>
        </w:rPr>
        <w:t>五</w:t>
      </w:r>
      <w:r>
        <w:rPr>
          <w:rFonts w:ascii="楷体" w:hAnsi="楷体" w:eastAsia="楷体" w:cs="楷体"/>
          <w:b/>
          <w:sz w:val="32"/>
          <w:szCs w:val="32"/>
        </w:rPr>
        <w:t>）</w:t>
      </w:r>
      <w:r>
        <w:rPr>
          <w:rFonts w:hint="eastAsia" w:ascii="楷体" w:hAnsi="楷体" w:eastAsia="楷体" w:cs="楷体"/>
          <w:b/>
          <w:sz w:val="32"/>
          <w:szCs w:val="32"/>
        </w:rPr>
        <w:t>人员伤亡和直接经济损失情况</w:t>
      </w:r>
    </w:p>
    <w:p w14:paraId="06044C65">
      <w:pPr>
        <w:keepNext w:val="0"/>
        <w:keepLines w:val="0"/>
        <w:widowControl/>
        <w:suppressLineNumbers w:val="0"/>
        <w:ind w:firstLine="960" w:firstLineChars="300"/>
        <w:jc w:val="left"/>
        <w:rPr>
          <w:rFonts w:ascii="仿宋_GB2312" w:hAnsi="仿宋_GB2312" w:eastAsia="仿宋_GB2312" w:cs="仿宋_GB2312"/>
          <w:color w:val="FF0000"/>
          <w:sz w:val="32"/>
          <w:szCs w:val="32"/>
        </w:rPr>
      </w:pPr>
      <w:r>
        <w:rPr>
          <w:rFonts w:hint="eastAsia" w:ascii="仿宋_GB2312" w:hAnsi="仿宋_GB2312" w:eastAsia="仿宋_GB2312" w:cs="仿宋_GB2312"/>
          <w:color w:val="000000"/>
          <w:kern w:val="0"/>
          <w:sz w:val="32"/>
          <w:szCs w:val="32"/>
        </w:rPr>
        <w:t>事故造成1人死亡，</w:t>
      </w:r>
      <w:r>
        <w:rPr>
          <w:rFonts w:ascii="仿宋_GB2312" w:hAnsi="仿宋_GB2312" w:eastAsia="仿宋_GB2312" w:cs="仿宋_GB2312"/>
          <w:sz w:val="32"/>
          <w:szCs w:val="32"/>
        </w:rPr>
        <w:t>依据</w:t>
      </w:r>
      <w:r>
        <w:rPr>
          <w:rFonts w:ascii="仿宋_GB2312" w:hAnsi="仿宋_GB2312" w:eastAsia="仿宋_GB2312" w:cs="仿宋_GB2312"/>
          <w:color w:val="auto"/>
          <w:kern w:val="2"/>
          <w:sz w:val="32"/>
          <w:szCs w:val="32"/>
          <w:lang w:val="en-US" w:eastAsia="zh-CN" w:bidi="ar-SA"/>
        </w:rPr>
        <w:t>《生产安全事故直接经济损失统计要求》（GB6721—2025）</w:t>
      </w:r>
      <w:r>
        <w:rPr>
          <w:rFonts w:ascii="仿宋_GB2312" w:hAnsi="仿宋_GB2312" w:eastAsia="仿宋_GB2312" w:cs="仿宋_GB2312"/>
          <w:color w:val="auto"/>
          <w:sz w:val="32"/>
          <w:szCs w:val="32"/>
        </w:rPr>
        <w:t>等标准和规定统计，</w:t>
      </w:r>
      <w:r>
        <w:rPr>
          <w:rFonts w:ascii="仿宋_GB2312" w:hAnsi="仿宋_GB2312" w:eastAsia="仿宋_GB2312" w:cs="仿宋_GB2312"/>
          <w:sz w:val="32"/>
          <w:szCs w:val="32"/>
        </w:rPr>
        <w:t>核定本起事故直接经济损失约</w:t>
      </w: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23</w:t>
      </w:r>
      <w:r>
        <w:rPr>
          <w:rFonts w:ascii="仿宋_GB2312" w:hAnsi="仿宋_GB2312" w:eastAsia="仿宋_GB2312" w:cs="仿宋_GB2312"/>
          <w:sz w:val="32"/>
          <w:szCs w:val="32"/>
        </w:rPr>
        <w:t>万元（不含事故罚款</w:t>
      </w:r>
      <w:r>
        <w:rPr>
          <w:rFonts w:hint="eastAsia" w:ascii="仿宋_GB2312" w:hAnsi="仿宋_GB2312" w:eastAsia="仿宋_GB2312" w:cs="仿宋_GB2312"/>
          <w:sz w:val="32"/>
          <w:szCs w:val="32"/>
          <w:lang w:val="en-US" w:eastAsia="zh-CN"/>
        </w:rPr>
        <w:t>和人道赔偿</w:t>
      </w:r>
      <w:r>
        <w:rPr>
          <w:rFonts w:ascii="仿宋_GB2312" w:hAnsi="仿宋_GB2312" w:eastAsia="仿宋_GB2312" w:cs="仿宋_GB2312"/>
          <w:sz w:val="32"/>
          <w:szCs w:val="32"/>
        </w:rPr>
        <w:t>）。</w:t>
      </w:r>
    </w:p>
    <w:p w14:paraId="7B53BAF1">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楷体" w:hAnsi="楷体" w:eastAsia="楷体" w:cs="楷体"/>
          <w:b/>
          <w:color w:val="FF0000"/>
          <w:sz w:val="32"/>
          <w:szCs w:val="32"/>
        </w:rPr>
      </w:pPr>
      <w:r>
        <w:rPr>
          <w:rFonts w:hint="eastAsia" w:ascii="黑体" w:hAnsi="黑体" w:eastAsia="黑体" w:cs="黑体"/>
          <w:b/>
          <w:sz w:val="32"/>
          <w:szCs w:val="32"/>
        </w:rPr>
        <w:t>二、事故应急处置评估情况</w:t>
      </w:r>
    </w:p>
    <w:p w14:paraId="203273D3">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楷体" w:hAnsi="楷体" w:eastAsia="楷体" w:cs="楷体"/>
          <w:b/>
          <w:sz w:val="32"/>
          <w:szCs w:val="32"/>
        </w:rPr>
      </w:pPr>
      <w:r>
        <w:rPr>
          <w:rFonts w:hint="eastAsia" w:ascii="楷体" w:hAnsi="楷体" w:eastAsia="楷体" w:cs="楷体"/>
          <w:b/>
          <w:sz w:val="32"/>
          <w:szCs w:val="32"/>
        </w:rPr>
        <w:t>（一）事故信息接报及响应情况</w:t>
      </w:r>
    </w:p>
    <w:p w14:paraId="62132FB4">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事故发生后，现场人员立即上报企业负责人，企业负责人上报至园区管委会。应急管理局值班人员接到报告后立即向区政府和市应急管理局上报事故情况，同时安排人员赶赴现场应急处置。</w:t>
      </w:r>
    </w:p>
    <w:p w14:paraId="460CB919">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hint="eastAsia" w:ascii="仿宋_GB2312" w:hAnsi="仿宋_GB2312" w:eastAsia="仿宋_GB2312" w:cs="仿宋_GB2312"/>
          <w:sz w:val="32"/>
          <w:szCs w:val="32"/>
          <w:lang w:val="en-US" w:eastAsia="zh-CN"/>
        </w:rPr>
      </w:pPr>
      <w:r>
        <w:rPr>
          <w:rFonts w:hint="eastAsia" w:ascii="楷体" w:hAnsi="楷体" w:eastAsia="楷体" w:cs="楷体"/>
          <w:b/>
          <w:sz w:val="32"/>
          <w:szCs w:val="32"/>
        </w:rPr>
        <w:t>（二）事故现场应急处置情况</w:t>
      </w:r>
    </w:p>
    <w:p w14:paraId="03C67F9C">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rPr>
          <w:rFonts w:ascii="仿宋_GB2312" w:hAnsi="仿宋_GB2312" w:eastAsia="仿宋_GB2312" w:cs="仿宋_GB2312"/>
          <w:color w:val="0000FF"/>
          <w:sz w:val="32"/>
          <w:szCs w:val="32"/>
        </w:rPr>
      </w:pPr>
      <w:r>
        <w:rPr>
          <w:rFonts w:hint="eastAsia" w:ascii="仿宋_GB2312" w:hAnsi="仿宋_GB2312" w:eastAsia="仿宋_GB2312" w:cs="仿宋_GB2312"/>
          <w:sz w:val="32"/>
          <w:szCs w:val="32"/>
          <w:lang w:val="en-US" w:eastAsia="zh-CN"/>
        </w:rPr>
        <w:t>发生事故后，现场人员第一时间关停了事故设备，组织人员对吴某开展救援。同时拨打120急救电话和110报警电话，并打开厂区应急通道。区应急管理局、园区管委会接到报告后立即安排人员赶赴现场了解情况并进行现场应急救援处置。民警对现场进行了事故现场保护和勘察，未发生次生事故。</w:t>
      </w:r>
    </w:p>
    <w:p w14:paraId="27A6AC17">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楷体" w:hAnsi="楷体" w:eastAsia="楷体" w:cs="楷体"/>
          <w:b/>
          <w:sz w:val="32"/>
          <w:szCs w:val="32"/>
        </w:rPr>
      </w:pPr>
      <w:r>
        <w:rPr>
          <w:rFonts w:hint="eastAsia" w:ascii="楷体" w:hAnsi="楷体" w:eastAsia="楷体" w:cs="楷体"/>
          <w:b/>
          <w:sz w:val="32"/>
          <w:szCs w:val="32"/>
        </w:rPr>
        <w:t>（三）医疗救助善后情况</w:t>
      </w:r>
    </w:p>
    <w:p w14:paraId="1B4BC8C4">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rPr>
        <w:t>120</w:t>
      </w:r>
      <w:r>
        <w:rPr>
          <w:rFonts w:hint="eastAsia" w:ascii="仿宋_GB2312" w:hAnsi="仿宋_GB2312" w:eastAsia="仿宋_GB2312" w:cs="仿宋_GB2312"/>
          <w:sz w:val="32"/>
          <w:szCs w:val="32"/>
          <w:lang w:val="en-US" w:eastAsia="zh-CN"/>
        </w:rPr>
        <w:t>接到电话</w:t>
      </w:r>
      <w:r>
        <w:rPr>
          <w:rFonts w:hint="eastAsia" w:ascii="仿宋_GB2312" w:hAnsi="仿宋_GB2312" w:eastAsia="仿宋_GB2312" w:cs="仿宋_GB2312"/>
          <w:sz w:val="32"/>
          <w:szCs w:val="32"/>
        </w:rPr>
        <w:t>立即赶往事</w:t>
      </w:r>
      <w:r>
        <w:rPr>
          <w:rFonts w:hint="eastAsia" w:ascii="仿宋_GB2312" w:hAnsi="仿宋_GB2312" w:eastAsia="仿宋_GB2312" w:cs="仿宋_GB2312"/>
          <w:sz w:val="32"/>
          <w:szCs w:val="32"/>
          <w:lang w:val="en-US" w:eastAsia="zh-CN"/>
        </w:rPr>
        <w:t>发</w:t>
      </w:r>
      <w:r>
        <w:rPr>
          <w:rFonts w:hint="eastAsia" w:ascii="仿宋_GB2312" w:hAnsi="仿宋_GB2312" w:eastAsia="仿宋_GB2312" w:cs="仿宋_GB2312"/>
          <w:sz w:val="32"/>
          <w:szCs w:val="32"/>
        </w:rPr>
        <w:t>现场，</w:t>
      </w:r>
      <w:r>
        <w:rPr>
          <w:rFonts w:hint="eastAsia" w:ascii="仿宋_GB2312" w:hAnsi="仿宋_GB2312" w:eastAsia="仿宋_GB2312" w:cs="仿宋_GB2312"/>
          <w:sz w:val="32"/>
          <w:szCs w:val="32"/>
          <w:lang w:val="en-US" w:eastAsia="zh-CN"/>
        </w:rPr>
        <w:t>医护人员到达现场</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伤者</w:t>
      </w:r>
      <w:r>
        <w:rPr>
          <w:rFonts w:hint="eastAsia" w:ascii="仿宋_GB2312" w:hAnsi="仿宋_GB2312" w:eastAsia="仿宋_GB2312" w:cs="仿宋_GB2312"/>
          <w:sz w:val="32"/>
          <w:szCs w:val="32"/>
          <w:lang w:eastAsia="zh-CN"/>
        </w:rPr>
        <w:t>开展抢救工作。</w:t>
      </w:r>
      <w:r>
        <w:rPr>
          <w:rFonts w:hint="eastAsia" w:ascii="仿宋_GB2312" w:hAnsi="仿宋_GB2312" w:eastAsia="仿宋_GB2312" w:cs="仿宋_GB2312"/>
          <w:sz w:val="32"/>
          <w:szCs w:val="32"/>
          <w:lang w:val="en-US" w:eastAsia="zh-CN"/>
        </w:rPr>
        <w:t>事后兆鸿科新电路有限公司</w:t>
      </w:r>
      <w:r>
        <w:rPr>
          <w:rFonts w:hint="eastAsia" w:ascii="仿宋_GB2312" w:hAnsi="仿宋_GB2312" w:eastAsia="仿宋_GB2312" w:cs="仿宋_GB2312"/>
          <w:sz w:val="32"/>
          <w:szCs w:val="32"/>
        </w:rPr>
        <w:t>对该起事故进行了善后处理，对死者家属做了安抚工作</w:t>
      </w:r>
      <w:r>
        <w:rPr>
          <w:rFonts w:hint="eastAsia" w:ascii="仿宋_GB2312" w:hAnsi="仿宋_GB2312" w:eastAsia="仿宋_GB2312" w:cs="仿宋_GB2312"/>
          <w:sz w:val="32"/>
          <w:szCs w:val="32"/>
          <w:lang w:eastAsia="zh-CN"/>
        </w:rPr>
        <w:t>，双方签订了《调解协议书》</w:t>
      </w:r>
      <w:r>
        <w:rPr>
          <w:rFonts w:hint="eastAsia" w:ascii="仿宋_GB2312" w:eastAsia="仿宋_GB2312" w:cs="仿宋_GB2312"/>
          <w:i w:val="0"/>
          <w:iCs w:val="0"/>
          <w:caps w:val="0"/>
          <w:color w:val="000000"/>
          <w:spacing w:val="0"/>
          <w:sz w:val="31"/>
          <w:szCs w:val="31"/>
          <w:shd w:val="clear" w:color="auto" w:fill="FFFFFF"/>
        </w:rPr>
        <w:t>。</w:t>
      </w:r>
    </w:p>
    <w:p w14:paraId="2C94BFD4">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楷体" w:hAnsi="楷体" w:eastAsia="楷体" w:cs="楷体"/>
          <w:b/>
          <w:sz w:val="32"/>
          <w:szCs w:val="32"/>
        </w:rPr>
      </w:pPr>
      <w:r>
        <w:rPr>
          <w:rFonts w:hint="eastAsia" w:ascii="楷体" w:hAnsi="楷体" w:eastAsia="楷体" w:cs="楷体"/>
          <w:b/>
          <w:sz w:val="32"/>
          <w:szCs w:val="32"/>
        </w:rPr>
        <w:t>（四）事故应急处置评估</w:t>
      </w:r>
    </w:p>
    <w:p w14:paraId="03DFCF6A">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经调查评估，企业及时上报事故情况，政府有关部门第一时间赶赴现场指挥救援，妥善做好了现场救援和善后处置工作，未发生次生事故。从企业自救情况来看，</w:t>
      </w:r>
      <w:r>
        <w:rPr>
          <w:rFonts w:hint="eastAsia" w:ascii="仿宋_GB2312" w:hAnsi="Times New Roman" w:eastAsia="仿宋_GB2312" w:cs="Times New Roman"/>
          <w:color w:val="000000"/>
          <w:kern w:val="2"/>
          <w:sz w:val="32"/>
          <w:szCs w:val="32"/>
          <w:lang w:val="en-US" w:eastAsia="zh-CN" w:bidi="ar-SA"/>
        </w:rPr>
        <w:t>兆鸿公司</w:t>
      </w:r>
      <w:r>
        <w:rPr>
          <w:rFonts w:hint="eastAsia" w:ascii="仿宋_GB2312" w:hAnsi="仿宋_GB2312" w:eastAsia="仿宋_GB2312" w:cs="仿宋_GB2312"/>
          <w:sz w:val="32"/>
          <w:szCs w:val="32"/>
          <w:lang w:val="en-US" w:eastAsia="zh-CN"/>
        </w:rPr>
        <w:t>在第一时间组织人员对吴</w:t>
      </w:r>
      <w:r>
        <w:rPr>
          <w:rFonts w:hint="eastAsia" w:ascii="仿宋_GB2312" w:hAnsi="仿宋_GB2312" w:eastAsia="仿宋_GB2312" w:cs="仿宋_GB2312"/>
          <w:color w:val="000000"/>
          <w:kern w:val="0"/>
          <w:sz w:val="32"/>
          <w:szCs w:val="32"/>
          <w:lang w:val="en-US" w:eastAsia="zh-CN"/>
        </w:rPr>
        <w:t>某</w:t>
      </w:r>
      <w:r>
        <w:rPr>
          <w:rFonts w:hint="eastAsia" w:ascii="仿宋_GB2312" w:hAnsi="仿宋_GB2312" w:eastAsia="仿宋_GB2312" w:cs="仿宋_GB2312"/>
          <w:sz w:val="32"/>
          <w:szCs w:val="32"/>
          <w:lang w:val="en-US" w:eastAsia="zh-CN"/>
        </w:rPr>
        <w:t>进行救援，并拨打120急救电话和110报警电话，处置得当。</w:t>
      </w:r>
    </w:p>
    <w:p w14:paraId="23973B8B">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黑体" w:hAnsi="黑体" w:eastAsia="黑体" w:cs="黑体"/>
          <w:b/>
          <w:sz w:val="32"/>
          <w:szCs w:val="32"/>
        </w:rPr>
      </w:pPr>
      <w:r>
        <w:rPr>
          <w:rFonts w:hint="eastAsia" w:ascii="黑体" w:hAnsi="黑体" w:eastAsia="黑体" w:cs="黑体"/>
          <w:b/>
          <w:sz w:val="32"/>
          <w:szCs w:val="32"/>
        </w:rPr>
        <w:t>三、事故原因分析</w:t>
      </w:r>
    </w:p>
    <w:p w14:paraId="6154C41F">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事故直接原因：吴</w:t>
      </w:r>
      <w:r>
        <w:rPr>
          <w:rFonts w:hint="eastAsia" w:ascii="仿宋_GB2312" w:hAnsi="仿宋_GB2312" w:eastAsia="仿宋_GB2312" w:cs="仿宋_GB2312"/>
          <w:color w:val="000000"/>
          <w:kern w:val="0"/>
          <w:sz w:val="32"/>
          <w:szCs w:val="32"/>
          <w:lang w:val="en-US" w:eastAsia="zh-CN"/>
        </w:rPr>
        <w:t>某</w:t>
      </w:r>
      <w:r>
        <w:rPr>
          <w:rFonts w:hint="eastAsia" w:ascii="仿宋_GB2312" w:hAnsi="仿宋_GB2312" w:eastAsia="仿宋_GB2312" w:cs="仿宋_GB2312"/>
          <w:sz w:val="32"/>
          <w:szCs w:val="32"/>
          <w:lang w:val="en-US" w:eastAsia="zh-CN"/>
        </w:rPr>
        <w:t>工作时发现丝印机出现故障，在未断电关机的情况下，违规探身进入丝印机设备网板升降区进行自检定位操作作业时，不慎踩到控制开关，导致丝印机网板下降并挤压其颈部引发事故。</w:t>
      </w:r>
    </w:p>
    <w:p w14:paraId="3D6189D9">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楷体" w:hAnsi="楷体" w:eastAsia="楷体" w:cs="楷体"/>
          <w:b/>
          <w:sz w:val="32"/>
          <w:szCs w:val="32"/>
        </w:rPr>
      </w:pPr>
      <w:r>
        <w:rPr>
          <w:rFonts w:hint="eastAsia" w:ascii="楷体" w:hAnsi="楷体" w:eastAsia="楷体" w:cs="楷体"/>
          <w:b/>
          <w:sz w:val="32"/>
          <w:szCs w:val="32"/>
        </w:rPr>
        <w:t>（一）直接原因分析</w:t>
      </w:r>
    </w:p>
    <w:p w14:paraId="5D80257B">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rPr>
          <w:rFonts w:hint="eastAsia" w:ascii="仿宋_GB2312" w:hAnsi="仿宋_GB2312" w:eastAsia="仿宋_GB2312" w:cs="仿宋_GB2312"/>
          <w:strike/>
          <w:dstrike w:val="0"/>
          <w:sz w:val="32"/>
          <w:szCs w:val="32"/>
          <w:lang w:val="en-US" w:eastAsia="zh-CN"/>
        </w:rPr>
      </w:pPr>
      <w:r>
        <w:rPr>
          <w:rFonts w:hint="eastAsia" w:ascii="仿宋_GB2312" w:hAnsi="仿宋_GB2312" w:eastAsia="仿宋_GB2312" w:cs="仿宋_GB2312"/>
          <w:color w:val="auto"/>
          <w:sz w:val="32"/>
          <w:szCs w:val="32"/>
          <w:lang w:val="en-US" w:eastAsia="zh-CN"/>
        </w:rPr>
        <w:t>作业人员在检查排除丝印机故障时，未遵守操作规程，在未断电关机的情况下侧身探头进入丝印机网板下进行检修。</w:t>
      </w:r>
    </w:p>
    <w:p w14:paraId="35A7745B">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事发设备1号丝印机（智子ZV-63150）全防护装置的触发联动档杆被拆除，存在安全隐患。</w:t>
      </w:r>
    </w:p>
    <w:p w14:paraId="728D72CC">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hint="eastAsia" w:ascii="楷体" w:hAnsi="楷体" w:eastAsia="楷体" w:cs="楷体"/>
          <w:b/>
          <w:sz w:val="32"/>
          <w:szCs w:val="32"/>
        </w:rPr>
      </w:pPr>
      <w:r>
        <w:rPr>
          <w:rFonts w:hint="eastAsia" w:ascii="楷体" w:hAnsi="楷体" w:eastAsia="楷体" w:cs="楷体"/>
          <w:b/>
          <w:sz w:val="32"/>
          <w:szCs w:val="32"/>
        </w:rPr>
        <w:t>（二）间接原因分析</w:t>
      </w:r>
    </w:p>
    <w:p w14:paraId="4FD83B1E">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兆鸿公司安全生产责任主体落实不到位：</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color w:val="auto"/>
          <w:sz w:val="32"/>
          <w:szCs w:val="32"/>
          <w:lang w:val="en-US" w:eastAsia="zh-CN"/>
        </w:rPr>
        <w:t>对从业人员安全生产教育和培训不到位。缺少对机械伤害事故的安全警示教育，缺少对丝印机安全操作规程的培训；</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安全管理不到位。公司安全管理规章制度缺失，未开展设备设施安全风险评估，未及时发现并消除事故隐患；</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劳动组织不合理，丝印车间夜班仅安排一人上班，事故发生时未被及时发现，没有人员对吴</w:t>
      </w:r>
      <w:r>
        <w:rPr>
          <w:rFonts w:hint="eastAsia" w:ascii="仿宋_GB2312" w:hAnsi="仿宋_GB2312" w:eastAsia="仿宋_GB2312" w:cs="仿宋_GB2312"/>
          <w:color w:val="000000"/>
          <w:kern w:val="0"/>
          <w:sz w:val="32"/>
          <w:szCs w:val="32"/>
          <w:lang w:val="en-US" w:eastAsia="zh-CN"/>
        </w:rPr>
        <w:t>某</w:t>
      </w:r>
      <w:r>
        <w:rPr>
          <w:rFonts w:hint="eastAsia" w:ascii="仿宋_GB2312" w:hAnsi="仿宋_GB2312" w:eastAsia="仿宋_GB2312" w:cs="仿宋_GB2312"/>
          <w:color w:val="auto"/>
          <w:sz w:val="32"/>
          <w:szCs w:val="32"/>
          <w:lang w:val="en-US" w:eastAsia="zh-CN"/>
        </w:rPr>
        <w:t>进行救援。</w:t>
      </w:r>
    </w:p>
    <w:p w14:paraId="45158C56">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hint="eastAsia" w:ascii="黑体" w:hAnsi="黑体" w:eastAsia="黑体" w:cs="黑体"/>
          <w:b/>
          <w:sz w:val="32"/>
          <w:szCs w:val="32"/>
        </w:rPr>
      </w:pPr>
      <w:r>
        <w:rPr>
          <w:rFonts w:hint="eastAsia" w:ascii="黑体" w:hAnsi="黑体" w:eastAsia="黑体" w:cs="黑体"/>
          <w:b/>
          <w:sz w:val="32"/>
          <w:szCs w:val="32"/>
        </w:rPr>
        <w:t>四、有关责任单位存在的问题</w:t>
      </w:r>
    </w:p>
    <w:p w14:paraId="2A5A03BD">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auto"/>
          <w:sz w:val="32"/>
          <w:szCs w:val="32"/>
          <w:lang w:val="en-US" w:eastAsia="zh-CN"/>
        </w:rPr>
        <w:t>江西兆鸿科新电路有限公司，</w:t>
      </w:r>
      <w:r>
        <w:rPr>
          <w:rFonts w:hint="eastAsia" w:ascii="仿宋_GB2312" w:hAnsi="仿宋_GB2312" w:eastAsia="仿宋_GB2312" w:cs="仿宋_GB2312"/>
          <w:sz w:val="32"/>
          <w:szCs w:val="32"/>
          <w:lang w:val="en-US" w:eastAsia="zh-CN"/>
        </w:rPr>
        <w:t>安全生产主体责任落实不到位。具体表现为：</w:t>
      </w:r>
    </w:p>
    <w:p w14:paraId="2B704903">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FF0000"/>
          <w:kern w:val="2"/>
          <w:sz w:val="32"/>
          <w:szCs w:val="32"/>
          <w:lang w:val="en-US" w:eastAsia="zh-CN" w:bidi="ar-SA"/>
        </w:rPr>
      </w:pPr>
      <w:r>
        <w:rPr>
          <w:rFonts w:hint="eastAsia" w:ascii="仿宋_GB2312" w:hAnsi="仿宋_GB2312" w:eastAsia="仿宋_GB2312" w:cs="仿宋_GB2312"/>
          <w:sz w:val="32"/>
          <w:szCs w:val="32"/>
          <w:lang w:val="en-US" w:eastAsia="zh-CN"/>
        </w:rPr>
        <w:t>一是安全管理规章制度缺失。未建立全员安全生产责任制、安全生产教育和培训制度、安全风险分级管控和隐患排查治理制度等必要的规章制度</w:t>
      </w:r>
      <w:r>
        <w:rPr>
          <w:rStyle w:val="20"/>
          <w:rFonts w:hint="eastAsia" w:ascii="仿宋_GB2312" w:hAnsi="仿宋_GB2312" w:eastAsia="仿宋_GB2312" w:cs="仿宋_GB2312"/>
          <w:b w:val="0"/>
          <w:bCs/>
          <w:color w:val="auto"/>
          <w:kern w:val="2"/>
          <w:sz w:val="32"/>
          <w:szCs w:val="32"/>
          <w:lang w:val="en-US" w:eastAsia="zh-CN" w:bidi="ar-SA"/>
        </w:rPr>
        <w:t>[</w:t>
      </w:r>
      <w:r>
        <w:rPr>
          <w:rStyle w:val="20"/>
          <w:rFonts w:hint="eastAsia" w:ascii="仿宋_GB2312" w:hAnsi="仿宋_GB2312" w:eastAsia="仿宋_GB2312" w:cs="仿宋_GB2312"/>
          <w:b w:val="0"/>
          <w:bCs/>
          <w:color w:val="auto"/>
          <w:kern w:val="2"/>
          <w:sz w:val="32"/>
          <w:szCs w:val="32"/>
          <w:lang w:val="en-US" w:eastAsia="zh-CN" w:bidi="ar-SA"/>
        </w:rPr>
        <w:footnoteReference w:id="0"/>
      </w:r>
      <w:r>
        <w:rPr>
          <w:rStyle w:val="20"/>
          <w:rFonts w:hint="eastAsia" w:ascii="仿宋_GB2312" w:hAnsi="仿宋_GB2312" w:eastAsia="仿宋_GB2312" w:cs="仿宋_GB2312"/>
          <w:b w:val="0"/>
          <w:bCs/>
          <w:color w:val="auto"/>
          <w:kern w:val="2"/>
          <w:sz w:val="32"/>
          <w:szCs w:val="32"/>
          <w:lang w:val="en-US" w:eastAsia="zh-CN" w:bidi="ar-SA"/>
        </w:rPr>
        <w:t>]</w:t>
      </w:r>
      <w:r>
        <w:rPr>
          <w:rFonts w:hint="eastAsia" w:ascii="仿宋_GB2312" w:hAnsi="仿宋_GB2312" w:eastAsia="仿宋_GB2312" w:cs="仿宋_GB2312"/>
          <w:sz w:val="32"/>
          <w:szCs w:val="32"/>
          <w:lang w:val="en-US" w:eastAsia="zh-CN"/>
        </w:rPr>
        <w:t>。</w:t>
      </w:r>
    </w:p>
    <w:p w14:paraId="18480F6E">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20"/>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lang w:val="en-US" w:eastAsia="zh-CN"/>
        </w:rPr>
        <w:t>二是未依法对从业人员进行安全生产教育和培训。未保证从业人员具备必要的安全生产知识，熟悉有关安全规章制度和安全操作规程，未掌握本岗位安全操作技能</w:t>
      </w:r>
      <w:r>
        <w:rPr>
          <w:rStyle w:val="20"/>
          <w:rFonts w:hint="eastAsia" w:ascii="仿宋_GB2312" w:hAnsi="仿宋_GB2312" w:eastAsia="仿宋_GB2312" w:cs="仿宋_GB2312"/>
          <w:b w:val="0"/>
          <w:bCs/>
          <w:color w:val="auto"/>
          <w:kern w:val="2"/>
          <w:sz w:val="32"/>
          <w:szCs w:val="32"/>
          <w:lang w:val="en-US" w:eastAsia="zh-CN" w:bidi="ar-SA"/>
        </w:rPr>
        <w:t>[</w:t>
      </w:r>
      <w:r>
        <w:rPr>
          <w:rStyle w:val="20"/>
          <w:rFonts w:hint="eastAsia" w:ascii="仿宋_GB2312" w:hAnsi="仿宋_GB2312" w:eastAsia="仿宋_GB2312" w:cs="仿宋_GB2312"/>
          <w:b w:val="0"/>
          <w:bCs/>
          <w:color w:val="auto"/>
          <w:kern w:val="2"/>
          <w:sz w:val="32"/>
          <w:szCs w:val="32"/>
          <w:lang w:val="en-US" w:eastAsia="zh-CN" w:bidi="ar-SA"/>
        </w:rPr>
        <w:footnoteReference w:id="1"/>
      </w:r>
      <w:r>
        <w:rPr>
          <w:rStyle w:val="20"/>
          <w:rFonts w:hint="eastAsia" w:ascii="仿宋_GB2312" w:hAnsi="仿宋_GB2312" w:eastAsia="仿宋_GB2312" w:cs="仿宋_GB2312"/>
          <w:b w:val="0"/>
          <w:bCs/>
          <w:color w:val="auto"/>
          <w:kern w:val="2"/>
          <w:sz w:val="32"/>
          <w:szCs w:val="32"/>
          <w:lang w:val="en-US" w:eastAsia="zh-CN" w:bidi="ar-SA"/>
        </w:rPr>
        <w:t>]</w:t>
      </w:r>
      <w:r>
        <w:rPr>
          <w:rFonts w:hint="eastAsia" w:ascii="仿宋_GB2312" w:hAnsi="仿宋_GB2312" w:eastAsia="仿宋_GB2312" w:cs="仿宋_GB2312"/>
          <w:sz w:val="32"/>
          <w:szCs w:val="32"/>
          <w:lang w:val="en-US" w:eastAsia="zh-CN"/>
        </w:rPr>
        <w:t>。</w:t>
      </w:r>
    </w:p>
    <w:p w14:paraId="3EC08DC1">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三是未依法开展安全风险辨识和隐患排查治理。拆除丝印机安全防护联动装置，对丝印机存在的安全隐患未及时消除</w:t>
      </w:r>
      <w:r>
        <w:rPr>
          <w:rStyle w:val="20"/>
          <w:rFonts w:hint="eastAsia" w:ascii="仿宋_GB2312" w:hAnsi="仿宋_GB2312" w:eastAsia="仿宋_GB2312" w:cs="仿宋_GB2312"/>
          <w:b w:val="0"/>
          <w:bCs/>
          <w:color w:val="auto"/>
          <w:kern w:val="2"/>
          <w:sz w:val="32"/>
          <w:szCs w:val="32"/>
          <w:lang w:val="en-US" w:eastAsia="zh-CN" w:bidi="ar-SA"/>
        </w:rPr>
        <w:t>[</w:t>
      </w:r>
      <w:r>
        <w:rPr>
          <w:rStyle w:val="20"/>
          <w:rFonts w:hint="eastAsia" w:ascii="仿宋_GB2312" w:hAnsi="仿宋_GB2312" w:eastAsia="仿宋_GB2312" w:cs="仿宋_GB2312"/>
          <w:b w:val="0"/>
          <w:bCs/>
          <w:color w:val="auto"/>
          <w:kern w:val="2"/>
          <w:sz w:val="32"/>
          <w:szCs w:val="32"/>
          <w:lang w:val="en-US" w:eastAsia="zh-CN" w:bidi="ar-SA"/>
        </w:rPr>
        <w:footnoteReference w:id="2"/>
      </w:r>
      <w:r>
        <w:rPr>
          <w:rStyle w:val="20"/>
          <w:rFonts w:hint="eastAsia" w:ascii="仿宋_GB2312" w:hAnsi="仿宋_GB2312" w:eastAsia="仿宋_GB2312" w:cs="仿宋_GB2312"/>
          <w:b w:val="0"/>
          <w:bCs/>
          <w:color w:val="auto"/>
          <w:kern w:val="2"/>
          <w:sz w:val="32"/>
          <w:szCs w:val="32"/>
          <w:lang w:val="en-US" w:eastAsia="zh-CN" w:bidi="ar-SA"/>
        </w:rPr>
        <w:t>]</w:t>
      </w:r>
      <w:r>
        <w:rPr>
          <w:rFonts w:hint="eastAsia" w:ascii="仿宋_GB2312" w:hAnsi="仿宋_GB2312" w:eastAsia="仿宋_GB2312" w:cs="仿宋_GB2312"/>
          <w:sz w:val="32"/>
          <w:szCs w:val="32"/>
          <w:lang w:val="en-US" w:eastAsia="zh-CN"/>
        </w:rPr>
        <w:t>。</w:t>
      </w:r>
    </w:p>
    <w:p w14:paraId="3B83DA7A">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黑体" w:hAnsi="黑体" w:eastAsia="黑体" w:cs="黑体"/>
          <w:b/>
          <w:sz w:val="32"/>
          <w:szCs w:val="32"/>
        </w:rPr>
      </w:pPr>
      <w:r>
        <w:rPr>
          <w:rFonts w:hint="eastAsia" w:ascii="黑体" w:hAnsi="黑体" w:eastAsia="黑体" w:cs="黑体"/>
          <w:b/>
          <w:sz w:val="32"/>
          <w:szCs w:val="32"/>
        </w:rPr>
        <w:t>五、对有关责任人员和责任单位的处理意见</w:t>
      </w:r>
    </w:p>
    <w:p w14:paraId="2F841FFC">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hint="eastAsia" w:ascii="楷体" w:hAnsi="楷体" w:eastAsia="楷体" w:cs="楷体"/>
          <w:b/>
          <w:sz w:val="32"/>
          <w:szCs w:val="32"/>
        </w:rPr>
      </w:pPr>
      <w:r>
        <w:rPr>
          <w:rFonts w:hint="eastAsia" w:ascii="楷体" w:hAnsi="楷体" w:eastAsia="楷体" w:cs="楷体"/>
          <w:b/>
          <w:sz w:val="32"/>
          <w:szCs w:val="32"/>
        </w:rPr>
        <w:t>（一）对事故有关责任人员的行政处罚建议</w:t>
      </w:r>
    </w:p>
    <w:p w14:paraId="65540FBF">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rPr>
          <w:rFonts w:hint="eastAsia" w:ascii="仿宋_GB2312" w:hAnsi="Times New Roman" w:eastAsia="仿宋_GB2312" w:cs="Times New Roman"/>
          <w:color w:val="auto"/>
          <w:sz w:val="32"/>
          <w:szCs w:val="32"/>
          <w:lang w:val="en-US" w:eastAsia="zh-CN" w:bidi="hi-IN"/>
        </w:rPr>
      </w:pPr>
      <w:r>
        <w:rPr>
          <w:rFonts w:hint="eastAsia" w:ascii="仿宋_GB2312" w:hAnsi="仿宋_GB2312" w:eastAsia="仿宋_GB2312" w:cs="仿宋_GB2312"/>
          <w:sz w:val="32"/>
          <w:szCs w:val="32"/>
          <w:lang w:val="en-US" w:eastAsia="zh-CN"/>
        </w:rPr>
        <w:t>1、吴</w:t>
      </w:r>
      <w:r>
        <w:rPr>
          <w:rFonts w:hint="eastAsia" w:ascii="仿宋_GB2312" w:hAnsi="仿宋_GB2312" w:eastAsia="仿宋_GB2312" w:cs="仿宋_GB2312"/>
          <w:color w:val="000000"/>
          <w:kern w:val="0"/>
          <w:sz w:val="32"/>
          <w:szCs w:val="32"/>
          <w:lang w:val="en-US" w:eastAsia="zh-CN"/>
        </w:rPr>
        <w:t>某</w:t>
      </w:r>
      <w:r>
        <w:rPr>
          <w:rFonts w:hint="eastAsia" w:ascii="仿宋_GB2312" w:hAnsi="仿宋_GB2312" w:eastAsia="仿宋_GB2312" w:cs="仿宋_GB2312"/>
          <w:sz w:val="32"/>
          <w:szCs w:val="32"/>
          <w:lang w:val="en-US" w:eastAsia="zh-CN"/>
        </w:rPr>
        <w:t>。安全意识淡薄，检维修时违反操作规程，引发事</w:t>
      </w:r>
      <w:r>
        <w:rPr>
          <w:rFonts w:hint="eastAsia" w:ascii="仿宋_GB2312" w:hAnsi="Times New Roman" w:eastAsia="仿宋_GB2312" w:cs="Times New Roman"/>
          <w:color w:val="auto"/>
          <w:sz w:val="32"/>
          <w:szCs w:val="32"/>
          <w:lang w:val="en-US" w:eastAsia="zh-CN" w:bidi="hi-IN"/>
        </w:rPr>
        <w:t>故。鉴于其在事故中已经死亡，不再追究相关责任。</w:t>
      </w:r>
    </w:p>
    <w:p w14:paraId="55A0270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60" w:lineRule="exact"/>
        <w:ind w:left="0" w:leftChars="0" w:right="0" w:righ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2、樊</w:t>
      </w:r>
      <w:r>
        <w:rPr>
          <w:rFonts w:hint="eastAsia" w:ascii="仿宋_GB2312" w:hAnsi="仿宋_GB2312" w:eastAsia="仿宋_GB2312" w:cs="仿宋_GB2312"/>
          <w:color w:val="000000"/>
          <w:kern w:val="0"/>
          <w:sz w:val="32"/>
          <w:szCs w:val="32"/>
          <w:lang w:val="en-US" w:eastAsia="zh-CN"/>
        </w:rPr>
        <w:t>某</w:t>
      </w:r>
      <w:r>
        <w:rPr>
          <w:rFonts w:hint="eastAsia" w:ascii="仿宋_GB2312" w:eastAsia="仿宋_GB2312"/>
          <w:color w:val="auto"/>
          <w:sz w:val="32"/>
          <w:szCs w:val="32"/>
          <w:lang w:val="en-US" w:eastAsia="zh-CN"/>
        </w:rPr>
        <w:t>，江西兆鸿科新电路有限公司法定代表人</w:t>
      </w:r>
      <w:r>
        <w:rPr>
          <w:rFonts w:hint="eastAsia" w:ascii="仿宋_GB2312" w:hAnsi="仿宋_GB2312" w:eastAsia="仿宋_GB2312" w:cs="仿宋_GB2312"/>
          <w:bCs/>
          <w:color w:val="auto"/>
          <w:sz w:val="32"/>
          <w:szCs w:val="32"/>
          <w:lang w:val="en-US" w:eastAsia="zh-CN"/>
        </w:rPr>
        <w:t>，未依法履行主要负责人安全生产工作职责。</w:t>
      </w:r>
      <w:r>
        <w:rPr>
          <w:rFonts w:hint="eastAsia" w:ascii="仿宋_GB2312" w:eastAsia="仿宋_GB2312"/>
          <w:color w:val="auto"/>
          <w:sz w:val="32"/>
          <w:szCs w:val="32"/>
          <w:lang w:val="en-US" w:eastAsia="zh-CN"/>
        </w:rPr>
        <w:t>未有效落实全员安全生产责任制，未及时更新安全生产规章制度和操作规程，未制定本单位安全生产教育和培训计划，未落实安全风险分级管控和隐患排查治理双重预防工作机制，</w:t>
      </w:r>
      <w:r>
        <w:rPr>
          <w:rFonts w:hint="eastAsia" w:ascii="仿宋_GB2312" w:hAnsi="仿宋_GB2312" w:eastAsia="仿宋_GB2312" w:cs="仿宋_GB2312"/>
          <w:bCs/>
          <w:color w:val="auto"/>
          <w:sz w:val="32"/>
          <w:szCs w:val="32"/>
          <w:lang w:val="en-US" w:eastAsia="zh-CN"/>
        </w:rPr>
        <w:t>督促、检查本单位的安全生产工作，及时消除生产安全事故隐患。其行</w:t>
      </w:r>
      <w:r>
        <w:rPr>
          <w:rFonts w:hint="eastAsia" w:ascii="仿宋_GB2312" w:hAnsi="仿宋_GB2312" w:eastAsia="仿宋_GB2312" w:cs="仿宋_GB2312"/>
          <w:b w:val="0"/>
          <w:bCs w:val="0"/>
          <w:color w:val="auto"/>
          <w:kern w:val="0"/>
          <w:sz w:val="32"/>
          <w:szCs w:val="32"/>
          <w:lang w:val="en-US" w:eastAsia="zh-CN" w:bidi="hi-IN"/>
        </w:rPr>
        <w:t>为违反了《中华人民共和国安全生产法》第二十一条第三项、第五项</w:t>
      </w:r>
      <w:r>
        <w:rPr>
          <w:rStyle w:val="20"/>
          <w:rFonts w:hint="eastAsia" w:ascii="仿宋_GB2312" w:hAnsi="仿宋_GB2312" w:eastAsia="仿宋_GB2312" w:cs="仿宋_GB2312"/>
          <w:color w:val="auto"/>
          <w:kern w:val="2"/>
          <w:sz w:val="32"/>
          <w:szCs w:val="32"/>
          <w:lang w:val="en-US" w:eastAsia="zh-CN" w:bidi="ar-SA"/>
        </w:rPr>
        <w:t>[</w:t>
      </w:r>
      <w:r>
        <w:rPr>
          <w:rStyle w:val="20"/>
          <w:rFonts w:hint="eastAsia" w:ascii="仿宋_GB2312" w:hAnsi="仿宋_GB2312" w:eastAsia="仿宋_GB2312" w:cs="仿宋_GB2312"/>
          <w:color w:val="auto"/>
          <w:kern w:val="2"/>
          <w:sz w:val="32"/>
          <w:szCs w:val="32"/>
          <w:lang w:val="en-US" w:eastAsia="zh-CN" w:bidi="ar-SA"/>
        </w:rPr>
        <w:footnoteReference w:id="3"/>
      </w:r>
      <w:r>
        <w:rPr>
          <w:rStyle w:val="20"/>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b w:val="0"/>
          <w:bCs w:val="0"/>
          <w:color w:val="auto"/>
          <w:kern w:val="0"/>
          <w:sz w:val="32"/>
          <w:szCs w:val="32"/>
          <w:lang w:val="en-US" w:eastAsia="zh-CN" w:bidi="hi-IN"/>
        </w:rPr>
        <w:t>等规定，对该起事故的发生负有主要领导责任。建议由吉州区应急管理局依据《中华人民共和国安全生产法》第九十五条</w:t>
      </w:r>
      <w:r>
        <w:rPr>
          <w:rStyle w:val="20"/>
          <w:rFonts w:hint="eastAsia" w:ascii="仿宋_GB2312" w:hAnsi="仿宋_GB2312" w:eastAsia="仿宋_GB2312" w:cs="仿宋_GB2312"/>
          <w:b w:val="0"/>
          <w:bCs/>
          <w:color w:val="auto"/>
          <w:kern w:val="2"/>
          <w:sz w:val="32"/>
          <w:szCs w:val="32"/>
          <w:lang w:val="en-US" w:eastAsia="zh-CN" w:bidi="ar-SA"/>
        </w:rPr>
        <w:t>[</w:t>
      </w:r>
      <w:r>
        <w:rPr>
          <w:rStyle w:val="20"/>
          <w:rFonts w:hint="eastAsia" w:ascii="仿宋_GB2312" w:hAnsi="仿宋_GB2312" w:eastAsia="仿宋_GB2312" w:cs="仿宋_GB2312"/>
          <w:b w:val="0"/>
          <w:bCs/>
          <w:color w:val="auto"/>
          <w:kern w:val="2"/>
          <w:sz w:val="32"/>
          <w:szCs w:val="32"/>
          <w:lang w:val="en-US" w:eastAsia="zh-CN" w:bidi="ar-SA"/>
        </w:rPr>
        <w:footnoteReference w:id="4"/>
      </w:r>
      <w:r>
        <w:rPr>
          <w:rStyle w:val="20"/>
          <w:rFonts w:hint="eastAsia" w:ascii="仿宋_GB2312" w:hAnsi="仿宋_GB2312" w:eastAsia="仿宋_GB2312" w:cs="仿宋_GB2312"/>
          <w:b w:val="0"/>
          <w:bCs/>
          <w:color w:val="auto"/>
          <w:kern w:val="2"/>
          <w:sz w:val="32"/>
          <w:szCs w:val="32"/>
          <w:lang w:val="en-US" w:eastAsia="zh-CN" w:bidi="ar-SA"/>
        </w:rPr>
        <w:t>]</w:t>
      </w:r>
      <w:r>
        <w:rPr>
          <w:rFonts w:hint="eastAsia" w:ascii="仿宋_GB2312" w:hAnsi="仿宋_GB2312" w:eastAsia="仿宋_GB2312" w:cs="仿宋_GB2312"/>
          <w:b w:val="0"/>
          <w:bCs w:val="0"/>
          <w:color w:val="auto"/>
          <w:kern w:val="0"/>
          <w:sz w:val="32"/>
          <w:szCs w:val="32"/>
          <w:lang w:val="en-US" w:eastAsia="zh-CN" w:bidi="hi-IN"/>
        </w:rPr>
        <w:t>的有关规定处以罚款。</w:t>
      </w:r>
    </w:p>
    <w:p w14:paraId="64467B1B">
      <w:pPr>
        <w:pStyle w:val="23"/>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both"/>
        <w:textAlignment w:val="baseline"/>
        <w:rPr>
          <w:rFonts w:hint="default" w:ascii="仿宋_GB2312" w:hAnsi="仿宋_GB2312" w:eastAsia="楷体" w:cs="仿宋_GB2312"/>
          <w:bCs/>
          <w:sz w:val="32"/>
          <w:szCs w:val="32"/>
          <w:lang w:val="en-US" w:eastAsia="zh-CN"/>
        </w:rPr>
      </w:pPr>
      <w:r>
        <w:rPr>
          <w:rFonts w:hint="eastAsia" w:ascii="楷体" w:hAnsi="楷体" w:eastAsia="楷体" w:cs="楷体"/>
          <w:b/>
          <w:sz w:val="32"/>
          <w:szCs w:val="32"/>
          <w:lang w:val="en-US" w:eastAsia="zh-CN"/>
        </w:rPr>
        <w:t>（二）对事故责任</w:t>
      </w:r>
      <w:r>
        <w:rPr>
          <w:rFonts w:hint="eastAsia" w:ascii="楷体" w:hAnsi="楷体" w:eastAsia="楷体" w:cs="楷体"/>
          <w:b/>
          <w:sz w:val="32"/>
          <w:szCs w:val="32"/>
        </w:rPr>
        <w:t>单位</w:t>
      </w:r>
      <w:r>
        <w:rPr>
          <w:rFonts w:hint="eastAsia" w:ascii="楷体" w:hAnsi="楷体" w:eastAsia="楷体" w:cs="楷体"/>
          <w:b/>
          <w:sz w:val="32"/>
          <w:szCs w:val="32"/>
          <w:lang w:val="en-US" w:eastAsia="zh-CN"/>
        </w:rPr>
        <w:t>的行政处罚</w:t>
      </w:r>
    </w:p>
    <w:p w14:paraId="296321C9">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bCs/>
          <w:sz w:val="32"/>
          <w:szCs w:val="32"/>
          <w:lang w:val="en-US" w:eastAsia="zh-CN"/>
        </w:rPr>
        <w:t>江西兆鸿科新电路有限公司</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color w:val="auto"/>
          <w:kern w:val="0"/>
          <w:sz w:val="32"/>
          <w:szCs w:val="32"/>
          <w:lang w:val="en-US" w:eastAsia="zh-CN" w:bidi="hi-IN"/>
        </w:rPr>
        <w:t>安全生产主体责任落实不到位：一是安全管理规章制度缺失</w:t>
      </w:r>
      <w:r>
        <w:rPr>
          <w:rFonts w:hint="default" w:ascii="仿宋_GB2312" w:hAnsi="仿宋_GB2312" w:eastAsia="仿宋_GB2312" w:cs="仿宋_GB2312"/>
          <w:b w:val="0"/>
          <w:bCs w:val="0"/>
          <w:color w:val="auto"/>
          <w:kern w:val="0"/>
          <w:sz w:val="32"/>
          <w:szCs w:val="32"/>
          <w:lang w:val="en-US" w:eastAsia="zh-CN" w:bidi="hi-IN"/>
        </w:rPr>
        <w:t>,</w:t>
      </w:r>
      <w:r>
        <w:rPr>
          <w:rFonts w:hint="eastAsia" w:ascii="仿宋_GB2312" w:hAnsi="仿宋_GB2312" w:eastAsia="仿宋_GB2312" w:cs="仿宋_GB2312"/>
          <w:b w:val="0"/>
          <w:bCs w:val="0"/>
          <w:color w:val="auto"/>
          <w:kern w:val="0"/>
          <w:sz w:val="32"/>
          <w:szCs w:val="32"/>
          <w:lang w:val="en-US" w:eastAsia="zh-CN" w:bidi="hi-IN"/>
        </w:rPr>
        <w:t>未建立全员安全生产责任制、安全生产教育和培训制度、安全风险分级管控和隐患排查治理制度等必要的规章制度</w:t>
      </w:r>
      <w:r>
        <w:rPr>
          <w:rFonts w:hint="default" w:ascii="仿宋_GB2312" w:hAnsi="仿宋_GB2312" w:eastAsia="仿宋_GB2312" w:cs="仿宋_GB2312"/>
          <w:b w:val="0"/>
          <w:bCs w:val="0"/>
          <w:color w:val="auto"/>
          <w:kern w:val="0"/>
          <w:sz w:val="32"/>
          <w:szCs w:val="32"/>
          <w:lang w:val="en-US" w:eastAsia="zh-CN" w:bidi="hi-IN"/>
        </w:rPr>
        <w:t>;</w:t>
      </w:r>
      <w:r>
        <w:rPr>
          <w:rFonts w:hint="eastAsia" w:ascii="仿宋_GB2312" w:hAnsi="仿宋_GB2312" w:eastAsia="仿宋_GB2312" w:cs="仿宋_GB2312"/>
          <w:b w:val="0"/>
          <w:bCs w:val="0"/>
          <w:color w:val="auto"/>
          <w:kern w:val="0"/>
          <w:sz w:val="32"/>
          <w:szCs w:val="32"/>
          <w:lang w:val="en-US" w:eastAsia="zh-CN" w:bidi="hi-IN"/>
        </w:rPr>
        <w:t>二是未依法对从业人员进行安全生产教育和培训</w:t>
      </w:r>
      <w:r>
        <w:rPr>
          <w:rFonts w:hint="default" w:ascii="仿宋_GB2312" w:hAnsi="仿宋_GB2312" w:eastAsia="仿宋_GB2312" w:cs="仿宋_GB2312"/>
          <w:b w:val="0"/>
          <w:bCs w:val="0"/>
          <w:color w:val="auto"/>
          <w:kern w:val="0"/>
          <w:sz w:val="32"/>
          <w:szCs w:val="32"/>
          <w:lang w:val="en-US" w:eastAsia="zh-CN" w:bidi="hi-IN"/>
        </w:rPr>
        <w:t>,</w:t>
      </w:r>
      <w:r>
        <w:rPr>
          <w:rFonts w:hint="eastAsia" w:ascii="仿宋_GB2312" w:hAnsi="仿宋_GB2312" w:eastAsia="仿宋_GB2312" w:cs="仿宋_GB2312"/>
          <w:b w:val="0"/>
          <w:bCs w:val="0"/>
          <w:color w:val="auto"/>
          <w:kern w:val="0"/>
          <w:sz w:val="32"/>
          <w:szCs w:val="32"/>
          <w:lang w:val="en-US" w:eastAsia="zh-CN" w:bidi="hi-IN"/>
        </w:rPr>
        <w:t>未保证从业人员具备必要的安全生产知识，未熟悉有关安全规章制度和安全操作规程，未掌握本岗位安全操作技能</w:t>
      </w:r>
      <w:r>
        <w:rPr>
          <w:rFonts w:hint="default" w:ascii="仿宋_GB2312" w:hAnsi="仿宋_GB2312" w:eastAsia="仿宋_GB2312" w:cs="仿宋_GB2312"/>
          <w:b w:val="0"/>
          <w:bCs w:val="0"/>
          <w:color w:val="auto"/>
          <w:kern w:val="0"/>
          <w:sz w:val="32"/>
          <w:szCs w:val="32"/>
          <w:lang w:val="en-US" w:eastAsia="zh-CN" w:bidi="hi-IN"/>
        </w:rPr>
        <w:t>;</w:t>
      </w:r>
      <w:r>
        <w:rPr>
          <w:rFonts w:hint="eastAsia" w:ascii="仿宋_GB2312" w:hAnsi="仿宋_GB2312" w:eastAsia="仿宋_GB2312" w:cs="仿宋_GB2312"/>
          <w:b w:val="0"/>
          <w:bCs w:val="0"/>
          <w:color w:val="auto"/>
          <w:kern w:val="0"/>
          <w:sz w:val="32"/>
          <w:szCs w:val="32"/>
          <w:lang w:val="en-US" w:eastAsia="zh-CN" w:bidi="hi-IN"/>
        </w:rPr>
        <w:t>三是未依法开展安全风险辨识和隐患排查治理</w:t>
      </w:r>
      <w:r>
        <w:rPr>
          <w:rFonts w:hint="default" w:ascii="仿宋_GB2312" w:hAnsi="仿宋_GB2312" w:eastAsia="仿宋_GB2312" w:cs="仿宋_GB2312"/>
          <w:b w:val="0"/>
          <w:bCs w:val="0"/>
          <w:color w:val="auto"/>
          <w:kern w:val="0"/>
          <w:sz w:val="32"/>
          <w:szCs w:val="32"/>
          <w:lang w:val="en-US" w:eastAsia="zh-CN" w:bidi="hi-IN"/>
        </w:rPr>
        <w:t>,</w:t>
      </w:r>
      <w:r>
        <w:rPr>
          <w:rFonts w:hint="eastAsia" w:ascii="仿宋_GB2312" w:hAnsi="仿宋_GB2312" w:eastAsia="仿宋_GB2312" w:cs="仿宋_GB2312"/>
          <w:b w:val="0"/>
          <w:bCs w:val="0"/>
          <w:color w:val="auto"/>
          <w:kern w:val="0"/>
          <w:sz w:val="32"/>
          <w:szCs w:val="32"/>
          <w:lang w:val="en-US" w:eastAsia="zh-CN" w:bidi="hi-IN"/>
        </w:rPr>
        <w:t>丝</w:t>
      </w:r>
      <w:r>
        <w:rPr>
          <w:rFonts w:hint="eastAsia" w:ascii="仿宋_GB2312" w:hAnsi="仿宋_GB2312" w:eastAsia="仿宋_GB2312" w:cs="仿宋_GB2312"/>
          <w:sz w:val="32"/>
          <w:szCs w:val="32"/>
          <w:lang w:val="en-US" w:eastAsia="zh-CN"/>
        </w:rPr>
        <w:t>印机安全防护</w:t>
      </w:r>
      <w:r>
        <w:rPr>
          <w:rFonts w:hint="eastAsia" w:ascii="仿宋_GB2312" w:hAnsi="仿宋_GB2312" w:eastAsia="仿宋_GB2312" w:cs="仿宋_GB2312"/>
          <w:b w:val="0"/>
          <w:bCs w:val="0"/>
          <w:color w:val="auto"/>
          <w:kern w:val="0"/>
          <w:sz w:val="32"/>
          <w:szCs w:val="32"/>
          <w:lang w:val="en-US" w:eastAsia="zh-CN" w:bidi="hi-IN"/>
        </w:rPr>
        <w:t>联动装置失效，对丝印机存在的安全隐患未及时消除。</w:t>
      </w:r>
      <w:r>
        <w:rPr>
          <w:rFonts w:hint="eastAsia" w:ascii="仿宋_GB2312" w:hAnsi="仿宋_GB2312" w:eastAsia="仿宋_GB2312" w:cs="仿宋_GB2312"/>
          <w:color w:val="auto"/>
          <w:sz w:val="32"/>
          <w:szCs w:val="32"/>
        </w:rPr>
        <w:t>其行为违反了《</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eastAsia="zh-CN"/>
        </w:rPr>
        <w:t>华人民共和国</w:t>
      </w:r>
      <w:r>
        <w:rPr>
          <w:rFonts w:hint="eastAsia" w:ascii="仿宋_GB2312" w:hAnsi="仿宋_GB2312" w:eastAsia="仿宋_GB2312" w:cs="仿宋_GB2312"/>
          <w:color w:val="auto"/>
          <w:sz w:val="32"/>
          <w:szCs w:val="32"/>
          <w:lang w:val="en-US" w:eastAsia="zh-CN"/>
        </w:rPr>
        <w:t>安</w:t>
      </w:r>
      <w:r>
        <w:rPr>
          <w:rFonts w:hint="eastAsia" w:ascii="仿宋_GB2312" w:hAnsi="仿宋_GB2312" w:eastAsia="仿宋_GB2312" w:cs="仿宋_GB2312"/>
          <w:color w:val="auto"/>
          <w:sz w:val="32"/>
          <w:szCs w:val="32"/>
          <w:lang w:eastAsia="zh-CN"/>
        </w:rPr>
        <w:t>全生产法</w:t>
      </w:r>
      <w:r>
        <w:rPr>
          <w:rFonts w:hint="eastAsia" w:ascii="仿宋_GB2312" w:hAnsi="仿宋_GB2312" w:eastAsia="仿宋_GB2312" w:cs="仿宋_GB2312"/>
          <w:color w:val="auto"/>
          <w:sz w:val="32"/>
          <w:szCs w:val="32"/>
        </w:rPr>
        <w:t>》第四条</w:t>
      </w:r>
      <w:r>
        <w:rPr>
          <w:rFonts w:hint="eastAsia" w:ascii="仿宋_GB2312" w:hAnsi="仿宋_GB2312" w:eastAsia="仿宋_GB2312" w:cs="仿宋_GB2312"/>
          <w:color w:val="auto"/>
          <w:sz w:val="32"/>
          <w:szCs w:val="32"/>
          <w:lang w:val="en-US" w:eastAsia="zh-CN"/>
        </w:rPr>
        <w:t>第一款</w:t>
      </w:r>
      <w:r>
        <w:rPr>
          <w:rStyle w:val="20"/>
          <w:rFonts w:hint="eastAsia" w:ascii="仿宋_GB2312" w:hAnsi="仿宋_GB2312" w:eastAsia="仿宋_GB2312" w:cs="仿宋_GB2312"/>
          <w:color w:val="auto"/>
          <w:sz w:val="32"/>
          <w:szCs w:val="32"/>
        </w:rPr>
        <w:t>[</w:t>
      </w:r>
      <w:r>
        <w:rPr>
          <w:rStyle w:val="20"/>
          <w:rFonts w:hint="eastAsia" w:ascii="仿宋_GB2312" w:hAnsi="仿宋_GB2312" w:eastAsia="仿宋_GB2312" w:cs="仿宋_GB2312"/>
          <w:color w:val="auto"/>
          <w:sz w:val="32"/>
          <w:szCs w:val="32"/>
        </w:rPr>
        <w:footnoteReference w:id="5"/>
      </w:r>
      <w:r>
        <w:rPr>
          <w:rStyle w:val="20"/>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第二十八条第一、四款</w:t>
      </w:r>
      <w:r>
        <w:rPr>
          <w:rStyle w:val="20"/>
          <w:rFonts w:hint="eastAsia" w:ascii="仿宋_GB2312" w:hAnsi="仿宋_GB2312" w:eastAsia="仿宋_GB2312" w:cs="仿宋_GB2312"/>
          <w:color w:val="auto"/>
          <w:sz w:val="32"/>
          <w:szCs w:val="32"/>
        </w:rPr>
        <w:t>[</w:t>
      </w:r>
      <w:r>
        <w:rPr>
          <w:rStyle w:val="20"/>
          <w:rFonts w:hint="eastAsia" w:ascii="仿宋_GB2312" w:hAnsi="仿宋_GB2312" w:eastAsia="仿宋_GB2312" w:cs="仿宋_GB2312"/>
          <w:color w:val="auto"/>
          <w:sz w:val="32"/>
          <w:szCs w:val="32"/>
        </w:rPr>
        <w:footnoteReference w:id="6"/>
      </w:r>
      <w:r>
        <w:rPr>
          <w:rStyle w:val="20"/>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第四十一条第二款</w:t>
      </w:r>
      <w:r>
        <w:rPr>
          <w:rStyle w:val="20"/>
          <w:rFonts w:hint="eastAsia" w:ascii="仿宋_GB2312" w:hAnsi="仿宋_GB2312" w:eastAsia="仿宋_GB2312" w:cs="仿宋_GB2312"/>
          <w:color w:val="auto"/>
          <w:sz w:val="32"/>
          <w:szCs w:val="32"/>
          <w:lang w:val="en-US" w:eastAsia="zh-CN"/>
        </w:rPr>
        <w:t>[</w:t>
      </w:r>
      <w:r>
        <w:rPr>
          <w:rStyle w:val="20"/>
          <w:rFonts w:hint="eastAsia" w:ascii="仿宋_GB2312" w:hAnsi="仿宋_GB2312" w:eastAsia="仿宋_GB2312" w:cs="仿宋_GB2312"/>
          <w:color w:val="auto"/>
          <w:sz w:val="32"/>
          <w:szCs w:val="32"/>
          <w:lang w:val="en-US" w:eastAsia="zh-CN"/>
        </w:rPr>
        <w:footnoteReference w:id="7"/>
      </w:r>
      <w:r>
        <w:rPr>
          <w:rStyle w:val="20"/>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相关</w:t>
      </w:r>
      <w:r>
        <w:rPr>
          <w:rFonts w:hint="eastAsia" w:ascii="仿宋_GB2312" w:hAnsi="仿宋_GB2312" w:eastAsia="仿宋_GB2312" w:cs="仿宋_GB2312"/>
          <w:color w:val="auto"/>
          <w:sz w:val="32"/>
          <w:szCs w:val="32"/>
        </w:rPr>
        <w:t>规定，对事</w:t>
      </w:r>
      <w:r>
        <w:rPr>
          <w:rFonts w:hint="eastAsia" w:ascii="仿宋_GB2312" w:hAnsi="仿宋_GB2312" w:eastAsia="仿宋_GB2312" w:cs="仿宋_GB2312"/>
          <w:color w:val="auto"/>
          <w:sz w:val="32"/>
          <w:szCs w:val="32"/>
          <w:lang w:val="en-US" w:eastAsia="zh-CN"/>
        </w:rPr>
        <w:t>故的发生</w:t>
      </w:r>
      <w:r>
        <w:rPr>
          <w:rFonts w:hint="eastAsia" w:ascii="仿宋_GB2312" w:hAnsi="仿宋_GB2312" w:eastAsia="仿宋_GB2312" w:cs="仿宋_GB2312"/>
          <w:sz w:val="32"/>
          <w:szCs w:val="32"/>
        </w:rPr>
        <w:t>负有责任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建议由</w:t>
      </w:r>
      <w:r>
        <w:rPr>
          <w:rFonts w:hint="eastAsia" w:ascii="仿宋_GB2312" w:hAnsi="仿宋_GB2312" w:eastAsia="仿宋_GB2312" w:cs="仿宋_GB2312"/>
          <w:sz w:val="32"/>
          <w:szCs w:val="32"/>
          <w:lang w:val="en-US" w:eastAsia="zh-CN"/>
        </w:rPr>
        <w:t>吉州区</w:t>
      </w:r>
      <w:r>
        <w:rPr>
          <w:rFonts w:hint="eastAsia" w:ascii="仿宋_GB2312" w:hAnsi="仿宋_GB2312" w:eastAsia="仿宋_GB2312" w:cs="仿宋_GB2312"/>
          <w:color w:val="000000" w:themeColor="text1"/>
          <w:sz w:val="32"/>
          <w:szCs w:val="32"/>
          <w14:textFill>
            <w14:solidFill>
              <w14:schemeClr w14:val="tx1"/>
            </w14:solidFill>
          </w14:textFill>
        </w:rPr>
        <w:t>应急管理局依据《</w:t>
      </w:r>
      <w:r>
        <w:rPr>
          <w:rFonts w:hint="eastAsia" w:ascii="仿宋_GB2312" w:hAnsi="仿宋_GB2312" w:eastAsia="仿宋_GB2312" w:cs="仿宋_GB2312"/>
          <w:color w:val="000000" w:themeColor="text1"/>
          <w:sz w:val="32"/>
          <w:szCs w:val="32"/>
          <w:lang w:eastAsia="zh-CN"/>
          <w14:textFill>
            <w14:solidFill>
              <w14:schemeClr w14:val="tx1"/>
            </w14:solidFill>
          </w14:textFill>
        </w:rPr>
        <w:t>中华人民共和国安全生产法</w:t>
      </w:r>
      <w:r>
        <w:rPr>
          <w:rFonts w:hint="eastAsia" w:ascii="仿宋_GB2312" w:hAnsi="仿宋_GB2312" w:eastAsia="仿宋_GB2312" w:cs="仿宋_GB2312"/>
          <w:color w:val="000000" w:themeColor="text1"/>
          <w:sz w:val="32"/>
          <w:szCs w:val="32"/>
          <w14:textFill>
            <w14:solidFill>
              <w14:schemeClr w14:val="tx1"/>
            </w14:solidFill>
          </w14:textFill>
        </w:rPr>
        <w:t>》第一百一十四条第一款</w:t>
      </w:r>
      <w:r>
        <w:rPr>
          <w:rStyle w:val="20"/>
          <w:rFonts w:hint="eastAsia" w:ascii="仿宋_GB2312" w:hAnsi="仿宋_GB2312" w:eastAsia="仿宋_GB2312" w:cs="仿宋_GB2312"/>
          <w:color w:val="000000" w:themeColor="text1"/>
          <w:sz w:val="32"/>
          <w:szCs w:val="32"/>
          <w14:textFill>
            <w14:solidFill>
              <w14:schemeClr w14:val="tx1"/>
            </w14:solidFill>
          </w14:textFill>
        </w:rPr>
        <w:t>[</w:t>
      </w:r>
      <w:r>
        <w:rPr>
          <w:rStyle w:val="20"/>
          <w:rFonts w:hint="eastAsia" w:ascii="仿宋_GB2312" w:hAnsi="仿宋_GB2312" w:eastAsia="仿宋_GB2312" w:cs="仿宋_GB2312"/>
          <w:color w:val="000000" w:themeColor="text1"/>
          <w:sz w:val="32"/>
          <w:szCs w:val="32"/>
          <w14:textFill>
            <w14:solidFill>
              <w14:schemeClr w14:val="tx1"/>
            </w14:solidFill>
          </w14:textFill>
        </w:rPr>
        <w:footnoteReference w:id="8"/>
      </w:r>
      <w:r>
        <w:rPr>
          <w:rStyle w:val="20"/>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的有关规定</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对其处以罚款</w:t>
      </w:r>
      <w:r>
        <w:rPr>
          <w:rFonts w:hint="eastAsia" w:ascii="仿宋_GB2312" w:hAnsi="仿宋_GB2312" w:eastAsia="仿宋_GB2312" w:cs="仿宋_GB2312"/>
          <w:color w:val="000000" w:themeColor="text1"/>
          <w:sz w:val="32"/>
          <w:szCs w:val="32"/>
          <w14:textFill>
            <w14:solidFill>
              <w14:schemeClr w14:val="tx1"/>
            </w14:solidFill>
          </w14:textFill>
        </w:rPr>
        <w:t>。</w:t>
      </w:r>
    </w:p>
    <w:p w14:paraId="4F3D4F0F">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黑体" w:hAnsi="黑体" w:eastAsia="黑体" w:cs="黑体"/>
          <w:b/>
          <w:sz w:val="32"/>
          <w:szCs w:val="32"/>
        </w:rPr>
      </w:pPr>
      <w:r>
        <w:rPr>
          <w:rFonts w:hint="eastAsia" w:ascii="黑体" w:hAnsi="黑体" w:eastAsia="黑体" w:cs="黑体"/>
          <w:b/>
          <w:sz w:val="32"/>
          <w:szCs w:val="32"/>
        </w:rPr>
        <w:t>六、事故主要教训</w:t>
      </w:r>
    </w:p>
    <w:p w14:paraId="28CAC1EB">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baseline"/>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江西兆鸿科新电路有限公司对安全发展理念的贯彻落实不牢固。制度建立及落实不全面，对机械安全风险的分析研判存在严重缺失。在源头把控上，未结合企业实际制定设备安全操作规程，未及时发现并消除丝印机作业时的事故风险和安全隐患；现场安全管理不到位，督促、检查本公司的安全生产工作不到位，未</w:t>
      </w:r>
      <w:r>
        <w:rPr>
          <w:rFonts w:hint="eastAsia" w:ascii="仿宋_GB2312" w:eastAsia="仿宋_GB2312" w:cs="仿宋_GB2312"/>
          <w:i w:val="0"/>
          <w:iCs w:val="0"/>
          <w:caps w:val="0"/>
          <w:color w:val="000000"/>
          <w:spacing w:val="0"/>
          <w:sz w:val="31"/>
          <w:szCs w:val="31"/>
          <w:shd w:val="clear" w:fill="FFFFFF"/>
        </w:rPr>
        <w:t>及时消除员工违规作业的生产安</w:t>
      </w:r>
      <w:r>
        <w:rPr>
          <w:rFonts w:hint="eastAsia" w:ascii="仿宋_GB2312" w:hAnsi="仿宋_GB2312" w:eastAsia="仿宋_GB2312" w:cs="仿宋_GB2312"/>
          <w:color w:val="000000"/>
          <w:kern w:val="0"/>
          <w:sz w:val="32"/>
          <w:szCs w:val="32"/>
          <w:lang w:val="en-US" w:eastAsia="zh-CN"/>
        </w:rPr>
        <w:t>全事故隐患；对员工安全生产教育和培训不到位，员工丝印机作业安全操作意识淡化，从而最终酿成事故。</w:t>
      </w:r>
    </w:p>
    <w:p w14:paraId="5634C43A">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baseline"/>
        <w:rPr>
          <w:rFonts w:ascii="黑体" w:hAnsi="黑体" w:eastAsia="黑体" w:cs="黑体"/>
          <w:b/>
          <w:sz w:val="32"/>
          <w:szCs w:val="32"/>
        </w:rPr>
      </w:pPr>
      <w:r>
        <w:rPr>
          <w:rFonts w:hint="eastAsia" w:ascii="黑体" w:hAnsi="黑体" w:eastAsia="黑体" w:cs="黑体"/>
          <w:b/>
          <w:sz w:val="32"/>
          <w:szCs w:val="32"/>
        </w:rPr>
        <w:t>七、事故整改和防范措施</w:t>
      </w:r>
    </w:p>
    <w:p w14:paraId="012584C1">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baseline"/>
        <w:rPr>
          <w:rFonts w:ascii="仿宋_GB2312" w:hAnsi="仿宋_GB2312" w:eastAsia="仿宋_GB2312" w:cs="仿宋_GB2312"/>
          <w:color w:val="000000"/>
          <w:kern w:val="0"/>
          <w:sz w:val="32"/>
          <w:szCs w:val="32"/>
        </w:rPr>
      </w:pPr>
      <w:r>
        <w:rPr>
          <w:rFonts w:ascii="仿宋_GB2312" w:hAnsi="仿宋_GB2312" w:eastAsia="仿宋_GB2312" w:cs="仿宋_GB2312"/>
          <w:color w:val="000000"/>
          <w:kern w:val="0"/>
          <w:sz w:val="32"/>
          <w:szCs w:val="32"/>
        </w:rPr>
        <w:t>针对这起事故暴露出的问题，为深刻吸取事故教训，进一步强化安全生产，有效防范类似事故重复发生，提出如下建议措施：</w:t>
      </w:r>
    </w:p>
    <w:p w14:paraId="13DA0B7F">
      <w:pPr>
        <w:pStyle w:val="9"/>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firstLine="643" w:firstLineChars="200"/>
        <w:jc w:val="both"/>
        <w:textAlignment w:val="baseline"/>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b/>
          <w:bCs/>
          <w:sz w:val="32"/>
          <w:szCs w:val="32"/>
          <w:lang w:val="en-US" w:eastAsia="zh-CN"/>
        </w:rPr>
        <w:t>江西兆鸿科新电路有限公司</w:t>
      </w:r>
      <w:r>
        <w:rPr>
          <w:rFonts w:hint="eastAsia" w:ascii="仿宋_GB2312" w:hAnsi="仿宋_GB2312" w:eastAsia="仿宋_GB2312" w:cs="仿宋_GB2312"/>
          <w:b/>
          <w:bCs/>
          <w:color w:val="000000"/>
          <w:kern w:val="0"/>
          <w:sz w:val="32"/>
          <w:szCs w:val="32"/>
          <w:lang w:val="en-US" w:eastAsia="zh-CN"/>
        </w:rPr>
        <w:t>：</w:t>
      </w:r>
      <w:r>
        <w:rPr>
          <w:rFonts w:hint="default" w:ascii="仿宋_GB2312" w:hAnsi="仿宋_GB2312" w:eastAsia="仿宋_GB2312" w:cs="仿宋_GB2312"/>
          <w:color w:val="000000"/>
          <w:kern w:val="0"/>
          <w:sz w:val="32"/>
          <w:szCs w:val="32"/>
          <w:lang w:eastAsia="zh-CN"/>
        </w:rPr>
        <w:t>应</w:t>
      </w:r>
      <w:r>
        <w:rPr>
          <w:rFonts w:hint="eastAsia" w:ascii="仿宋_GB2312" w:hAnsi="仿宋_GB2312" w:eastAsia="仿宋_GB2312" w:cs="仿宋_GB2312"/>
          <w:color w:val="000000"/>
          <w:kern w:val="0"/>
          <w:sz w:val="32"/>
          <w:szCs w:val="32"/>
          <w:lang w:val="en-US" w:eastAsia="zh-CN"/>
        </w:rPr>
        <w:t>深刻总结事故教训，加强企业的管理</w:t>
      </w:r>
      <w:r>
        <w:rPr>
          <w:rFonts w:hint="default" w:ascii="仿宋_GB2312" w:hAnsi="仿宋_GB2312" w:eastAsia="仿宋_GB2312" w:cs="仿宋_GB2312"/>
          <w:color w:val="000000"/>
          <w:kern w:val="0"/>
          <w:sz w:val="32"/>
          <w:szCs w:val="32"/>
          <w:lang w:eastAsia="zh-CN"/>
        </w:rPr>
        <w:t>,从以下六个方面加强安全生产管理工作</w:t>
      </w:r>
      <w:r>
        <w:rPr>
          <w:rFonts w:hint="eastAsia" w:ascii="仿宋_GB2312" w:hAnsi="仿宋_GB2312" w:eastAsia="仿宋_GB2312" w:cs="仿宋_GB2312"/>
          <w:color w:val="000000"/>
          <w:kern w:val="0"/>
          <w:sz w:val="32"/>
          <w:szCs w:val="32"/>
          <w:lang w:val="en-US" w:eastAsia="zh-CN"/>
        </w:rPr>
        <w:t>：</w:t>
      </w:r>
    </w:p>
    <w:p w14:paraId="6F0742CB">
      <w:pPr>
        <w:pStyle w:val="9"/>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firstLine="640" w:firstLineChars="200"/>
        <w:jc w:val="both"/>
        <w:textAlignment w:val="baseline"/>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1、</w:t>
      </w:r>
      <w:r>
        <w:rPr>
          <w:rFonts w:ascii="仿宋_GB2312" w:hAnsi="仿宋_GB2312" w:eastAsia="仿宋_GB2312" w:cs="仿宋_GB2312"/>
          <w:color w:val="000000"/>
          <w:kern w:val="0"/>
          <w:sz w:val="32"/>
          <w:szCs w:val="32"/>
        </w:rPr>
        <w:t>强化安全发展理念教育：</w:t>
      </w:r>
      <w:r>
        <w:rPr>
          <w:rFonts w:hint="eastAsia" w:ascii="仿宋_GB2312" w:hAnsi="仿宋_GB2312" w:eastAsia="仿宋_GB2312" w:cs="仿宋_GB2312"/>
          <w:color w:val="000000"/>
          <w:kern w:val="0"/>
          <w:sz w:val="32"/>
          <w:szCs w:val="32"/>
          <w:lang w:val="en-US" w:eastAsia="zh-CN"/>
        </w:rPr>
        <w:t>在</w:t>
      </w:r>
      <w:r>
        <w:rPr>
          <w:rFonts w:ascii="仿宋_GB2312" w:hAnsi="仿宋_GB2312" w:eastAsia="仿宋_GB2312" w:cs="仿宋_GB2312"/>
          <w:color w:val="000000"/>
          <w:kern w:val="0"/>
          <w:sz w:val="32"/>
          <w:szCs w:val="32"/>
        </w:rPr>
        <w:t>全公司范围内</w:t>
      </w:r>
      <w:r>
        <w:rPr>
          <w:rFonts w:hint="eastAsia" w:ascii="仿宋_GB2312" w:hAnsi="仿宋_GB2312" w:eastAsia="仿宋_GB2312" w:cs="仿宋_GB2312"/>
          <w:color w:val="000000"/>
          <w:kern w:val="0"/>
          <w:sz w:val="32"/>
          <w:szCs w:val="32"/>
          <w:lang w:val="en-US" w:eastAsia="zh-CN"/>
        </w:rPr>
        <w:t>开展</w:t>
      </w:r>
      <w:r>
        <w:rPr>
          <w:rFonts w:ascii="仿宋_GB2312" w:hAnsi="仿宋_GB2312" w:eastAsia="仿宋_GB2312" w:cs="仿宋_GB2312"/>
          <w:color w:val="000000"/>
          <w:kern w:val="0"/>
          <w:sz w:val="32"/>
          <w:szCs w:val="32"/>
        </w:rPr>
        <w:t>安全发展理念培训，从高层到基层员工，</w:t>
      </w:r>
      <w:r>
        <w:rPr>
          <w:rFonts w:hint="eastAsia" w:ascii="仿宋_GB2312" w:hAnsi="仿宋_GB2312" w:eastAsia="仿宋_GB2312" w:cs="仿宋_GB2312"/>
          <w:color w:val="000000"/>
          <w:kern w:val="0"/>
          <w:sz w:val="32"/>
          <w:szCs w:val="32"/>
          <w:lang w:val="en-US" w:eastAsia="zh-CN"/>
        </w:rPr>
        <w:t>要</w:t>
      </w:r>
      <w:r>
        <w:rPr>
          <w:rFonts w:ascii="仿宋_GB2312" w:hAnsi="仿宋_GB2312" w:eastAsia="仿宋_GB2312" w:cs="仿宋_GB2312"/>
          <w:color w:val="000000"/>
          <w:kern w:val="0"/>
          <w:sz w:val="32"/>
          <w:szCs w:val="32"/>
        </w:rPr>
        <w:t>深刻理解“安全第一，预防为主”的核心意义，将安全生产作为企业运营的基石，确保每位员工都能将安全意识</w:t>
      </w:r>
      <w:r>
        <w:rPr>
          <w:rFonts w:hint="eastAsia" w:ascii="仿宋_GB2312" w:hAnsi="仿宋_GB2312" w:eastAsia="仿宋_GB2312" w:cs="仿宋_GB2312"/>
          <w:color w:val="000000"/>
          <w:kern w:val="0"/>
          <w:sz w:val="32"/>
          <w:szCs w:val="32"/>
          <w:lang w:eastAsia="zh-CN"/>
        </w:rPr>
        <w:t>内化于心、外化于行</w:t>
      </w:r>
      <w:r>
        <w:rPr>
          <w:rFonts w:ascii="仿宋_GB2312" w:hAnsi="仿宋_GB2312" w:eastAsia="仿宋_GB2312" w:cs="仿宋_GB2312"/>
          <w:color w:val="000000"/>
          <w:kern w:val="0"/>
          <w:sz w:val="32"/>
          <w:szCs w:val="32"/>
        </w:rPr>
        <w:t>。</w:t>
      </w:r>
    </w:p>
    <w:p w14:paraId="39DBDDDF">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baseline"/>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2、</w:t>
      </w:r>
      <w:r>
        <w:rPr>
          <w:rFonts w:ascii="仿宋_GB2312" w:hAnsi="仿宋_GB2312" w:eastAsia="仿宋_GB2312" w:cs="仿宋_GB2312"/>
          <w:color w:val="000000"/>
          <w:kern w:val="0"/>
          <w:sz w:val="32"/>
          <w:szCs w:val="32"/>
        </w:rPr>
        <w:t>完善机械安全风险分析与控制：</w:t>
      </w:r>
      <w:r>
        <w:rPr>
          <w:rFonts w:hint="eastAsia" w:ascii="仿宋_GB2312" w:hAnsi="仿宋_GB2312" w:eastAsia="仿宋_GB2312" w:cs="仿宋_GB2312"/>
          <w:color w:val="000000"/>
          <w:kern w:val="0"/>
          <w:sz w:val="32"/>
          <w:szCs w:val="32"/>
          <w:lang w:val="en-US" w:eastAsia="zh-CN"/>
        </w:rPr>
        <w:t>邀请园区安全管家对企业</w:t>
      </w:r>
      <w:r>
        <w:rPr>
          <w:rFonts w:ascii="仿宋_GB2312" w:hAnsi="仿宋_GB2312" w:eastAsia="仿宋_GB2312" w:cs="仿宋_GB2312"/>
          <w:color w:val="000000"/>
          <w:kern w:val="0"/>
          <w:sz w:val="32"/>
          <w:szCs w:val="32"/>
        </w:rPr>
        <w:t>进行全面机械安全风险评估，识别作业</w:t>
      </w:r>
      <w:r>
        <w:rPr>
          <w:rFonts w:hint="eastAsia" w:ascii="仿宋_GB2312" w:hAnsi="仿宋_GB2312" w:eastAsia="仿宋_GB2312" w:cs="仿宋_GB2312"/>
          <w:color w:val="000000"/>
          <w:kern w:val="0"/>
          <w:sz w:val="32"/>
          <w:szCs w:val="32"/>
          <w:lang w:val="en-US" w:eastAsia="zh-CN"/>
        </w:rPr>
        <w:t>过程</w:t>
      </w:r>
      <w:r>
        <w:rPr>
          <w:rFonts w:ascii="仿宋_GB2312" w:hAnsi="仿宋_GB2312" w:eastAsia="仿宋_GB2312" w:cs="仿宋_GB2312"/>
          <w:color w:val="000000"/>
          <w:kern w:val="0"/>
          <w:sz w:val="32"/>
          <w:szCs w:val="32"/>
        </w:rPr>
        <w:t>中的潜在危险点，制定针对性的风险控制措施。加强安全防护设施的建设与维护，确保员工</w:t>
      </w:r>
      <w:r>
        <w:rPr>
          <w:rFonts w:hint="eastAsia" w:ascii="仿宋_GB2312" w:hAnsi="仿宋_GB2312" w:eastAsia="仿宋_GB2312" w:cs="仿宋_GB2312"/>
          <w:color w:val="000000"/>
          <w:kern w:val="0"/>
          <w:sz w:val="32"/>
          <w:szCs w:val="32"/>
          <w:lang w:val="en-US" w:eastAsia="zh-CN"/>
        </w:rPr>
        <w:t>人身和财产安全</w:t>
      </w:r>
      <w:r>
        <w:rPr>
          <w:rFonts w:ascii="仿宋_GB2312" w:hAnsi="仿宋_GB2312" w:eastAsia="仿宋_GB2312" w:cs="仿宋_GB2312"/>
          <w:color w:val="000000"/>
          <w:kern w:val="0"/>
          <w:sz w:val="32"/>
          <w:szCs w:val="32"/>
        </w:rPr>
        <w:t>，同时设置明显的安全警示标识。</w:t>
      </w:r>
    </w:p>
    <w:p w14:paraId="39855480">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baseline"/>
        <w:rPr>
          <w:rFonts w:hint="eastAsia" w:ascii="仿宋_GB2312" w:hAnsi="仿宋_GB2312" w:eastAsia="仿宋_GB2312" w:cs="仿宋_GB2312"/>
          <w:color w:val="0000FF"/>
          <w:kern w:val="0"/>
          <w:sz w:val="32"/>
          <w:szCs w:val="32"/>
          <w:lang w:val="en-US" w:eastAsia="zh-CN"/>
        </w:rPr>
      </w:pPr>
      <w:r>
        <w:rPr>
          <w:rFonts w:hint="eastAsia" w:ascii="仿宋_GB2312" w:hAnsi="仿宋_GB2312" w:eastAsia="仿宋_GB2312" w:cs="仿宋_GB2312"/>
          <w:color w:val="000000"/>
          <w:kern w:val="0"/>
          <w:sz w:val="32"/>
          <w:szCs w:val="32"/>
          <w:lang w:val="en-US" w:eastAsia="zh-CN"/>
        </w:rPr>
        <w:t>3、</w:t>
      </w:r>
      <w:r>
        <w:rPr>
          <w:rFonts w:ascii="仿宋_GB2312" w:hAnsi="仿宋_GB2312" w:eastAsia="仿宋_GB2312" w:cs="仿宋_GB2312"/>
          <w:color w:val="000000"/>
          <w:kern w:val="0"/>
          <w:sz w:val="32"/>
          <w:szCs w:val="32"/>
        </w:rPr>
        <w:t>建立健全隐患排查治理机制：</w:t>
      </w:r>
      <w:r>
        <w:rPr>
          <w:rFonts w:hint="eastAsia" w:ascii="仿宋_GB2312" w:hAnsi="仿宋_GB2312" w:eastAsia="仿宋_GB2312" w:cs="仿宋_GB2312"/>
          <w:color w:val="000000"/>
          <w:kern w:val="0"/>
          <w:sz w:val="32"/>
          <w:szCs w:val="32"/>
          <w:lang w:val="en-US" w:eastAsia="zh-CN"/>
        </w:rPr>
        <w:t>落实公司安防委职责</w:t>
      </w:r>
      <w:r>
        <w:rPr>
          <w:rFonts w:ascii="仿宋_GB2312" w:hAnsi="仿宋_GB2312" w:eastAsia="仿宋_GB2312" w:cs="仿宋_GB2312"/>
          <w:color w:val="000000"/>
          <w:kern w:val="0"/>
          <w:sz w:val="32"/>
          <w:szCs w:val="32"/>
        </w:rPr>
        <w:t>，定期</w:t>
      </w:r>
      <w:r>
        <w:rPr>
          <w:rFonts w:hint="eastAsia" w:ascii="仿宋_GB2312" w:hAnsi="仿宋_GB2312" w:eastAsia="仿宋_GB2312" w:cs="仿宋_GB2312"/>
          <w:color w:val="000000"/>
          <w:kern w:val="0"/>
          <w:sz w:val="32"/>
          <w:szCs w:val="32"/>
          <w:lang w:val="en-US" w:eastAsia="zh-CN"/>
        </w:rPr>
        <w:t>对企业</w:t>
      </w:r>
      <w:r>
        <w:rPr>
          <w:rFonts w:ascii="仿宋_GB2312" w:hAnsi="仿宋_GB2312" w:eastAsia="仿宋_GB2312" w:cs="仿宋_GB2312"/>
          <w:color w:val="000000"/>
          <w:kern w:val="0"/>
          <w:sz w:val="32"/>
          <w:szCs w:val="32"/>
        </w:rPr>
        <w:t>进行全面的安全检查，确保隐患早发现、早报告、早治理。建立隐患排查治理台账，跟踪整改情况直至隐患完全消除。对于排查出的重大隐患，应立即采取临时控制措施，并制定详细整改方案限时整改。</w:t>
      </w:r>
    </w:p>
    <w:p w14:paraId="0F05524C">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baseline"/>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4、</w:t>
      </w:r>
      <w:r>
        <w:rPr>
          <w:rFonts w:hint="eastAsia" w:ascii="仿宋_GB2312" w:hAnsi="仿宋_GB2312" w:eastAsia="仿宋_GB2312" w:cs="仿宋_GB2312"/>
          <w:color w:val="000000"/>
          <w:kern w:val="0"/>
          <w:sz w:val="32"/>
          <w:szCs w:val="32"/>
        </w:rPr>
        <w:t>完善安全生产规章制度与操作规程：结合企业实际情况，制定或修订安全生产规章制度和操作规程，确保其科学、有效、易于执行；规范夜班带班管理制度，明确夜班值守要求，</w:t>
      </w:r>
      <w:bookmarkStart w:id="0" w:name="_GoBack"/>
      <w:bookmarkEnd w:id="0"/>
      <w:r>
        <w:rPr>
          <w:rFonts w:hint="eastAsia" w:ascii="仿宋_GB2312" w:hAnsi="仿宋_GB2312" w:eastAsia="仿宋_GB2312" w:cs="仿宋_GB2312"/>
          <w:color w:val="000000"/>
          <w:kern w:val="0"/>
          <w:sz w:val="32"/>
          <w:szCs w:val="32"/>
        </w:rPr>
        <w:t>杜绝岗位单人作业行为。规章制度和操作规程应公开公示，便于员工随时查阅学习。</w:t>
      </w:r>
    </w:p>
    <w:p w14:paraId="6CE88C70">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baseline"/>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5、</w:t>
      </w:r>
      <w:r>
        <w:rPr>
          <w:rFonts w:ascii="仿宋_GB2312" w:hAnsi="仿宋_GB2312" w:eastAsia="仿宋_GB2312" w:cs="仿宋_GB2312"/>
          <w:color w:val="000000"/>
          <w:kern w:val="0"/>
          <w:sz w:val="32"/>
          <w:szCs w:val="32"/>
        </w:rPr>
        <w:t>加强安全教育培训：对所有从业人员进行定期的安全教育培训，特别是对新入职员工和转岗员工，要进行系统的安全教育和岗位技能培训，</w:t>
      </w:r>
      <w:r>
        <w:rPr>
          <w:rFonts w:hint="eastAsia" w:ascii="仿宋_GB2312" w:hAnsi="仿宋_GB2312" w:eastAsia="仿宋_GB2312" w:cs="仿宋_GB2312"/>
          <w:color w:val="000000"/>
          <w:kern w:val="0"/>
          <w:sz w:val="32"/>
          <w:szCs w:val="32"/>
          <w:lang w:val="en-US" w:eastAsia="zh-CN"/>
        </w:rPr>
        <w:t>及机械设备的检维修作业操作规程健全防护措施，</w:t>
      </w:r>
      <w:r>
        <w:rPr>
          <w:rFonts w:ascii="仿宋_GB2312" w:hAnsi="仿宋_GB2312" w:eastAsia="仿宋_GB2312" w:cs="仿宋_GB2312"/>
          <w:color w:val="000000"/>
          <w:kern w:val="0"/>
          <w:sz w:val="32"/>
          <w:szCs w:val="32"/>
        </w:rPr>
        <w:t>确保每位员工都熟悉安全操作规程，掌握必要的应急处置技能</w:t>
      </w:r>
      <w:r>
        <w:rPr>
          <w:rFonts w:hint="eastAsia" w:ascii="仿宋_GB2312" w:hAnsi="仿宋_GB2312" w:eastAsia="仿宋_GB2312" w:cs="仿宋_GB2312"/>
          <w:color w:val="000000"/>
          <w:kern w:val="0"/>
          <w:sz w:val="32"/>
          <w:szCs w:val="32"/>
          <w:lang w:eastAsia="zh-CN"/>
        </w:rPr>
        <w:t>。</w:t>
      </w:r>
    </w:p>
    <w:p w14:paraId="7136C342">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hint="eastAsia" w:ascii="仿宋_GB2312" w:hAnsi="仿宋_GB2312" w:eastAsia="仿宋_GB2312" w:cs="仿宋_GB2312"/>
          <w:color w:val="000000"/>
          <w:kern w:val="0"/>
          <w:sz w:val="32"/>
          <w:szCs w:val="32"/>
          <w:lang w:val="en-US" w:eastAsia="zh-CN"/>
        </w:rPr>
      </w:pPr>
      <w:r>
        <w:rPr>
          <w:rFonts w:hint="default" w:ascii="仿宋_GB2312" w:hAnsi="仿宋_GB2312" w:eastAsia="仿宋_GB2312" w:cs="仿宋_GB2312"/>
          <w:b/>
          <w:bCs/>
          <w:color w:val="auto"/>
          <w:kern w:val="0"/>
          <w:sz w:val="32"/>
          <w:szCs w:val="32"/>
          <w:lang w:eastAsia="zh-CN"/>
        </w:rPr>
        <w:t>江西吉州工业</w:t>
      </w:r>
      <w:r>
        <w:rPr>
          <w:rFonts w:hint="eastAsia" w:ascii="仿宋_GB2312" w:hAnsi="仿宋_GB2312" w:eastAsia="仿宋_GB2312" w:cs="仿宋_GB2312"/>
          <w:b/>
          <w:bCs/>
          <w:color w:val="auto"/>
          <w:kern w:val="0"/>
          <w:sz w:val="32"/>
          <w:szCs w:val="32"/>
          <w:lang w:val="en-US" w:eastAsia="zh-CN"/>
        </w:rPr>
        <w:t>园</w:t>
      </w:r>
      <w:r>
        <w:rPr>
          <w:rFonts w:hint="default" w:ascii="仿宋_GB2312" w:hAnsi="仿宋_GB2312" w:eastAsia="仿宋_GB2312" w:cs="仿宋_GB2312"/>
          <w:b/>
          <w:bCs/>
          <w:color w:val="auto"/>
          <w:kern w:val="0"/>
          <w:sz w:val="32"/>
          <w:szCs w:val="32"/>
          <w:lang w:eastAsia="zh-CN"/>
          <w:woUserID w:val="1"/>
        </w:rPr>
        <w:t>区</w:t>
      </w:r>
      <w:r>
        <w:rPr>
          <w:rFonts w:hint="eastAsia" w:ascii="仿宋_GB2312" w:hAnsi="仿宋_GB2312" w:eastAsia="仿宋_GB2312" w:cs="仿宋_GB2312"/>
          <w:b/>
          <w:bCs/>
          <w:color w:val="auto"/>
          <w:kern w:val="0"/>
          <w:sz w:val="32"/>
          <w:szCs w:val="32"/>
          <w:lang w:val="en-US" w:eastAsia="zh-CN"/>
        </w:rPr>
        <w:t>管</w:t>
      </w:r>
      <w:r>
        <w:rPr>
          <w:rFonts w:hint="default" w:ascii="仿宋_GB2312" w:hAnsi="仿宋_GB2312" w:eastAsia="仿宋_GB2312" w:cs="仿宋_GB2312"/>
          <w:b/>
          <w:bCs/>
          <w:color w:val="auto"/>
          <w:kern w:val="0"/>
          <w:sz w:val="32"/>
          <w:szCs w:val="32"/>
          <w:lang w:eastAsia="zh-CN"/>
          <w:woUserID w:val="1"/>
        </w:rPr>
        <w:t>理委员</w:t>
      </w:r>
      <w:r>
        <w:rPr>
          <w:rFonts w:hint="eastAsia" w:ascii="仿宋_GB2312" w:hAnsi="仿宋_GB2312" w:eastAsia="仿宋_GB2312" w:cs="仿宋_GB2312"/>
          <w:b/>
          <w:bCs/>
          <w:color w:val="auto"/>
          <w:kern w:val="0"/>
          <w:sz w:val="32"/>
          <w:szCs w:val="32"/>
          <w:lang w:val="en-US" w:eastAsia="zh-CN"/>
        </w:rPr>
        <w:t>会：</w:t>
      </w:r>
      <w:r>
        <w:rPr>
          <w:rFonts w:hint="eastAsia" w:ascii="仿宋_GB2312" w:hAnsi="仿宋_GB2312" w:eastAsia="仿宋_GB2312" w:cs="仿宋_GB2312"/>
          <w:color w:val="000000"/>
          <w:kern w:val="0"/>
          <w:sz w:val="32"/>
          <w:szCs w:val="32"/>
          <w:lang w:val="en-US" w:eastAsia="zh-CN"/>
        </w:rPr>
        <w:t>园区管委会应深刻汲取事故教训，致力于强化安全监管与服务指导，并积极推广安全发展理念：</w:t>
      </w:r>
    </w:p>
    <w:p w14:paraId="26861D81">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baseline"/>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1、组织专题培训与宣讲：要深入企业举办安全发展理念专题培训，引导企业树立正确的生产安全观，从源头上遏制事故的发生。</w:t>
      </w:r>
    </w:p>
    <w:p w14:paraId="2F957C70">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baseline"/>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2、利用专业机构进行全面风险评估：充分依托园区聘请的安全管家，对园区内企业进行风险评估，精准识别潜在危险点，提出具有针对性的风险防控措施。</w:t>
      </w:r>
    </w:p>
    <w:p w14:paraId="7585D5A8">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baseline"/>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3、加强重点作业场所的安全排查：特别要关注机械作业、动火作业、有限空间作业等危险性较大的作业场所，要求企业建立健全机械安全风险研判机制，确保各类风险得到有效控制，保障生产安全。</w:t>
      </w:r>
    </w:p>
    <w:p w14:paraId="17D591FE">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val="0"/>
          <w:sz w:val="32"/>
          <w:szCs w:val="32"/>
          <w:lang w:val="en-US" w:eastAsia="zh-CN"/>
        </w:rPr>
        <w:t>其他：</w:t>
      </w:r>
      <w:r>
        <w:rPr>
          <w:rFonts w:hint="eastAsia" w:ascii="仿宋_GB2312" w:hAnsi="仿宋_GB2312" w:eastAsia="仿宋_GB2312" w:cs="仿宋_GB2312"/>
          <w:b w:val="0"/>
          <w:bCs w:val="0"/>
          <w:sz w:val="32"/>
          <w:szCs w:val="32"/>
          <w:lang w:val="en-US" w:eastAsia="zh-CN"/>
        </w:rPr>
        <w:t>相关部门要按照“</w:t>
      </w:r>
      <w:r>
        <w:rPr>
          <w:rFonts w:hint="eastAsia" w:ascii="仿宋_GB2312" w:hAnsi="仿宋_GB2312" w:eastAsia="仿宋_GB2312" w:cs="仿宋_GB2312"/>
          <w:sz w:val="32"/>
          <w:szCs w:val="32"/>
          <w:lang w:val="en-US" w:eastAsia="zh-CN"/>
        </w:rPr>
        <w:t>三管三必须</w:t>
      </w:r>
      <w:r>
        <w:rPr>
          <w:rFonts w:hint="eastAsia" w:ascii="仿宋_GB2312" w:hAnsi="仿宋_GB2312" w:eastAsia="仿宋_GB2312" w:cs="仿宋_GB2312"/>
          <w:b w:val="0"/>
          <w:bCs w:val="0"/>
          <w:sz w:val="32"/>
          <w:szCs w:val="32"/>
          <w:lang w:val="en-US" w:eastAsia="zh-CN"/>
        </w:rPr>
        <w:t>”和“谁主管谁负责”</w:t>
      </w:r>
      <w:r>
        <w:rPr>
          <w:rFonts w:hint="eastAsia" w:ascii="仿宋_GB2312" w:hAnsi="仿宋_GB2312" w:eastAsia="仿宋_GB2312" w:cs="仿宋_GB2312"/>
          <w:sz w:val="32"/>
          <w:szCs w:val="32"/>
          <w:lang w:val="en-US" w:eastAsia="zh-CN"/>
        </w:rPr>
        <w:t>的原则，根据本起事故暴露的问题督促企业深入分析本单位存在的安全生产管理问题，切实堵塞企业存在的各类机械伤害隐患和漏洞。要结合正在开展的安全生产治本攻坚三年行动，对企业全面开展系统排查和机械伤害隐患检查，督促企业严格落实安全生产主体责任，针对检查中发现的问题和隐患，要督促企业立即进行整改，不能整改到位的，要严格落实安全管控措施，对构成重大安全隐患的，要依法依规采取相应措施。要加大典型事故案例宣传警示教育力度，充分运用互联网媒体、广播电视、电子屏等各类手段，宣传普及安全生产知识，形成安全生产严管态势，坚决防范各类生产安全事故的发生。</w:t>
      </w:r>
    </w:p>
    <w:p w14:paraId="648B4B69">
      <w:pPr>
        <w:pStyle w:val="7"/>
        <w:keepNext w:val="0"/>
        <w:keepLines w:val="0"/>
        <w:pageBreakBefore w:val="0"/>
        <w:widowControl w:val="0"/>
        <w:kinsoku/>
        <w:topLinePunct w:val="0"/>
        <w:autoSpaceDE/>
        <w:autoSpaceDN/>
        <w:bidi w:val="0"/>
        <w:adjustRightInd/>
        <w:snapToGrid/>
        <w:spacing w:line="560" w:lineRule="exact"/>
        <w:ind w:left="0" w:leftChars="0" w:firstLine="560" w:firstLineChars="200"/>
        <w:rPr>
          <w:rFonts w:hint="eastAsia"/>
          <w:lang w:val="en-US" w:eastAsia="zh-CN"/>
        </w:rPr>
      </w:pPr>
    </w:p>
    <w:p w14:paraId="3356DB9E">
      <w:pPr>
        <w:pStyle w:val="7"/>
        <w:keepNext w:val="0"/>
        <w:keepLines w:val="0"/>
        <w:pageBreakBefore w:val="0"/>
        <w:widowControl w:val="0"/>
        <w:kinsoku/>
        <w:topLinePunct w:val="0"/>
        <w:autoSpaceDE/>
        <w:autoSpaceDN/>
        <w:bidi w:val="0"/>
        <w:adjustRightInd/>
        <w:snapToGrid/>
        <w:spacing w:line="560" w:lineRule="exact"/>
        <w:ind w:left="0" w:leftChars="0" w:firstLine="560" w:firstLineChars="200"/>
        <w:rPr>
          <w:rFonts w:hint="eastAsia"/>
          <w:lang w:val="en-US" w:eastAsia="zh-CN"/>
        </w:rPr>
      </w:pPr>
    </w:p>
    <w:p w14:paraId="28F40C28">
      <w:pPr>
        <w:pStyle w:val="9"/>
        <w:keepNext w:val="0"/>
        <w:keepLines w:val="0"/>
        <w:pageBreakBefore w:val="0"/>
        <w:widowControl w:val="0"/>
        <w:kinsoku/>
        <w:wordWrap w:val="0"/>
        <w:overflowPunct w:val="0"/>
        <w:topLinePunct w:val="0"/>
        <w:autoSpaceDE/>
        <w:autoSpaceDN/>
        <w:bidi w:val="0"/>
        <w:adjustRightInd/>
        <w:snapToGrid/>
        <w:spacing w:line="560" w:lineRule="exact"/>
        <w:ind w:left="0" w:leftChars="0" w:firstLine="640" w:firstLineChars="200"/>
        <w:jc w:val="right"/>
        <w:rPr>
          <w:rFonts w:hint="eastAsia" w:ascii="仿宋_GB2312" w:hAnsi="仿宋_GB2312" w:eastAsia="仿宋_GB2312" w:cs="仿宋_GB2312"/>
          <w:sz w:val="32"/>
          <w:szCs w:val="32"/>
          <w:lang w:val="en-US" w:eastAsia="zh-CN"/>
        </w:rPr>
      </w:pPr>
      <w:r>
        <w:rPr>
          <w:rFonts w:hint="eastAsia" w:ascii="仿宋_GB2312" w:eastAsia="仿宋_GB2312"/>
          <w:color w:val="000000"/>
          <w:sz w:val="32"/>
          <w:szCs w:val="32"/>
          <w:lang w:val="en-US" w:eastAsia="zh-CN"/>
        </w:rPr>
        <w:t>江西兆鸿科新电路有限公司</w:t>
      </w:r>
      <w:r>
        <w:rPr>
          <w:rFonts w:hint="eastAsia" w:ascii="仿宋_GB2312" w:hAnsi="仿宋_GB2312" w:eastAsia="仿宋_GB2312" w:cs="仿宋_GB2312"/>
          <w:sz w:val="32"/>
          <w:szCs w:val="32"/>
          <w:lang w:val="en-US" w:eastAsia="zh-CN"/>
        </w:rPr>
        <w:t>“7·31”</w:t>
      </w:r>
    </w:p>
    <w:p w14:paraId="1C9204A3">
      <w:pPr>
        <w:pStyle w:val="9"/>
        <w:keepNext w:val="0"/>
        <w:keepLines w:val="0"/>
        <w:pageBreakBefore w:val="0"/>
        <w:widowControl w:val="0"/>
        <w:kinsoku/>
        <w:wordWrap w:val="0"/>
        <w:overflowPunct w:val="0"/>
        <w:topLinePunct w:val="0"/>
        <w:autoSpaceDE/>
        <w:autoSpaceDN/>
        <w:bidi w:val="0"/>
        <w:adjustRightInd/>
        <w:snapToGrid/>
        <w:spacing w:line="560" w:lineRule="exact"/>
        <w:ind w:left="0" w:leftChars="0" w:firstLine="640" w:firstLineChars="200"/>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一般机械伤害事故调查组     </w:t>
      </w:r>
    </w:p>
    <w:p w14:paraId="4C3E0227">
      <w:pPr>
        <w:pStyle w:val="9"/>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center"/>
        <w:rPr>
          <w:rFonts w:ascii="仿宋_GB2312" w:hAnsi="仿宋_GB2312" w:eastAsia="仿宋_GB2312" w:cs="仿宋_GB2312"/>
          <w:sz w:val="32"/>
          <w:szCs w:val="32"/>
        </w:rPr>
        <w:sectPr>
          <w:footerReference r:id="rId5" w:type="default"/>
          <w:footnotePr>
            <w:numFmt w:val="decimal"/>
          </w:footnotePr>
          <w:pgSz w:w="11906" w:h="16838"/>
          <w:pgMar w:top="2098" w:right="1474" w:bottom="1984" w:left="1587" w:header="851" w:footer="992" w:gutter="0"/>
          <w:pgNumType w:start="1"/>
          <w:cols w:space="720" w:num="1"/>
          <w:formProt w:val="0"/>
          <w:docGrid w:type="lines" w:linePitch="312" w:charSpace="43007"/>
        </w:sectPr>
      </w:pPr>
      <w:r>
        <w:rPr>
          <w:rFonts w:hint="eastAsia" w:ascii="仿宋_GB2312" w:hAnsi="仿宋_GB2312" w:eastAsia="仿宋_GB2312" w:cs="仿宋_GB2312"/>
          <w:sz w:val="32"/>
          <w:szCs w:val="32"/>
          <w:lang w:val="en-US" w:eastAsia="zh-CN"/>
        </w:rPr>
        <w:t xml:space="preserve">                   2026年9月21日</w:t>
      </w:r>
    </w:p>
    <w:p w14:paraId="169CDC90">
      <w:pPr>
        <w:pStyle w:val="7"/>
        <w:keepNext w:val="0"/>
        <w:keepLines w:val="0"/>
        <w:pageBreakBefore w:val="0"/>
        <w:widowControl w:val="0"/>
        <w:kinsoku/>
        <w:wordWrap/>
        <w:overflowPunct w:val="0"/>
        <w:topLinePunct w:val="0"/>
        <w:autoSpaceDE/>
        <w:autoSpaceDN/>
        <w:bidi w:val="0"/>
        <w:adjustRightInd/>
        <w:snapToGrid/>
        <w:spacing w:line="20" w:lineRule="exact"/>
        <w:ind w:left="0" w:leftChars="0" w:firstLine="0" w:firstLineChars="0"/>
        <w:jc w:val="both"/>
        <w:textAlignment w:val="auto"/>
        <w:rPr>
          <w:rFonts w:hint="default" w:ascii="仿宋_GB2312" w:hAnsi="仿宋" w:eastAsia="仿宋_GB2312"/>
          <w:sz w:val="32"/>
          <w:szCs w:val="32"/>
          <w:lang w:val="en-US" w:eastAsia="zh-CN"/>
        </w:rPr>
      </w:pPr>
    </w:p>
    <w:sectPr>
      <w:footerReference r:id="rId6" w:type="default"/>
      <w:pgSz w:w="11906" w:h="16838"/>
      <w:pgMar w:top="1440" w:right="1519" w:bottom="1440" w:left="1576" w:header="851" w:footer="992" w:gutter="0"/>
      <w:pgNumType w:fmt="decimal"/>
      <w:cols w:space="720" w:num="1"/>
      <w:formProt w:val="0"/>
      <w:docGrid w:type="lines" w:linePitch="312" w:charSpace="4300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A1DCB82-394D-47D3-8AAA-3F15BE2C5287}"/>
  </w:font>
  <w:font w:name="Arial">
    <w:panose1 w:val="020B0604020202020204"/>
    <w:charset w:val="01"/>
    <w:family w:val="swiss"/>
    <w:pitch w:val="default"/>
    <w:sig w:usb0="E0002EFF" w:usb1="C0007843" w:usb2="00000009" w:usb3="00000000" w:csb0="400001FF" w:csb1="FFFF0000"/>
    <w:embedRegular r:id="rId2" w:fontKey="{3C54292E-D8EA-4B76-B065-3531D9017049}"/>
  </w:font>
  <w:font w:name="黑体">
    <w:panose1 w:val="02010609060101010101"/>
    <w:charset w:val="86"/>
    <w:family w:val="auto"/>
    <w:pitch w:val="default"/>
    <w:sig w:usb0="800002BF" w:usb1="38CF7CFA" w:usb2="00000016" w:usb3="00000000" w:csb0="00040001" w:csb1="00000000"/>
    <w:embedRegular r:id="rId3" w:fontKey="{46F2067C-4AB1-490D-848E-FD3242DE5E15}"/>
  </w:font>
  <w:font w:name="Courier New">
    <w:panose1 w:val="02070309020205020404"/>
    <w:charset w:val="01"/>
    <w:family w:val="modern"/>
    <w:pitch w:val="default"/>
    <w:sig w:usb0="E0002EFF" w:usb1="C0007843" w:usb2="00000009" w:usb3="00000000" w:csb0="400001FF" w:csb1="FFFF0000"/>
    <w:embedRegular r:id="rId4" w:fontKey="{C0185276-769D-4564-BA42-62F6B651A30A}"/>
  </w:font>
  <w:font w:name="Symbol">
    <w:panose1 w:val="05050102010706020507"/>
    <w:charset w:val="02"/>
    <w:family w:val="roman"/>
    <w:pitch w:val="default"/>
    <w:sig w:usb0="00000000" w:usb1="00000000" w:usb2="00000000" w:usb3="00000000" w:csb0="80000000" w:csb1="00000000"/>
    <w:embedRegular r:id="rId5" w:fontKey="{FD96102D-1156-4FDD-A89F-FFE93FD4879A}"/>
  </w:font>
  <w:font w:name="Calibri">
    <w:panose1 w:val="020F0502020204030204"/>
    <w:charset w:val="00"/>
    <w:family w:val="swiss"/>
    <w:pitch w:val="default"/>
    <w:sig w:usb0="E0002AFF" w:usb1="C000247B" w:usb2="00000009" w:usb3="00000000" w:csb0="200001FF" w:csb1="00000000"/>
    <w:embedRegular r:id="rId6" w:fontKey="{125F1078-F923-4E4C-A87C-09F487FAA0FA}"/>
  </w:font>
  <w:font w:name="Mangal">
    <w:altName w:val="Segoe Print"/>
    <w:panose1 w:val="02040503050203030202"/>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embedRegular r:id="rId7" w:fontKey="{3E9CB5BB-9896-4767-A086-19D780FF3131}"/>
  </w:font>
  <w:font w:name="微软雅黑">
    <w:panose1 w:val="020B0503020204020204"/>
    <w:charset w:val="86"/>
    <w:family w:val="auto"/>
    <w:pitch w:val="default"/>
    <w:sig w:usb0="80000287" w:usb1="28CF3C50" w:usb2="00000016" w:usb3="00000000" w:csb0="0004001F" w:csb1="00000000"/>
    <w:embedRegular r:id="rId8" w:fontKey="{E3B2FF2F-251A-4BEF-B9EC-97A5F361C007}"/>
  </w:font>
  <w:font w:name="楷体_GB2312">
    <w:panose1 w:val="02010609030101010101"/>
    <w:charset w:val="86"/>
    <w:family w:val="auto"/>
    <w:pitch w:val="default"/>
    <w:sig w:usb0="00000001" w:usb1="080E0000" w:usb2="00000000" w:usb3="00000000" w:csb0="00040000" w:csb1="00000000"/>
    <w:embedRegular r:id="rId9" w:fontKey="{2477BCEE-D0C6-4574-9658-E98F550D5F7C}"/>
  </w:font>
  <w:font w:name="方正楷体_GB2312">
    <w:altName w:val="宋体"/>
    <w:panose1 w:val="02000000000000000000"/>
    <w:charset w:val="86"/>
    <w:family w:val="auto"/>
    <w:pitch w:val="default"/>
    <w:sig w:usb0="00000000" w:usb1="00000000" w:usb2="00000012" w:usb3="00000000" w:csb0="00040001" w:csb1="00000000"/>
    <w:embedRegular r:id="rId10" w:fontKey="{47E7B4EE-9E26-4296-8E49-3EAFBA8ED666}"/>
  </w:font>
  <w:font w:name="仿宋_GB2312">
    <w:panose1 w:val="02010609030101010101"/>
    <w:charset w:val="86"/>
    <w:family w:val="roman"/>
    <w:pitch w:val="default"/>
    <w:sig w:usb0="00000001" w:usb1="080E0000" w:usb2="00000000" w:usb3="00000000" w:csb0="00040000" w:csb1="00000000"/>
    <w:embedRegular r:id="rId11" w:fontKey="{72D23E92-2082-4190-847E-5BB7940AFCE9}"/>
  </w:font>
  <w:font w:name="仿宋">
    <w:panose1 w:val="02010609060101010101"/>
    <w:charset w:val="86"/>
    <w:family w:val="modern"/>
    <w:pitch w:val="default"/>
    <w:sig w:usb0="800002BF" w:usb1="38CF7CFA" w:usb2="00000016" w:usb3="00000000" w:csb0="00040001" w:csb1="00000000"/>
    <w:embedRegular r:id="rId12" w:fontKey="{78DAA7A1-C87F-45B6-938C-9973C1D954CE}"/>
  </w:font>
  <w:font w:name="楷体">
    <w:panose1 w:val="02010609060101010101"/>
    <w:charset w:val="86"/>
    <w:family w:val="modern"/>
    <w:pitch w:val="default"/>
    <w:sig w:usb0="800002BF" w:usb1="38CF7CFA" w:usb2="00000016" w:usb3="00000000" w:csb0="00040001" w:csb1="00000000"/>
    <w:embedRegular r:id="rId13" w:fontKey="{499637F1-127C-46D2-909C-A6644853DB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4D5E3">
    <w:pPr>
      <w:pStyle w:val="2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CC4E9">
                          <w:pPr>
                            <w:pStyle w:val="1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F4CC4E9">
                    <w:pPr>
                      <w:pStyle w:val="11"/>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E8E6B">
    <w:pPr>
      <w:pStyle w:val="21"/>
    </w:pPr>
    <w:r>
      <mc:AlternateContent>
        <mc:Choice Requires="wps">
          <w:drawing>
            <wp:anchor distT="0" distB="0" distL="114300" distR="114300" simplePos="0" relativeHeight="251659264" behindDoc="0" locked="0" layoutInCell="0" allowOverlap="1">
              <wp:simplePos x="0" y="0"/>
              <wp:positionH relativeFrom="margin">
                <wp:align>center</wp:align>
              </wp:positionH>
              <wp:positionV relativeFrom="paragraph">
                <wp:posOffset>0</wp:posOffset>
              </wp:positionV>
              <wp:extent cx="1829435" cy="155575"/>
              <wp:effectExtent l="0" t="0" r="0" b="0"/>
              <wp:wrapNone/>
              <wp:docPr id="14" name="文本框 12"/>
              <wp:cNvGraphicFramePr/>
              <a:graphic xmlns:a="http://schemas.openxmlformats.org/drawingml/2006/main">
                <a:graphicData uri="http://schemas.microsoft.com/office/word/2010/wordprocessingShape">
                  <wps:wsp>
                    <wps:cNvSpPr/>
                    <wps:spPr>
                      <a:xfrm>
                        <a:off x="0" y="0"/>
                        <a:ext cx="1828800" cy="154800"/>
                      </a:xfrm>
                      <a:prstGeom prst="rect">
                        <a:avLst/>
                      </a:prstGeom>
                      <a:noFill/>
                      <a:ln w="6350">
                        <a:noFill/>
                      </a:ln>
                      <a:effectLst/>
                    </wps:spPr>
                    <wps:txbx>
                      <w:txbxContent>
                        <w:p w14:paraId="392C9CFC">
                          <w:pPr>
                            <w:pStyle w:val="21"/>
                            <w:jc w:val="center"/>
                            <w:rPr>
                              <w:color w:val="000000"/>
                            </w:rPr>
                          </w:pPr>
                          <w:r>
                            <w:rPr>
                              <w:color w:val="000000"/>
                            </w:rPr>
                            <w:t xml:space="preserve">第 </w:t>
                          </w:r>
                          <w:r>
                            <w:rPr>
                              <w:color w:val="000000"/>
                            </w:rPr>
                            <w:fldChar w:fldCharType="begin"/>
                          </w:r>
                          <w:r>
                            <w:rPr>
                              <w:color w:val="000000"/>
                            </w:rPr>
                            <w:instrText xml:space="preserve">PAGE</w:instrText>
                          </w:r>
                          <w:r>
                            <w:rPr>
                              <w:color w:val="000000"/>
                            </w:rPr>
                            <w:fldChar w:fldCharType="separate"/>
                          </w:r>
                          <w:r>
                            <w:rPr>
                              <w:color w:val="000000"/>
                            </w:rPr>
                            <w:t>12</w:t>
                          </w:r>
                          <w:r>
                            <w:rPr>
                              <w:color w:val="000000"/>
                            </w:rPr>
                            <w:fldChar w:fldCharType="end"/>
                          </w:r>
                          <w:r>
                            <w:rPr>
                              <w:color w:val="000000"/>
                            </w:rPr>
                            <w:t xml:space="preserve"> 页 共 </w:t>
                          </w:r>
                          <w:r>
                            <w:rPr>
                              <w:rFonts w:hint="eastAsia"/>
                              <w:color w:val="000000"/>
                              <w:lang w:val="en-US" w:eastAsia="zh-CN"/>
                            </w:rPr>
                            <w:t>12</w:t>
                          </w:r>
                          <w:r>
                            <w:rPr>
                              <w:color w:val="000000"/>
                            </w:rPr>
                            <w:t>页</w:t>
                          </w:r>
                        </w:p>
                      </w:txbxContent>
                    </wps:txbx>
                    <wps:bodyPr lIns="0" tIns="0" rIns="0" bIns="0">
                      <a:spAutoFit/>
                    </wps:bodyPr>
                  </wps:wsp>
                </a:graphicData>
              </a:graphic>
            </wp:anchor>
          </w:drawing>
        </mc:Choice>
        <mc:Fallback>
          <w:pict>
            <v:rect id="文本框 12" o:spid="_x0000_s1026" o:spt="1" style="position:absolute;left:0pt;margin-top:0pt;height:12.25pt;width:144.05pt;mso-position-horizontal:center;mso-position-horizontal-relative:margin;z-index:251659264;mso-width-relative:page;mso-height-relative:page;" filled="f" stroked="f" coordsize="21600,21600" o:allowincell="f" o:gfxdata="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Nz1gI1QAAAAQBAAAPAAAAAAAAAAEAIAAAACIAAABkcnMvZG93bnJl&#10;di54bWxQSwECFAAUAAAACACHTuJAx0CK/McBAACPAwAADgAAAAAAAAABACAAAAAkAQAAZHJzL2Uy&#10;b0RvYy54bWxQSwUGAAAAAAYABgBZAQAAXQUAAAAA&#10;">
              <v:fill on="f" focussize="0,0"/>
              <v:stroke on="f" weight="0.5pt"/>
              <v:imagedata o:title=""/>
              <o:lock v:ext="edit" aspectratio="f"/>
              <v:textbox inset="0mm,0mm,0mm,0mm" style="mso-fit-shape-to-text:t;">
                <w:txbxContent>
                  <w:p w14:paraId="392C9CFC">
                    <w:pPr>
                      <w:pStyle w:val="21"/>
                      <w:jc w:val="center"/>
                      <w:rPr>
                        <w:color w:val="000000"/>
                      </w:rPr>
                    </w:pPr>
                    <w:r>
                      <w:rPr>
                        <w:color w:val="000000"/>
                      </w:rPr>
                      <w:t xml:space="preserve">第 </w:t>
                    </w:r>
                    <w:r>
                      <w:rPr>
                        <w:color w:val="000000"/>
                      </w:rPr>
                      <w:fldChar w:fldCharType="begin"/>
                    </w:r>
                    <w:r>
                      <w:rPr>
                        <w:color w:val="000000"/>
                      </w:rPr>
                      <w:instrText xml:space="preserve">PAGE</w:instrText>
                    </w:r>
                    <w:r>
                      <w:rPr>
                        <w:color w:val="000000"/>
                      </w:rPr>
                      <w:fldChar w:fldCharType="separate"/>
                    </w:r>
                    <w:r>
                      <w:rPr>
                        <w:color w:val="000000"/>
                      </w:rPr>
                      <w:t>12</w:t>
                    </w:r>
                    <w:r>
                      <w:rPr>
                        <w:color w:val="000000"/>
                      </w:rPr>
                      <w:fldChar w:fldCharType="end"/>
                    </w:r>
                    <w:r>
                      <w:rPr>
                        <w:color w:val="000000"/>
                      </w:rPr>
                      <w:t xml:space="preserve"> 页 共 </w:t>
                    </w:r>
                    <w:r>
                      <w:rPr>
                        <w:rFonts w:hint="eastAsia"/>
                        <w:color w:val="000000"/>
                        <w:lang w:val="en-US" w:eastAsia="zh-CN"/>
                      </w:rPr>
                      <w:t>12</w:t>
                    </w:r>
                    <w:r>
                      <w:rPr>
                        <w:color w:val="000000"/>
                      </w:rPr>
                      <w:t>页</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E4EC2">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14:paraId="7E6BC902">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中华人民共和国安全生产法》第四条规定：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14:paraId="4A32B26E">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江西省安全生产条例</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第十六条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生产经营单位应当制定下列安全生产规章制度：</w:t>
      </w:r>
    </w:p>
    <w:p w14:paraId="12D01181">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（一）全员安全生产责任制度；</w:t>
      </w:r>
    </w:p>
    <w:p w14:paraId="38086C92">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（二）安全生产教育和培训制度；</w:t>
      </w:r>
    </w:p>
    <w:p w14:paraId="5D519275">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（三）安全风险分级管控和隐患排查治理制度；</w:t>
      </w:r>
    </w:p>
    <w:p w14:paraId="000271D4">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（四）安全生产投入制度；</w:t>
      </w:r>
    </w:p>
    <w:p w14:paraId="49F2DAB2">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（五）危险作业管理制度；</w:t>
      </w:r>
    </w:p>
    <w:p w14:paraId="5C254BC9">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（六）生产经营场所和设施、设备、工艺安全管理制度；</w:t>
      </w:r>
    </w:p>
    <w:p w14:paraId="25758B6A">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（七）劳动防护用品使用和管理制度；</w:t>
      </w:r>
    </w:p>
    <w:p w14:paraId="3EE985BA">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（八）生产安全事故报告和处理制度；</w:t>
      </w:r>
    </w:p>
    <w:p w14:paraId="3E27C228">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（九）安全生产考核奖惩制度；</w:t>
      </w:r>
    </w:p>
    <w:p w14:paraId="3A438FF6">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（十）其他保障安全生产的规章制度。</w:t>
      </w:r>
    </w:p>
    <w:p w14:paraId="1DB1FFB6">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rPr>
      </w:pPr>
      <w:r>
        <w:rPr>
          <w:rFonts w:hint="eastAsia" w:asciiTheme="minorEastAsia" w:hAnsiTheme="minorEastAsia" w:eastAsiaTheme="minorEastAsia" w:cstheme="minorEastAsia"/>
          <w:sz w:val="18"/>
          <w:szCs w:val="18"/>
        </w:rPr>
        <w:t>生产经营单位根据本单位实际，可以制定包含上一款内容的综合性安全生产规章制度。</w:t>
      </w:r>
    </w:p>
  </w:footnote>
  <w:footnote w:id="1">
    <w:p w14:paraId="66FAEBAB">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w:t>
      </w:r>
      <w:r>
        <w:rPr>
          <w:rFonts w:hint="eastAsia" w:asciiTheme="minorEastAsia" w:hAnsiTheme="minorEastAsia" w:eastAsiaTheme="minorEastAsia" w:cstheme="minorEastAsia"/>
          <w:sz w:val="18"/>
          <w:szCs w:val="18"/>
          <w:lang w:val="en-US" w:eastAsia="zh-CN"/>
        </w:rPr>
        <w:t>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1FE9FF54">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生产经营单位应当建立安全生产教育和培训档案，如实记录安全生产教育和培训的时间、</w:t>
      </w:r>
      <w:r>
        <w:rPr>
          <w:rFonts w:hint="eastAsia" w:asciiTheme="minorEastAsia" w:hAnsiTheme="minorEastAsia" w:eastAsiaTheme="minorEastAsia" w:cstheme="minorEastAsia"/>
          <w:sz w:val="18"/>
          <w:szCs w:val="18"/>
        </w:rPr>
        <w:t>内容、参加人员以及考核结果等情况。</w:t>
      </w:r>
    </w:p>
  </w:footnote>
  <w:footnote w:id="2">
    <w:p w14:paraId="0DFFB63D">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安全生产法》第四十一条</w:t>
      </w:r>
      <w:r>
        <w:rPr>
          <w:rFonts w:hint="eastAsia" w:asciiTheme="minorEastAsia" w:hAnsiTheme="minorEastAsia" w:cstheme="minorEastAsia"/>
          <w:sz w:val="18"/>
          <w:szCs w:val="18"/>
          <w:lang w:eastAsia="zh-CN"/>
        </w:rPr>
        <w:t>：</w:t>
      </w:r>
      <w:r>
        <w:rPr>
          <w:rFonts w:hint="eastAsia" w:asciiTheme="minorEastAsia" w:hAnsiTheme="minorEastAsia" w:eastAsiaTheme="minorEastAsia" w:cstheme="minorEastAsia"/>
          <w:sz w:val="18"/>
          <w:szCs w:val="18"/>
        </w:rPr>
        <w:t>生产经营单位应当建立安全风险分级管控制度，按照安全风险分级采取相应的管控措施。</w:t>
      </w:r>
    </w:p>
    <w:p w14:paraId="0E5DC761">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1A24C745">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w:t>
      </w:r>
      <w:r>
        <w:rPr>
          <w:rFonts w:hint="eastAsia" w:asciiTheme="minorEastAsia" w:hAnsiTheme="minorEastAsia" w:eastAsiaTheme="minorEastAsia" w:cstheme="minorEastAsia"/>
          <w:sz w:val="18"/>
          <w:szCs w:val="18"/>
          <w:lang w:val="en-US" w:eastAsia="zh-CN"/>
        </w:rPr>
        <w:t>第四十四条：生产经营单位应当教育和督促从业人员严格执行本单位的安全生产规章制度和安全操作规程；并向从业人员如实告知作业场所和工作岗位存在的危险因素、防范措施以及事故应急措施。</w:t>
      </w:r>
    </w:p>
    <w:p w14:paraId="7353785E">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cstheme="minorEastAsia"/>
          <w:sz w:val="18"/>
          <w:szCs w:val="18"/>
          <w:lang w:val="en-US" w:eastAsia="zh-CN"/>
        </w:rPr>
        <w:t>《江西省安全生产条例》</w:t>
      </w:r>
      <w:r>
        <w:rPr>
          <w:rFonts w:hint="eastAsia" w:asciiTheme="minorEastAsia" w:hAnsiTheme="minorEastAsia" w:eastAsiaTheme="minorEastAsia" w:cstheme="minorEastAsia"/>
          <w:sz w:val="18"/>
          <w:szCs w:val="18"/>
          <w:lang w:val="en-US" w:eastAsia="zh-CN"/>
        </w:rPr>
        <w:t>第二十一条</w:t>
      </w:r>
      <w:r>
        <w:rPr>
          <w:rFonts w:hint="eastAsia" w:asciiTheme="minorEastAsia" w:hAnsi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t>生产经营单位应当建立健全并落实安全风险分级管控制度，定期组织安全生产管理、工程技术、岗位操作等相关人员，对生产工艺、设施设备、作业环境、人员行为等方面存在的安全风险进行全面、系统辨识评估，对辨识出的安全风险进行分类梳理，确定安全风险等级，从制度、组织、技术、管理、应急等方面逐项制定管控措施，编制风险分级管控清单，按照安全风险等级实施分级管控。</w:t>
      </w:r>
    </w:p>
    <w:p w14:paraId="3EB1C016">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应当建立健全并落实生产安全事故隐患排查治理制度，明确单位各部门（车间）、安全生产管理机构、班组负责人和具体岗位从业人员的事故隐患排查治理责任，定期组织事故隐患排查，编制事故隐患排查治理清单。事故隐患排查治理情况应当如实记录，按照规定建立台账或者信息档案，并通过职工大会或者职工代表大会、信息公示栏等方式向从业人员通报。对事故隐患应当及时采取技术、管理等措施予以消除；对不能及时消除的事故隐患应当采取有效安全防范和监控措施，制定治理方案，明确治理的具体措施、责任、资金、时限和应急预案。</w:t>
      </w:r>
    </w:p>
  </w:footnote>
  <w:footnote w:id="3">
    <w:p w14:paraId="0ACD034C">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安全生产法》第二十一条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生产经营单位的主要负责人对本单位安全生产工作负有下列职责:</w:t>
      </w:r>
    </w:p>
    <w:p w14:paraId="15A43E06">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（一）建立健全并落实本单位全员安全生产责任制，加强安全生产标准化建设；</w:t>
      </w:r>
    </w:p>
    <w:p w14:paraId="18824030">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（二）组织制定并实施本单位安全生产规章制度和操作规程；</w:t>
      </w:r>
    </w:p>
    <w:p w14:paraId="2F6F0EEC">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（三）组织制定并实施本单位安全生产教育和培训计划；</w:t>
      </w:r>
    </w:p>
    <w:p w14:paraId="69079D74">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（四）保证本单位安全生产投入的有效实施；</w:t>
      </w:r>
    </w:p>
    <w:p w14:paraId="5EF6B61B">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（五）组织建立并落实安全风险分级管控和隐患排查治理双重预防工作机制，督促、检查本单位的安全生产工作，及时消除生产安全事故隐患；</w:t>
      </w:r>
    </w:p>
    <w:p w14:paraId="6A1492CB">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（六）组织制定并实施本单位的生产安全事故应急救援预案；</w:t>
      </w:r>
    </w:p>
    <w:p w14:paraId="10FF3FDE">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（七）及时、如实报告生产安全事故。</w:t>
      </w:r>
    </w:p>
  </w:footnote>
  <w:footnote w:id="4">
    <w:p w14:paraId="375F29A2">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安全生产法》第九十五条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生产经营单位的主要负责人未履行本法规定的安全生产管理职责，导致发生生产安全事故的，由应急管理部门依照下列规定处以罚款:</w:t>
      </w:r>
    </w:p>
    <w:p w14:paraId="340903A7">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（一）发生一般事故的，处上一年年收入百分之四十的罚款；</w:t>
      </w:r>
    </w:p>
    <w:p w14:paraId="1A08C399">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（二）发生较大事故的，处上一年年收入百分之六十的罚款；</w:t>
      </w:r>
    </w:p>
    <w:p w14:paraId="68A6E020">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（三）发生重大事故的，处上一年年收入百分之八十的罚款；</w:t>
      </w:r>
    </w:p>
    <w:p w14:paraId="2DD3742E">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（四）发生特别重大事故的，处上一年年收入百分之一百的罚款。</w:t>
      </w:r>
    </w:p>
  </w:footnote>
  <w:footnote w:id="5">
    <w:p w14:paraId="42435935">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安全生产法》第四条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6">
    <w:p w14:paraId="0FF05F46">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[7]《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61F798F1">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78B98802">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生产经营单位接收中等职业学校、高等学校学生实习的，应当对实习学生进行相应的安全生产教育和培训，提供必要的劳动防护用品。学校应当协助生产经营单位对实习学生进行安全生产教育和培训。</w:t>
      </w:r>
    </w:p>
    <w:p w14:paraId="2DBD0D0C">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生产经营单位应当建立安全生产教育和培训档案，如实记录安全生产教育和培训的时间、内容、参加人员以及考核结果等情况。</w:t>
      </w:r>
    </w:p>
  </w:footnote>
  <w:footnote w:id="7">
    <w:p w14:paraId="4E211D5D">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]《中华人民共和国安全生产法》第四十一条：生产经营单位应当建立安全风险分级管控制度，按照安全风险分级采取相应的管控措施。</w:t>
      </w:r>
    </w:p>
    <w:p w14:paraId="6CDB80C6">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2F33B349">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县级以上地方各级人民政府负有安全生产监督管理职责的部门应当将重大事故隐患纳入相关信息系统，建立健全重大事故隐患治理督办制度，督促生产经营单位消除重大事故隐患。</w:t>
      </w:r>
    </w:p>
  </w:footnote>
  <w:footnote w:id="8">
    <w:p w14:paraId="6157B0E4">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]《中华人民共和国安全生产法》第一百一十四条：发生生产安全事故，对负有责任的生产经营单位除要求其依法承担相应的赔偿等责任外，由应急管理部门依照下列规定处以罚款：</w:t>
      </w:r>
    </w:p>
    <w:p w14:paraId="689F5F6E">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（一）发生一般事故的，处三十万元以上一百万元以下的罚款（二）发生较大事故的，处一百万元以上二百万元以下的罚款；</w:t>
      </w:r>
    </w:p>
    <w:p w14:paraId="43F2A1A2">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（三）发生重大事故的，处二百万元以上一千万元以下的罚款；</w:t>
      </w:r>
    </w:p>
    <w:p w14:paraId="2B1441F9">
      <w:pPr>
        <w:pStyle w:val="9"/>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（四）发生特别重大事故的，处一千万元以上二千万元以下的罚款。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19"/>
  <w:autoHyphenation/>
  <w:displayHorizontalDrawingGridEvery w:val="1"/>
  <w:displayVerticalDrawingGridEvery w:val="1"/>
  <w:noPunctuationKerning w:val="1"/>
  <w:characterSpacingControl w:val="doNotCompress"/>
  <w:footnotePr>
    <w:footnote w:id="18"/>
    <w:footnote w:id="19"/>
  </w:footnotePr>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hNTBmY2ZhMjMxN2M5Njc0MzBkZDkyOWEzNDQ2MmYifQ=="/>
  </w:docVars>
  <w:rsids>
    <w:rsidRoot w:val="003D1C90"/>
    <w:rsid w:val="00040C3D"/>
    <w:rsid w:val="00154A30"/>
    <w:rsid w:val="00167024"/>
    <w:rsid w:val="00223665"/>
    <w:rsid w:val="00343194"/>
    <w:rsid w:val="00360E6B"/>
    <w:rsid w:val="003D1C90"/>
    <w:rsid w:val="003F140D"/>
    <w:rsid w:val="00471B1A"/>
    <w:rsid w:val="004C7C71"/>
    <w:rsid w:val="004F5D14"/>
    <w:rsid w:val="005D3FB6"/>
    <w:rsid w:val="007D5831"/>
    <w:rsid w:val="008E4CDF"/>
    <w:rsid w:val="00AA5C44"/>
    <w:rsid w:val="00AE4881"/>
    <w:rsid w:val="00B00D43"/>
    <w:rsid w:val="00B76EE9"/>
    <w:rsid w:val="00CD21CA"/>
    <w:rsid w:val="00D66044"/>
    <w:rsid w:val="00E4039F"/>
    <w:rsid w:val="00E54129"/>
    <w:rsid w:val="00EB228F"/>
    <w:rsid w:val="00FE1315"/>
    <w:rsid w:val="01855C1F"/>
    <w:rsid w:val="018A58CB"/>
    <w:rsid w:val="01D056DE"/>
    <w:rsid w:val="01FF1E15"/>
    <w:rsid w:val="024B61E8"/>
    <w:rsid w:val="030D40BE"/>
    <w:rsid w:val="03F25B23"/>
    <w:rsid w:val="043C1D9F"/>
    <w:rsid w:val="04846944"/>
    <w:rsid w:val="052B2FCF"/>
    <w:rsid w:val="05300538"/>
    <w:rsid w:val="05EF3F4F"/>
    <w:rsid w:val="06562220"/>
    <w:rsid w:val="06AF5991"/>
    <w:rsid w:val="074B4DF2"/>
    <w:rsid w:val="075524D7"/>
    <w:rsid w:val="0826583C"/>
    <w:rsid w:val="08AC2F18"/>
    <w:rsid w:val="08EE6740"/>
    <w:rsid w:val="09903A5B"/>
    <w:rsid w:val="09AA6B0A"/>
    <w:rsid w:val="09B5568E"/>
    <w:rsid w:val="09BF3551"/>
    <w:rsid w:val="0A856C30"/>
    <w:rsid w:val="0AB47F2A"/>
    <w:rsid w:val="0AC82E14"/>
    <w:rsid w:val="0BAD0343"/>
    <w:rsid w:val="0BB04180"/>
    <w:rsid w:val="0C2C7CAB"/>
    <w:rsid w:val="0C3571FF"/>
    <w:rsid w:val="0D4C4C89"/>
    <w:rsid w:val="0DF865D2"/>
    <w:rsid w:val="0E6D3CDD"/>
    <w:rsid w:val="0E8D2557"/>
    <w:rsid w:val="0F77518B"/>
    <w:rsid w:val="0F9C2F06"/>
    <w:rsid w:val="10186CAC"/>
    <w:rsid w:val="1053331C"/>
    <w:rsid w:val="10793013"/>
    <w:rsid w:val="110B1799"/>
    <w:rsid w:val="1117619B"/>
    <w:rsid w:val="112563F5"/>
    <w:rsid w:val="1144122A"/>
    <w:rsid w:val="115F1BDA"/>
    <w:rsid w:val="119157E6"/>
    <w:rsid w:val="11A82B01"/>
    <w:rsid w:val="11BB565B"/>
    <w:rsid w:val="11DC7A7D"/>
    <w:rsid w:val="128B3606"/>
    <w:rsid w:val="14665D24"/>
    <w:rsid w:val="14EA311B"/>
    <w:rsid w:val="157222F6"/>
    <w:rsid w:val="16C414B1"/>
    <w:rsid w:val="17C5010E"/>
    <w:rsid w:val="1810088A"/>
    <w:rsid w:val="190A3776"/>
    <w:rsid w:val="19297320"/>
    <w:rsid w:val="193B7A6B"/>
    <w:rsid w:val="194957E2"/>
    <w:rsid w:val="19D96564"/>
    <w:rsid w:val="19FFA50D"/>
    <w:rsid w:val="1A2D37CA"/>
    <w:rsid w:val="1A6E6C28"/>
    <w:rsid w:val="1AAE3A41"/>
    <w:rsid w:val="1B2D1E0F"/>
    <w:rsid w:val="1B3B2E9D"/>
    <w:rsid w:val="1B5747FB"/>
    <w:rsid w:val="1B8D4A98"/>
    <w:rsid w:val="1BF55FBA"/>
    <w:rsid w:val="1C9C10DE"/>
    <w:rsid w:val="1CFD4F9F"/>
    <w:rsid w:val="1E624E22"/>
    <w:rsid w:val="1E6C2DEB"/>
    <w:rsid w:val="1E820A99"/>
    <w:rsid w:val="1E90793C"/>
    <w:rsid w:val="1F5C0C50"/>
    <w:rsid w:val="1FA607CC"/>
    <w:rsid w:val="20125347"/>
    <w:rsid w:val="201802E0"/>
    <w:rsid w:val="21C354A2"/>
    <w:rsid w:val="21C82F51"/>
    <w:rsid w:val="21F90CC0"/>
    <w:rsid w:val="22A34CB2"/>
    <w:rsid w:val="23B75C54"/>
    <w:rsid w:val="23C46526"/>
    <w:rsid w:val="24E54A43"/>
    <w:rsid w:val="25034EC9"/>
    <w:rsid w:val="25BD3609"/>
    <w:rsid w:val="26AF134E"/>
    <w:rsid w:val="26E36D60"/>
    <w:rsid w:val="27574607"/>
    <w:rsid w:val="276734B3"/>
    <w:rsid w:val="27FF85C8"/>
    <w:rsid w:val="2956473B"/>
    <w:rsid w:val="299704D3"/>
    <w:rsid w:val="2A3D1CDF"/>
    <w:rsid w:val="2A9B76FE"/>
    <w:rsid w:val="2AAD2577"/>
    <w:rsid w:val="2BEE7BFA"/>
    <w:rsid w:val="2C0D6C02"/>
    <w:rsid w:val="2C655D27"/>
    <w:rsid w:val="2C9D3A40"/>
    <w:rsid w:val="2D3B4634"/>
    <w:rsid w:val="2DA568E1"/>
    <w:rsid w:val="2DC3417B"/>
    <w:rsid w:val="2DE93D59"/>
    <w:rsid w:val="2E60513A"/>
    <w:rsid w:val="2E8B228D"/>
    <w:rsid w:val="2EF35FAE"/>
    <w:rsid w:val="2EFB951E"/>
    <w:rsid w:val="2F807842"/>
    <w:rsid w:val="2FBDFD5A"/>
    <w:rsid w:val="2FE4197F"/>
    <w:rsid w:val="30352579"/>
    <w:rsid w:val="30D00355"/>
    <w:rsid w:val="316E7B6E"/>
    <w:rsid w:val="31D64091"/>
    <w:rsid w:val="32967180"/>
    <w:rsid w:val="329C4871"/>
    <w:rsid w:val="32DE7765"/>
    <w:rsid w:val="33010C9A"/>
    <w:rsid w:val="331A59A0"/>
    <w:rsid w:val="33674BFD"/>
    <w:rsid w:val="337A0A4C"/>
    <w:rsid w:val="33C331DC"/>
    <w:rsid w:val="33C98FD8"/>
    <w:rsid w:val="342E0AC8"/>
    <w:rsid w:val="364621A2"/>
    <w:rsid w:val="36CC9079"/>
    <w:rsid w:val="374C6A20"/>
    <w:rsid w:val="37974C3A"/>
    <w:rsid w:val="37D5A424"/>
    <w:rsid w:val="37F94635"/>
    <w:rsid w:val="38895B61"/>
    <w:rsid w:val="38E94FE5"/>
    <w:rsid w:val="3AC107C7"/>
    <w:rsid w:val="3AEC222F"/>
    <w:rsid w:val="3AEE5047"/>
    <w:rsid w:val="3B190C3C"/>
    <w:rsid w:val="3B4C1CFF"/>
    <w:rsid w:val="3B9711A7"/>
    <w:rsid w:val="3BC15D34"/>
    <w:rsid w:val="3BD137DB"/>
    <w:rsid w:val="3BEF65D9"/>
    <w:rsid w:val="3BF98EB2"/>
    <w:rsid w:val="3C4165AB"/>
    <w:rsid w:val="3C7054DF"/>
    <w:rsid w:val="3CE36864"/>
    <w:rsid w:val="3D27037D"/>
    <w:rsid w:val="3D850B8F"/>
    <w:rsid w:val="3E7F64DB"/>
    <w:rsid w:val="3E9FFF94"/>
    <w:rsid w:val="3EB617F4"/>
    <w:rsid w:val="3EFA798A"/>
    <w:rsid w:val="3EFF9DC8"/>
    <w:rsid w:val="3F374F9E"/>
    <w:rsid w:val="3F584337"/>
    <w:rsid w:val="3FBE1BBC"/>
    <w:rsid w:val="3FDFE654"/>
    <w:rsid w:val="3FEFF3B2"/>
    <w:rsid w:val="3FFC231A"/>
    <w:rsid w:val="41521A3E"/>
    <w:rsid w:val="419D1715"/>
    <w:rsid w:val="41CC2DBB"/>
    <w:rsid w:val="42C86F8D"/>
    <w:rsid w:val="42D80560"/>
    <w:rsid w:val="43430E5B"/>
    <w:rsid w:val="43CA24DE"/>
    <w:rsid w:val="44030F25"/>
    <w:rsid w:val="443E79B1"/>
    <w:rsid w:val="44BE2E8F"/>
    <w:rsid w:val="44ED5522"/>
    <w:rsid w:val="44F57717"/>
    <w:rsid w:val="45173EE8"/>
    <w:rsid w:val="451A1F12"/>
    <w:rsid w:val="454B473F"/>
    <w:rsid w:val="45714915"/>
    <w:rsid w:val="45F823D0"/>
    <w:rsid w:val="46431172"/>
    <w:rsid w:val="47F0239B"/>
    <w:rsid w:val="484E298E"/>
    <w:rsid w:val="48816BF8"/>
    <w:rsid w:val="48977804"/>
    <w:rsid w:val="48EE1869"/>
    <w:rsid w:val="490177EE"/>
    <w:rsid w:val="49AE2F15"/>
    <w:rsid w:val="49EE5569"/>
    <w:rsid w:val="4ABB577A"/>
    <w:rsid w:val="4ABE4653"/>
    <w:rsid w:val="4B4B2A29"/>
    <w:rsid w:val="4B7D0C6E"/>
    <w:rsid w:val="4BF75D90"/>
    <w:rsid w:val="4CB21515"/>
    <w:rsid w:val="4D2C0BB1"/>
    <w:rsid w:val="4D4339AC"/>
    <w:rsid w:val="4D8C39CA"/>
    <w:rsid w:val="4DE4CEA6"/>
    <w:rsid w:val="4DF36D9C"/>
    <w:rsid w:val="4E122D00"/>
    <w:rsid w:val="4E5E2927"/>
    <w:rsid w:val="4F7866DB"/>
    <w:rsid w:val="4F9A247A"/>
    <w:rsid w:val="4FB629B4"/>
    <w:rsid w:val="4FF260E2"/>
    <w:rsid w:val="50836D3A"/>
    <w:rsid w:val="51337FC8"/>
    <w:rsid w:val="514A5AAA"/>
    <w:rsid w:val="517221EA"/>
    <w:rsid w:val="519B6840"/>
    <w:rsid w:val="51C000AC"/>
    <w:rsid w:val="526E5A22"/>
    <w:rsid w:val="532950A2"/>
    <w:rsid w:val="533F623F"/>
    <w:rsid w:val="536F5752"/>
    <w:rsid w:val="5386672E"/>
    <w:rsid w:val="53B813F1"/>
    <w:rsid w:val="5442607F"/>
    <w:rsid w:val="54621BE4"/>
    <w:rsid w:val="55A760D4"/>
    <w:rsid w:val="55B015CE"/>
    <w:rsid w:val="56107A43"/>
    <w:rsid w:val="56296B2A"/>
    <w:rsid w:val="569164B9"/>
    <w:rsid w:val="574A2360"/>
    <w:rsid w:val="57634483"/>
    <w:rsid w:val="58530CC9"/>
    <w:rsid w:val="59A541C5"/>
    <w:rsid w:val="59B27721"/>
    <w:rsid w:val="5A437BF3"/>
    <w:rsid w:val="5ABD2305"/>
    <w:rsid w:val="5ACA0E33"/>
    <w:rsid w:val="5BBF6C09"/>
    <w:rsid w:val="5BF60584"/>
    <w:rsid w:val="5C182A2D"/>
    <w:rsid w:val="5C7E53FF"/>
    <w:rsid w:val="5CE40B61"/>
    <w:rsid w:val="5D7A7717"/>
    <w:rsid w:val="5D8F31C2"/>
    <w:rsid w:val="5DAB5B22"/>
    <w:rsid w:val="5DCF1C1F"/>
    <w:rsid w:val="5DF91BE5"/>
    <w:rsid w:val="5DFB0236"/>
    <w:rsid w:val="5E3F3C5B"/>
    <w:rsid w:val="5E6F8174"/>
    <w:rsid w:val="5F9165FD"/>
    <w:rsid w:val="5FC507ED"/>
    <w:rsid w:val="5FC5A8DD"/>
    <w:rsid w:val="5FDA2EFF"/>
    <w:rsid w:val="5FFDDAD1"/>
    <w:rsid w:val="60310B86"/>
    <w:rsid w:val="60563087"/>
    <w:rsid w:val="609C10B5"/>
    <w:rsid w:val="60E23609"/>
    <w:rsid w:val="61292712"/>
    <w:rsid w:val="628B3AAF"/>
    <w:rsid w:val="63511D57"/>
    <w:rsid w:val="63A308A2"/>
    <w:rsid w:val="63B079EF"/>
    <w:rsid w:val="649015CE"/>
    <w:rsid w:val="66906FB8"/>
    <w:rsid w:val="66C564EF"/>
    <w:rsid w:val="671771FC"/>
    <w:rsid w:val="676F5D62"/>
    <w:rsid w:val="67BFFC66"/>
    <w:rsid w:val="693C476F"/>
    <w:rsid w:val="694071DA"/>
    <w:rsid w:val="69EC5D0E"/>
    <w:rsid w:val="6A0D0354"/>
    <w:rsid w:val="6B6A0DCB"/>
    <w:rsid w:val="6BC4672D"/>
    <w:rsid w:val="6C4C0AD1"/>
    <w:rsid w:val="6C7D712C"/>
    <w:rsid w:val="6C7F0FAD"/>
    <w:rsid w:val="6D7D4DE5"/>
    <w:rsid w:val="6D7F9CAD"/>
    <w:rsid w:val="6D9C243D"/>
    <w:rsid w:val="6DA943DF"/>
    <w:rsid w:val="6DE56617"/>
    <w:rsid w:val="6EFB9162"/>
    <w:rsid w:val="6F187D41"/>
    <w:rsid w:val="6F5A4CB2"/>
    <w:rsid w:val="6F97DF97"/>
    <w:rsid w:val="6FD41A03"/>
    <w:rsid w:val="6FE70842"/>
    <w:rsid w:val="6FFFCB99"/>
    <w:rsid w:val="71AB3FB5"/>
    <w:rsid w:val="71E847F7"/>
    <w:rsid w:val="73137F9A"/>
    <w:rsid w:val="73966C01"/>
    <w:rsid w:val="73EC4A73"/>
    <w:rsid w:val="741C5549"/>
    <w:rsid w:val="74255B94"/>
    <w:rsid w:val="748D119D"/>
    <w:rsid w:val="749F1AE5"/>
    <w:rsid w:val="74F37D19"/>
    <w:rsid w:val="74F3CBAA"/>
    <w:rsid w:val="74FEED40"/>
    <w:rsid w:val="751002ED"/>
    <w:rsid w:val="75483F2B"/>
    <w:rsid w:val="75680129"/>
    <w:rsid w:val="760A0722"/>
    <w:rsid w:val="772205A1"/>
    <w:rsid w:val="77450125"/>
    <w:rsid w:val="774539FA"/>
    <w:rsid w:val="77472DB0"/>
    <w:rsid w:val="777F5C4A"/>
    <w:rsid w:val="77B7450C"/>
    <w:rsid w:val="77BB4B29"/>
    <w:rsid w:val="77D737E7"/>
    <w:rsid w:val="77EC10A9"/>
    <w:rsid w:val="77F85267"/>
    <w:rsid w:val="786468B7"/>
    <w:rsid w:val="79CDF47D"/>
    <w:rsid w:val="79EC613E"/>
    <w:rsid w:val="7A1C07A1"/>
    <w:rsid w:val="7ABB0CFB"/>
    <w:rsid w:val="7AFEDC96"/>
    <w:rsid w:val="7B9E5CCB"/>
    <w:rsid w:val="7BED2714"/>
    <w:rsid w:val="7BEE5100"/>
    <w:rsid w:val="7BF97907"/>
    <w:rsid w:val="7CFD9827"/>
    <w:rsid w:val="7D3957CF"/>
    <w:rsid w:val="7DC4436B"/>
    <w:rsid w:val="7DDA4973"/>
    <w:rsid w:val="7DDFF175"/>
    <w:rsid w:val="7DE47C5D"/>
    <w:rsid w:val="7DF7FC5D"/>
    <w:rsid w:val="7E1B6FAC"/>
    <w:rsid w:val="7E4D38A8"/>
    <w:rsid w:val="7E611BB9"/>
    <w:rsid w:val="7E633F8B"/>
    <w:rsid w:val="7ECBCDED"/>
    <w:rsid w:val="7EF6799E"/>
    <w:rsid w:val="7EFF034A"/>
    <w:rsid w:val="7F1F1327"/>
    <w:rsid w:val="7F3A210C"/>
    <w:rsid w:val="7F7BE1B8"/>
    <w:rsid w:val="7F914720"/>
    <w:rsid w:val="7FAF701E"/>
    <w:rsid w:val="7FBFD43F"/>
    <w:rsid w:val="7FD98153"/>
    <w:rsid w:val="7FE13999"/>
    <w:rsid w:val="7FE323B7"/>
    <w:rsid w:val="7FF75A3A"/>
    <w:rsid w:val="7FFB09F3"/>
    <w:rsid w:val="7FFBDACB"/>
    <w:rsid w:val="7FFF3610"/>
    <w:rsid w:val="8E779D86"/>
    <w:rsid w:val="979E2FDF"/>
    <w:rsid w:val="AF7F97C4"/>
    <w:rsid w:val="AFDF6351"/>
    <w:rsid w:val="AFF56234"/>
    <w:rsid w:val="B3BD6CB6"/>
    <w:rsid w:val="B3FF4BAB"/>
    <w:rsid w:val="B7B75D08"/>
    <w:rsid w:val="B7FF52AE"/>
    <w:rsid w:val="BB3BEFAD"/>
    <w:rsid w:val="BBE817CF"/>
    <w:rsid w:val="BCDDE8B0"/>
    <w:rsid w:val="BD3F19E5"/>
    <w:rsid w:val="BDAF331D"/>
    <w:rsid w:val="BF3F4D83"/>
    <w:rsid w:val="BF7D062D"/>
    <w:rsid w:val="BFF5D8D5"/>
    <w:rsid w:val="C4BFF1CB"/>
    <w:rsid w:val="C9BB08EE"/>
    <w:rsid w:val="D6BEAA9F"/>
    <w:rsid w:val="D74ED59A"/>
    <w:rsid w:val="DADDEEFC"/>
    <w:rsid w:val="DDFCC399"/>
    <w:rsid w:val="DFF8F1A1"/>
    <w:rsid w:val="E6F3CF3B"/>
    <w:rsid w:val="E7BB00BE"/>
    <w:rsid w:val="E7DF4CAF"/>
    <w:rsid w:val="E7FF283C"/>
    <w:rsid w:val="E7FFCA18"/>
    <w:rsid w:val="E97FD81E"/>
    <w:rsid w:val="EF3FEADA"/>
    <w:rsid w:val="EFBE1A3C"/>
    <w:rsid w:val="EFDA0FBE"/>
    <w:rsid w:val="EFFF8A28"/>
    <w:rsid w:val="F5EF0C8B"/>
    <w:rsid w:val="F77F57C5"/>
    <w:rsid w:val="F7D4C525"/>
    <w:rsid w:val="F7FE85B5"/>
    <w:rsid w:val="F87DECDE"/>
    <w:rsid w:val="F8DFF37E"/>
    <w:rsid w:val="F9FD5206"/>
    <w:rsid w:val="F9FF103A"/>
    <w:rsid w:val="FA97C106"/>
    <w:rsid w:val="FAFFB668"/>
    <w:rsid w:val="FB3F661A"/>
    <w:rsid w:val="FB7C6F3B"/>
    <w:rsid w:val="FBAF5CC9"/>
    <w:rsid w:val="FBE8B42A"/>
    <w:rsid w:val="FBE94417"/>
    <w:rsid w:val="FBFF5E41"/>
    <w:rsid w:val="FC7DCA73"/>
    <w:rsid w:val="FCB718D8"/>
    <w:rsid w:val="FD5F495F"/>
    <w:rsid w:val="FD6E3D2E"/>
    <w:rsid w:val="FECE2DB5"/>
    <w:rsid w:val="FEFF4E27"/>
    <w:rsid w:val="FF374EBC"/>
    <w:rsid w:val="FF3E8D08"/>
    <w:rsid w:val="FF4C4C56"/>
    <w:rsid w:val="FFDFF989"/>
    <w:rsid w:val="FFE74D77"/>
    <w:rsid w:val="FFEF152E"/>
    <w:rsid w:val="FFF707B5"/>
    <w:rsid w:val="FFFF995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hi-IN"/>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color w:val="333333"/>
      <w:kern w:val="44"/>
      <w:sz w:val="42"/>
      <w:szCs w:val="42"/>
      <w:lang w:val="en-US" w:eastAsia="zh-CN" w:bidi="ar"/>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0"/>
    <w:pPr>
      <w:ind w:left="120"/>
    </w:pPr>
    <w:rPr>
      <w:rFonts w:ascii="宋体" w:hAnsi="宋体" w:eastAsia="宋体" w:cs="宋体"/>
      <w:sz w:val="32"/>
      <w:szCs w:val="32"/>
    </w:rPr>
  </w:style>
  <w:style w:type="paragraph" w:styleId="7">
    <w:name w:val="Body Text Indent"/>
    <w:basedOn w:val="8"/>
    <w:qFormat/>
    <w:uiPriority w:val="0"/>
    <w:pPr>
      <w:ind w:firstLine="881"/>
    </w:pPr>
    <w:rPr>
      <w:rFonts w:ascii="Times New Roman" w:hAnsi="Times New Roman" w:cs="Times New Roman"/>
      <w:sz w:val="28"/>
      <w:szCs w:val="24"/>
    </w:rPr>
  </w:style>
  <w:style w:type="paragraph" w:customStyle="1" w:styleId="8">
    <w:name w:val="正文文本1"/>
    <w:basedOn w:val="9"/>
    <w:qFormat/>
    <w:uiPriority w:val="0"/>
    <w:pPr>
      <w:ind w:left="120"/>
    </w:pPr>
    <w:rPr>
      <w:rFonts w:ascii="宋体" w:hAnsi="宋体" w:eastAsia="宋体" w:cs="宋体"/>
      <w:sz w:val="32"/>
      <w:szCs w:val="32"/>
    </w:rPr>
  </w:style>
  <w:style w:type="paragraph" w:customStyle="1" w:styleId="9">
    <w:name w:val="正文1"/>
    <w:next w:val="7"/>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10">
    <w:name w:val="Balloon Text"/>
    <w:basedOn w:val="1"/>
    <w:link w:val="26"/>
    <w:semiHidden/>
    <w:unhideWhenUsed/>
    <w:qFormat/>
    <w:uiPriority w:val="99"/>
    <w:rPr>
      <w:rFonts w:cs="Mangal"/>
      <w:sz w:val="18"/>
      <w:szCs w:val="16"/>
    </w:rPr>
  </w:style>
  <w:style w:type="paragraph" w:styleId="11">
    <w:name w:val="footer"/>
    <w:basedOn w:val="1"/>
    <w:link w:val="25"/>
    <w:semiHidden/>
    <w:unhideWhenUsed/>
    <w:qFormat/>
    <w:uiPriority w:val="99"/>
    <w:pPr>
      <w:tabs>
        <w:tab w:val="center" w:pos="4153"/>
        <w:tab w:val="right" w:pos="8306"/>
      </w:tabs>
      <w:snapToGrid w:val="0"/>
      <w:jc w:val="left"/>
    </w:pPr>
    <w:rPr>
      <w:rFonts w:cs="Mangal"/>
      <w:sz w:val="18"/>
      <w:szCs w:val="16"/>
    </w:rPr>
  </w:style>
  <w:style w:type="paragraph" w:styleId="12">
    <w:name w:val="header"/>
    <w:basedOn w:val="1"/>
    <w:link w:val="24"/>
    <w:semiHidden/>
    <w:unhideWhenUsed/>
    <w:qFormat/>
    <w:uiPriority w:val="99"/>
    <w:pPr>
      <w:pBdr>
        <w:bottom w:val="single" w:color="auto" w:sz="6" w:space="1"/>
      </w:pBdr>
      <w:tabs>
        <w:tab w:val="center" w:pos="4153"/>
        <w:tab w:val="right" w:pos="8306"/>
      </w:tabs>
      <w:snapToGrid w:val="0"/>
      <w:jc w:val="center"/>
    </w:pPr>
    <w:rPr>
      <w:rFonts w:cs="Mangal"/>
      <w:sz w:val="18"/>
      <w:szCs w:val="16"/>
    </w:rPr>
  </w:style>
  <w:style w:type="paragraph" w:styleId="13">
    <w:name w:val="footnote text"/>
    <w:basedOn w:val="1"/>
    <w:semiHidden/>
    <w:unhideWhenUsed/>
    <w:qFormat/>
    <w:uiPriority w:val="99"/>
    <w:pPr>
      <w:snapToGrid w:val="0"/>
      <w:jc w:val="left"/>
    </w:pPr>
    <w:rPr>
      <w:sz w:val="18"/>
    </w:rPr>
  </w:style>
  <w:style w:type="paragraph" w:styleId="14">
    <w:name w:val="Normal (Web)"/>
    <w:basedOn w:val="1"/>
    <w:qFormat/>
    <w:uiPriority w:val="0"/>
    <w:pPr>
      <w:spacing w:beforeAutospacing="1" w:afterAutospacing="1"/>
      <w:jc w:val="left"/>
    </w:pPr>
    <w:rPr>
      <w:sz w:val="24"/>
      <w:lang w:bidi="ar-SA"/>
    </w:rPr>
  </w:style>
  <w:style w:type="paragraph" w:styleId="15">
    <w:name w:val="Body Text First Indent"/>
    <w:basedOn w:val="6"/>
    <w:qFormat/>
    <w:uiPriority w:val="0"/>
    <w:pPr>
      <w:widowControl w:val="0"/>
      <w:spacing w:after="10" w:afterLines="0"/>
      <w:ind w:firstLine="881"/>
      <w:jc w:val="both"/>
    </w:pPr>
    <w:rPr>
      <w:rFonts w:ascii="Times New Roman" w:hAnsi="Times New Roman" w:eastAsia="宋体" w:cs="Times New Roman"/>
      <w:kern w:val="2"/>
      <w:sz w:val="28"/>
      <w:szCs w:val="24"/>
      <w:lang w:val="en-US" w:eastAsia="zh-CN" w:bidi="ar-SA"/>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footnote reference"/>
    <w:basedOn w:val="18"/>
    <w:unhideWhenUsed/>
    <w:qFormat/>
    <w:uiPriority w:val="99"/>
    <w:rPr>
      <w:vertAlign w:val="superscript"/>
    </w:rPr>
  </w:style>
  <w:style w:type="paragraph" w:customStyle="1" w:styleId="21">
    <w:name w:val="页脚1"/>
    <w:basedOn w:val="9"/>
    <w:semiHidden/>
    <w:unhideWhenUsed/>
    <w:qFormat/>
    <w:uiPriority w:val="99"/>
    <w:pPr>
      <w:tabs>
        <w:tab w:val="center" w:pos="4153"/>
        <w:tab w:val="right" w:pos="8306"/>
      </w:tabs>
      <w:snapToGrid w:val="0"/>
      <w:jc w:val="left"/>
    </w:pPr>
    <w:rPr>
      <w:sz w:val="18"/>
      <w:szCs w:val="18"/>
    </w:rPr>
  </w:style>
  <w:style w:type="paragraph" w:customStyle="1" w:styleId="22">
    <w:name w:val="页眉1"/>
    <w:basedOn w:val="9"/>
    <w:semiHidden/>
    <w:unhideWhenUsed/>
    <w:qFormat/>
    <w:uiPriority w:val="99"/>
    <w:pPr>
      <w:pBdr>
        <w:bottom w:val="single" w:color="000000" w:sz="6" w:space="1"/>
      </w:pBdr>
      <w:tabs>
        <w:tab w:val="center" w:pos="4153"/>
        <w:tab w:val="right" w:pos="8306"/>
      </w:tabs>
      <w:snapToGrid w:val="0"/>
      <w:jc w:val="center"/>
    </w:pPr>
    <w:rPr>
      <w:sz w:val="18"/>
      <w:szCs w:val="18"/>
    </w:rPr>
  </w:style>
  <w:style w:type="paragraph" w:customStyle="1" w:styleId="23">
    <w:name w:val="列表段落"/>
    <w:basedOn w:val="9"/>
    <w:qFormat/>
    <w:uiPriority w:val="34"/>
    <w:pPr>
      <w:ind w:firstLine="200" w:firstLineChars="200"/>
    </w:pPr>
  </w:style>
  <w:style w:type="character" w:customStyle="1" w:styleId="24">
    <w:name w:val="页眉 Char"/>
    <w:basedOn w:val="18"/>
    <w:link w:val="12"/>
    <w:semiHidden/>
    <w:qFormat/>
    <w:uiPriority w:val="99"/>
    <w:rPr>
      <w:rFonts w:cs="Mangal"/>
      <w:sz w:val="18"/>
      <w:szCs w:val="16"/>
      <w:lang w:bidi="hi-IN"/>
    </w:rPr>
  </w:style>
  <w:style w:type="character" w:customStyle="1" w:styleId="25">
    <w:name w:val="页脚 Char"/>
    <w:basedOn w:val="18"/>
    <w:link w:val="11"/>
    <w:semiHidden/>
    <w:qFormat/>
    <w:uiPriority w:val="99"/>
    <w:rPr>
      <w:rFonts w:cs="Mangal"/>
      <w:sz w:val="18"/>
      <w:szCs w:val="16"/>
      <w:lang w:bidi="hi-IN"/>
    </w:rPr>
  </w:style>
  <w:style w:type="character" w:customStyle="1" w:styleId="26">
    <w:name w:val="批注框文本 Char"/>
    <w:basedOn w:val="18"/>
    <w:link w:val="10"/>
    <w:semiHidden/>
    <w:qFormat/>
    <w:uiPriority w:val="99"/>
    <w:rPr>
      <w:rFonts w:cs="Mangal"/>
      <w:sz w:val="18"/>
      <w:szCs w:val="16"/>
      <w:lang w:bidi="hi-I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15</Pages>
  <Words>4962</Words>
  <Characters>5064</Characters>
  <Lines>41</Lines>
  <Paragraphs>11</Paragraphs>
  <TotalTime>54</TotalTime>
  <ScaleCrop>false</ScaleCrop>
  <LinksUpToDate>false</LinksUpToDate>
  <CharactersWithSpaces>5111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2023-06-04T08:51:00Z</dcterms:created>
  <dc:creator>???</dc:creator>
  <cp:lastModifiedBy>爱唱歌的王Sir</cp:lastModifiedBy>
  <cp:lastPrinted>2026-09-30T08:16:00Z</cp:lastPrinted>
  <dcterms:modified xsi:type="dcterms:W3CDTF">2026-10-12T07:17:37Z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7B4AEB1E6355443E9325754AAF80EDA0_13</vt:lpwstr>
  </property>
  <property fmtid="{D5CDD505-2E9C-101B-9397-08002B2CF9AE}" pid="3" name="KSOProductBuildVer">
    <vt:lpwstr>2052-12.1.0.28505</vt:lpwstr>
  </property>
  <property fmtid="{D5CDD505-2E9C-101B-9397-08002B2CF9AE}" pid="4" name="KSOTemplateDocerSaveRecord">
    <vt:lpwstr>eyJoZGlkIjoiMjhiYWRhMTU2Y2ZlNjVmNzBjNGUzZTM3ODAwMjJmZDkiLCJ1c2VySWQiOiIxMDg2MjgzNCJ9</vt:lpwstr>
  </property>
</Properties>
</file>