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EEC45C">
      <w:pPr>
        <w:pStyle w:val="17"/>
        <w:keepNext w:val="0"/>
        <w:keepLines w:val="0"/>
        <w:pageBreakBefore w:val="0"/>
        <w:widowControl w:val="0"/>
        <w:kinsoku/>
        <w:wordWrap/>
        <w:overflowPunct w:val="0"/>
        <w:topLinePunct/>
        <w:autoSpaceDE/>
        <w:autoSpaceDN/>
        <w:bidi w:val="0"/>
        <w:adjustRightInd/>
        <w:snapToGrid/>
        <w:textAlignment w:val="auto"/>
        <w:rPr>
          <w:rFonts w:hint="eastAsia"/>
          <w:b w:val="0"/>
          <w:bCs w:val="0"/>
          <w:lang w:val="en-US" w:eastAsia="zh-CN"/>
        </w:rPr>
      </w:pPr>
      <mc:AlternateContent>
        <mc:Choice Requires="wpsCustomData">
          <wpsCustomData:docfieldStart id="0" docfieldname="标题" hidden="0" print="1" readonly="0" index="42"/>
        </mc:Choice>
      </mc:AlternateContent>
      <w:r>
        <w:rPr>
          <w:rFonts w:hint="eastAsia"/>
          <w:b w:val="0"/>
          <w:bCs w:val="0"/>
          <w:lang w:val="en-US" w:eastAsia="zh-CN"/>
        </w:rPr>
        <w:t>榆林圣嘟文化科技有限公司</w:t>
      </w:r>
      <w:r>
        <w:rPr>
          <w:rFonts w:hint="eastAsia"/>
          <w:b w:val="0"/>
          <w:bCs w:val="0"/>
          <w:lang w:val="en-US" w:eastAsia="zh-CN"/>
        </w:rPr>
        <w:br w:type="textWrapping"/>
      </w:r>
      <w:r>
        <w:rPr>
          <w:rFonts w:hint="eastAsia"/>
          <w:b w:val="0"/>
          <w:bCs w:val="0"/>
          <w:lang w:val="en-US" w:eastAsia="zh-CN"/>
        </w:rPr>
        <w:t>“4·16”一般淹溺事故调查报告</w:t>
      </w:r>
      <mc:AlternateContent>
        <mc:Choice Requires="wpsCustomData">
          <wpsCustomData:docfieldEnd id="0"/>
        </mc:Choice>
      </mc:AlternateContent>
    </w:p>
    <w:p w14:paraId="5A49365C">
      <w:pPr>
        <w:pStyle w:val="2"/>
        <w:keepNext w:val="0"/>
        <w:keepLines w:val="0"/>
        <w:pageBreakBefore w:val="0"/>
        <w:widowControl w:val="0"/>
        <w:kinsoku/>
        <w:wordWrap/>
        <w:overflowPunct w:val="0"/>
        <w:topLinePunct/>
        <w:autoSpaceDE/>
        <w:autoSpaceDN/>
        <w:bidi w:val="0"/>
        <w:adjustRightInd/>
        <w:snapToGrid/>
        <w:spacing w:line="640" w:lineRule="exact"/>
        <w:ind w:firstLine="630" w:firstLineChars="200"/>
        <w:jc w:val="both"/>
        <w:textAlignment w:val="auto"/>
        <w:rPr>
          <w:rFonts w:ascii="方正仿宋_GB2312" w:hAnsi="方正仿宋_GB2312" w:eastAsia="方正仿宋_GB2312" w:cs="方正仿宋_GB2312"/>
          <w:sz w:val="32"/>
          <w:szCs w:val="32"/>
          <w:lang w:eastAsia="zh-CN"/>
        </w:rPr>
      </w:pPr>
      <mc:AlternateContent>
        <mc:Choice Requires="wpsCustomData">
          <wpsCustomData:docfieldStart id="1" docfieldname="正文" hidden="0" print="1" readonly="0" index="54"/>
        </mc:Choice>
      </mc:AlternateContent>
    </w:p>
    <w:p w14:paraId="1C4A6CD2">
      <w:pPr>
        <w:keepNext w:val="0"/>
        <w:keepLines w:val="0"/>
        <w:pageBreakBefore w:val="0"/>
        <w:widowControl w:val="0"/>
        <w:kinsoku/>
        <w:wordWrap/>
        <w:overflowPunct/>
        <w:topLinePunct w:val="0"/>
        <w:autoSpaceDE/>
        <w:autoSpaceDN/>
        <w:bidi w:val="0"/>
        <w:adjustRightInd/>
        <w:snapToGrid/>
        <w:spacing w:line="560" w:lineRule="exact"/>
        <w:ind w:firstLine="630" w:firstLineChars="200"/>
        <w:textAlignment w:val="auto"/>
      </w:pPr>
      <w:r>
        <w:t>2025年4月16日，榆林圣嘟文化科技有限公司发生一起一般淹溺事故，造成2人死亡，直接经济损失260万元。</w:t>
      </w:r>
    </w:p>
    <w:p w14:paraId="18D2417E">
      <w:pPr>
        <w:keepNext w:val="0"/>
        <w:keepLines w:val="0"/>
        <w:pageBreakBefore w:val="0"/>
        <w:widowControl w:val="0"/>
        <w:kinsoku/>
        <w:wordWrap/>
        <w:overflowPunct/>
        <w:topLinePunct w:val="0"/>
        <w:autoSpaceDE/>
        <w:autoSpaceDN/>
        <w:bidi w:val="0"/>
        <w:adjustRightInd/>
        <w:snapToGrid/>
        <w:spacing w:line="560" w:lineRule="exact"/>
        <w:ind w:firstLine="630" w:firstLineChars="200"/>
        <w:textAlignment w:val="auto"/>
      </w:pPr>
      <w:r>
        <w:t>事故发生后，依据《中华人民共和国安全生产法》《生产安全事故报告和调查处理条例》《榆林市人民政府关于授权市应急局对适用提级调查情形一般生产安全事故进行调查的批复》（榆政函﹝2024﹞39号），经榆林市人民政府同意，2025年4月17日，市应急局会同市总工会、市城市管理执法局、市文化和旅游局、市交通运输局、市公安局等单位成立了榆林圣嘟文化科技有限公司“4·16”人员淹溺事故调查组（以下简称事故调查组），事故调查组根据技术调查报告等资料进行了调查取证，查明了事故原因，认定了事故性质，查清了责任。</w:t>
      </w:r>
    </w:p>
    <w:p w14:paraId="0BFDF0DE">
      <w:pPr>
        <w:keepNext w:val="0"/>
        <w:keepLines w:val="0"/>
        <w:pageBreakBefore w:val="0"/>
        <w:widowControl w:val="0"/>
        <w:kinsoku/>
        <w:wordWrap/>
        <w:overflowPunct/>
        <w:topLinePunct w:val="0"/>
        <w:autoSpaceDE/>
        <w:autoSpaceDN/>
        <w:bidi w:val="0"/>
        <w:adjustRightInd/>
        <w:snapToGrid/>
        <w:spacing w:line="560" w:lineRule="exact"/>
        <w:ind w:firstLine="630" w:firstLineChars="200"/>
        <w:textAlignment w:val="auto"/>
      </w:pPr>
      <w:r>
        <w:t>经调查认定，榆林圣嘟文化科技有限公司“4.16”淹溺事故为一起一般生产安全责任事故。</w:t>
      </w:r>
    </w:p>
    <w:p w14:paraId="0A2DB76E">
      <w:pPr>
        <w:keepNext w:val="0"/>
        <w:keepLines w:val="0"/>
        <w:pageBreakBefore w:val="0"/>
        <w:widowControl w:val="0"/>
        <w:kinsoku/>
        <w:wordWrap/>
        <w:overflowPunct/>
        <w:topLinePunct w:val="0"/>
        <w:autoSpaceDE/>
        <w:autoSpaceDN/>
        <w:bidi w:val="0"/>
        <w:adjustRightInd/>
        <w:snapToGrid/>
        <w:spacing w:line="560" w:lineRule="exact"/>
        <w:ind w:firstLine="630" w:firstLineChars="200"/>
        <w:textAlignment w:val="auto"/>
        <w:rPr>
          <w:rFonts w:hint="eastAsia" w:ascii="黑体" w:hAnsi="黑体" w:eastAsia="黑体" w:cs="黑体"/>
          <w:sz w:val="32"/>
          <w:szCs w:val="32"/>
        </w:rPr>
      </w:pPr>
      <w:r>
        <w:rPr>
          <w:rFonts w:hint="eastAsia" w:ascii="黑体" w:hAnsi="黑体" w:eastAsia="黑体" w:cs="黑体"/>
          <w:sz w:val="32"/>
          <w:szCs w:val="32"/>
        </w:rPr>
        <w:t>一、事故有关情况</w:t>
      </w:r>
    </w:p>
    <w:p w14:paraId="23ACED89">
      <w:pPr>
        <w:keepNext w:val="0"/>
        <w:keepLines w:val="0"/>
        <w:pageBreakBefore w:val="0"/>
        <w:widowControl w:val="0"/>
        <w:kinsoku/>
        <w:wordWrap/>
        <w:overflowPunct/>
        <w:topLinePunct w:val="0"/>
        <w:autoSpaceDE/>
        <w:autoSpaceDN/>
        <w:bidi w:val="0"/>
        <w:adjustRightInd/>
        <w:snapToGrid/>
        <w:spacing w:line="560" w:lineRule="exact"/>
        <w:ind w:firstLine="630" w:firstLineChars="200"/>
        <w:textAlignment w:val="auto"/>
        <w:rPr>
          <w:rFonts w:hint="eastAsia" w:ascii="楷体_GB2312" w:hAnsi="楷体_GB2312" w:eastAsia="楷体_GB2312" w:cs="楷体_GB2312"/>
        </w:rPr>
      </w:pPr>
      <w:r>
        <w:rPr>
          <w:rFonts w:hint="eastAsia" w:ascii="楷体_GB2312" w:hAnsi="楷体_GB2312" w:eastAsia="楷体_GB2312" w:cs="楷体_GB2312"/>
        </w:rPr>
        <w:t>（一）事故单位基本情况</w:t>
      </w:r>
    </w:p>
    <w:p w14:paraId="0FB7319B">
      <w:pPr>
        <w:keepNext w:val="0"/>
        <w:keepLines w:val="0"/>
        <w:pageBreakBefore w:val="0"/>
        <w:widowControl w:val="0"/>
        <w:kinsoku/>
        <w:wordWrap/>
        <w:overflowPunct/>
        <w:topLinePunct w:val="0"/>
        <w:autoSpaceDE/>
        <w:autoSpaceDN/>
        <w:bidi w:val="0"/>
        <w:adjustRightInd/>
        <w:snapToGrid/>
        <w:spacing w:line="560" w:lineRule="exact"/>
        <w:ind w:firstLine="630" w:firstLineChars="200"/>
        <w:textAlignment w:val="auto"/>
      </w:pPr>
      <w:r>
        <w:t>榆林圣嘟文化科技有限公司成立于2019年4月28日，法定代表人为张某，注册资本为2000万元，统一社会信用代码为91610800MAXXXXXXXX，企业注册地址位于陕西省榆林市榆阳区榆阳中路圣嘟游乐场办公楼201室，所属行业为娱乐业，经营范围包含：体育场地设施经营（不含高危险性体育运动）；游乐园服务；工艺美术品及礼仪用品销售（象牙及其制品除外）；非居住房地产租赁；市场营销策划；游艺及娱乐用品销售；停车场服务；电动汽车充电基础设施运营；新能源汽车换电设施销售等（除依法须经批准的项目外，凭营业执照依法自主开展经营活动）。</w:t>
      </w:r>
    </w:p>
    <w:p w14:paraId="2722FA03">
      <w:pPr>
        <w:keepNext w:val="0"/>
        <w:keepLines w:val="0"/>
        <w:pageBreakBefore w:val="0"/>
        <w:widowControl w:val="0"/>
        <w:kinsoku/>
        <w:wordWrap/>
        <w:overflowPunct/>
        <w:topLinePunct w:val="0"/>
        <w:autoSpaceDE/>
        <w:autoSpaceDN/>
        <w:bidi w:val="0"/>
        <w:adjustRightInd/>
        <w:snapToGrid/>
        <w:spacing w:line="560" w:lineRule="exact"/>
        <w:ind w:firstLine="630" w:firstLineChars="200"/>
        <w:textAlignment w:val="auto"/>
        <w:rPr>
          <w:rFonts w:hint="eastAsia" w:ascii="楷体_GB2312" w:hAnsi="楷体_GB2312" w:eastAsia="楷体_GB2312" w:cs="楷体_GB2312"/>
        </w:rPr>
      </w:pPr>
      <w:r>
        <w:rPr>
          <w:rFonts w:hint="eastAsia" w:ascii="楷体_GB2312" w:hAnsi="楷体_GB2312" w:eastAsia="楷体_GB2312" w:cs="楷体_GB2312"/>
        </w:rPr>
        <w:t>（二）4A级景区创建情况</w:t>
      </w:r>
      <w:r>
        <w:rPr>
          <w:rFonts w:hint="eastAsia" w:ascii="楷体_GB2312" w:hAnsi="楷体_GB2312" w:eastAsia="楷体_GB2312" w:cs="楷体_GB2312"/>
        </w:rPr>
        <w:tab/>
      </w:r>
    </w:p>
    <w:p w14:paraId="0D733545">
      <w:pPr>
        <w:keepNext w:val="0"/>
        <w:keepLines w:val="0"/>
        <w:pageBreakBefore w:val="0"/>
        <w:widowControl w:val="0"/>
        <w:kinsoku/>
        <w:wordWrap/>
        <w:overflowPunct/>
        <w:topLinePunct w:val="0"/>
        <w:autoSpaceDE/>
        <w:autoSpaceDN/>
        <w:bidi w:val="0"/>
        <w:adjustRightInd/>
        <w:snapToGrid/>
        <w:spacing w:line="560" w:lineRule="exact"/>
        <w:ind w:firstLine="630" w:firstLineChars="200"/>
        <w:textAlignment w:val="auto"/>
      </w:pPr>
      <w:r>
        <w:t>2019年4月11日，市政府28次专题会议原则同意圣嘟乐园按照4A级景区标准升级改造，2022年，榆林圣嘟文化科技有限公司向全国旅游景区质量等级评定委员会申报创建4A级景区。</w:t>
      </w:r>
    </w:p>
    <w:p w14:paraId="1A4F592A">
      <w:pPr>
        <w:keepNext w:val="0"/>
        <w:keepLines w:val="0"/>
        <w:pageBreakBefore w:val="0"/>
        <w:widowControl w:val="0"/>
        <w:kinsoku/>
        <w:wordWrap/>
        <w:overflowPunct/>
        <w:topLinePunct w:val="0"/>
        <w:autoSpaceDE/>
        <w:autoSpaceDN/>
        <w:bidi w:val="0"/>
        <w:adjustRightInd/>
        <w:snapToGrid/>
        <w:spacing w:line="560" w:lineRule="exact"/>
        <w:ind w:firstLine="630" w:firstLineChars="200"/>
        <w:textAlignment w:val="auto"/>
        <w:rPr>
          <w:rFonts w:hint="eastAsia" w:ascii="楷体_GB2312" w:hAnsi="楷体_GB2312" w:eastAsia="楷体_GB2312" w:cs="楷体_GB2312"/>
        </w:rPr>
      </w:pPr>
      <w:r>
        <w:rPr>
          <w:rFonts w:hint="eastAsia" w:ascii="楷体_GB2312" w:hAnsi="楷体_GB2312" w:eastAsia="楷体_GB2312" w:cs="楷体_GB2312"/>
        </w:rPr>
        <w:t>（三）事故摩托艇基本情况</w:t>
      </w:r>
    </w:p>
    <w:p w14:paraId="053E28E2">
      <w:pPr>
        <w:keepNext w:val="0"/>
        <w:keepLines w:val="0"/>
        <w:pageBreakBefore w:val="0"/>
        <w:widowControl w:val="0"/>
        <w:kinsoku/>
        <w:wordWrap/>
        <w:overflowPunct/>
        <w:topLinePunct w:val="0"/>
        <w:autoSpaceDE/>
        <w:autoSpaceDN/>
        <w:bidi w:val="0"/>
        <w:adjustRightInd/>
        <w:snapToGrid/>
        <w:spacing w:line="560" w:lineRule="exact"/>
        <w:ind w:firstLine="630" w:firstLineChars="200"/>
        <w:textAlignment w:val="auto"/>
      </w:pPr>
      <w:r>
        <w:t>事故摩托艇为雅马哈GP1800R，生产日期：2022年5月11日，发动机类型为四冲程，发动机马力为250匹马力，功率183.9KW，排量1812cc，艇身长3.4米艇身宽1.2米，燃油类型为92#汽油，供货方常州福汇游艇有限公司。</w:t>
      </w:r>
    </w:p>
    <w:p w14:paraId="55A6518A">
      <w:pPr>
        <w:keepNext w:val="0"/>
        <w:keepLines w:val="0"/>
        <w:pageBreakBefore w:val="0"/>
        <w:widowControl w:val="0"/>
        <w:kinsoku/>
        <w:wordWrap/>
        <w:overflowPunct/>
        <w:topLinePunct w:val="0"/>
        <w:autoSpaceDE/>
        <w:autoSpaceDN/>
        <w:bidi w:val="0"/>
        <w:adjustRightInd/>
        <w:snapToGrid/>
        <w:spacing w:line="560" w:lineRule="exact"/>
        <w:ind w:firstLine="630" w:firstLineChars="200"/>
        <w:textAlignment w:val="auto"/>
        <w:rPr>
          <w:rFonts w:hint="eastAsia" w:ascii="黑体" w:hAnsi="黑体" w:eastAsia="黑体" w:cs="黑体"/>
          <w:sz w:val="32"/>
          <w:szCs w:val="32"/>
        </w:rPr>
      </w:pPr>
      <w:r>
        <w:rPr>
          <w:rFonts w:hint="eastAsia" w:ascii="黑体" w:hAnsi="黑体" w:eastAsia="黑体" w:cs="黑体"/>
          <w:sz w:val="32"/>
          <w:szCs w:val="32"/>
        </w:rPr>
        <w:t>二、事故经过及应急处置情况</w:t>
      </w:r>
    </w:p>
    <w:p w14:paraId="3460F55D">
      <w:pPr>
        <w:keepNext w:val="0"/>
        <w:keepLines w:val="0"/>
        <w:pageBreakBefore w:val="0"/>
        <w:widowControl w:val="0"/>
        <w:kinsoku/>
        <w:wordWrap/>
        <w:overflowPunct/>
        <w:topLinePunct w:val="0"/>
        <w:autoSpaceDE/>
        <w:autoSpaceDN/>
        <w:bidi w:val="0"/>
        <w:adjustRightInd/>
        <w:snapToGrid/>
        <w:spacing w:line="560" w:lineRule="exact"/>
        <w:ind w:firstLine="630" w:firstLineChars="200"/>
        <w:textAlignment w:val="auto"/>
        <w:rPr>
          <w:rFonts w:hint="eastAsia" w:ascii="楷体_GB2312" w:hAnsi="楷体_GB2312" w:eastAsia="楷体_GB2312" w:cs="楷体_GB2312"/>
        </w:rPr>
      </w:pPr>
      <w:r>
        <w:rPr>
          <w:rFonts w:hint="eastAsia" w:ascii="楷体_GB2312" w:hAnsi="楷体_GB2312" w:eastAsia="楷体_GB2312" w:cs="楷体_GB2312"/>
        </w:rPr>
        <w:t>（一）事故经过及处置情况</w:t>
      </w:r>
    </w:p>
    <w:p w14:paraId="03EE7E85">
      <w:pPr>
        <w:keepNext w:val="0"/>
        <w:keepLines w:val="0"/>
        <w:pageBreakBefore w:val="0"/>
        <w:widowControl w:val="0"/>
        <w:kinsoku/>
        <w:wordWrap/>
        <w:overflowPunct/>
        <w:topLinePunct w:val="0"/>
        <w:autoSpaceDE/>
        <w:autoSpaceDN/>
        <w:bidi w:val="0"/>
        <w:adjustRightInd/>
        <w:snapToGrid/>
        <w:spacing w:line="560" w:lineRule="exact"/>
        <w:ind w:firstLine="630" w:firstLineChars="200"/>
        <w:textAlignment w:val="auto"/>
      </w:pPr>
      <w:r>
        <w:t>2025年4月16日13时45分许，榆林圣嘟文化科技有限公司榆溪码头维修工李某自游客中心方向行至码头区域，圣嘟乐园动物音乐会设备的操作员闫某某站立于码头区域栏杆旁。与此同时，公司宣传策划兼运营总监胡某某与维修工高某某正在码头岸边协同设备厂家进行新设备组装作业。片刻之后，胡某某发现李某驾驶摩托艇搭载闫某某疾速驶向远处湖面，随即大声呼喊予以制止，但因距离较远，呼喊声未能引起二人注意。</w:t>
      </w:r>
    </w:p>
    <w:p w14:paraId="4D79059C">
      <w:pPr>
        <w:keepNext w:val="0"/>
        <w:keepLines w:val="0"/>
        <w:pageBreakBefore w:val="0"/>
        <w:widowControl w:val="0"/>
        <w:kinsoku/>
        <w:wordWrap/>
        <w:overflowPunct/>
        <w:topLinePunct w:val="0"/>
        <w:autoSpaceDE/>
        <w:autoSpaceDN/>
        <w:bidi w:val="0"/>
        <w:adjustRightInd/>
        <w:snapToGrid/>
        <w:spacing w:line="560" w:lineRule="exact"/>
        <w:ind w:firstLine="630" w:firstLineChars="200"/>
        <w:textAlignment w:val="auto"/>
      </w:pPr>
      <w:r>
        <w:t>13时47分许，胡某某与高某某察觉李某和闫某某迟迟未归，意识到情况异常。高某某当即向公司副总经理张某某电话汇报情况，张某某随即指示其迅速组织人员进行搜寻。</w:t>
      </w:r>
    </w:p>
    <w:p w14:paraId="72F76ABA">
      <w:pPr>
        <w:keepNext w:val="0"/>
        <w:keepLines w:val="0"/>
        <w:pageBreakBefore w:val="0"/>
        <w:widowControl w:val="0"/>
        <w:kinsoku/>
        <w:wordWrap/>
        <w:overflowPunct/>
        <w:topLinePunct w:val="0"/>
        <w:autoSpaceDE/>
        <w:autoSpaceDN/>
        <w:bidi w:val="0"/>
        <w:adjustRightInd/>
        <w:snapToGrid/>
        <w:spacing w:line="560" w:lineRule="exact"/>
        <w:ind w:firstLine="630" w:firstLineChars="200"/>
        <w:textAlignment w:val="auto"/>
      </w:pPr>
      <w:r>
        <w:t>13时50分许，公司保安发现一艘处于无人驾驶状态的摩托艇在湖面随风漂荡，遂立即向现场作业的维修部人员报告。公司迅速启动应急响应，即刻组织5名维修人员驾驶救援艇赶赴事发水域。抵达现场后，救援行动随即展开。救援人员先将闫某某拽到救援艇上并对其采取心肺复苏等措施进行急救，随后返回事发水域继续营救李某。在此期间，胡某某同步拨打110、119、120和打捞队的救援电话。</w:t>
      </w:r>
    </w:p>
    <w:p w14:paraId="1224DEAF">
      <w:pPr>
        <w:keepNext w:val="0"/>
        <w:keepLines w:val="0"/>
        <w:pageBreakBefore w:val="0"/>
        <w:widowControl w:val="0"/>
        <w:kinsoku/>
        <w:wordWrap/>
        <w:overflowPunct/>
        <w:topLinePunct w:val="0"/>
        <w:autoSpaceDE/>
        <w:autoSpaceDN/>
        <w:bidi w:val="0"/>
        <w:adjustRightInd/>
        <w:snapToGrid/>
        <w:spacing w:line="560" w:lineRule="exact"/>
        <w:ind w:firstLine="630" w:firstLineChars="200"/>
        <w:textAlignment w:val="auto"/>
      </w:pPr>
      <w:r>
        <w:t>14时05分许，120救护车抵达现场。鉴于闫某某伤势危重，为争取抢救时间，救援艇迅速返回岸边，将闫某某转移至救护车，送往星元医院救治，之后救援艇再度驶回事发水域持续搜救。14时11分，副总经理张某某向公司董事长张某汇报事故详情。</w:t>
      </w:r>
    </w:p>
    <w:p w14:paraId="0BC39A45">
      <w:pPr>
        <w:keepNext w:val="0"/>
        <w:keepLines w:val="0"/>
        <w:pageBreakBefore w:val="0"/>
        <w:widowControl w:val="0"/>
        <w:kinsoku/>
        <w:wordWrap/>
        <w:overflowPunct/>
        <w:topLinePunct w:val="0"/>
        <w:autoSpaceDE/>
        <w:autoSpaceDN/>
        <w:bidi w:val="0"/>
        <w:adjustRightInd/>
        <w:snapToGrid/>
        <w:spacing w:line="560" w:lineRule="exact"/>
        <w:ind w:firstLine="630" w:firstLineChars="200"/>
        <w:textAlignment w:val="auto"/>
      </w:pPr>
      <w:r>
        <w:t>14时15分许，119消防救援人员、公安干警及打捞队工作人员相继抵达现场，协同开展救援工作。</w:t>
      </w:r>
    </w:p>
    <w:p w14:paraId="7D4F04FC">
      <w:pPr>
        <w:keepNext w:val="0"/>
        <w:keepLines w:val="0"/>
        <w:pageBreakBefore w:val="0"/>
        <w:widowControl w:val="0"/>
        <w:kinsoku/>
        <w:wordWrap/>
        <w:overflowPunct/>
        <w:topLinePunct w:val="0"/>
        <w:autoSpaceDE/>
        <w:autoSpaceDN/>
        <w:bidi w:val="0"/>
        <w:adjustRightInd/>
        <w:snapToGrid/>
        <w:spacing w:line="560" w:lineRule="exact"/>
        <w:ind w:firstLine="630" w:firstLineChars="200"/>
        <w:textAlignment w:val="auto"/>
      </w:pPr>
      <w:r>
        <w:t>16时许，副总经理张某某抵达榆溪码头事故现场，此时救援人员成功将李某打捞上岸。经120医务人员现场检查确认，李某已无生命体征。</w:t>
      </w:r>
    </w:p>
    <w:p w14:paraId="4214D9BA">
      <w:pPr>
        <w:keepNext w:val="0"/>
        <w:keepLines w:val="0"/>
        <w:pageBreakBefore w:val="0"/>
        <w:widowControl w:val="0"/>
        <w:kinsoku/>
        <w:wordWrap/>
        <w:overflowPunct/>
        <w:topLinePunct w:val="0"/>
        <w:autoSpaceDE/>
        <w:autoSpaceDN/>
        <w:bidi w:val="0"/>
        <w:adjustRightInd/>
        <w:snapToGrid/>
        <w:spacing w:line="560" w:lineRule="exact"/>
        <w:ind w:firstLine="630" w:firstLineChars="200"/>
        <w:textAlignment w:val="auto"/>
      </w:pPr>
      <w:r>
        <w:t>17日2时许，闫某某经抢救无效死亡。</w:t>
      </w:r>
    </w:p>
    <w:p w14:paraId="524C25E2">
      <w:pPr>
        <w:keepNext w:val="0"/>
        <w:keepLines w:val="0"/>
        <w:pageBreakBefore w:val="0"/>
        <w:widowControl w:val="0"/>
        <w:kinsoku/>
        <w:wordWrap/>
        <w:overflowPunct/>
        <w:topLinePunct w:val="0"/>
        <w:autoSpaceDE/>
        <w:autoSpaceDN/>
        <w:bidi w:val="0"/>
        <w:adjustRightInd/>
        <w:snapToGrid/>
        <w:spacing w:line="560" w:lineRule="exact"/>
        <w:ind w:firstLine="630" w:firstLineChars="200"/>
        <w:textAlignment w:val="auto"/>
        <w:rPr>
          <w:rFonts w:hint="eastAsia" w:ascii="楷体_GB2312" w:hAnsi="楷体_GB2312" w:eastAsia="楷体_GB2312" w:cs="楷体_GB2312"/>
        </w:rPr>
      </w:pPr>
      <w:r>
        <w:rPr>
          <w:rFonts w:hint="eastAsia" w:ascii="楷体_GB2312" w:hAnsi="楷体_GB2312" w:eastAsia="楷体_GB2312" w:cs="楷体_GB2312"/>
        </w:rPr>
        <w:t>（二）人员伤亡和直接经济损失情况</w:t>
      </w:r>
    </w:p>
    <w:p w14:paraId="05D757B6">
      <w:pPr>
        <w:keepNext w:val="0"/>
        <w:keepLines w:val="0"/>
        <w:pageBreakBefore w:val="0"/>
        <w:widowControl w:val="0"/>
        <w:kinsoku/>
        <w:wordWrap/>
        <w:overflowPunct/>
        <w:topLinePunct w:val="0"/>
        <w:autoSpaceDE/>
        <w:autoSpaceDN/>
        <w:bidi w:val="0"/>
        <w:adjustRightInd/>
        <w:snapToGrid/>
        <w:spacing w:line="560" w:lineRule="exact"/>
        <w:ind w:firstLine="630" w:firstLineChars="200"/>
        <w:textAlignment w:val="auto"/>
      </w:pPr>
      <w:r>
        <w:t>闫某某，身份证号码6127281977XXXXXXXX，户籍地陕西省榆林市米脂县印斗镇惠家沟村九组27号，死亡。</w:t>
      </w:r>
    </w:p>
    <w:p w14:paraId="4A26DA97">
      <w:pPr>
        <w:keepNext w:val="0"/>
        <w:keepLines w:val="0"/>
        <w:pageBreakBefore w:val="0"/>
        <w:widowControl w:val="0"/>
        <w:kinsoku/>
        <w:wordWrap/>
        <w:overflowPunct/>
        <w:topLinePunct w:val="0"/>
        <w:autoSpaceDE/>
        <w:autoSpaceDN/>
        <w:bidi w:val="0"/>
        <w:adjustRightInd/>
        <w:snapToGrid/>
        <w:spacing w:line="560" w:lineRule="exact"/>
        <w:ind w:firstLine="630" w:firstLineChars="200"/>
        <w:textAlignment w:val="auto"/>
      </w:pPr>
      <w:r>
        <w:t>李某，身份证号码6127282001XXXXXXXX，户籍地陕西省榆林市米脂县杨家沟镇岳家岔村一组96号1室，死亡。</w:t>
      </w:r>
    </w:p>
    <w:p w14:paraId="7EA0EC19">
      <w:pPr>
        <w:keepNext w:val="0"/>
        <w:keepLines w:val="0"/>
        <w:pageBreakBefore w:val="0"/>
        <w:widowControl w:val="0"/>
        <w:kinsoku/>
        <w:wordWrap/>
        <w:overflowPunct/>
        <w:topLinePunct w:val="0"/>
        <w:autoSpaceDE/>
        <w:autoSpaceDN/>
        <w:bidi w:val="0"/>
        <w:adjustRightInd/>
        <w:snapToGrid/>
        <w:spacing w:line="560" w:lineRule="exact"/>
        <w:ind w:firstLine="630" w:firstLineChars="200"/>
        <w:textAlignment w:val="auto"/>
      </w:pPr>
      <w:r>
        <w:t>本次事故共造成直接经济损失260余万元。</w:t>
      </w:r>
    </w:p>
    <w:p w14:paraId="2B23B4A3">
      <w:pPr>
        <w:keepNext w:val="0"/>
        <w:keepLines w:val="0"/>
        <w:pageBreakBefore w:val="0"/>
        <w:widowControl w:val="0"/>
        <w:kinsoku/>
        <w:wordWrap/>
        <w:overflowPunct/>
        <w:topLinePunct w:val="0"/>
        <w:autoSpaceDE/>
        <w:autoSpaceDN/>
        <w:bidi w:val="0"/>
        <w:adjustRightInd/>
        <w:snapToGrid/>
        <w:spacing w:line="560" w:lineRule="exact"/>
        <w:ind w:firstLine="630" w:firstLineChars="200"/>
        <w:textAlignment w:val="auto"/>
        <w:rPr>
          <w:rFonts w:hint="eastAsia" w:ascii="楷体_GB2312" w:hAnsi="楷体_GB2312" w:eastAsia="楷体_GB2312" w:cs="楷体_GB2312"/>
        </w:rPr>
      </w:pPr>
      <w:r>
        <w:rPr>
          <w:rFonts w:hint="eastAsia" w:ascii="楷体_GB2312" w:hAnsi="楷体_GB2312" w:eastAsia="楷体_GB2312" w:cs="楷体_GB2312"/>
        </w:rPr>
        <w:t>（三）技术分析情况</w:t>
      </w:r>
    </w:p>
    <w:p w14:paraId="2DBFD35F">
      <w:pPr>
        <w:keepNext w:val="0"/>
        <w:keepLines w:val="0"/>
        <w:pageBreakBefore w:val="0"/>
        <w:widowControl w:val="0"/>
        <w:kinsoku/>
        <w:wordWrap/>
        <w:overflowPunct/>
        <w:topLinePunct w:val="0"/>
        <w:autoSpaceDE/>
        <w:autoSpaceDN/>
        <w:bidi w:val="0"/>
        <w:adjustRightInd/>
        <w:snapToGrid/>
        <w:spacing w:line="560" w:lineRule="exact"/>
        <w:ind w:firstLine="630" w:firstLineChars="200"/>
        <w:textAlignment w:val="auto"/>
      </w:pPr>
      <w:r>
        <w:t>当日天气情况。2025年4月16日榆阳区白天天气现象多云，风向风力为西风4-5级，气温26摄氏度。</w:t>
      </w:r>
    </w:p>
    <w:p w14:paraId="2D2EA977">
      <w:pPr>
        <w:keepNext w:val="0"/>
        <w:keepLines w:val="0"/>
        <w:pageBreakBefore w:val="0"/>
        <w:widowControl w:val="0"/>
        <w:kinsoku/>
        <w:wordWrap/>
        <w:overflowPunct/>
        <w:topLinePunct w:val="0"/>
        <w:autoSpaceDE/>
        <w:autoSpaceDN/>
        <w:bidi w:val="0"/>
        <w:adjustRightInd/>
        <w:snapToGrid/>
        <w:spacing w:line="560" w:lineRule="exact"/>
        <w:ind w:firstLine="630" w:firstLineChars="200"/>
        <w:textAlignment w:val="auto"/>
      </w:pPr>
      <w:r>
        <w:t>事故技术分析。为了分析事故原因，市交通运输局组织有关单位和人员，对事故摩托艇进行了技术分析。</w:t>
      </w:r>
    </w:p>
    <w:p w14:paraId="6603E777">
      <w:pPr>
        <w:keepNext w:val="0"/>
        <w:keepLines w:val="0"/>
        <w:pageBreakBefore w:val="0"/>
        <w:widowControl w:val="0"/>
        <w:kinsoku/>
        <w:wordWrap/>
        <w:overflowPunct/>
        <w:topLinePunct w:val="0"/>
        <w:autoSpaceDE/>
        <w:autoSpaceDN/>
        <w:bidi w:val="0"/>
        <w:adjustRightInd/>
        <w:snapToGrid/>
        <w:spacing w:line="560" w:lineRule="exact"/>
        <w:ind w:firstLine="630" w:firstLineChars="200"/>
        <w:textAlignment w:val="auto"/>
      </w:pPr>
      <w:r>
        <w:t>经勘察：艇身外观良好，无明显划痕、凹陷及裂缝，涂层均匀牢固。各类部件安装牢固，位置准确，座椅舒适，把手握持感良好，仪表盘显示清晰。通过对关键部位结构强度的检查及尺寸测量，艇身结构符合设计要求，焊接和胶合质量可靠，整体结构强度满足正常使用及安全要求。</w:t>
      </w:r>
    </w:p>
    <w:p w14:paraId="723CCFF0">
      <w:pPr>
        <w:keepNext w:val="0"/>
        <w:keepLines w:val="0"/>
        <w:pageBreakBefore w:val="0"/>
        <w:widowControl w:val="0"/>
        <w:kinsoku/>
        <w:wordWrap/>
        <w:overflowPunct/>
        <w:topLinePunct w:val="0"/>
        <w:autoSpaceDE/>
        <w:autoSpaceDN/>
        <w:bidi w:val="0"/>
        <w:adjustRightInd/>
        <w:snapToGrid/>
        <w:spacing w:line="560" w:lineRule="exact"/>
        <w:ind w:firstLine="630" w:firstLineChars="200"/>
        <w:textAlignment w:val="auto"/>
      </w:pPr>
      <w:r>
        <w:t>经测试：冷启动和热启动均顺利完成，启动过程平稳，无异常抖动或熄火现象。发动机怠速稳定性良好，能够满足正常运行需求。发动机在各转速下的功率和扭矩输出与产品标称值基本相符，表明发动机性能稳定，动力输出可靠。</w:t>
      </w:r>
    </w:p>
    <w:p w14:paraId="00F05705">
      <w:pPr>
        <w:keepNext w:val="0"/>
        <w:keepLines w:val="0"/>
        <w:pageBreakBefore w:val="0"/>
        <w:widowControl w:val="0"/>
        <w:kinsoku/>
        <w:wordWrap/>
        <w:overflowPunct/>
        <w:topLinePunct w:val="0"/>
        <w:autoSpaceDE/>
        <w:autoSpaceDN/>
        <w:bidi w:val="0"/>
        <w:adjustRightInd/>
        <w:snapToGrid/>
        <w:spacing w:line="560" w:lineRule="exact"/>
        <w:ind w:firstLine="630" w:firstLineChars="200"/>
        <w:textAlignment w:val="auto"/>
      </w:pPr>
      <w:r>
        <w:t>转向操作轻便灵活，能够满足不同工况下的转向需求。加速性能优越，动力响应迅速。在高速行驶过程中，艇身平稳，无明显跑偏或晃动现象，行驶方向稳定性良好，能够为驾驶者提供可靠的操控体验。</w:t>
      </w:r>
    </w:p>
    <w:p w14:paraId="7B52EF83">
      <w:pPr>
        <w:keepNext w:val="0"/>
        <w:keepLines w:val="0"/>
        <w:pageBreakBefore w:val="0"/>
        <w:widowControl w:val="0"/>
        <w:kinsoku/>
        <w:wordWrap/>
        <w:overflowPunct/>
        <w:topLinePunct w:val="0"/>
        <w:autoSpaceDE/>
        <w:autoSpaceDN/>
        <w:bidi w:val="0"/>
        <w:adjustRightInd/>
        <w:snapToGrid/>
        <w:spacing w:line="560" w:lineRule="exact"/>
        <w:ind w:firstLine="630" w:firstLineChars="200"/>
        <w:textAlignment w:val="auto"/>
      </w:pPr>
      <w:r>
        <w:t>经技术论证：事故雅马哈GP1800R水上摩托艇的外观与结构、动力系统、操控性能和安全性能等方面进行全面、严格的技术勘察，其外观良好，结构坚固，动力性能强劲，操控灵活稳定，安全性能可靠，排除机械故障因素。</w:t>
      </w:r>
    </w:p>
    <w:p w14:paraId="5FCFB14A">
      <w:pPr>
        <w:keepNext w:val="0"/>
        <w:keepLines w:val="0"/>
        <w:pageBreakBefore w:val="0"/>
        <w:widowControl w:val="0"/>
        <w:kinsoku/>
        <w:wordWrap/>
        <w:overflowPunct/>
        <w:topLinePunct w:val="0"/>
        <w:autoSpaceDE/>
        <w:autoSpaceDN/>
        <w:bidi w:val="0"/>
        <w:adjustRightInd/>
        <w:snapToGrid/>
        <w:spacing w:line="560" w:lineRule="exact"/>
        <w:ind w:firstLine="630" w:firstLineChars="200"/>
        <w:textAlignment w:val="auto"/>
        <w:rPr>
          <w:rFonts w:hint="eastAsia" w:ascii="黑体" w:hAnsi="黑体" w:eastAsia="黑体" w:cs="黑体"/>
          <w:sz w:val="32"/>
          <w:szCs w:val="32"/>
        </w:rPr>
      </w:pPr>
      <w:r>
        <w:rPr>
          <w:rFonts w:hint="eastAsia" w:ascii="黑体" w:hAnsi="黑体" w:eastAsia="黑体" w:cs="黑体"/>
          <w:sz w:val="32"/>
          <w:szCs w:val="32"/>
        </w:rPr>
        <w:t>三、事故原因</w:t>
      </w:r>
    </w:p>
    <w:p w14:paraId="5C868788">
      <w:pPr>
        <w:keepNext w:val="0"/>
        <w:keepLines w:val="0"/>
        <w:pageBreakBefore w:val="0"/>
        <w:widowControl w:val="0"/>
        <w:kinsoku/>
        <w:wordWrap/>
        <w:overflowPunct/>
        <w:topLinePunct w:val="0"/>
        <w:autoSpaceDE/>
        <w:autoSpaceDN/>
        <w:bidi w:val="0"/>
        <w:adjustRightInd/>
        <w:snapToGrid/>
        <w:spacing w:line="560" w:lineRule="exact"/>
        <w:ind w:firstLine="630" w:firstLineChars="200"/>
        <w:textAlignment w:val="auto"/>
        <w:rPr>
          <w:rFonts w:hint="eastAsia" w:ascii="楷体_GB2312" w:hAnsi="楷体_GB2312" w:eastAsia="楷体_GB2312" w:cs="楷体_GB2312"/>
        </w:rPr>
      </w:pPr>
      <w:r>
        <w:rPr>
          <w:rFonts w:hint="eastAsia" w:ascii="楷体_GB2312" w:hAnsi="楷体_GB2312" w:eastAsia="楷体_GB2312" w:cs="楷体_GB2312"/>
        </w:rPr>
        <w:t>（一）直接原因</w:t>
      </w:r>
    </w:p>
    <w:p w14:paraId="3E0A5251">
      <w:pPr>
        <w:keepNext w:val="0"/>
        <w:keepLines w:val="0"/>
        <w:pageBreakBefore w:val="0"/>
        <w:widowControl w:val="0"/>
        <w:kinsoku/>
        <w:wordWrap/>
        <w:overflowPunct/>
        <w:topLinePunct w:val="0"/>
        <w:autoSpaceDE/>
        <w:autoSpaceDN/>
        <w:bidi w:val="0"/>
        <w:adjustRightInd/>
        <w:snapToGrid/>
        <w:spacing w:line="560" w:lineRule="exact"/>
        <w:ind w:firstLine="630" w:firstLineChars="200"/>
        <w:textAlignment w:val="auto"/>
      </w:pPr>
      <w:r>
        <w:t>维修工李某和操作员闫某某违反劳动纪律，在没有穿戴救生衣的情况下，不听劝阻，擅自驾驶摩托艇在湖面上骑行，操作不当引发摩托艇侧翻，致使二人坠湖身亡。是事故发生的直接原因。</w:t>
      </w:r>
    </w:p>
    <w:p w14:paraId="70665C74">
      <w:pPr>
        <w:keepNext w:val="0"/>
        <w:keepLines w:val="0"/>
        <w:pageBreakBefore w:val="0"/>
        <w:widowControl w:val="0"/>
        <w:kinsoku/>
        <w:wordWrap/>
        <w:overflowPunct/>
        <w:topLinePunct w:val="0"/>
        <w:autoSpaceDE/>
        <w:autoSpaceDN/>
        <w:bidi w:val="0"/>
        <w:adjustRightInd/>
        <w:snapToGrid/>
        <w:spacing w:line="560" w:lineRule="exact"/>
        <w:ind w:firstLine="630" w:firstLineChars="200"/>
        <w:textAlignment w:val="auto"/>
        <w:rPr>
          <w:rFonts w:hint="eastAsia" w:ascii="楷体_GB2312" w:hAnsi="楷体_GB2312" w:eastAsia="楷体_GB2312" w:cs="楷体_GB2312"/>
        </w:rPr>
      </w:pPr>
      <w:r>
        <w:rPr>
          <w:rFonts w:hint="eastAsia" w:ascii="楷体_GB2312" w:hAnsi="楷体_GB2312" w:eastAsia="楷体_GB2312" w:cs="楷体_GB2312"/>
        </w:rPr>
        <w:t>（二）间接原因</w:t>
      </w:r>
    </w:p>
    <w:p w14:paraId="3D5CDE52">
      <w:pPr>
        <w:keepNext w:val="0"/>
        <w:keepLines w:val="0"/>
        <w:pageBreakBefore w:val="0"/>
        <w:widowControl w:val="0"/>
        <w:kinsoku/>
        <w:wordWrap/>
        <w:overflowPunct/>
        <w:topLinePunct w:val="0"/>
        <w:autoSpaceDE/>
        <w:autoSpaceDN/>
        <w:bidi w:val="0"/>
        <w:adjustRightInd/>
        <w:snapToGrid/>
        <w:spacing w:line="560" w:lineRule="exact"/>
        <w:ind w:firstLine="630" w:firstLineChars="200"/>
        <w:textAlignment w:val="auto"/>
      </w:pPr>
      <w:r>
        <w:rPr>
          <w:rFonts w:hint="default"/>
        </w:rPr>
        <w:t>1．</w:t>
      </w:r>
      <w:r>
        <w:t>安全责任落实不到位。榆林圣嘟文化科技有限公司安全管理制度修订不及时，安全责任落实不严格，员工安全意识淡薄，导致事发当日违规员工的违规行为不能被有效制止，是事故发生的主要原因。</w:t>
      </w:r>
    </w:p>
    <w:p w14:paraId="72859DCE">
      <w:pPr>
        <w:keepNext w:val="0"/>
        <w:keepLines w:val="0"/>
        <w:pageBreakBefore w:val="0"/>
        <w:widowControl w:val="0"/>
        <w:kinsoku/>
        <w:wordWrap/>
        <w:overflowPunct/>
        <w:topLinePunct w:val="0"/>
        <w:autoSpaceDE/>
        <w:autoSpaceDN/>
        <w:bidi w:val="0"/>
        <w:adjustRightInd/>
        <w:snapToGrid/>
        <w:spacing w:line="560" w:lineRule="exact"/>
        <w:ind w:firstLine="630" w:firstLineChars="200"/>
        <w:textAlignment w:val="auto"/>
      </w:pPr>
      <w:r>
        <w:rPr>
          <w:rFonts w:hint="default"/>
        </w:rPr>
        <w:t>2．</w:t>
      </w:r>
      <w:r>
        <w:t>设备设施管理不严格。榆林圣嘟文化科技有限公司对摩托艇钥匙等特殊设备管理体系不健全，未制定专门管理措施，导致专人操作的专业设备被其他员工使用，设备安全管控链条存在空挡，是事故发生的重要原因。</w:t>
      </w:r>
    </w:p>
    <w:p w14:paraId="5D9F78BD">
      <w:pPr>
        <w:keepNext w:val="0"/>
        <w:keepLines w:val="0"/>
        <w:pageBreakBefore w:val="0"/>
        <w:widowControl w:val="0"/>
        <w:kinsoku/>
        <w:wordWrap/>
        <w:overflowPunct/>
        <w:topLinePunct w:val="0"/>
        <w:autoSpaceDE/>
        <w:autoSpaceDN/>
        <w:bidi w:val="0"/>
        <w:adjustRightInd/>
        <w:snapToGrid/>
        <w:spacing w:line="560" w:lineRule="exact"/>
        <w:ind w:firstLine="630" w:firstLineChars="200"/>
        <w:textAlignment w:val="auto"/>
      </w:pPr>
      <w:r>
        <w:rPr>
          <w:rFonts w:hint="default"/>
        </w:rPr>
        <w:t>3．</w:t>
      </w:r>
      <w:r>
        <w:t>现场救生人员数量少。榆林圣嘟文化科技有限公司配备的救生人员未取到相关资格证书，人员数量少，水上应急演练不足，导致当日事故发生后救援组织不力，是事故发生的原因之一。</w:t>
      </w:r>
    </w:p>
    <w:p w14:paraId="6631D3C4">
      <w:pPr>
        <w:keepNext w:val="0"/>
        <w:keepLines w:val="0"/>
        <w:pageBreakBefore w:val="0"/>
        <w:widowControl w:val="0"/>
        <w:kinsoku/>
        <w:wordWrap/>
        <w:overflowPunct/>
        <w:topLinePunct w:val="0"/>
        <w:autoSpaceDE/>
        <w:autoSpaceDN/>
        <w:bidi w:val="0"/>
        <w:adjustRightInd/>
        <w:snapToGrid/>
        <w:spacing w:line="560" w:lineRule="exact"/>
        <w:ind w:firstLine="630" w:firstLineChars="200"/>
        <w:textAlignment w:val="auto"/>
      </w:pPr>
      <w:r>
        <w:rPr>
          <w:rFonts w:hint="default"/>
        </w:rPr>
        <w:t>4．</w:t>
      </w:r>
      <w:r>
        <w:t>安全监管不到位。行业监管单位榆阳区旅游文化服务中心对所管辖的4A景区日常监督检查不到位，对景区修订安全生产管理制度和应急演练工作督促不够；属地监管监管单位榆林市园林管理服务中心对游乐场所的安全风险认识不足，对水上设施改造管理不到位，对景区增设游乐设施管控不严格；专业监管单位榆阳区道路水路运输服务中心对榆林圣嘟文化科技有限公司选择性监管，对游乐船只监管不全面，重许可，轻管理。</w:t>
      </w:r>
    </w:p>
    <w:p w14:paraId="03FF64E8">
      <w:pPr>
        <w:keepNext w:val="0"/>
        <w:keepLines w:val="0"/>
        <w:pageBreakBefore w:val="0"/>
        <w:widowControl w:val="0"/>
        <w:kinsoku/>
        <w:wordWrap/>
        <w:overflowPunct/>
        <w:topLinePunct w:val="0"/>
        <w:autoSpaceDE/>
        <w:autoSpaceDN/>
        <w:bidi w:val="0"/>
        <w:adjustRightInd/>
        <w:snapToGrid/>
        <w:spacing w:line="560" w:lineRule="exact"/>
        <w:ind w:firstLine="630" w:firstLineChars="200"/>
        <w:textAlignment w:val="auto"/>
        <w:rPr>
          <w:rFonts w:hint="eastAsia" w:ascii="黑体" w:hAnsi="黑体" w:eastAsia="黑体" w:cs="黑体"/>
          <w:sz w:val="32"/>
          <w:szCs w:val="32"/>
        </w:rPr>
      </w:pPr>
      <w:r>
        <w:rPr>
          <w:rFonts w:hint="eastAsia" w:ascii="黑体" w:hAnsi="黑体" w:eastAsia="黑体" w:cs="黑体"/>
          <w:sz w:val="32"/>
          <w:szCs w:val="32"/>
        </w:rPr>
        <w:t>四、有关责任单位履职情况和存在的主要问题</w:t>
      </w:r>
    </w:p>
    <w:p w14:paraId="72D5C344">
      <w:pPr>
        <w:keepNext w:val="0"/>
        <w:keepLines w:val="0"/>
        <w:pageBreakBefore w:val="0"/>
        <w:widowControl w:val="0"/>
        <w:kinsoku/>
        <w:wordWrap/>
        <w:overflowPunct/>
        <w:topLinePunct w:val="0"/>
        <w:autoSpaceDE/>
        <w:autoSpaceDN/>
        <w:bidi w:val="0"/>
        <w:adjustRightInd/>
        <w:snapToGrid/>
        <w:spacing w:line="560" w:lineRule="exact"/>
        <w:ind w:firstLine="630" w:firstLineChars="200"/>
        <w:textAlignment w:val="auto"/>
        <w:rPr>
          <w:rFonts w:hint="eastAsia" w:ascii="楷体_GB2312" w:hAnsi="楷体_GB2312" w:eastAsia="楷体_GB2312" w:cs="楷体_GB2312"/>
        </w:rPr>
      </w:pPr>
      <w:r>
        <w:rPr>
          <w:rFonts w:hint="eastAsia" w:ascii="楷体_GB2312" w:hAnsi="楷体_GB2312" w:eastAsia="楷体_GB2312" w:cs="楷体_GB2312"/>
        </w:rPr>
        <w:t>（一）企业主体责任落实情况</w:t>
      </w:r>
    </w:p>
    <w:p w14:paraId="4FAE4880">
      <w:pPr>
        <w:keepNext w:val="0"/>
        <w:keepLines w:val="0"/>
        <w:pageBreakBefore w:val="0"/>
        <w:widowControl w:val="0"/>
        <w:kinsoku/>
        <w:wordWrap/>
        <w:overflowPunct/>
        <w:topLinePunct w:val="0"/>
        <w:autoSpaceDE/>
        <w:autoSpaceDN/>
        <w:bidi w:val="0"/>
        <w:adjustRightInd/>
        <w:snapToGrid/>
        <w:spacing w:line="560" w:lineRule="exact"/>
        <w:ind w:firstLine="630" w:firstLineChars="200"/>
        <w:textAlignment w:val="auto"/>
      </w:pPr>
      <w:r>
        <w:t>榆林圣嘟文化科技有限公司，事故发生的主体责任单位。先后制定了《职工守则》《榆林圣嘟乐园生产安全事故应急预案》等制度，设置有运营部、财务部等五个职能部门。但公司水上游乐项目仅有员工10人，未配备取得救援资格的救生人员，对摩托艇钥匙管理存在漏洞，总经理履行安全生产第一责任人职责不到位，公司对员工安全培训教育不到位，应急预案制定有漏洞，事故应急救援组织不力。</w:t>
      </w:r>
    </w:p>
    <w:p w14:paraId="0715ED87">
      <w:pPr>
        <w:keepNext w:val="0"/>
        <w:keepLines w:val="0"/>
        <w:pageBreakBefore w:val="0"/>
        <w:widowControl w:val="0"/>
        <w:kinsoku/>
        <w:wordWrap/>
        <w:overflowPunct/>
        <w:topLinePunct w:val="0"/>
        <w:autoSpaceDE/>
        <w:autoSpaceDN/>
        <w:bidi w:val="0"/>
        <w:adjustRightInd/>
        <w:snapToGrid/>
        <w:spacing w:line="560" w:lineRule="exact"/>
        <w:ind w:firstLine="630" w:firstLineChars="200"/>
        <w:textAlignment w:val="auto"/>
        <w:rPr>
          <w:rFonts w:hint="eastAsia" w:ascii="楷体_GB2312" w:hAnsi="楷体_GB2312" w:eastAsia="楷体_GB2312" w:cs="楷体_GB2312"/>
        </w:rPr>
      </w:pPr>
      <w:r>
        <w:rPr>
          <w:rFonts w:hint="eastAsia" w:ascii="楷体_GB2312" w:hAnsi="楷体_GB2312" w:eastAsia="楷体_GB2312" w:cs="楷体_GB2312"/>
        </w:rPr>
        <w:t>（二）相关监管单位履职履责情况</w:t>
      </w:r>
    </w:p>
    <w:p w14:paraId="3D00FF06">
      <w:pPr>
        <w:keepNext w:val="0"/>
        <w:keepLines w:val="0"/>
        <w:pageBreakBefore w:val="0"/>
        <w:widowControl w:val="0"/>
        <w:kinsoku/>
        <w:wordWrap/>
        <w:overflowPunct/>
        <w:topLinePunct w:val="0"/>
        <w:autoSpaceDE/>
        <w:autoSpaceDN/>
        <w:bidi w:val="0"/>
        <w:adjustRightInd/>
        <w:snapToGrid/>
        <w:spacing w:line="560" w:lineRule="exact"/>
        <w:ind w:firstLine="630" w:firstLineChars="200"/>
        <w:textAlignment w:val="auto"/>
      </w:pPr>
      <w:r>
        <w:rPr>
          <w:rFonts w:hint="default"/>
        </w:rPr>
        <w:t>1．</w:t>
      </w:r>
      <w:r>
        <w:t>榆阳区旅游文化服务中心，行业监管单位。在榆阳区文旅局的领导下，负责全区指导旅游服务单位旅游公共服务建设工作，承担旅游安全综合协调工作，受局机关委托承担景区安全管理工作。2024年至今，中心召开安全工作会议19次，组织开展全区涉旅企业培训4次，组织涉旅企业负责人开展应急演练4次，检查涉旅企业246家次，检查发现问题131条，上报主管局4条，移交执法队1条，正在整改2条，其余问题均已闭环整改。事发前根据气象预警对景区提出了大风预警，但日常对A级景区安全监管工作重视不够，落实安全生产“三管三必须”不到位，业务人员安全业务不熟悉，组织安全隐患排查不全面。</w:t>
      </w:r>
    </w:p>
    <w:p w14:paraId="1BD606D0">
      <w:pPr>
        <w:keepNext w:val="0"/>
        <w:keepLines w:val="0"/>
        <w:pageBreakBefore w:val="0"/>
        <w:widowControl w:val="0"/>
        <w:kinsoku/>
        <w:wordWrap/>
        <w:overflowPunct/>
        <w:topLinePunct w:val="0"/>
        <w:autoSpaceDE/>
        <w:autoSpaceDN/>
        <w:bidi w:val="0"/>
        <w:adjustRightInd/>
        <w:snapToGrid/>
        <w:spacing w:line="560" w:lineRule="exact"/>
        <w:ind w:firstLine="630" w:firstLineChars="200"/>
        <w:textAlignment w:val="auto"/>
      </w:pPr>
      <w:r>
        <w:rPr>
          <w:rFonts w:hint="default"/>
        </w:rPr>
        <w:t>2．</w:t>
      </w:r>
      <w:r>
        <w:t>榆林市园林管理服务中心，负责管辖区的公园、广场、绿地、游园的公用设施、园林绿化、景观亮化等管理养护维修和水域管理、环境卫生清扫保洁、公共秩序维护等工作;负责公园、广场、绿地、游园内各项公益活动的管理服务工作；代表市城管局履行甲方属地职责，属地监管单位。针对对圣嘟乐园等高风险水域实施定向监督，2025年累计发送安全提醒函5次，召开专题安全生产会议1次，督促落实整改措施，但该单位隐患排查仍存在盲区，排查手段单一，安全业务工作水平有待提升。</w:t>
      </w:r>
    </w:p>
    <w:p w14:paraId="263648BD">
      <w:pPr>
        <w:keepNext w:val="0"/>
        <w:keepLines w:val="0"/>
        <w:pageBreakBefore w:val="0"/>
        <w:widowControl w:val="0"/>
        <w:kinsoku/>
        <w:wordWrap/>
        <w:overflowPunct/>
        <w:topLinePunct w:val="0"/>
        <w:autoSpaceDE/>
        <w:autoSpaceDN/>
        <w:bidi w:val="0"/>
        <w:adjustRightInd/>
        <w:snapToGrid/>
        <w:spacing w:line="560" w:lineRule="exact"/>
        <w:ind w:firstLine="630" w:firstLineChars="200"/>
        <w:textAlignment w:val="auto"/>
      </w:pPr>
      <w:r>
        <w:rPr>
          <w:rFonts w:hint="default"/>
        </w:rPr>
        <w:t>3．</w:t>
      </w:r>
      <w:r>
        <w:t>榆阳区道路水路运输服务中心，承担全区水上交通安全监管责任，负责船舶及相关水上设施检验、警记翌防止污染监督管理等工作。但对景区旅游船安全监管不到位，“打非治违”工作</w:t>
      </w:r>
      <w:r>
        <w:rPr>
          <w:rFonts w:hint="eastAsia"/>
          <w:lang w:val="en-US" w:eastAsia="zh-CN"/>
        </w:rPr>
        <w:t>不到位</w:t>
      </w:r>
      <w:r>
        <w:t>，对榆林圣嘟文化科技有限公司取得《水路运输许可证》不予认可，但没有向行政审批机关提出注销建议。</w:t>
      </w:r>
    </w:p>
    <w:p w14:paraId="51ED083F">
      <w:pPr>
        <w:keepNext w:val="0"/>
        <w:keepLines w:val="0"/>
        <w:pageBreakBefore w:val="0"/>
        <w:widowControl w:val="0"/>
        <w:kinsoku/>
        <w:wordWrap/>
        <w:overflowPunct/>
        <w:topLinePunct w:val="0"/>
        <w:autoSpaceDE/>
        <w:autoSpaceDN/>
        <w:bidi w:val="0"/>
        <w:adjustRightInd/>
        <w:snapToGrid/>
        <w:spacing w:line="560" w:lineRule="exact"/>
        <w:ind w:firstLine="630" w:firstLineChars="200"/>
        <w:textAlignment w:val="auto"/>
        <w:rPr>
          <w:rFonts w:hint="eastAsia" w:ascii="黑体" w:hAnsi="黑体" w:eastAsia="黑体" w:cs="黑体"/>
          <w:sz w:val="32"/>
          <w:szCs w:val="32"/>
        </w:rPr>
      </w:pPr>
      <w:r>
        <w:rPr>
          <w:rFonts w:hint="eastAsia" w:ascii="黑体" w:hAnsi="黑体" w:eastAsia="黑体" w:cs="黑体"/>
          <w:sz w:val="32"/>
          <w:szCs w:val="32"/>
        </w:rPr>
        <w:t>五、对责任单位及责任人员的处理建议</w:t>
      </w:r>
    </w:p>
    <w:p w14:paraId="0B946712">
      <w:pPr>
        <w:keepNext w:val="0"/>
        <w:keepLines w:val="0"/>
        <w:pageBreakBefore w:val="0"/>
        <w:widowControl w:val="0"/>
        <w:kinsoku/>
        <w:wordWrap/>
        <w:overflowPunct/>
        <w:topLinePunct w:val="0"/>
        <w:autoSpaceDE/>
        <w:autoSpaceDN/>
        <w:bidi w:val="0"/>
        <w:adjustRightInd/>
        <w:snapToGrid/>
        <w:spacing w:line="560" w:lineRule="exact"/>
        <w:ind w:firstLine="630" w:firstLineChars="200"/>
        <w:textAlignment w:val="auto"/>
        <w:rPr>
          <w:rFonts w:hint="eastAsia" w:ascii="楷体_GB2312" w:hAnsi="楷体_GB2312" w:eastAsia="楷体_GB2312" w:cs="楷体_GB2312"/>
        </w:rPr>
      </w:pPr>
      <w:r>
        <w:rPr>
          <w:rFonts w:hint="eastAsia" w:ascii="楷体_GB2312" w:hAnsi="楷体_GB2312" w:eastAsia="楷体_GB2312" w:cs="楷体_GB2312"/>
        </w:rPr>
        <w:t>（一）对企业相关责任人员的处理建议</w:t>
      </w:r>
    </w:p>
    <w:p w14:paraId="37C690AE">
      <w:pPr>
        <w:keepNext w:val="0"/>
        <w:keepLines w:val="0"/>
        <w:pageBreakBefore w:val="0"/>
        <w:widowControl w:val="0"/>
        <w:kinsoku/>
        <w:wordWrap/>
        <w:overflowPunct/>
        <w:topLinePunct w:val="0"/>
        <w:autoSpaceDE/>
        <w:autoSpaceDN/>
        <w:bidi w:val="0"/>
        <w:adjustRightInd/>
        <w:snapToGrid/>
        <w:spacing w:line="560" w:lineRule="exact"/>
        <w:ind w:firstLine="630" w:firstLineChars="200"/>
        <w:textAlignment w:val="auto"/>
      </w:pPr>
      <w:r>
        <w:rPr>
          <w:rFonts w:hint="eastAsia"/>
          <w:lang w:val="en-US" w:eastAsia="zh-CN"/>
        </w:rPr>
        <w:t>1.免予</w:t>
      </w:r>
      <w:r>
        <w:t>刑事责任追究人员（</w:t>
      </w:r>
      <w:r>
        <w:rPr>
          <w:rFonts w:hint="eastAsia"/>
          <w:lang w:val="en-US" w:eastAsia="zh-CN"/>
        </w:rPr>
        <w:t>2</w:t>
      </w:r>
      <w:r>
        <w:t>人）</w:t>
      </w:r>
      <w:r>
        <w:rPr>
          <w:rFonts w:hint="eastAsia"/>
          <w:lang w:eastAsia="zh-CN"/>
        </w:rPr>
        <w:t>。</w:t>
      </w:r>
      <w:r>
        <w:t>榆林圣嘟科技文化有限公司员工李某，闫某某</w:t>
      </w:r>
      <w:r>
        <w:rPr>
          <w:rFonts w:hint="eastAsia"/>
          <w:lang w:eastAsia="zh-CN"/>
        </w:rPr>
        <w:t>，</w:t>
      </w:r>
      <w:r>
        <w:rPr>
          <w:rFonts w:hint="eastAsia"/>
          <w:lang w:val="en-US" w:eastAsia="zh-CN"/>
        </w:rPr>
        <w:t>对事故的发生负有主要责任，</w:t>
      </w:r>
      <w:r>
        <w:t>鉴于二人在事故中死亡，</w:t>
      </w:r>
      <w:r>
        <w:rPr>
          <w:rFonts w:hint="eastAsia"/>
          <w:lang w:val="en-US" w:eastAsia="zh-CN"/>
        </w:rPr>
        <w:t>免予</w:t>
      </w:r>
      <w:r>
        <w:t>追究</w:t>
      </w:r>
      <w:r>
        <w:rPr>
          <w:rFonts w:hint="eastAsia"/>
          <w:lang w:val="en-US" w:eastAsia="zh-CN"/>
        </w:rPr>
        <w:t>相关</w:t>
      </w:r>
      <w:r>
        <w:t>责任。</w:t>
      </w:r>
    </w:p>
    <w:p w14:paraId="03099D63">
      <w:pPr>
        <w:keepNext w:val="0"/>
        <w:keepLines w:val="0"/>
        <w:pageBreakBefore w:val="0"/>
        <w:widowControl w:val="0"/>
        <w:kinsoku/>
        <w:wordWrap/>
        <w:overflowPunct/>
        <w:topLinePunct w:val="0"/>
        <w:autoSpaceDE/>
        <w:autoSpaceDN/>
        <w:bidi w:val="0"/>
        <w:adjustRightInd/>
        <w:snapToGrid/>
        <w:spacing w:line="560" w:lineRule="exact"/>
        <w:ind w:firstLine="630" w:firstLineChars="200"/>
        <w:textAlignment w:val="auto"/>
      </w:pPr>
      <w:r>
        <w:rPr>
          <w:rFonts w:hint="eastAsia"/>
          <w:lang w:val="en-US" w:eastAsia="zh-CN"/>
        </w:rPr>
        <w:t>2.</w:t>
      </w:r>
      <w:r>
        <w:t>行政责任追究人员</w:t>
      </w:r>
      <w:r>
        <w:rPr>
          <w:rFonts w:hint="eastAsia"/>
          <w:lang w:eastAsia="zh-CN"/>
        </w:rPr>
        <w:t>（</w:t>
      </w:r>
      <w:r>
        <w:rPr>
          <w:rFonts w:hint="eastAsia"/>
          <w:lang w:val="en-US" w:eastAsia="zh-CN"/>
        </w:rPr>
        <w:t>3人</w:t>
      </w:r>
      <w:r>
        <w:rPr>
          <w:rFonts w:hint="eastAsia"/>
          <w:lang w:eastAsia="zh-CN"/>
        </w:rPr>
        <w:t>）。</w:t>
      </w:r>
      <w:r>
        <w:t>榆林圣嘟文化科技有限公司</w:t>
      </w:r>
      <w:r>
        <w:rPr>
          <w:rFonts w:hint="eastAsia"/>
          <w:lang w:eastAsia="zh-CN"/>
        </w:rPr>
        <w:t>管理人员</w:t>
      </w:r>
      <w:r>
        <w:rPr>
          <w:rFonts w:hint="eastAsia"/>
          <w:lang w:val="en-US" w:eastAsia="zh-CN"/>
        </w:rPr>
        <w:t>3</w:t>
      </w:r>
      <w:r>
        <w:t>人，</w:t>
      </w:r>
      <w:r>
        <w:rPr>
          <w:rFonts w:hint="eastAsia"/>
          <w:lang w:eastAsia="zh-CN"/>
        </w:rPr>
        <w:t>负有主要管理责任、重要管理责任、主要领导责任；</w:t>
      </w:r>
      <w:r>
        <w:rPr>
          <w:rFonts w:hint="eastAsia" w:ascii="仿宋_GB2312" w:hAnsi="仿宋_GB2312" w:eastAsia="仿宋_GB2312" w:cs="仿宋_GB2312"/>
          <w:color w:val="auto"/>
          <w:sz w:val="32"/>
          <w:szCs w:val="32"/>
          <w:lang w:val="en-US" w:eastAsia="zh-CN"/>
        </w:rPr>
        <w:t>建议由</w:t>
      </w:r>
      <w:r>
        <w:rPr>
          <w:rFonts w:hint="eastAsia" w:cs="仿宋_GB2312"/>
          <w:color w:val="auto"/>
          <w:sz w:val="32"/>
          <w:szCs w:val="32"/>
          <w:lang w:val="en-US" w:eastAsia="zh-CN"/>
        </w:rPr>
        <w:t>榆阳区</w:t>
      </w:r>
      <w:r>
        <w:rPr>
          <w:rFonts w:hint="eastAsia" w:ascii="仿宋_GB2312" w:hAnsi="仿宋_GB2312" w:eastAsia="仿宋_GB2312" w:cs="仿宋_GB2312"/>
          <w:color w:val="auto"/>
          <w:sz w:val="32"/>
          <w:szCs w:val="32"/>
          <w:lang w:val="en-US" w:eastAsia="zh-CN"/>
        </w:rPr>
        <w:t>应急管理局依据《安全生产法》</w:t>
      </w:r>
      <w:r>
        <w:rPr>
          <w:rFonts w:hint="eastAsia" w:cs="仿宋_GB2312"/>
          <w:color w:val="auto"/>
          <w:sz w:val="32"/>
          <w:szCs w:val="32"/>
          <w:lang w:val="en-US" w:eastAsia="zh-CN"/>
        </w:rPr>
        <w:t>《生产安全事故罚款处罚规定》</w:t>
      </w:r>
      <w:r>
        <w:rPr>
          <w:rFonts w:hint="eastAsia" w:ascii="仿宋_GB2312" w:hAnsi="仿宋_GB2312" w:cs="仿宋_GB2312"/>
          <w:color w:val="auto"/>
          <w:sz w:val="32"/>
          <w:szCs w:val="32"/>
          <w:lang w:val="en-US" w:eastAsia="zh-CN"/>
        </w:rPr>
        <w:t>规定，</w:t>
      </w:r>
      <w:r>
        <w:t>进行行政处罚，并由榆林圣嘟文化科技有限公司按照公司有关规定进行处理。</w:t>
      </w:r>
    </w:p>
    <w:p w14:paraId="1AA5F8E5">
      <w:pPr>
        <w:keepNext w:val="0"/>
        <w:keepLines w:val="0"/>
        <w:pageBreakBefore w:val="0"/>
        <w:widowControl w:val="0"/>
        <w:kinsoku/>
        <w:wordWrap/>
        <w:overflowPunct/>
        <w:topLinePunct w:val="0"/>
        <w:autoSpaceDE/>
        <w:autoSpaceDN/>
        <w:bidi w:val="0"/>
        <w:adjustRightInd/>
        <w:snapToGrid/>
        <w:spacing w:line="560" w:lineRule="exact"/>
        <w:ind w:firstLine="630" w:firstLineChars="200"/>
        <w:textAlignment w:val="auto"/>
        <w:rPr>
          <w:rFonts w:hint="eastAsia" w:ascii="楷体_GB2312" w:hAnsi="楷体_GB2312" w:eastAsia="楷体_GB2312" w:cs="楷体_GB2312"/>
        </w:rPr>
      </w:pPr>
      <w:r>
        <w:rPr>
          <w:rFonts w:hint="eastAsia" w:ascii="楷体_GB2312" w:hAnsi="楷体_GB2312" w:eastAsia="楷体_GB2312" w:cs="楷体_GB2312"/>
        </w:rPr>
        <w:t>（二）对监管单位相关人员的处理建议</w:t>
      </w:r>
    </w:p>
    <w:p w14:paraId="719EFA1C">
      <w:pPr>
        <w:keepNext w:val="0"/>
        <w:keepLines w:val="0"/>
        <w:pageBreakBefore w:val="0"/>
        <w:widowControl w:val="0"/>
        <w:kinsoku/>
        <w:wordWrap/>
        <w:overflowPunct/>
        <w:topLinePunct w:val="0"/>
        <w:autoSpaceDE/>
        <w:autoSpaceDN/>
        <w:bidi w:val="0"/>
        <w:adjustRightInd/>
        <w:snapToGrid/>
        <w:spacing w:line="560" w:lineRule="exact"/>
        <w:ind w:firstLine="630" w:firstLineChars="200"/>
        <w:textAlignment w:val="auto"/>
      </w:pPr>
      <w:r>
        <w:rPr>
          <w:rFonts w:hint="default"/>
        </w:rPr>
        <w:t>1．</w:t>
      </w:r>
      <w:r>
        <w:t>榆林市公园广场服务中心共问责3人，</w:t>
      </w:r>
      <w:r>
        <w:rPr>
          <w:rFonts w:hint="eastAsia"/>
          <w:lang w:eastAsia="zh-CN"/>
        </w:rPr>
        <w:t>分别负有属地监管领导责任、属地监管主要领导责任、属地直接监管责任；</w:t>
      </w:r>
      <w:r>
        <w:rPr>
          <w:rFonts w:hint="eastAsia" w:cs="仿宋_GB2312"/>
          <w:spacing w:val="5"/>
          <w:sz w:val="32"/>
          <w:szCs w:val="32"/>
          <w:lang w:eastAsia="zh-CN"/>
        </w:rPr>
        <w:t>其中</w:t>
      </w:r>
      <w:r>
        <w:rPr>
          <w:rFonts w:hint="eastAsia"/>
          <w:lang w:val="en-US" w:eastAsia="zh-CN"/>
        </w:rPr>
        <w:t>科级</w:t>
      </w:r>
      <w:r>
        <w:t>干部</w:t>
      </w:r>
      <w:r>
        <w:rPr>
          <w:rFonts w:hint="eastAsia"/>
          <w:lang w:val="en-US" w:eastAsia="zh-CN"/>
        </w:rPr>
        <w:t>1人，</w:t>
      </w:r>
      <w:r>
        <w:t>给予政务警告处分</w:t>
      </w:r>
      <w:r>
        <w:rPr>
          <w:rFonts w:hint="eastAsia"/>
          <w:lang w:eastAsia="zh-CN"/>
        </w:rPr>
        <w:t>；普通</w:t>
      </w:r>
      <w:r>
        <w:rPr>
          <w:rFonts w:hint="eastAsia"/>
          <w:lang w:val="en-US" w:eastAsia="zh-CN"/>
        </w:rPr>
        <w:t>干部2人，</w:t>
      </w:r>
      <w:r>
        <w:t>给予党内警告处分。</w:t>
      </w:r>
    </w:p>
    <w:p w14:paraId="625B47C4">
      <w:pPr>
        <w:keepNext w:val="0"/>
        <w:keepLines w:val="0"/>
        <w:pageBreakBefore w:val="0"/>
        <w:widowControl w:val="0"/>
        <w:kinsoku/>
        <w:wordWrap/>
        <w:overflowPunct/>
        <w:topLinePunct w:val="0"/>
        <w:autoSpaceDE/>
        <w:autoSpaceDN/>
        <w:bidi w:val="0"/>
        <w:adjustRightInd/>
        <w:snapToGrid/>
        <w:spacing w:line="560" w:lineRule="exact"/>
        <w:ind w:firstLine="630" w:firstLineChars="200"/>
        <w:textAlignment w:val="auto"/>
      </w:pPr>
      <w:r>
        <w:rPr>
          <w:rFonts w:hint="default"/>
        </w:rPr>
        <w:t>2．</w:t>
      </w:r>
      <w:r>
        <w:t>榆阳区旅游服务中心共问责3人，</w:t>
      </w:r>
      <w:r>
        <w:rPr>
          <w:rFonts w:hint="eastAsia" w:ascii="仿宋_GB2312" w:hAnsi="仿宋_GB2312" w:eastAsia="仿宋_GB2312" w:cs="仿宋_GB2312"/>
          <w:spacing w:val="5"/>
          <w:sz w:val="32"/>
          <w:szCs w:val="32"/>
          <w:lang w:val="en-US" w:eastAsia="zh-CN"/>
        </w:rPr>
        <w:t>负有行业监管领导责任</w:t>
      </w:r>
      <w:r>
        <w:rPr>
          <w:rFonts w:hint="eastAsia" w:cs="仿宋_GB2312"/>
          <w:spacing w:val="5"/>
          <w:sz w:val="32"/>
          <w:szCs w:val="32"/>
          <w:lang w:val="en-US" w:eastAsia="zh-CN"/>
        </w:rPr>
        <w:t>、</w:t>
      </w:r>
      <w:r>
        <w:rPr>
          <w:rFonts w:hint="eastAsia" w:ascii="仿宋_GB2312" w:hAnsi="仿宋_GB2312" w:eastAsia="仿宋_GB2312" w:cs="仿宋_GB2312"/>
          <w:spacing w:val="5"/>
          <w:sz w:val="32"/>
          <w:szCs w:val="32"/>
          <w:lang w:val="en-US" w:eastAsia="zh-CN"/>
        </w:rPr>
        <w:t>行业监管</w:t>
      </w:r>
      <w:r>
        <w:rPr>
          <w:rFonts w:hint="eastAsia" w:cs="仿宋_GB2312"/>
          <w:spacing w:val="5"/>
          <w:sz w:val="32"/>
          <w:szCs w:val="32"/>
          <w:lang w:val="en-US" w:eastAsia="zh-CN"/>
        </w:rPr>
        <w:t>主要</w:t>
      </w:r>
      <w:r>
        <w:rPr>
          <w:rFonts w:hint="eastAsia" w:ascii="仿宋_GB2312" w:hAnsi="仿宋_GB2312" w:eastAsia="仿宋_GB2312" w:cs="仿宋_GB2312"/>
          <w:spacing w:val="5"/>
          <w:sz w:val="32"/>
          <w:szCs w:val="32"/>
          <w:lang w:val="en-US" w:eastAsia="zh-CN"/>
        </w:rPr>
        <w:t>领导责任</w:t>
      </w:r>
      <w:r>
        <w:rPr>
          <w:rFonts w:hint="eastAsia" w:cs="仿宋_GB2312"/>
          <w:spacing w:val="5"/>
          <w:sz w:val="32"/>
          <w:szCs w:val="32"/>
          <w:lang w:val="en-US" w:eastAsia="zh-CN"/>
        </w:rPr>
        <w:t>、</w:t>
      </w:r>
      <w:r>
        <w:rPr>
          <w:rFonts w:hint="eastAsia" w:ascii="仿宋_GB2312" w:hAnsi="仿宋_GB2312" w:eastAsia="仿宋_GB2312" w:cs="仿宋_GB2312"/>
          <w:spacing w:val="5"/>
          <w:sz w:val="32"/>
          <w:szCs w:val="32"/>
          <w:lang w:val="en-US" w:eastAsia="zh-CN"/>
        </w:rPr>
        <w:t>行业监管</w:t>
      </w:r>
      <w:r>
        <w:rPr>
          <w:rFonts w:hint="eastAsia" w:cs="仿宋_GB2312"/>
          <w:spacing w:val="5"/>
          <w:sz w:val="32"/>
          <w:szCs w:val="32"/>
          <w:lang w:val="en-US" w:eastAsia="zh-CN"/>
        </w:rPr>
        <w:t>直接监管责任；</w:t>
      </w:r>
      <w:r>
        <w:rPr>
          <w:rFonts w:hint="eastAsia" w:cs="仿宋_GB2312"/>
          <w:spacing w:val="5"/>
          <w:sz w:val="32"/>
          <w:szCs w:val="32"/>
          <w:lang w:eastAsia="zh-CN"/>
        </w:rPr>
        <w:t>其中</w:t>
      </w:r>
      <w:r>
        <w:rPr>
          <w:rFonts w:hint="eastAsia"/>
          <w:lang w:val="en-US" w:eastAsia="zh-CN"/>
        </w:rPr>
        <w:t>科级</w:t>
      </w:r>
      <w:r>
        <w:t>干部</w:t>
      </w:r>
      <w:r>
        <w:rPr>
          <w:rFonts w:hint="eastAsia"/>
          <w:lang w:val="en-US" w:eastAsia="zh-CN"/>
        </w:rPr>
        <w:t>1人，</w:t>
      </w:r>
      <w:r>
        <w:t>给予政务警告处分</w:t>
      </w:r>
      <w:r>
        <w:rPr>
          <w:rFonts w:hint="eastAsia"/>
          <w:lang w:eastAsia="zh-CN"/>
        </w:rPr>
        <w:t>；普通</w:t>
      </w:r>
      <w:r>
        <w:rPr>
          <w:rFonts w:hint="eastAsia"/>
          <w:lang w:val="en-US" w:eastAsia="zh-CN"/>
        </w:rPr>
        <w:t>干部2人</w:t>
      </w:r>
      <w:r>
        <w:t>，1人给予党内警告处分，1人给予党内严重警告处分。</w:t>
      </w:r>
    </w:p>
    <w:p w14:paraId="690709AF">
      <w:pPr>
        <w:keepNext w:val="0"/>
        <w:keepLines w:val="0"/>
        <w:pageBreakBefore w:val="0"/>
        <w:widowControl w:val="0"/>
        <w:kinsoku/>
        <w:wordWrap/>
        <w:overflowPunct/>
        <w:topLinePunct w:val="0"/>
        <w:autoSpaceDE/>
        <w:autoSpaceDN/>
        <w:bidi w:val="0"/>
        <w:adjustRightInd/>
        <w:snapToGrid/>
        <w:spacing w:line="560" w:lineRule="exact"/>
        <w:ind w:firstLine="630" w:firstLineChars="200"/>
        <w:textAlignment w:val="auto"/>
      </w:pPr>
      <w:r>
        <w:rPr>
          <w:rFonts w:hint="default"/>
        </w:rPr>
        <w:t>3．</w:t>
      </w:r>
      <w:r>
        <w:t>榆阳区道路水路运输服务中心共问责3人，</w:t>
      </w:r>
      <w:r>
        <w:rPr>
          <w:rFonts w:hint="eastAsia" w:ascii="仿宋_GB2312" w:hAnsi="仿宋_GB2312" w:eastAsia="仿宋_GB2312" w:cs="仿宋_GB2312"/>
          <w:spacing w:val="5"/>
          <w:sz w:val="32"/>
          <w:szCs w:val="32"/>
          <w:lang w:eastAsia="zh-CN"/>
        </w:rPr>
        <w:t>负有专业监管领导责任</w:t>
      </w:r>
      <w:r>
        <w:rPr>
          <w:rFonts w:hint="eastAsia" w:cs="仿宋_GB2312"/>
          <w:spacing w:val="5"/>
          <w:sz w:val="32"/>
          <w:szCs w:val="32"/>
          <w:lang w:eastAsia="zh-CN"/>
        </w:rPr>
        <w:t>、</w:t>
      </w:r>
      <w:r>
        <w:rPr>
          <w:rFonts w:hint="eastAsia" w:ascii="仿宋_GB2312" w:hAnsi="仿宋_GB2312" w:eastAsia="仿宋_GB2312" w:cs="仿宋_GB2312"/>
          <w:spacing w:val="5"/>
          <w:sz w:val="32"/>
          <w:szCs w:val="32"/>
          <w:lang w:eastAsia="zh-CN"/>
        </w:rPr>
        <w:t>专业监管主要领导责任</w:t>
      </w:r>
      <w:r>
        <w:rPr>
          <w:rFonts w:hint="eastAsia" w:cs="仿宋_GB2312"/>
          <w:spacing w:val="5"/>
          <w:sz w:val="32"/>
          <w:szCs w:val="32"/>
          <w:lang w:eastAsia="zh-CN"/>
        </w:rPr>
        <w:t>、</w:t>
      </w:r>
      <w:r>
        <w:rPr>
          <w:rFonts w:hint="eastAsia" w:ascii="仿宋_GB2312" w:hAnsi="仿宋_GB2312" w:eastAsia="仿宋_GB2312" w:cs="仿宋_GB2312"/>
          <w:spacing w:val="5"/>
          <w:sz w:val="32"/>
          <w:szCs w:val="32"/>
          <w:lang w:eastAsia="zh-CN"/>
        </w:rPr>
        <w:t>专业监管</w:t>
      </w:r>
      <w:r>
        <w:rPr>
          <w:rFonts w:hint="eastAsia" w:cs="仿宋_GB2312"/>
          <w:spacing w:val="5"/>
          <w:sz w:val="32"/>
          <w:szCs w:val="32"/>
          <w:lang w:eastAsia="zh-CN"/>
        </w:rPr>
        <w:t>直接监管</w:t>
      </w:r>
      <w:r>
        <w:rPr>
          <w:rFonts w:hint="eastAsia" w:ascii="仿宋_GB2312" w:hAnsi="仿宋_GB2312" w:eastAsia="仿宋_GB2312" w:cs="仿宋_GB2312"/>
          <w:spacing w:val="5"/>
          <w:sz w:val="32"/>
          <w:szCs w:val="32"/>
          <w:lang w:eastAsia="zh-CN"/>
        </w:rPr>
        <w:t>责任</w:t>
      </w:r>
      <w:r>
        <w:rPr>
          <w:rFonts w:hint="eastAsia" w:cs="仿宋_GB2312"/>
          <w:spacing w:val="5"/>
          <w:sz w:val="32"/>
          <w:szCs w:val="32"/>
          <w:lang w:eastAsia="zh-CN"/>
        </w:rPr>
        <w:t>；其中</w:t>
      </w:r>
      <w:r>
        <w:rPr>
          <w:rFonts w:hint="eastAsia"/>
          <w:lang w:val="en-US" w:eastAsia="zh-CN"/>
        </w:rPr>
        <w:t>科级</w:t>
      </w:r>
      <w:r>
        <w:t>干部</w:t>
      </w:r>
      <w:r>
        <w:rPr>
          <w:rFonts w:hint="eastAsia"/>
          <w:lang w:val="en-US" w:eastAsia="zh-CN"/>
        </w:rPr>
        <w:t>1人，</w:t>
      </w:r>
      <w:r>
        <w:t>给予政务警告处分</w:t>
      </w:r>
      <w:r>
        <w:rPr>
          <w:rFonts w:hint="eastAsia"/>
          <w:lang w:eastAsia="zh-CN"/>
        </w:rPr>
        <w:t>；普通</w:t>
      </w:r>
      <w:r>
        <w:rPr>
          <w:rFonts w:hint="eastAsia"/>
          <w:lang w:val="en-US" w:eastAsia="zh-CN"/>
        </w:rPr>
        <w:t>干部</w:t>
      </w:r>
      <w:r>
        <w:rPr>
          <w:rFonts w:hint="eastAsia"/>
          <w:spacing wpsCustomData:val="-6" w:val="-32"/>
          <w:lang w:val="en-US" w:eastAsia="zh-CN"/>
        </w:rPr>
        <w:t>2</w:t>
      </w:r>
      <w:r>
        <w:rPr>
          <w:rFonts w:hint="eastAsia"/>
          <w:spacing wpsCustomData:val="-6" w:val="8"/>
          <w:lang w:val="en-US" w:eastAsia="zh-CN"/>
        </w:rPr>
        <w:t>人</w:t>
      </w:r>
      <w:r>
        <w:rPr>
          <w:spacing wpsCustomData:val="-6" w:val="8"/>
        </w:rPr>
        <w:t>，</w:t>
      </w:r>
      <w:r>
        <w:rPr>
          <w:spacing wpsCustomData:val="-6" w:val="-32"/>
        </w:rPr>
        <w:t>1</w:t>
      </w:r>
      <w:r>
        <w:rPr>
          <w:spacing wpsCustomData:val="-6" w:val="8"/>
        </w:rPr>
        <w:t>人给予党内警告处分，</w:t>
      </w:r>
      <w:r>
        <w:rPr>
          <w:spacing wpsCustomData:val="-6" w:val="-32"/>
        </w:rPr>
        <w:t>1</w:t>
      </w:r>
      <w:r>
        <w:rPr>
          <w:spacing wpsCustomData:val="-6" w:val="8"/>
        </w:rPr>
        <w:t>人给予党内严重警</w:t>
      </w:r>
      <w:r>
        <w:rPr>
          <w:spacing wpsCustomData:val="-6" w:val="-6"/>
        </w:rPr>
        <w:t>告</w:t>
      </w:r>
      <w:r>
        <w:t>处分。</w:t>
      </w:r>
      <w:bookmarkStart w:id="0" w:name="_GoBack"/>
      <w:bookmarkEnd w:id="0"/>
    </w:p>
    <w:p w14:paraId="4DB18FBD">
      <w:pPr>
        <w:keepNext w:val="0"/>
        <w:keepLines w:val="0"/>
        <w:pageBreakBefore w:val="0"/>
        <w:widowControl w:val="0"/>
        <w:kinsoku/>
        <w:wordWrap/>
        <w:overflowPunct/>
        <w:topLinePunct w:val="0"/>
        <w:autoSpaceDE/>
        <w:autoSpaceDN/>
        <w:bidi w:val="0"/>
        <w:adjustRightInd/>
        <w:snapToGrid/>
        <w:spacing w:line="560" w:lineRule="exact"/>
        <w:ind w:firstLine="630" w:firstLineChars="200"/>
        <w:textAlignment w:val="auto"/>
        <w:rPr>
          <w:rFonts w:hint="eastAsia" w:ascii="楷体_GB2312" w:hAnsi="楷体_GB2312" w:eastAsia="楷体_GB2312" w:cs="楷体_GB2312"/>
        </w:rPr>
      </w:pPr>
      <w:r>
        <w:rPr>
          <w:rFonts w:hint="eastAsia" w:ascii="楷体_GB2312" w:hAnsi="楷体_GB2312" w:eastAsia="楷体_GB2312" w:cs="楷体_GB2312"/>
        </w:rPr>
        <w:t>（三）对有关单位的处理建议</w:t>
      </w:r>
    </w:p>
    <w:p w14:paraId="3C605ACF">
      <w:pPr>
        <w:keepNext w:val="0"/>
        <w:keepLines w:val="0"/>
        <w:pageBreakBefore w:val="0"/>
        <w:widowControl w:val="0"/>
        <w:kinsoku/>
        <w:wordWrap/>
        <w:overflowPunct/>
        <w:topLinePunct w:val="0"/>
        <w:autoSpaceDE/>
        <w:autoSpaceDN/>
        <w:bidi w:val="0"/>
        <w:adjustRightInd/>
        <w:snapToGrid/>
        <w:spacing w:line="560" w:lineRule="exact"/>
        <w:ind w:firstLine="630" w:firstLineChars="200"/>
        <w:textAlignment w:val="auto"/>
      </w:pPr>
      <w:r>
        <w:rPr>
          <w:rFonts w:hint="default"/>
        </w:rPr>
        <w:t>1．</w:t>
      </w:r>
      <w:r>
        <w:t>榆林圣嘟科技文化有限公司，对此次事故负有直接和主体责任，由市文化旅游部门对其进行停业整顿，由榆阳区应急管理局依据相关法律法规进行行政处罚。</w:t>
      </w:r>
    </w:p>
    <w:p w14:paraId="78E45632">
      <w:pPr>
        <w:keepNext w:val="0"/>
        <w:keepLines w:val="0"/>
        <w:pageBreakBefore w:val="0"/>
        <w:widowControl w:val="0"/>
        <w:kinsoku/>
        <w:wordWrap/>
        <w:overflowPunct/>
        <w:topLinePunct w:val="0"/>
        <w:autoSpaceDE/>
        <w:autoSpaceDN/>
        <w:bidi w:val="0"/>
        <w:adjustRightInd/>
        <w:snapToGrid/>
        <w:spacing w:line="560" w:lineRule="exact"/>
        <w:ind w:firstLine="630" w:firstLineChars="200"/>
        <w:textAlignment w:val="auto"/>
      </w:pPr>
      <w:r>
        <w:rPr>
          <w:rFonts w:hint="default"/>
        </w:rPr>
        <w:t>2．</w:t>
      </w:r>
      <w:r>
        <w:t>榆林市公园广场服务中心履行属地监管不到位，向榆林市城管局作出书面检查；榆阳区交通运输局、榆阳区文旅局对事故的发生负有领导不力的责任，分别向榆阳区政府作出书面检查。</w:t>
      </w:r>
    </w:p>
    <w:p w14:paraId="24F5A173">
      <w:pPr>
        <w:keepNext w:val="0"/>
        <w:keepLines w:val="0"/>
        <w:pageBreakBefore w:val="0"/>
        <w:widowControl w:val="0"/>
        <w:kinsoku/>
        <w:wordWrap/>
        <w:overflowPunct/>
        <w:topLinePunct w:val="0"/>
        <w:autoSpaceDE/>
        <w:autoSpaceDN/>
        <w:bidi w:val="0"/>
        <w:adjustRightInd/>
        <w:snapToGrid/>
        <w:spacing w:line="560" w:lineRule="exact"/>
        <w:ind w:firstLine="630" w:firstLineChars="200"/>
        <w:textAlignment w:val="auto"/>
        <w:rPr>
          <w:rFonts w:hint="eastAsia" w:ascii="黑体" w:hAnsi="黑体" w:eastAsia="黑体" w:cs="黑体"/>
          <w:sz w:val="32"/>
          <w:szCs w:val="32"/>
        </w:rPr>
      </w:pPr>
      <w:r>
        <w:rPr>
          <w:rFonts w:hint="eastAsia" w:ascii="黑体" w:hAnsi="黑体" w:eastAsia="黑体" w:cs="黑体"/>
          <w:sz w:val="32"/>
          <w:szCs w:val="32"/>
        </w:rPr>
        <w:t>六、整改和防范措施</w:t>
      </w:r>
    </w:p>
    <w:p w14:paraId="79ECCADF">
      <w:pPr>
        <w:keepNext w:val="0"/>
        <w:keepLines w:val="0"/>
        <w:pageBreakBefore w:val="0"/>
        <w:widowControl w:val="0"/>
        <w:kinsoku/>
        <w:wordWrap/>
        <w:overflowPunct/>
        <w:topLinePunct w:val="0"/>
        <w:autoSpaceDE/>
        <w:autoSpaceDN/>
        <w:bidi w:val="0"/>
        <w:adjustRightInd/>
        <w:snapToGrid/>
        <w:spacing w:line="560" w:lineRule="exact"/>
        <w:ind w:firstLine="630" w:firstLineChars="200"/>
        <w:textAlignment w:val="auto"/>
      </w:pPr>
      <w:r>
        <w:rPr>
          <w:rFonts w:hint="eastAsia" w:ascii="楷体_GB2312" w:hAnsi="楷体_GB2312" w:eastAsia="楷体_GB2312" w:cs="楷体_GB2312"/>
        </w:rPr>
        <w:t>（一）落实主体责任。</w:t>
      </w:r>
      <w:r>
        <w:t>榆林圣嘟科技文化有限公司要组织全员进行安全培训教育，及时组织预案修订和演练工作，并加强对特殊设备的安全管理，特别是对危险性游乐设施钥匙管理要实行双人双锁，同时要强化员工劳动纪律，坚决杜绝“三违”现象的发生。</w:t>
      </w:r>
    </w:p>
    <w:p w14:paraId="4BFCAEC8">
      <w:pPr>
        <w:keepNext w:val="0"/>
        <w:keepLines w:val="0"/>
        <w:pageBreakBefore w:val="0"/>
        <w:widowControl w:val="0"/>
        <w:kinsoku/>
        <w:wordWrap/>
        <w:overflowPunct/>
        <w:topLinePunct w:val="0"/>
        <w:autoSpaceDE/>
        <w:autoSpaceDN/>
        <w:bidi w:val="0"/>
        <w:adjustRightInd/>
        <w:snapToGrid/>
        <w:spacing w:line="560" w:lineRule="exact"/>
        <w:ind w:firstLine="630" w:firstLineChars="200"/>
        <w:textAlignment w:val="auto"/>
      </w:pPr>
      <w:r>
        <w:rPr>
          <w:rFonts w:hint="eastAsia" w:ascii="楷体_GB2312" w:hAnsi="楷体_GB2312" w:eastAsia="楷体_GB2312" w:cs="楷体_GB2312"/>
        </w:rPr>
        <w:t>（二）夯实监管网络。</w:t>
      </w:r>
      <w:r>
        <w:t>全市各级各部门要坚决落实安全生产“三管三必须”，对新业态、新经济、新产业，按照“谁主管谁负责、谁为主谁负责、谁靠近谁负责”的原则履行安全监管职责，坚决杜绝安全监管的盲区和漏洞，同时，要汲取事故教训、举一反三，对管属区域和行业进行安全排查，坚决杜绝类似事故再次发生。</w:t>
      </w:r>
    </w:p>
    <w:p w14:paraId="2F3B1FCC">
      <w:pPr>
        <w:keepNext w:val="0"/>
        <w:keepLines w:val="0"/>
        <w:pageBreakBefore w:val="0"/>
        <w:widowControl w:val="0"/>
        <w:kinsoku/>
        <w:wordWrap/>
        <w:overflowPunct/>
        <w:topLinePunct w:val="0"/>
        <w:autoSpaceDE/>
        <w:autoSpaceDN/>
        <w:bidi w:val="0"/>
        <w:adjustRightInd/>
        <w:snapToGrid/>
        <w:spacing w:line="560" w:lineRule="exact"/>
        <w:ind w:firstLine="630" w:firstLineChars="200"/>
        <w:textAlignment w:val="auto"/>
      </w:pPr>
      <w:r>
        <w:rPr>
          <w:rFonts w:hint="eastAsia" w:ascii="楷体_GB2312" w:hAnsi="楷体_GB2312" w:eastAsia="楷体_GB2312" w:cs="楷体_GB2312"/>
        </w:rPr>
        <w:t>（三）强化监管责任。</w:t>
      </w:r>
      <w:r>
        <w:t>市文化旅游局要吸取事故教训，组织开展A及景区、乡村旅游点、歌舞娱乐场所、游艺娱乐场所安全隐患排查工作。市城市管理局要深化专项治理：针对涉水区域、高空作业、电气火灾等高风险点开展“治本攻坚”行动；特别是对广场、公园内从事游乐经营的单位和个体户要逐一排查，对不符合安全运营条件的要坚决予以取缔。交通运输部门要严格落实《游艇安全管理规定》和省安委办《关于切实加强游船、水上漂流、水上乐园等涉水旅游活动安全监管的紧急通知》精神，做好行业安全监管工作。</w:t>
      </w:r>
    </w:p>
    <w:p w14:paraId="4B04E178">
      <w:pPr>
        <w:keepNext w:val="0"/>
        <w:keepLines w:val="0"/>
        <w:pageBreakBefore w:val="0"/>
        <w:widowControl w:val="0"/>
        <w:kinsoku/>
        <w:wordWrap/>
        <w:overflowPunct/>
        <w:topLinePunct w:val="0"/>
        <w:autoSpaceDE/>
        <w:autoSpaceDN/>
        <w:bidi w:val="0"/>
        <w:adjustRightInd/>
        <w:snapToGrid/>
        <w:spacing w:line="560" w:lineRule="exact"/>
        <w:ind w:firstLine="630" w:firstLineChars="200"/>
        <w:textAlignment w:val="auto"/>
        <w:rPr>
          <w:rFonts w:hint="eastAsia"/>
          <w:lang w:val="en-US" w:eastAsia="zh-CN"/>
        </w:rPr>
      </w:pPr>
      <w:r>
        <w:rPr>
          <w:rFonts w:hint="eastAsia" w:ascii="楷体_GB2312" w:hAnsi="楷体_GB2312" w:eastAsia="楷体_GB2312" w:cs="楷体_GB2312"/>
          <w:lang w:val="en-US" w:eastAsia="zh-CN"/>
        </w:rPr>
        <w:t>（四）</w:t>
      </w:r>
      <w:r>
        <w:rPr>
          <w:rFonts w:hint="eastAsia" w:ascii="楷体_GB2312" w:hAnsi="楷体_GB2312" w:eastAsia="楷体_GB2312" w:cs="楷体_GB2312"/>
        </w:rPr>
        <w:t>加强安全宣传。</w:t>
      </w:r>
      <w:r>
        <w:t>提升职工、群众安全意识，充分利用互联网、电视台、自媒体等媒介宣传旅游、游艺安全常识，构建多渠道传播、多样化内容、多主体协同宣传体系，教育职工、群众自觉抵制违章操作、冒险作业、危险游乐。</w:t>
      </w:r>
      <mc:AlternateContent>
        <mc:Choice Requires="wpsCustomData">
          <wpsCustomData:docfieldEnd id="1"/>
        </mc:Choice>
      </mc:AlternateContent>
    </w:p>
    <w:sectPr>
      <w:headerReference r:id="rId5" w:type="default"/>
      <w:footerReference r:id="rId7" w:type="default"/>
      <w:headerReference r:id="rId6" w:type="even"/>
      <w:footerReference r:id="rId8" w:type="even"/>
      <w:pgSz w:w="11906" w:h="16839"/>
      <w:pgMar w:top="1440" w:right="1587" w:bottom="1440" w:left="1587" w:header="0" w:footer="1083" w:gutter="0"/>
      <w:pgNumType w:fmt="decimal"/>
      <w:cols w:space="0" w:num="1"/>
      <w:rtlGutter w:val="0"/>
      <w:docGrid w:type="linesAndChars" w:linePitch="592" w:charSpace="161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1ED1141-1083-42BE-8AFD-12E91F5052A3}"/>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embedRegular r:id="rId2" w:fontKey="{BC7F312B-9213-4890-BBF1-7CBFB6F252E5}"/>
  </w:font>
  <w:font w:name="楷体_GB2312">
    <w:panose1 w:val="02010609030101010101"/>
    <w:charset w:val="86"/>
    <w:family w:val="auto"/>
    <w:pitch w:val="default"/>
    <w:sig w:usb0="00000001" w:usb1="080E0000" w:usb2="00000000" w:usb3="00000000" w:csb0="00040000" w:csb1="00000000"/>
    <w:embedRegular r:id="rId3" w:fontKey="{77E673FE-D022-4A91-80E8-6229AFAEDA32}"/>
  </w:font>
  <w:font w:name="方正小标宋简体">
    <w:panose1 w:val="03000509000000000000"/>
    <w:charset w:val="86"/>
    <w:family w:val="script"/>
    <w:pitch w:val="default"/>
    <w:sig w:usb0="00000001" w:usb1="080E0000" w:usb2="00000000" w:usb3="00000000" w:csb0="00040000" w:csb1="00000000"/>
  </w:font>
  <w:font w:name="方正仿宋_GB2312">
    <w:panose1 w:val="02000000000000000000"/>
    <w:charset w:val="86"/>
    <w:family w:val="auto"/>
    <w:pitch w:val="default"/>
    <w:sig w:usb0="A00002BF" w:usb1="184F6CFA" w:usb2="00000012" w:usb3="00000000" w:csb0="00040001" w:csb1="00000000"/>
    <w:embedRegular r:id="rId4" w:fontKey="{CC39E855-757A-4921-B055-FA519D47358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E79423">
    <w:pPr>
      <w:pStyle w:val="13"/>
      <w:wordWrap w:val="0"/>
      <w:spacing w:line="471" w:lineRule="auto"/>
      <w:ind w:right="308" w:rightChars="100"/>
      <w:jc w:val="right"/>
      <w:rPr>
        <w:rFonts w:hint="eastAsia" w:ascii="楷体_GB2312" w:eastAsia="楷体_GB2312"/>
        <w:sz w:val="28"/>
      </w:rPr>
    </w:pPr>
    <w:r>
      <w:rPr>
        <w:rStyle w:val="21"/>
        <w:rFonts w:hint="eastAsia" w:ascii="宋体" w:hAnsi="宋体" w:eastAsia="宋体"/>
        <w:sz w:val="28"/>
      </w:rPr>
      <w:t xml:space="preserve">— </w:t>
    </w:r>
    <w:r>
      <w:rPr>
        <w:rFonts w:hint="eastAsia" w:ascii="宋体" w:hAnsi="宋体" w:eastAsia="宋体"/>
        <w:sz w:val="28"/>
      </w:rPr>
      <w:fldChar w:fldCharType="begin"/>
    </w:r>
    <w:r>
      <w:rPr>
        <w:rStyle w:val="21"/>
        <w:rFonts w:hint="eastAsia" w:ascii="宋体" w:hAnsi="宋体" w:eastAsia="宋体"/>
        <w:sz w:val="28"/>
      </w:rPr>
      <w:instrText xml:space="preserve"> PAGE </w:instrText>
    </w:r>
    <w:r>
      <w:rPr>
        <w:rFonts w:hint="eastAsia" w:ascii="宋体" w:hAnsi="宋体" w:eastAsia="宋体"/>
        <w:sz w:val="28"/>
      </w:rPr>
      <w:fldChar w:fldCharType="separate"/>
    </w:r>
    <w:r>
      <w:rPr>
        <w:rStyle w:val="21"/>
        <w:rFonts w:ascii="宋体" w:hAnsi="宋体" w:eastAsia="宋体"/>
        <w:sz w:val="28"/>
      </w:rPr>
      <w:t>1</w:t>
    </w:r>
    <w:r>
      <w:rPr>
        <w:rFonts w:hint="eastAsia" w:ascii="宋体" w:hAnsi="宋体" w:eastAsia="宋体"/>
        <w:sz w:val="28"/>
      </w:rPr>
      <w:fldChar w:fldCharType="end"/>
    </w:r>
    <w:r>
      <w:rPr>
        <w:rFonts w:hint="eastAsia" w:ascii="宋体" w:hAnsi="宋体" w:eastAsia="宋体"/>
        <w:sz w:val="28"/>
      </w:rPr>
      <w:t xml:space="preserve"> </w:t>
    </w:r>
    <w:r>
      <w:rPr>
        <w:rStyle w:val="21"/>
        <w:rFonts w:hint="eastAsia" w:ascii="宋体" w:hAnsi="宋体" w:eastAsia="宋体"/>
        <w:sz w:val="28"/>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82E588">
    <w:pPr>
      <w:pStyle w:val="13"/>
      <w:spacing w:line="471" w:lineRule="auto"/>
      <w:ind w:left="308" w:leftChars="100"/>
      <w:jc w:val="left"/>
      <w:rPr>
        <w:rStyle w:val="21"/>
        <w:rFonts w:hint="eastAsia" w:ascii="宋体" w:hAnsi="宋体" w:eastAsia="宋体"/>
        <w:sz w:val="28"/>
      </w:rPr>
    </w:pPr>
    <w:r>
      <w:rPr>
        <w:rStyle w:val="21"/>
        <w:rFonts w:hint="eastAsia" w:ascii="宋体" w:hAnsi="宋体" w:eastAsia="宋体"/>
        <w:sz w:val="28"/>
      </w:rPr>
      <w:t xml:space="preserve">— </w:t>
    </w:r>
    <w:r>
      <w:rPr>
        <w:rFonts w:hint="eastAsia" w:ascii="宋体" w:hAnsi="宋体" w:eastAsia="宋体"/>
        <w:sz w:val="28"/>
      </w:rPr>
      <w:fldChar w:fldCharType="begin"/>
    </w:r>
    <w:r>
      <w:rPr>
        <w:rStyle w:val="21"/>
        <w:rFonts w:hint="eastAsia" w:ascii="宋体" w:hAnsi="宋体" w:eastAsia="宋体"/>
        <w:sz w:val="28"/>
      </w:rPr>
      <w:instrText xml:space="preserve"> PAGE </w:instrText>
    </w:r>
    <w:r>
      <w:rPr>
        <w:rFonts w:hint="eastAsia" w:ascii="宋体" w:hAnsi="宋体" w:eastAsia="宋体"/>
        <w:sz w:val="28"/>
      </w:rPr>
      <w:fldChar w:fldCharType="separate"/>
    </w:r>
    <w:r>
      <w:rPr>
        <w:rStyle w:val="21"/>
        <w:rFonts w:ascii="宋体" w:hAnsi="宋体" w:eastAsia="宋体"/>
        <w:sz w:val="28"/>
      </w:rPr>
      <w:t>2</w:t>
    </w:r>
    <w:r>
      <w:rPr>
        <w:rFonts w:hint="eastAsia" w:ascii="宋体" w:hAnsi="宋体" w:eastAsia="宋体"/>
        <w:sz w:val="28"/>
      </w:rPr>
      <w:fldChar w:fldCharType="end"/>
    </w:r>
    <w:r>
      <w:rPr>
        <w:rFonts w:hint="eastAsia" w:ascii="宋体" w:hAnsi="宋体" w:eastAsia="宋体"/>
        <w:sz w:val="28"/>
      </w:rPr>
      <w:t xml:space="preserve"> </w:t>
    </w:r>
    <w:r>
      <w:rPr>
        <w:rStyle w:val="21"/>
        <w:rFonts w:hint="eastAsia" w:ascii="宋体" w:hAnsi="宋体" w:eastAsia="宋体"/>
        <w:sz w:val="28"/>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2105D9">
    <w:pPr>
      <w:spacing w:line="14" w:lineRule="auto"/>
      <w:rPr>
        <w:sz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805631">
    <w:pPr>
      <w:pStyle w:val="14"/>
      <w:pBdr>
        <w:bottom w:val="none" w:color="auto" w:sz="0" w:space="1"/>
      </w:pBdr>
      <w:bidi w:val="0"/>
      <w:jc w:val="both"/>
      <w:rPr>
        <w:rFonts w:hint="eastAsia" w:eastAsia="仿宋_GB2312"/>
        <w:lang w:val="en-US"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embedTrueTypeFonts/>
  <w:saveSubsetFonts/>
  <w:bordersDoNotSurroundHeader w:val="1"/>
  <w:bordersDoNotSurroundFooter w:val="1"/>
  <w:documentProtection w:enforcement="0"/>
  <w:defaultTabStop w:val="420"/>
  <w:evenAndOddHeaders w:val="1"/>
  <w:noPunctuationKerning w:val="1"/>
  <w:characterSpacingControl w:val="doNotCompress"/>
  <w:footnotePr>
    <w:footnote w:id="0"/>
    <w:footnote w:id="1"/>
  </w:footnotePr>
  <w:endnotePr>
    <w:endnote w:id="0"/>
    <w:endnote w:id="1"/>
  </w:endnotePr>
  <w:compat>
    <w:spaceForUL/>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43C3"/>
    <w:rsid w:val="000C4AA3"/>
    <w:rsid w:val="000D01E8"/>
    <w:rsid w:val="001D5CC9"/>
    <w:rsid w:val="00236DA8"/>
    <w:rsid w:val="00290773"/>
    <w:rsid w:val="003443C3"/>
    <w:rsid w:val="00355DA8"/>
    <w:rsid w:val="00366BA0"/>
    <w:rsid w:val="00371570"/>
    <w:rsid w:val="00407B9D"/>
    <w:rsid w:val="00411E0A"/>
    <w:rsid w:val="00430294"/>
    <w:rsid w:val="00455E80"/>
    <w:rsid w:val="004902CA"/>
    <w:rsid w:val="00491EB3"/>
    <w:rsid w:val="00517BC7"/>
    <w:rsid w:val="00522CB3"/>
    <w:rsid w:val="00546CD7"/>
    <w:rsid w:val="0057487F"/>
    <w:rsid w:val="005C016B"/>
    <w:rsid w:val="005D4F78"/>
    <w:rsid w:val="00625C7A"/>
    <w:rsid w:val="00674A42"/>
    <w:rsid w:val="007105CC"/>
    <w:rsid w:val="00743108"/>
    <w:rsid w:val="0075046E"/>
    <w:rsid w:val="007972C7"/>
    <w:rsid w:val="007C1633"/>
    <w:rsid w:val="00823DEF"/>
    <w:rsid w:val="008A2F7F"/>
    <w:rsid w:val="00945C8B"/>
    <w:rsid w:val="009B2AD7"/>
    <w:rsid w:val="009F515A"/>
    <w:rsid w:val="00A16A06"/>
    <w:rsid w:val="00A47B39"/>
    <w:rsid w:val="00A70756"/>
    <w:rsid w:val="00A80CEA"/>
    <w:rsid w:val="00AF57C0"/>
    <w:rsid w:val="00B3383A"/>
    <w:rsid w:val="00B639EE"/>
    <w:rsid w:val="00BF4310"/>
    <w:rsid w:val="00C05834"/>
    <w:rsid w:val="00C609A8"/>
    <w:rsid w:val="00CB535B"/>
    <w:rsid w:val="00D6253C"/>
    <w:rsid w:val="00DC35EB"/>
    <w:rsid w:val="00DC4C76"/>
    <w:rsid w:val="00DC70C4"/>
    <w:rsid w:val="00E0716B"/>
    <w:rsid w:val="00E157B1"/>
    <w:rsid w:val="00EC6461"/>
    <w:rsid w:val="00EC7DCE"/>
    <w:rsid w:val="00EF51E5"/>
    <w:rsid w:val="00F1380B"/>
    <w:rsid w:val="00F8093B"/>
    <w:rsid w:val="00FF22A6"/>
    <w:rsid w:val="00FF34CF"/>
    <w:rsid w:val="06732DD2"/>
    <w:rsid w:val="06F2019A"/>
    <w:rsid w:val="07751C03"/>
    <w:rsid w:val="08E7715F"/>
    <w:rsid w:val="0911242E"/>
    <w:rsid w:val="094F1055"/>
    <w:rsid w:val="09E90293"/>
    <w:rsid w:val="0A3E7EE7"/>
    <w:rsid w:val="0A5D1DCF"/>
    <w:rsid w:val="0AEF0EA2"/>
    <w:rsid w:val="0B4054C0"/>
    <w:rsid w:val="0B9B30D9"/>
    <w:rsid w:val="0C0660E4"/>
    <w:rsid w:val="0DC022DF"/>
    <w:rsid w:val="0EB82D91"/>
    <w:rsid w:val="0F900B6D"/>
    <w:rsid w:val="108D55B8"/>
    <w:rsid w:val="10C521EB"/>
    <w:rsid w:val="10C61D50"/>
    <w:rsid w:val="11552843"/>
    <w:rsid w:val="13897C02"/>
    <w:rsid w:val="17D04014"/>
    <w:rsid w:val="1816180F"/>
    <w:rsid w:val="1BAE2063"/>
    <w:rsid w:val="1EBE0DD3"/>
    <w:rsid w:val="1ED8781E"/>
    <w:rsid w:val="1EF42A2A"/>
    <w:rsid w:val="1F0423C1"/>
    <w:rsid w:val="1FC57DA2"/>
    <w:rsid w:val="1FC63B1B"/>
    <w:rsid w:val="211264E4"/>
    <w:rsid w:val="21B622BD"/>
    <w:rsid w:val="23B14C77"/>
    <w:rsid w:val="24E83E8D"/>
    <w:rsid w:val="2652435A"/>
    <w:rsid w:val="26AF5308"/>
    <w:rsid w:val="2A17569E"/>
    <w:rsid w:val="2A4947FD"/>
    <w:rsid w:val="2C015739"/>
    <w:rsid w:val="2C674A1A"/>
    <w:rsid w:val="2DAF5BEE"/>
    <w:rsid w:val="2E3E7CA4"/>
    <w:rsid w:val="2E641A99"/>
    <w:rsid w:val="2FAE7DDE"/>
    <w:rsid w:val="312C75EB"/>
    <w:rsid w:val="340D2919"/>
    <w:rsid w:val="348222AE"/>
    <w:rsid w:val="34C65810"/>
    <w:rsid w:val="356631AB"/>
    <w:rsid w:val="36F15498"/>
    <w:rsid w:val="375717D0"/>
    <w:rsid w:val="37E64276"/>
    <w:rsid w:val="3A500759"/>
    <w:rsid w:val="3CBD0327"/>
    <w:rsid w:val="3D096294"/>
    <w:rsid w:val="3F694CE5"/>
    <w:rsid w:val="418D4040"/>
    <w:rsid w:val="41BD64BE"/>
    <w:rsid w:val="41FF4F3E"/>
    <w:rsid w:val="43B45F7F"/>
    <w:rsid w:val="45594965"/>
    <w:rsid w:val="46D760FC"/>
    <w:rsid w:val="478A34FC"/>
    <w:rsid w:val="49212ACF"/>
    <w:rsid w:val="49BA1CD9"/>
    <w:rsid w:val="4C024232"/>
    <w:rsid w:val="4F251D5C"/>
    <w:rsid w:val="51932AB0"/>
    <w:rsid w:val="53620000"/>
    <w:rsid w:val="561731DC"/>
    <w:rsid w:val="57A10797"/>
    <w:rsid w:val="5A9D130A"/>
    <w:rsid w:val="5B411CCC"/>
    <w:rsid w:val="5B770231"/>
    <w:rsid w:val="5B9E3E89"/>
    <w:rsid w:val="5D6C6D98"/>
    <w:rsid w:val="5DA509F9"/>
    <w:rsid w:val="5E0436A9"/>
    <w:rsid w:val="5FE377F5"/>
    <w:rsid w:val="60A54AAB"/>
    <w:rsid w:val="61291238"/>
    <w:rsid w:val="61BC402F"/>
    <w:rsid w:val="624A5B2D"/>
    <w:rsid w:val="632E5923"/>
    <w:rsid w:val="634974EC"/>
    <w:rsid w:val="63E57254"/>
    <w:rsid w:val="66F775DD"/>
    <w:rsid w:val="67F26828"/>
    <w:rsid w:val="68E203E9"/>
    <w:rsid w:val="6AB71B4C"/>
    <w:rsid w:val="6F6D2C38"/>
    <w:rsid w:val="702C664F"/>
    <w:rsid w:val="71C94EF8"/>
    <w:rsid w:val="73F819F2"/>
    <w:rsid w:val="74035B73"/>
    <w:rsid w:val="75E35A02"/>
    <w:rsid w:val="785265B0"/>
    <w:rsid w:val="7A03359B"/>
    <w:rsid w:val="7AAE4676"/>
    <w:rsid w:val="7BF57716"/>
    <w:rsid w:val="7CB647A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officialmode val="1"/>
    </mc:Choice>
  </mc:AlternateContent>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240" w:lineRule="auto"/>
      <w:jc w:val="both"/>
    </w:pPr>
    <w:rPr>
      <w:rFonts w:ascii="仿宋_GB2312" w:hAnsi="仿宋_GB2312" w:eastAsia="仿宋_GB2312" w:cs="Times New Roman"/>
      <w:spacing w:val="-6"/>
      <w:kern w:val="2"/>
      <w:sz w:val="32"/>
      <w:szCs w:val="32"/>
      <w:lang w:bidi="ar-SA"/>
    </w:rPr>
  </w:style>
  <w:style w:type="paragraph" w:styleId="3">
    <w:name w:val="heading 1"/>
    <w:next w:val="1"/>
    <w:link w:val="24"/>
    <w:qFormat/>
    <w:uiPriority w:val="0"/>
    <w:pPr>
      <w:keepNext/>
      <w:keepLines/>
      <w:spacing w:beforeLines="0" w:beforeAutospacing="0" w:afterLines="0" w:afterAutospacing="0" w:line="560" w:lineRule="exact"/>
      <w:ind w:firstLine="894" w:firstLineChars="200"/>
      <w:outlineLvl w:val="0"/>
    </w:pPr>
    <w:rPr>
      <w:rFonts w:ascii="黑体" w:hAnsi="黑体" w:eastAsia="黑体" w:cs="Times New Roman"/>
      <w:kern w:val="44"/>
      <w:sz w:val="32"/>
      <w:szCs w:val="32"/>
    </w:rPr>
  </w:style>
  <w:style w:type="paragraph" w:styleId="4">
    <w:name w:val="heading 2"/>
    <w:next w:val="1"/>
    <w:unhideWhenUsed/>
    <w:qFormat/>
    <w:uiPriority w:val="0"/>
    <w:pPr>
      <w:keepNext/>
      <w:keepLines/>
      <w:spacing w:beforeLines="0" w:beforeAutospacing="0" w:afterLines="0" w:afterAutospacing="0" w:line="560" w:lineRule="exact"/>
      <w:ind w:firstLine="894" w:firstLineChars="200"/>
      <w:outlineLvl w:val="1"/>
    </w:pPr>
    <w:rPr>
      <w:rFonts w:ascii="楷体_GB2312" w:hAnsi="楷体_GB2312" w:eastAsia="楷体_GB2312" w:cs="Times New Roman"/>
      <w:sz w:val="32"/>
      <w:szCs w:val="32"/>
    </w:rPr>
  </w:style>
  <w:style w:type="paragraph" w:styleId="5">
    <w:name w:val="heading 3"/>
    <w:next w:val="1"/>
    <w:qFormat/>
    <w:uiPriority w:val="0"/>
    <w:pPr>
      <w:keepNext/>
      <w:keepLines/>
      <w:spacing w:beforeLines="0" w:beforeAutospacing="0" w:afterLines="0" w:afterAutospacing="0" w:line="560" w:lineRule="exact"/>
      <w:ind w:firstLine="894" w:firstLineChars="200"/>
      <w:outlineLvl w:val="2"/>
    </w:pPr>
    <w:rPr>
      <w:rFonts w:ascii="仿宋_GB2312" w:hAnsi="仿宋_GB2312" w:eastAsia="仿宋_GB2312" w:cs="Times New Roman"/>
      <w:sz w:val="32"/>
      <w:szCs w:val="32"/>
    </w:rPr>
  </w:style>
  <w:style w:type="paragraph" w:styleId="6">
    <w:name w:val="heading 4"/>
    <w:next w:val="2"/>
    <w:semiHidden/>
    <w:unhideWhenUsed/>
    <w:qFormat/>
    <w:uiPriority w:val="0"/>
    <w:pPr>
      <w:keepNext/>
      <w:keepLines/>
      <w:spacing w:beforeLines="0" w:beforeAutospacing="0" w:afterLines="0" w:afterAutospacing="0" w:line="560" w:lineRule="exact"/>
      <w:ind w:firstLine="894" w:firstLineChars="200"/>
      <w:outlineLvl w:val="3"/>
    </w:pPr>
    <w:rPr>
      <w:rFonts w:ascii="仿宋_GB2312" w:hAnsi="仿宋_GB2312" w:eastAsia="仿宋_GB2312" w:cs="Times New Roman"/>
      <w:sz w:val="32"/>
      <w:szCs w:val="32"/>
    </w:rPr>
  </w:style>
  <w:style w:type="paragraph" w:styleId="7">
    <w:name w:val="heading 5"/>
    <w:next w:val="1"/>
    <w:semiHidden/>
    <w:unhideWhenUsed/>
    <w:qFormat/>
    <w:uiPriority w:val="0"/>
    <w:pPr>
      <w:spacing w:line="560" w:lineRule="exact"/>
      <w:ind w:firstLine="894" w:firstLineChars="200"/>
      <w:outlineLvl w:val="4"/>
    </w:pPr>
    <w:rPr>
      <w:rFonts w:ascii="仿宋_GB2312" w:hAnsi="仿宋_GB2312" w:eastAsia="仿宋_GB2312" w:cs="Times New Roman"/>
      <w:sz w:val="32"/>
      <w:szCs w:val="32"/>
    </w:rPr>
  </w:style>
  <w:style w:type="paragraph" w:styleId="8">
    <w:name w:val="heading 6"/>
    <w:next w:val="1"/>
    <w:semiHidden/>
    <w:unhideWhenUsed/>
    <w:qFormat/>
    <w:uiPriority w:val="0"/>
    <w:pPr>
      <w:spacing w:line="560" w:lineRule="exact"/>
      <w:ind w:firstLine="894" w:firstLineChars="200"/>
      <w:outlineLvl w:val="5"/>
    </w:pPr>
    <w:rPr>
      <w:rFonts w:ascii="仿宋_GB2312" w:hAnsi="仿宋_GB2312" w:eastAsia="仿宋_GB2312" w:cs="Times New Roman"/>
      <w:sz w:val="32"/>
      <w:szCs w:val="32"/>
    </w:rPr>
  </w:style>
  <w:style w:type="paragraph" w:styleId="9">
    <w:name w:val="heading 7"/>
    <w:next w:val="1"/>
    <w:semiHidden/>
    <w:unhideWhenUsed/>
    <w:qFormat/>
    <w:uiPriority w:val="0"/>
    <w:pPr>
      <w:spacing w:line="560" w:lineRule="exact"/>
      <w:ind w:firstLine="894" w:firstLineChars="200"/>
      <w:outlineLvl w:val="6"/>
    </w:pPr>
    <w:rPr>
      <w:rFonts w:ascii="仿宋_GB2312" w:hAnsi="仿宋_GB2312" w:eastAsia="仿宋_GB2312" w:cs="Times New Roman"/>
      <w:sz w:val="32"/>
      <w:szCs w:val="32"/>
    </w:rPr>
  </w:style>
  <w:style w:type="paragraph" w:styleId="10">
    <w:name w:val="heading 8"/>
    <w:next w:val="1"/>
    <w:semiHidden/>
    <w:unhideWhenUsed/>
    <w:qFormat/>
    <w:uiPriority w:val="0"/>
    <w:pPr>
      <w:spacing w:line="560" w:lineRule="exact"/>
      <w:ind w:firstLine="894" w:firstLineChars="200"/>
      <w:outlineLvl w:val="7"/>
    </w:pPr>
    <w:rPr>
      <w:rFonts w:ascii="仿宋_GB2312" w:hAnsi="仿宋_GB2312" w:eastAsia="仿宋_GB2312" w:cs="Times New Roman"/>
      <w:sz w:val="32"/>
      <w:szCs w:val="32"/>
    </w:rPr>
  </w:style>
  <w:style w:type="paragraph" w:styleId="11">
    <w:name w:val="heading 9"/>
    <w:next w:val="1"/>
    <w:semiHidden/>
    <w:unhideWhenUsed/>
    <w:qFormat/>
    <w:uiPriority w:val="0"/>
    <w:pPr>
      <w:spacing w:line="560" w:lineRule="exact"/>
      <w:ind w:firstLine="894" w:firstLineChars="200"/>
      <w:outlineLvl w:val="8"/>
    </w:pPr>
    <w:rPr>
      <w:rFonts w:ascii="仿宋_GB2312" w:hAnsi="仿宋_GB2312" w:eastAsia="仿宋_GB2312" w:cs="Times New Roman"/>
      <w:sz w:val="32"/>
      <w:szCs w:val="32"/>
    </w:rPr>
  </w:style>
  <w:style w:type="character" w:default="1" w:styleId="19">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2">
    <w:name w:val="Body Text"/>
    <w:next w:val="1"/>
    <w:semiHidden/>
    <w:qFormat/>
    <w:uiPriority w:val="0"/>
    <w:pPr>
      <w:spacing w:line="560" w:lineRule="exact"/>
      <w:ind w:firstLine="630" w:firstLineChars="200"/>
      <w:jc w:val="both"/>
    </w:pPr>
    <w:rPr>
      <w:rFonts w:ascii="仿宋_GB2312" w:hAnsi="仿宋_GB2312" w:eastAsia="仿宋_GB2312" w:cs="Times New Roman"/>
      <w:spacing w:val="-6"/>
      <w:sz w:val="32"/>
    </w:rPr>
  </w:style>
  <w:style w:type="paragraph" w:styleId="12">
    <w:name w:val="Salutation"/>
    <w:basedOn w:val="1"/>
    <w:next w:val="1"/>
    <w:qFormat/>
    <w:uiPriority w:val="0"/>
    <w:rPr>
      <w:rFonts w:ascii="宋体" w:cs="宋体"/>
      <w:sz w:val="24"/>
    </w:rPr>
  </w:style>
  <w:style w:type="paragraph" w:styleId="13">
    <w:name w:val="footer"/>
    <w:basedOn w:val="1"/>
    <w:qFormat/>
    <w:uiPriority w:val="0"/>
    <w:pPr>
      <w:tabs>
        <w:tab w:val="center" w:pos="4153"/>
        <w:tab w:val="right" w:pos="8306"/>
      </w:tabs>
    </w:pPr>
    <w:rPr>
      <w:sz w:val="18"/>
    </w:rPr>
  </w:style>
  <w:style w:type="paragraph" w:styleId="14">
    <w:name w:val="header"/>
    <w:basedOn w:val="1"/>
    <w:link w:val="23"/>
    <w:qFormat/>
    <w:uiPriority w:val="0"/>
    <w:pPr>
      <w:pBdr>
        <w:bottom w:val="single" w:color="auto" w:sz="6" w:space="1"/>
      </w:pBdr>
      <w:tabs>
        <w:tab w:val="center" w:pos="4153"/>
        <w:tab w:val="right" w:pos="8306"/>
      </w:tabs>
      <w:jc w:val="center"/>
    </w:pPr>
    <w:rPr>
      <w:sz w:val="18"/>
      <w:szCs w:val="18"/>
    </w:rPr>
  </w:style>
  <w:style w:type="paragraph" w:styleId="15">
    <w:name w:val="Subtitle"/>
    <w:qFormat/>
    <w:uiPriority w:val="0"/>
    <w:pPr>
      <w:spacing w:beforeLines="0" w:beforeAutospacing="0" w:afterLines="0" w:afterAutospacing="0" w:line="560" w:lineRule="exact"/>
      <w:jc w:val="center"/>
      <w:outlineLvl w:val="1"/>
    </w:pPr>
    <w:rPr>
      <w:rFonts w:ascii="楷体_GB2312" w:hAnsi="楷体_GB2312" w:eastAsia="楷体_GB2312" w:cs="Times New Roman"/>
      <w:kern w:val="28"/>
      <w:sz w:val="32"/>
      <w:szCs w:val="32"/>
    </w:rPr>
  </w:style>
  <w:style w:type="paragraph" w:styleId="16">
    <w:name w:val="Normal (Web)"/>
    <w:basedOn w:val="1"/>
    <w:qFormat/>
    <w:uiPriority w:val="0"/>
    <w:rPr>
      <w:rFonts w:cs="Times New Roman"/>
      <w:sz w:val="24"/>
      <w:lang w:eastAsia="zh-CN"/>
    </w:rPr>
  </w:style>
  <w:style w:type="paragraph" w:styleId="17">
    <w:name w:val="Title"/>
    <w:qFormat/>
    <w:uiPriority w:val="0"/>
    <w:pPr>
      <w:spacing w:line="720" w:lineRule="exact"/>
      <w:jc w:val="center"/>
      <w:outlineLvl w:val="0"/>
    </w:pPr>
    <w:rPr>
      <w:rFonts w:ascii="方正小标宋简体" w:hAnsi="方正小标宋简体" w:eastAsia="方正小标宋简体" w:cs="Times New Roman"/>
      <w:sz w:val="44"/>
      <w:szCs w:val="44"/>
    </w:rPr>
  </w:style>
  <w:style w:type="character" w:styleId="20">
    <w:name w:val="Strong"/>
    <w:basedOn w:val="19"/>
    <w:qFormat/>
    <w:uiPriority w:val="0"/>
    <w:rPr>
      <w:b/>
    </w:rPr>
  </w:style>
  <w:style w:type="character" w:styleId="21">
    <w:name w:val="page number"/>
    <w:basedOn w:val="19"/>
    <w:qFormat/>
    <w:uiPriority w:val="0"/>
    <w:rPr>
      <w:rFonts w:ascii="Times New Roman" w:hAnsi="Times New Roman" w:eastAsia="宋体" w:cs="Times New Roman"/>
    </w:rPr>
  </w:style>
  <w:style w:type="table" w:customStyle="1" w:styleId="22">
    <w:name w:val="Table Normal"/>
    <w:semiHidden/>
    <w:unhideWhenUsed/>
    <w:qFormat/>
    <w:uiPriority w:val="0"/>
    <w:tblPr>
      <w:tblCellMar>
        <w:top w:w="0" w:type="dxa"/>
        <w:left w:w="0" w:type="dxa"/>
        <w:bottom w:w="0" w:type="dxa"/>
        <w:right w:w="0" w:type="dxa"/>
      </w:tblCellMar>
    </w:tblPr>
  </w:style>
  <w:style w:type="character" w:customStyle="1" w:styleId="23">
    <w:name w:val="页眉 Char"/>
    <w:basedOn w:val="19"/>
    <w:link w:val="14"/>
    <w:qFormat/>
    <w:uiPriority w:val="0"/>
    <w:rPr>
      <w:rFonts w:ascii="Arial" w:hAnsi="Arial" w:eastAsia="Arial" w:cs="Arial"/>
      <w:snapToGrid w:val="0"/>
      <w:color w:val="000000"/>
      <w:sz w:val="18"/>
      <w:szCs w:val="18"/>
      <w:lang w:eastAsia="en-US"/>
    </w:rPr>
  </w:style>
  <w:style w:type="character" w:customStyle="1" w:styleId="24">
    <w:name w:val="标题 1 Char"/>
    <w:basedOn w:val="19"/>
    <w:link w:val="3"/>
    <w:qFormat/>
    <w:uiPriority w:val="0"/>
    <w:rPr>
      <w:rFonts w:ascii="Arial" w:hAnsi="Arial" w:eastAsia="Arial" w:cs="Arial"/>
      <w:b/>
      <w:bCs/>
      <w:snapToGrid w:val="0"/>
      <w:color w:val="000000"/>
      <w:kern w:val="44"/>
      <w:sz w:val="44"/>
      <w:szCs w:val="44"/>
      <w:lang w:eastAsia="en-US"/>
    </w:rPr>
  </w:style>
  <w:style w:type="paragraph" w:styleId="25">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D94F0B-DB5B-4D14-AAFB-516BFA1DF752}">
  <ds:schemaRefs/>
</ds:datastoreItem>
</file>

<file path=docProps/app.xml><?xml version="1.0" encoding="utf-8"?>
<Properties xmlns="http://schemas.openxmlformats.org/officeDocument/2006/extended-properties" xmlns:vt="http://schemas.openxmlformats.org/officeDocument/2006/docPropsVTypes">
  <Template>Normal</Template>
  <Pages>10</Pages>
  <Words>4636</Words>
  <Characters>4817</Characters>
  <Lines>43</Lines>
  <Paragraphs>12</Paragraphs>
  <TotalTime>0</TotalTime>
  <ScaleCrop>false</ScaleCrop>
  <LinksUpToDate>false</LinksUpToDate>
  <CharactersWithSpaces>4818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2025-04-24T06:56:00Z</dcterms:created>
  <dc:creator>应急科</dc:creator>
  <cp:lastModifiedBy>花花</cp:lastModifiedBy>
  <cp:lastPrinted>2026-06-10T08:54:00Z</cp:lastPrinted>
  <dcterms:modified xsi:type="dcterms:W3CDTF">2026-06-12T05:30:41Z</dcterms:modified>
  <cp:revision>48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wqlLaW5nc29mdCBQREYgdG8gV1BTIDExMA</vt:lpwstr>
  </property>
  <property fmtid="{D5CDD505-2E9C-101B-9397-08002B2CF9AE}" pid="3" name="Created">
    <vt:filetime>2025-04-24T14:56:18Z</vt:filetime>
  </property>
  <property fmtid="{D5CDD505-2E9C-101B-9397-08002B2CF9AE}" pid="4" name="KSOTemplateDocerSaveRecord">
    <vt:lpwstr>eyJoZGlkIjoiNzlkNDZjNjkyZjEzN2JiYjIxYmRkYjIwYzMwYmMxOTciLCJ1c2VySWQiOiIyMzgyNDE0ODEifQ==</vt:lpwstr>
  </property>
  <property fmtid="{D5CDD505-2E9C-101B-9397-08002B2CF9AE}" pid="5" name="KSOProductBuildVer">
    <vt:lpwstr>2052-12.1.0.26895</vt:lpwstr>
  </property>
  <property fmtid="{D5CDD505-2E9C-101B-9397-08002B2CF9AE}" pid="6" name="ICV">
    <vt:lpwstr>3BD4A45EA340423089E6671D0F13CD2E_13</vt:lpwstr>
  </property>
</Properties>
</file>