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两江新区鱼嘴“</w:t>
      </w:r>
      <w:r>
        <w:rPr>
          <w:rFonts w:hint="eastAsia" w:ascii="Times New Roman" w:hAnsi="Times New Roman" w:eastAsia="方正仿宋_GBK" w:cs="方正仿宋_GBK"/>
          <w:color w:val="000000"/>
          <w:kern w:val="2"/>
          <w:sz w:val="44"/>
          <w:szCs w:val="44"/>
          <w:lang w:val="en-US" w:eastAsia="zh-CN" w:bidi="ar-SA"/>
        </w:rPr>
        <w:t>11·25</w:t>
      </w:r>
      <w:r>
        <w:rPr>
          <w:rFonts w:hint="eastAsia" w:ascii="方正小标宋简体" w:hAnsi="方正小标宋简体" w:eastAsia="方正小标宋简体" w:cs="方正小标宋简体"/>
          <w:sz w:val="44"/>
          <w:szCs w:val="44"/>
          <w:lang w:val="en-US" w:eastAsia="zh-CN"/>
        </w:rPr>
        <w:t>”一般道路交通</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事故调查报告</w:t>
      </w:r>
    </w:p>
    <w:p>
      <w:pPr>
        <w:keepNext w:val="0"/>
        <w:keepLines w:val="0"/>
        <w:pageBreakBefore w:val="0"/>
        <w:widowControl w:val="0"/>
        <w:kinsoku/>
        <w:wordWrap/>
        <w:overflowPunct/>
        <w:topLinePunct w:val="0"/>
        <w:autoSpaceDE/>
        <w:autoSpaceDN/>
        <w:bidi w:val="0"/>
        <w:adjustRightInd/>
        <w:snapToGrid w:val="0"/>
        <w:spacing w:line="560" w:lineRule="atLeast"/>
        <w:ind w:firstLine="2560" w:firstLineChars="800"/>
        <w:jc w:val="both"/>
        <w:textAlignment w:val="auto"/>
        <w:rPr>
          <w:rFonts w:hint="eastAsia" w:ascii="Times New Roman" w:hAnsi="Times New Roman" w:eastAsia="方正仿宋_GBK" w:cs="方正仿宋_GBK"/>
          <w:color w:val="000000"/>
          <w:sz w:val="32"/>
          <w:szCs w:val="32"/>
          <w:highlight w:val="none"/>
          <w:lang w:val="en-US" w:eastAsia="zh-CN"/>
        </w:rPr>
      </w:pPr>
    </w:p>
    <w:p>
      <w:pPr>
        <w:spacing w:line="600" w:lineRule="exact"/>
        <w:jc w:val="center"/>
        <w:rPr>
          <w:rFonts w:ascii="方正小标宋_GBK" w:hAnsi="方正小标宋_GBK" w:eastAsia="方正小标宋_GBK" w:cs="方正小标宋_GBK"/>
          <w:sz w:val="44"/>
          <w:szCs w:val="44"/>
        </w:rPr>
      </w:pPr>
    </w:p>
    <w:p>
      <w:pPr>
        <w:spacing w:line="60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 xml:space="preserve">  </w:t>
      </w:r>
    </w:p>
    <w:p>
      <w:pPr>
        <w:pStyle w:val="3"/>
        <w:rPr>
          <w:rFonts w:ascii="方正小标宋_GBK" w:hAnsi="方正小标宋_GBK" w:eastAsia="方正小标宋_GBK" w:cs="方正小标宋_GBK"/>
          <w:sz w:val="44"/>
          <w:szCs w:val="44"/>
        </w:rPr>
      </w:pPr>
    </w:p>
    <w:p>
      <w:pPr>
        <w:pStyle w:val="3"/>
        <w:rPr>
          <w:rFonts w:ascii="方正小标宋_GBK" w:hAnsi="方正小标宋_GBK" w:eastAsia="方正小标宋_GBK" w:cs="方正小标宋_GBK"/>
          <w:sz w:val="44"/>
          <w:szCs w:val="44"/>
        </w:rPr>
      </w:pPr>
    </w:p>
    <w:p>
      <w:pPr>
        <w:pStyle w:val="3"/>
        <w:rPr>
          <w:rFonts w:ascii="方正小标宋_GBK" w:hAnsi="方正小标宋_GBK" w:eastAsia="方正小标宋_GBK" w:cs="方正小标宋_GBK"/>
          <w:sz w:val="44"/>
          <w:szCs w:val="44"/>
        </w:rPr>
      </w:pPr>
    </w:p>
    <w:p>
      <w:pPr>
        <w:pStyle w:val="3"/>
        <w:rPr>
          <w:rFonts w:ascii="方正小标宋_GBK" w:hAnsi="方正小标宋_GBK" w:eastAsia="方正小标宋_GBK" w:cs="方正小标宋_GBK"/>
          <w:sz w:val="44"/>
          <w:szCs w:val="44"/>
        </w:rPr>
      </w:pPr>
    </w:p>
    <w:p>
      <w:pPr>
        <w:keepNext w:val="0"/>
        <w:keepLines w:val="0"/>
        <w:pageBreakBefore w:val="0"/>
        <w:widowControl w:val="0"/>
        <w:kinsoku/>
        <w:wordWrap/>
        <w:overflowPunct/>
        <w:topLinePunct w:val="0"/>
        <w:autoSpaceDE/>
        <w:autoSpaceDN/>
        <w:bidi w:val="0"/>
        <w:adjustRightInd/>
        <w:snapToGrid/>
        <w:spacing w:line="560" w:lineRule="exact"/>
        <w:ind w:firstLine="360" w:firstLineChars="100"/>
        <w:jc w:val="center"/>
        <w:textAlignment w:val="auto"/>
        <w:rPr>
          <w:rFonts w:hint="eastAsia" w:ascii="方正小标宋简体" w:hAnsi="方正小标宋简体" w:eastAsia="方正小标宋简体" w:cs="方正小标宋简体"/>
          <w:sz w:val="36"/>
          <w:szCs w:val="36"/>
          <w:lang w:val="en-US" w:eastAsia="zh-CN"/>
        </w:rPr>
      </w:pPr>
    </w:p>
    <w:p>
      <w:pPr>
        <w:spacing w:line="600" w:lineRule="exact"/>
        <w:ind w:firstLine="1440" w:firstLineChars="400"/>
        <w:rPr>
          <w:rFonts w:hint="eastAsia" w:ascii="方正小标宋_GBK" w:hAnsi="方正小标宋_GBK" w:eastAsia="方正小标宋_GBK" w:cs="方正小标宋_GBK"/>
          <w:sz w:val="36"/>
          <w:szCs w:val="36"/>
        </w:rPr>
      </w:pPr>
    </w:p>
    <w:p>
      <w:pPr>
        <w:spacing w:line="600" w:lineRule="exact"/>
        <w:ind w:firstLine="1440" w:firstLineChars="400"/>
        <w:rPr>
          <w:rFonts w:hint="eastAsia" w:ascii="方正小标宋_GBK" w:hAnsi="方正小标宋_GBK" w:eastAsia="方正小标宋_GBK" w:cs="方正小标宋_GBK"/>
          <w:sz w:val="36"/>
          <w:szCs w:val="36"/>
        </w:rPr>
      </w:pPr>
    </w:p>
    <w:p>
      <w:pPr>
        <w:spacing w:line="600" w:lineRule="exact"/>
        <w:ind w:firstLine="1440" w:firstLineChars="400"/>
        <w:rPr>
          <w:rFonts w:hint="eastAsia" w:ascii="方正小标宋_GBK" w:hAnsi="方正小标宋_GBK" w:eastAsia="方正小标宋_GBK" w:cs="方正小标宋_GBK"/>
          <w:sz w:val="36"/>
          <w:szCs w:val="36"/>
        </w:rPr>
      </w:pPr>
    </w:p>
    <w:p>
      <w:pPr>
        <w:spacing w:line="600" w:lineRule="exact"/>
        <w:ind w:firstLine="1440" w:firstLineChars="400"/>
        <w:rPr>
          <w:rFonts w:ascii="方正小标宋_GBK" w:hAnsi="黑体" w:eastAsia="方正小标宋_GBK" w:cs="Times New Roman"/>
          <w:sz w:val="36"/>
          <w:szCs w:val="36"/>
        </w:rPr>
      </w:pPr>
      <w:r>
        <w:rPr>
          <w:rFonts w:hint="eastAsia" w:ascii="方正小标宋_GBK" w:hAnsi="方正小标宋_GBK" w:eastAsia="方正小标宋_GBK" w:cs="方正小标宋_GBK"/>
          <w:sz w:val="36"/>
          <w:szCs w:val="36"/>
        </w:rPr>
        <w:t>编制单位：</w:t>
      </w:r>
      <w:r>
        <w:rPr>
          <w:rFonts w:hint="eastAsia" w:ascii="方正小标宋_GBK" w:hAnsi="方正小标宋_GBK" w:eastAsia="方正小标宋_GBK" w:cs="方正小标宋_GBK"/>
          <w:sz w:val="36"/>
          <w:szCs w:val="36"/>
          <w:lang w:eastAsia="zh-CN"/>
        </w:rPr>
        <w:t>两江新区人民政府</w:t>
      </w:r>
      <w:r>
        <w:rPr>
          <w:rFonts w:hint="eastAsia" w:ascii="方正小标宋_GBK" w:hAnsi="方正小标宋_GBK" w:eastAsia="方正小标宋_GBK" w:cs="方正小标宋_GBK"/>
          <w:sz w:val="36"/>
          <w:szCs w:val="36"/>
        </w:rPr>
        <w:t>事故</w:t>
      </w:r>
      <w:r>
        <w:rPr>
          <w:rFonts w:hint="eastAsia" w:ascii="方正小标宋_GBK" w:hAnsi="黑体" w:eastAsia="方正小标宋_GBK" w:cs="Times New Roman"/>
          <w:sz w:val="36"/>
          <w:szCs w:val="36"/>
        </w:rPr>
        <w:t>调查组</w:t>
      </w:r>
    </w:p>
    <w:p>
      <w:pPr>
        <w:pStyle w:val="3"/>
      </w:pPr>
    </w:p>
    <w:p>
      <w:pPr>
        <w:spacing w:line="600" w:lineRule="exact"/>
        <w:ind w:firstLine="1440" w:firstLineChars="400"/>
        <w:jc w:val="both"/>
        <w:rPr>
          <w:rFonts w:ascii="方正小标宋_GBK" w:hAnsi="方正小标宋_GBK" w:eastAsia="方正小标宋_GBK" w:cs="方正小标宋_GBK"/>
          <w:sz w:val="44"/>
          <w:szCs w:val="44"/>
        </w:rPr>
      </w:pPr>
      <w:r>
        <w:rPr>
          <w:rFonts w:hint="eastAsia" w:ascii="方正小标宋_GBK" w:hAnsi="黑体" w:eastAsia="方正小标宋_GBK" w:cs="Times New Roman"/>
          <w:sz w:val="36"/>
          <w:szCs w:val="36"/>
        </w:rPr>
        <w:t>编制时间：</w:t>
      </w:r>
      <w:r>
        <w:rPr>
          <w:rFonts w:hint="eastAsia" w:ascii="Times New Roman" w:hAnsi="Times New Roman" w:eastAsia="方正仿宋_GBK" w:cs="方正仿宋_GBK"/>
          <w:color w:val="000000"/>
          <w:kern w:val="2"/>
          <w:sz w:val="36"/>
          <w:szCs w:val="36"/>
          <w:lang w:val="en-US" w:eastAsia="zh-CN" w:bidi="ar-SA"/>
        </w:rPr>
        <w:t>2026</w:t>
      </w:r>
      <w:r>
        <w:rPr>
          <w:rFonts w:hint="eastAsia" w:ascii="方正小标宋_GBK" w:hAnsi="黑体" w:eastAsia="方正小标宋_GBK" w:cs="Times New Roman"/>
          <w:sz w:val="36"/>
          <w:szCs w:val="36"/>
        </w:rPr>
        <w:t>年</w:t>
      </w:r>
      <w:r>
        <w:rPr>
          <w:rFonts w:hint="eastAsia" w:ascii="Times New Roman" w:hAnsi="Times New Roman" w:eastAsia="方正仿宋_GBK" w:cs="方正仿宋_GBK"/>
          <w:color w:val="000000"/>
          <w:kern w:val="2"/>
          <w:sz w:val="36"/>
          <w:szCs w:val="36"/>
          <w:lang w:val="en-US" w:eastAsia="zh-CN" w:bidi="ar-SA"/>
        </w:rPr>
        <w:t>3</w:t>
      </w:r>
      <w:r>
        <w:rPr>
          <w:rFonts w:hint="eastAsia" w:ascii="方正小标宋_GBK" w:hAnsi="黑体" w:eastAsia="方正小标宋_GBK" w:cs="Times New Roman"/>
          <w:sz w:val="36"/>
          <w:szCs w:val="36"/>
        </w:rPr>
        <w:t>月</w:t>
      </w:r>
      <w:r>
        <w:rPr>
          <w:rFonts w:hint="eastAsia" w:ascii="Times New Roman" w:hAnsi="Times New Roman" w:eastAsia="方正仿宋_GBK" w:cs="方正仿宋_GBK"/>
          <w:color w:val="000000"/>
          <w:kern w:val="2"/>
          <w:sz w:val="36"/>
          <w:szCs w:val="36"/>
          <w:lang w:val="en-US" w:eastAsia="zh-CN" w:bidi="ar-SA"/>
        </w:rPr>
        <w:t>24</w:t>
      </w:r>
      <w:r>
        <w:rPr>
          <w:rFonts w:hint="eastAsia" w:ascii="方正小标宋_GBK" w:hAnsi="黑体" w:eastAsia="方正小标宋_GBK" w:cs="Times New Roman"/>
          <w:sz w:val="36"/>
          <w:szCs w:val="36"/>
        </w:rPr>
        <w:t>日</w:t>
      </w:r>
    </w:p>
    <w:p>
      <w:pPr>
        <w:spacing w:line="360" w:lineRule="auto"/>
        <w:jc w:val="center"/>
        <w:rPr>
          <w:rFonts w:hint="eastAsia" w:asciiTheme="majorEastAsia" w:hAnsiTheme="majorEastAsia" w:eastAsiaTheme="majorEastAsia" w:cstheme="majorEastAsia"/>
          <w:b/>
          <w:bCs/>
          <w:sz w:val="32"/>
          <w:szCs w:val="32"/>
        </w:rPr>
      </w:pPr>
    </w:p>
    <w:p>
      <w:pPr>
        <w:spacing w:line="360" w:lineRule="auto"/>
        <w:jc w:val="both"/>
        <w:rPr>
          <w:rFonts w:hint="eastAsia" w:asciiTheme="majorEastAsia" w:hAnsiTheme="majorEastAsia" w:eastAsiaTheme="majorEastAsia" w:cstheme="majorEastAsia"/>
          <w:b/>
          <w:bCs/>
          <w:sz w:val="32"/>
          <w:szCs w:val="32"/>
        </w:rPr>
      </w:pPr>
    </w:p>
    <w:p>
      <w:pPr>
        <w:spacing w:line="360" w:lineRule="auto"/>
        <w:jc w:val="center"/>
        <w:rPr>
          <w:rFonts w:asciiTheme="majorEastAsia" w:hAnsiTheme="majorEastAsia" w:eastAsiaTheme="majorEastAsia" w:cstheme="majorEastAsia"/>
          <w:b/>
          <w:bCs/>
          <w:sz w:val="32"/>
          <w:szCs w:val="32"/>
        </w:rPr>
      </w:pPr>
      <w:r>
        <w:rPr>
          <w:rFonts w:hint="eastAsia" w:ascii="宋体" w:hAnsi="宋体" w:eastAsia="宋体" w:cs="宋体"/>
          <w:b/>
          <w:bCs/>
          <w:sz w:val="32"/>
          <w:szCs w:val="32"/>
        </w:rPr>
        <w:t>目 录</w:t>
      </w:r>
    </w:p>
    <w:p>
      <w:pPr>
        <w:spacing w:line="360" w:lineRule="auto"/>
        <w:rPr>
          <w:rFonts w:hint="eastAsia" w:ascii="黑体" w:hAnsi="黑体" w:eastAsia="黑体" w:cs="黑体"/>
          <w:sz w:val="24"/>
          <w:szCs w:val="24"/>
          <w:highlight w:val="none"/>
        </w:rPr>
      </w:pPr>
      <w:r>
        <w:rPr>
          <w:rFonts w:hint="eastAsia" w:ascii="黑体" w:hAnsi="黑体" w:eastAsia="黑体" w:cs="黑体"/>
          <w:sz w:val="24"/>
          <w:szCs w:val="24"/>
          <w:highlight w:val="none"/>
        </w:rPr>
        <w:t>一、事故基本情况</w:t>
      </w:r>
    </w:p>
    <w:p>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（一）车辆情况</w:t>
      </w:r>
    </w:p>
    <w:p>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（二）驾驶员情况</w:t>
      </w:r>
    </w:p>
    <w:p>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（三）事故发生单位概况</w:t>
      </w:r>
    </w:p>
    <w:p>
      <w:pPr>
        <w:adjustRightInd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（四）事故发生单位安全管理情况</w:t>
      </w:r>
    </w:p>
    <w:p>
      <w:pPr>
        <w:pStyle w:val="3"/>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（五）事故发生经过</w:t>
      </w:r>
    </w:p>
    <w:p>
      <w:pPr>
        <w:pStyle w:val="3"/>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（六）事故现场情况</w:t>
      </w:r>
    </w:p>
    <w:p>
      <w:pPr>
        <w:widowControl/>
        <w:spacing w:line="360" w:lineRule="auto"/>
        <w:jc w:val="left"/>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rPr>
        <w:t>（七）事故造成的人员伤亡</w:t>
      </w:r>
      <w:r>
        <w:rPr>
          <w:rFonts w:hint="eastAsia" w:ascii="宋体" w:hAnsi="宋体" w:eastAsia="宋体" w:cs="宋体"/>
          <w:sz w:val="24"/>
          <w:szCs w:val="24"/>
          <w:highlight w:val="none"/>
          <w:lang w:eastAsia="zh-CN"/>
        </w:rPr>
        <w:t>情况和直接经济损失</w:t>
      </w:r>
    </w:p>
    <w:p>
      <w:pPr>
        <w:spacing w:line="360" w:lineRule="auto"/>
        <w:rPr>
          <w:rFonts w:hint="eastAsia" w:ascii="黑体" w:hAnsi="黑体" w:eastAsia="黑体" w:cs="黑体"/>
          <w:sz w:val="24"/>
          <w:szCs w:val="24"/>
          <w:highlight w:val="none"/>
        </w:rPr>
      </w:pPr>
      <w:r>
        <w:rPr>
          <w:rFonts w:hint="eastAsia" w:ascii="黑体" w:hAnsi="黑体" w:eastAsia="黑体" w:cs="黑体"/>
          <w:sz w:val="24"/>
          <w:szCs w:val="24"/>
          <w:highlight w:val="none"/>
        </w:rPr>
        <w:t>二、事故应急处置及评估情况</w:t>
      </w:r>
    </w:p>
    <w:p>
      <w:pPr>
        <w:spacing w:line="360" w:lineRule="auto"/>
        <w:rPr>
          <w:rFonts w:hint="eastAsia" w:ascii="黑体" w:hAnsi="黑体" w:eastAsia="黑体" w:cs="黑体"/>
          <w:sz w:val="24"/>
          <w:szCs w:val="24"/>
          <w:highlight w:val="none"/>
        </w:rPr>
      </w:pPr>
      <w:r>
        <w:rPr>
          <w:rFonts w:hint="eastAsia" w:ascii="黑体" w:hAnsi="黑体" w:eastAsia="黑体" w:cs="黑体"/>
          <w:sz w:val="24"/>
          <w:szCs w:val="24"/>
          <w:highlight w:val="none"/>
        </w:rPr>
        <w:t>三、事故原因分析</w:t>
      </w:r>
    </w:p>
    <w:p>
      <w:pPr>
        <w:spacing w:line="360" w:lineRule="auto"/>
        <w:rPr>
          <w:rFonts w:hint="eastAsia" w:ascii="黑体" w:hAnsi="黑体" w:eastAsia="黑体" w:cs="黑体"/>
          <w:sz w:val="24"/>
          <w:szCs w:val="24"/>
          <w:highlight w:val="none"/>
        </w:rPr>
      </w:pPr>
      <w:r>
        <w:rPr>
          <w:rFonts w:hint="eastAsia" w:ascii="黑体" w:hAnsi="黑体" w:eastAsia="黑体" w:cs="黑体"/>
          <w:sz w:val="24"/>
          <w:szCs w:val="24"/>
          <w:highlight w:val="none"/>
        </w:rPr>
        <w:t>四、对事故责任分析及处理意见</w:t>
      </w:r>
    </w:p>
    <w:p>
      <w:pPr>
        <w:pStyle w:val="3"/>
        <w:spacing w:line="360" w:lineRule="auto"/>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rPr>
        <w:t>（一）</w:t>
      </w:r>
      <w:r>
        <w:rPr>
          <w:rFonts w:hint="eastAsia" w:ascii="宋体" w:hAnsi="宋体" w:eastAsia="宋体" w:cs="宋体"/>
          <w:kern w:val="2"/>
          <w:sz w:val="24"/>
          <w:szCs w:val="24"/>
          <w:highlight w:val="none"/>
          <w:lang w:val="en-US" w:eastAsia="zh-CN" w:bidi="ar-SA"/>
        </w:rPr>
        <w:t>黄**</w:t>
      </w:r>
    </w:p>
    <w:p>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（二</w:t>
      </w:r>
      <w:r>
        <w:rPr>
          <w:rFonts w:hint="eastAsia" w:ascii="宋体" w:hAnsi="宋体" w:eastAsia="宋体" w:cs="宋体"/>
          <w:kern w:val="2"/>
          <w:sz w:val="24"/>
          <w:szCs w:val="24"/>
          <w:highlight w:val="none"/>
          <w:lang w:val="en-US" w:eastAsia="zh-CN" w:bidi="ar-SA"/>
        </w:rPr>
        <w:t>）张**</w:t>
      </w:r>
    </w:p>
    <w:p>
      <w:pPr>
        <w:pStyle w:val="10"/>
        <w:spacing w:line="360" w:lineRule="auto"/>
        <w:ind w:left="0" w:leftChars="0" w:firstLine="0" w:firstLineChars="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（三）重庆华冠混凝土有限公司</w:t>
      </w:r>
    </w:p>
    <w:p>
      <w:pPr>
        <w:pStyle w:val="10"/>
        <w:spacing w:line="360" w:lineRule="auto"/>
        <w:ind w:left="0" w:leftChars="0"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eastAsia="zh-CN"/>
        </w:rPr>
        <w:t>四</w:t>
      </w:r>
      <w:r>
        <w:rPr>
          <w:rFonts w:hint="eastAsia" w:ascii="宋体" w:hAnsi="宋体" w:eastAsia="宋体" w:cs="宋体"/>
          <w:sz w:val="24"/>
          <w:szCs w:val="24"/>
          <w:highlight w:val="none"/>
        </w:rPr>
        <w:t>）监管履职情况</w:t>
      </w:r>
    </w:p>
    <w:p>
      <w:pPr>
        <w:spacing w:line="360" w:lineRule="auto"/>
        <w:rPr>
          <w:rFonts w:hint="eastAsia" w:ascii="黑体" w:hAnsi="黑体" w:eastAsia="黑体" w:cs="黑体"/>
          <w:sz w:val="24"/>
          <w:szCs w:val="24"/>
          <w:highlight w:val="none"/>
        </w:rPr>
      </w:pPr>
      <w:r>
        <w:rPr>
          <w:rFonts w:hint="eastAsia" w:ascii="黑体" w:hAnsi="黑体" w:eastAsia="黑体" w:cs="黑体"/>
          <w:sz w:val="24"/>
          <w:szCs w:val="24"/>
          <w:highlight w:val="none"/>
        </w:rPr>
        <w:t>五、事故防范措施意见</w:t>
      </w:r>
    </w:p>
    <w:p>
      <w:pPr>
        <w:pStyle w:val="10"/>
        <w:spacing w:line="360" w:lineRule="auto"/>
        <w:ind w:left="0" w:leftChars="0"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（一）</w:t>
      </w:r>
      <w:r>
        <w:rPr>
          <w:rFonts w:hint="eastAsia" w:ascii="宋体" w:hAnsi="宋体" w:eastAsia="宋体" w:cs="宋体"/>
          <w:sz w:val="24"/>
          <w:szCs w:val="24"/>
          <w:highlight w:val="none"/>
          <w:lang w:eastAsia="zh-CN"/>
        </w:rPr>
        <w:t>重庆华冠混凝土有限公司</w:t>
      </w:r>
    </w:p>
    <w:p>
      <w:pPr>
        <w:pStyle w:val="10"/>
        <w:spacing w:line="360" w:lineRule="auto"/>
        <w:ind w:left="0" w:leftChars="0" w:firstLine="0" w:firstLineChars="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（二）</w:t>
      </w:r>
      <w:r>
        <w:rPr>
          <w:rFonts w:hint="eastAsia" w:ascii="宋体" w:hAnsi="宋体" w:eastAsia="宋体" w:cs="宋体"/>
          <w:sz w:val="24"/>
          <w:szCs w:val="24"/>
          <w:highlight w:val="none"/>
          <w:lang w:val="en-US" w:eastAsia="zh-CN"/>
        </w:rPr>
        <w:t>区交通运输委</w:t>
      </w:r>
    </w:p>
    <w:p>
      <w:pPr>
        <w:pStyle w:val="10"/>
        <w:spacing w:line="360" w:lineRule="auto"/>
        <w:ind w:left="0" w:leftChars="0" w:firstLine="0" w:firstLineChars="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eastAsia="zh-CN"/>
        </w:rPr>
        <w:t>三</w:t>
      </w:r>
      <w:r>
        <w:rPr>
          <w:rFonts w:hint="eastAsia" w:ascii="宋体" w:hAnsi="宋体" w:eastAsia="宋体" w:cs="宋体"/>
          <w:sz w:val="24"/>
          <w:szCs w:val="24"/>
          <w:highlight w:val="none"/>
        </w:rPr>
        <w:t>）</w:t>
      </w:r>
      <w:r>
        <w:rPr>
          <w:rFonts w:hint="eastAsia" w:ascii="宋体" w:hAnsi="宋体" w:eastAsia="宋体" w:cs="宋体"/>
          <w:sz w:val="24"/>
          <w:szCs w:val="24"/>
          <w:highlight w:val="none"/>
          <w:lang w:eastAsia="zh-CN"/>
        </w:rPr>
        <w:t>鱼嘴镇</w:t>
      </w:r>
    </w:p>
    <w:p>
      <w:pPr>
        <w:spacing w:line="560" w:lineRule="atLeast"/>
        <w:rPr>
          <w:rFonts w:ascii="方正小标宋_GBK" w:hAnsi="方正小标宋_GBK" w:eastAsia="方正小标宋_GBK" w:cs="方正小标宋_GBK"/>
          <w:sz w:val="44"/>
          <w:szCs w:val="44"/>
          <w:highlight w:val="yellow"/>
        </w:rPr>
        <w:sectPr>
          <w:footerReference r:id="rId3" w:type="default"/>
          <w:footerReference r:id="rId4" w:type="even"/>
          <w:pgSz w:w="11906" w:h="16838"/>
          <w:pgMar w:top="2098" w:right="1474" w:bottom="1985" w:left="1588" w:header="851" w:footer="1474" w:gutter="0"/>
          <w:pgNumType w:fmt="numberInDash" w:start="1"/>
          <w:cols w:space="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两江新区鱼嘴“</w:t>
      </w:r>
      <w:r>
        <w:rPr>
          <w:rFonts w:hint="eastAsia" w:ascii="Times New Roman" w:hAnsi="Times New Roman" w:eastAsia="方正仿宋_GBK" w:cs="方正仿宋_GBK"/>
          <w:color w:val="000000"/>
          <w:kern w:val="2"/>
          <w:sz w:val="44"/>
          <w:szCs w:val="44"/>
          <w:lang w:val="en-US" w:eastAsia="zh-CN" w:bidi="ar-SA"/>
        </w:rPr>
        <w:t>11·25</w:t>
      </w:r>
      <w:r>
        <w:rPr>
          <w:rFonts w:hint="eastAsia" w:ascii="方正小标宋简体" w:hAnsi="方正小标宋简体" w:eastAsia="方正小标宋简体" w:cs="方正小标宋简体"/>
          <w:sz w:val="44"/>
          <w:szCs w:val="44"/>
          <w:lang w:val="en-US" w:eastAsia="zh-CN"/>
        </w:rPr>
        <w:t>”一般道路交通</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仿宋_GBK" w:cs="方正仿宋_GBK"/>
          <w:color w:val="000000"/>
          <w:sz w:val="32"/>
          <w:szCs w:val="32"/>
          <w:highlight w:val="none"/>
          <w:lang w:val="en-US" w:eastAsia="zh-CN"/>
        </w:rPr>
      </w:pPr>
      <w:r>
        <w:rPr>
          <w:rFonts w:hint="eastAsia" w:ascii="方正小标宋简体" w:hAnsi="方正小标宋简体" w:eastAsia="方正小标宋简体" w:cs="方正小标宋简体"/>
          <w:sz w:val="44"/>
          <w:szCs w:val="44"/>
          <w:lang w:val="en-US" w:eastAsia="zh-CN"/>
        </w:rPr>
        <w:t>事故调查报告</w:t>
      </w:r>
    </w:p>
    <w:p>
      <w:pPr>
        <w:keepNext w:val="0"/>
        <w:keepLines w:val="0"/>
        <w:pageBreakBefore w:val="0"/>
        <w:widowControl w:val="0"/>
        <w:kinsoku/>
        <w:wordWrap/>
        <w:overflowPunct/>
        <w:topLinePunct w:val="0"/>
        <w:autoSpaceDE/>
        <w:autoSpaceDN/>
        <w:bidi w:val="0"/>
        <w:adjustRightInd/>
        <w:snapToGrid w:val="0"/>
        <w:spacing w:line="560" w:lineRule="exact"/>
        <w:ind w:right="-6" w:firstLine="640" w:firstLineChars="200"/>
        <w:jc w:val="left"/>
        <w:textAlignment w:val="auto"/>
        <w:rPr>
          <w:rFonts w:hint="eastAsia" w:ascii="仿宋_GB2312" w:eastAsia="仿宋_GB2312"/>
          <w:sz w:val="32"/>
          <w:szCs w:val="32"/>
          <w:highlight w:val="yellow"/>
          <w:lang w:val="en-US" w:eastAsia="zh-CN"/>
        </w:rPr>
      </w:pP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default" w:ascii="Times New Roman" w:hAnsi="Times New Roman" w:eastAsia="方正仿宋_GBK" w:cs="方正仿宋_GBK"/>
          <w:color w:val="000000"/>
          <w:sz w:val="32"/>
          <w:szCs w:val="32"/>
          <w:highlight w:val="none"/>
          <w:lang w:val="en-US" w:eastAsia="zh-CN"/>
        </w:rPr>
      </w:pPr>
      <w:r>
        <w:rPr>
          <w:rFonts w:hint="eastAsia" w:ascii="Times New Roman" w:hAnsi="Times New Roman" w:eastAsia="方正仿宋_GBK" w:cs="方正仿宋_GBK"/>
          <w:color w:val="000000"/>
          <w:sz w:val="32"/>
          <w:szCs w:val="32"/>
          <w:highlight w:val="none"/>
          <w:lang w:val="en-US" w:eastAsia="zh-CN"/>
        </w:rPr>
        <w:t>2025年11月25日16时5分许，在两江新区鱼嘴镇现代大道长安科技园路段发生一起一般道路交通事故，造成一人死亡，一车受损。</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eastAsia" w:ascii="Times New Roman" w:hAnsi="Times New Roman" w:eastAsia="方正仿宋_GBK" w:cs="方正仿宋_GBK"/>
          <w:color w:val="000000"/>
          <w:sz w:val="32"/>
          <w:szCs w:val="32"/>
          <w:highlight w:val="none"/>
          <w:lang w:val="en-US" w:eastAsia="zh-CN"/>
        </w:rPr>
      </w:pPr>
      <w:r>
        <w:rPr>
          <w:rFonts w:hint="eastAsia" w:ascii="Times New Roman" w:hAnsi="Times New Roman" w:eastAsia="方正仿宋_GBK" w:cs="方正仿宋_GBK"/>
          <w:color w:val="000000"/>
          <w:sz w:val="32"/>
          <w:szCs w:val="32"/>
          <w:highlight w:val="none"/>
          <w:lang w:val="en-US" w:eastAsia="zh-CN"/>
        </w:rPr>
        <w:t>事故发生后，区公安分局交巡警支队开展了前期调查，划分了事故责任，出具了《道路交通事故认定书》（第5005001202******48号），并于2026年1月26日向两江新区应急管理局移交了该事故资料。根据相关规定，两江新区人民政府成立了由两江新区应急管理局牵头，区政府办公室、区公安分局、区交通运输委、区总工会等单位为成员的两江新区鱼嘴“11·25”一般道路交通事故调查组（以下简称调查组），并邀请区人民检察院、鱼嘴镇派员参与事故调查工作。按照“科学严谨、依法依规、实事求是、注重实效”和“四不放过”的原则，调查组经过现场勘查、调查取证、查阅视频、综合分析，现已查明了事故发生的经过、原因、应急处置、人员伤亡和直接经济损失情况，认定了事故性质及责任，并提出了处理意见及防范事故再次发生的措施建议。</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eastAsia" w:ascii="Times New Roman" w:hAnsi="Times New Roman" w:eastAsia="方正仿宋_GBK" w:cs="方正仿宋_GBK"/>
          <w:color w:val="000000"/>
          <w:sz w:val="32"/>
          <w:szCs w:val="32"/>
          <w:highlight w:val="yellow"/>
          <w:lang w:val="en-US" w:eastAsia="zh-CN"/>
        </w:rPr>
      </w:pPr>
      <w:r>
        <w:rPr>
          <w:rFonts w:hint="eastAsia" w:ascii="Times New Roman" w:hAnsi="Times New Roman" w:eastAsia="方正仿宋_GBK" w:cs="方正仿宋_GBK"/>
          <w:color w:val="000000"/>
          <w:sz w:val="32"/>
          <w:szCs w:val="32"/>
          <w:highlight w:val="none"/>
          <w:lang w:val="en-US" w:eastAsia="zh-CN"/>
        </w:rPr>
        <w:t>经调查认定，两江新区鱼嘴“11·25”一般道路交通事故是一起因行人黄**横穿跑过道路、未观察来车方向行驶车辆及未通过行人过街设施的行为，以及驾驶员张**驾驶制动系不符合规定的渝D8***0重型半挂牵引车（牵引渝DE**7挂车）行驶至事发路段时超速且未靠右行驶的行为，造成的一般生产安全责任事故。现将有关情况报告如下：</w:t>
      </w:r>
    </w:p>
    <w:p>
      <w:pPr>
        <w:keepNext w:val="0"/>
        <w:keepLines w:val="0"/>
        <w:pageBreakBefore w:val="0"/>
        <w:tabs>
          <w:tab w:val="left" w:pos="1440"/>
        </w:tabs>
        <w:kinsoku/>
        <w:wordWrap/>
        <w:overflowPunct/>
        <w:topLinePunct w:val="0"/>
        <w:autoSpaceDE/>
        <w:autoSpaceDN/>
        <w:bidi w:val="0"/>
        <w:adjustRightInd/>
        <w:snapToGrid w:val="0"/>
        <w:spacing w:line="560" w:lineRule="atLeast"/>
        <w:ind w:firstLine="640" w:firstLineChars="200"/>
        <w:textAlignment w:val="auto"/>
        <w:rPr>
          <w:rFonts w:hint="eastAsia" w:ascii="黑体" w:hAnsi="Times New Roman" w:eastAsia="黑体" w:cs="Times New Roman"/>
          <w:b w:val="0"/>
          <w:bCs/>
          <w:sz w:val="32"/>
          <w:szCs w:val="32"/>
          <w:highlight w:val="none"/>
        </w:rPr>
      </w:pPr>
      <w:r>
        <w:rPr>
          <w:rFonts w:hint="eastAsia" w:ascii="黑体" w:hAnsi="Times New Roman" w:eastAsia="黑体" w:cs="Times New Roman"/>
          <w:b w:val="0"/>
          <w:bCs/>
          <w:sz w:val="32"/>
          <w:szCs w:val="32"/>
          <w:highlight w:val="none"/>
        </w:rPr>
        <w:t>一、事故基本情况</w:t>
      </w:r>
    </w:p>
    <w:p>
      <w:pPr>
        <w:pStyle w:val="20"/>
        <w:keepNext w:val="0"/>
        <w:keepLines w:val="0"/>
        <w:pageBreakBefore w:val="0"/>
        <w:widowControl w:val="0"/>
        <w:kinsoku/>
        <w:wordWrap/>
        <w:overflowPunct/>
        <w:topLinePunct w:val="0"/>
        <w:autoSpaceDE/>
        <w:autoSpaceDN/>
        <w:bidi w:val="0"/>
        <w:adjustRightInd/>
        <w:snapToGrid w:val="0"/>
        <w:spacing w:line="560" w:lineRule="atLeast"/>
        <w:ind w:left="161" w:firstLine="321" w:firstLineChars="100"/>
        <w:textAlignment w:val="auto"/>
        <w:rPr>
          <w:rFonts w:hint="eastAsia" w:ascii="楷体_GB2312" w:hAnsi="楷体_GB2312" w:eastAsia="楷体_GB2312" w:cs="楷体_GB2312"/>
          <w:b/>
          <w:bCs w:val="0"/>
          <w:kern w:val="2"/>
          <w:sz w:val="32"/>
          <w:szCs w:val="32"/>
          <w:highlight w:val="none"/>
          <w:lang w:val="en-US" w:eastAsia="zh-CN" w:bidi="ar-SA"/>
        </w:rPr>
      </w:pPr>
      <w:r>
        <w:rPr>
          <w:rFonts w:hint="eastAsia" w:ascii="楷体_GB2312" w:hAnsi="楷体_GB2312" w:eastAsia="楷体_GB2312" w:cs="楷体_GB2312"/>
          <w:b/>
          <w:bCs w:val="0"/>
          <w:kern w:val="2"/>
          <w:sz w:val="32"/>
          <w:szCs w:val="32"/>
          <w:highlight w:val="none"/>
          <w:lang w:val="en-US" w:eastAsia="zh-CN" w:bidi="ar-SA"/>
        </w:rPr>
        <w:t>（一）车辆情况</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default" w:ascii="Times New Roman" w:hAnsi="Times New Roman" w:eastAsia="方正仿宋_GBK" w:cs="方正仿宋_GBK"/>
          <w:color w:val="000000"/>
          <w:sz w:val="32"/>
          <w:szCs w:val="32"/>
          <w:highlight w:val="none"/>
          <w:lang w:val="en-US" w:eastAsia="zh-CN"/>
        </w:rPr>
      </w:pPr>
      <w:r>
        <w:rPr>
          <w:rFonts w:hint="eastAsia" w:ascii="Times New Roman" w:hAnsi="Times New Roman" w:eastAsia="方正仿宋_GBK" w:cs="方正仿宋_GBK"/>
          <w:color w:val="000000"/>
          <w:sz w:val="32"/>
          <w:szCs w:val="32"/>
          <w:highlight w:val="none"/>
          <w:lang w:val="en-US" w:eastAsia="zh-CN"/>
        </w:rPr>
        <w:t>1.渝D8***0，车辆品牌型号：红岩牌CQ425******34，车辆类型：重型半挂牵引车，车辆识别代码：LZFH25T42******34，发动机号：17H******28，车辆所有人：重庆华冠混凝土有限公司，登记住址：重庆市江北区**工业园**区**，使用性质：货运。保险公司：中国人民财产保险股份有限公司，保险单号：PDZA2025500100******98，保险终止日期：2026年8月28日24时0分。经查，该车无被盗抢记录。</w:t>
      </w:r>
    </w:p>
    <w:p>
      <w:pPr>
        <w:keepNext w:val="0"/>
        <w:keepLines w:val="0"/>
        <w:pageBreakBefore w:val="0"/>
        <w:widowControl w:val="0"/>
        <w:kinsoku/>
        <w:wordWrap/>
        <w:overflowPunct/>
        <w:topLinePunct w:val="0"/>
        <w:autoSpaceDE/>
        <w:autoSpaceDN/>
        <w:bidi w:val="0"/>
        <w:snapToGrid w:val="0"/>
        <w:spacing w:line="560" w:lineRule="exact"/>
        <w:ind w:firstLine="640" w:firstLineChars="200"/>
        <w:textAlignment w:val="auto"/>
        <w:rPr>
          <w:rFonts w:hint="default" w:ascii="Times New Roman" w:hAnsi="Times New Roman" w:eastAsia="方正仿宋_GBK" w:cs="方正仿宋_GBK"/>
          <w:color w:val="000000"/>
          <w:sz w:val="32"/>
          <w:szCs w:val="32"/>
          <w:highlight w:val="none"/>
          <w:lang w:val="en-US" w:eastAsia="zh-CN"/>
        </w:rPr>
      </w:pPr>
      <w:r>
        <w:rPr>
          <w:rFonts w:hint="eastAsia" w:ascii="Times New Roman" w:hAnsi="Times New Roman" w:eastAsia="方正仿宋_GBK" w:cs="方正仿宋_GBK"/>
          <w:color w:val="000000"/>
          <w:sz w:val="32"/>
          <w:szCs w:val="32"/>
          <w:highlight w:val="none"/>
          <w:lang w:val="en-US" w:eastAsia="zh-CN"/>
        </w:rPr>
        <w:t>2.渝DE**7挂，车辆品牌型号：齐鲁中亚牌DEZ******XP，车辆类型：重型平板自卸半挂车，车辆识别代码：LZFH25T42******34，发动机号：17H******28，车辆所有人：重庆华冠混凝土有限公司，登记住址：重庆市江北区**工业园**区**，使用性质：货运。经查，该车无被盗抢记录。</w:t>
      </w:r>
    </w:p>
    <w:p>
      <w:pPr>
        <w:keepNext w:val="0"/>
        <w:keepLines w:val="0"/>
        <w:pageBreakBefore w:val="0"/>
        <w:widowControl w:val="0"/>
        <w:kinsoku/>
        <w:wordWrap/>
        <w:overflowPunct/>
        <w:topLinePunct w:val="0"/>
        <w:autoSpaceDE/>
        <w:autoSpaceDN/>
        <w:bidi w:val="0"/>
        <w:snapToGrid w:val="0"/>
        <w:spacing w:line="560" w:lineRule="exact"/>
        <w:ind w:firstLine="642" w:firstLineChars="200"/>
        <w:textAlignment w:val="auto"/>
        <w:rPr>
          <w:rFonts w:hint="eastAsia" w:ascii="楷体_GB2312" w:hAnsi="楷体_GB2312" w:eastAsia="楷体_GB2312" w:cs="楷体_GB2312"/>
          <w:b/>
          <w:bCs w:val="0"/>
          <w:kern w:val="2"/>
          <w:sz w:val="32"/>
          <w:szCs w:val="32"/>
          <w:highlight w:val="none"/>
          <w:u w:val="none"/>
          <w:lang w:val="en-US" w:eastAsia="zh-CN" w:bidi="ar-SA"/>
        </w:rPr>
      </w:pPr>
      <w:r>
        <w:rPr>
          <w:rFonts w:hint="eastAsia" w:ascii="楷体_GB2312" w:hAnsi="楷体_GB2312" w:eastAsia="楷体_GB2312" w:cs="楷体_GB2312"/>
          <w:b/>
          <w:bCs w:val="0"/>
          <w:kern w:val="2"/>
          <w:sz w:val="32"/>
          <w:szCs w:val="32"/>
          <w:highlight w:val="none"/>
          <w:u w:val="none"/>
          <w:lang w:val="en-US" w:eastAsia="zh-CN" w:bidi="ar-SA"/>
        </w:rPr>
        <w:t>（二）驾驶员情况</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left"/>
        <w:textAlignment w:val="auto"/>
        <w:rPr>
          <w:rFonts w:hint="default" w:ascii="Times New Roman" w:hAnsi="Times New Roman" w:eastAsia="方正仿宋_GBK" w:cs="方正仿宋_GBK"/>
          <w:color w:val="000000"/>
          <w:sz w:val="32"/>
          <w:szCs w:val="32"/>
          <w:highlight w:val="none"/>
          <w:lang w:val="en-US" w:eastAsia="zh-CN"/>
        </w:rPr>
      </w:pPr>
      <w:r>
        <w:rPr>
          <w:rFonts w:hint="eastAsia" w:ascii="Times New Roman" w:hAnsi="Times New Roman" w:eastAsia="方正仿宋_GBK" w:cs="方正仿宋_GBK"/>
          <w:color w:val="000000"/>
          <w:sz w:val="32"/>
          <w:szCs w:val="32"/>
          <w:highlight w:val="none"/>
          <w:lang w:val="en-US" w:eastAsia="zh-CN"/>
        </w:rPr>
        <w:t>张**，男，39岁，驾驶证号：500230**********71，档案编号：5000******77，户籍住址：重庆市丰都县**镇**村**组**号，准驾车型：A2E，初次领证日期：2006年9月19日，有限期止：长期。</w:t>
      </w:r>
    </w:p>
    <w:p>
      <w:pPr>
        <w:keepNext w:val="0"/>
        <w:keepLines w:val="0"/>
        <w:pageBreakBefore w:val="0"/>
        <w:widowControl w:val="0"/>
        <w:kinsoku/>
        <w:wordWrap/>
        <w:overflowPunct/>
        <w:topLinePunct w:val="0"/>
        <w:autoSpaceDE/>
        <w:autoSpaceDN/>
        <w:bidi w:val="0"/>
        <w:snapToGrid w:val="0"/>
        <w:spacing w:line="560" w:lineRule="exact"/>
        <w:ind w:firstLine="642" w:firstLineChars="200"/>
        <w:textAlignment w:val="auto"/>
        <w:rPr>
          <w:rFonts w:hint="eastAsia" w:ascii="楷体_GB2312" w:hAnsi="楷体_GB2312" w:eastAsia="楷体_GB2312" w:cs="楷体_GB2312"/>
          <w:b/>
          <w:bCs w:val="0"/>
          <w:kern w:val="2"/>
          <w:sz w:val="32"/>
          <w:szCs w:val="32"/>
          <w:highlight w:val="none"/>
          <w:u w:val="none"/>
          <w:lang w:val="en-US" w:eastAsia="zh-CN" w:bidi="ar-SA"/>
        </w:rPr>
      </w:pPr>
      <w:r>
        <w:rPr>
          <w:rFonts w:hint="eastAsia" w:ascii="楷体_GB2312" w:hAnsi="楷体_GB2312" w:eastAsia="楷体_GB2312" w:cs="楷体_GB2312"/>
          <w:b/>
          <w:bCs w:val="0"/>
          <w:kern w:val="2"/>
          <w:sz w:val="32"/>
          <w:szCs w:val="32"/>
          <w:highlight w:val="none"/>
          <w:u w:val="none"/>
          <w:lang w:val="en-US" w:eastAsia="zh-CN" w:bidi="ar-SA"/>
        </w:rPr>
        <w:t>（三）事故发生单位概况</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eastAsia" w:ascii="Times New Roman" w:hAnsi="Times New Roman" w:eastAsia="方正仿宋_GBK" w:cs="方正仿宋_GBK"/>
          <w:color w:val="000000"/>
          <w:sz w:val="32"/>
          <w:szCs w:val="32"/>
          <w:highlight w:val="none"/>
          <w:lang w:val="en-US" w:eastAsia="zh-CN"/>
        </w:rPr>
      </w:pPr>
      <w:r>
        <w:rPr>
          <w:rFonts w:hint="eastAsia" w:ascii="Times New Roman" w:hAnsi="Times New Roman" w:eastAsia="方正仿宋_GBK" w:cs="方正仿宋_GBK"/>
          <w:color w:val="000000"/>
          <w:sz w:val="32"/>
          <w:szCs w:val="32"/>
          <w:highlight w:val="none"/>
          <w:lang w:val="en-US" w:eastAsia="zh-CN"/>
        </w:rPr>
        <w:t>重庆华冠混凝土有限公司，类型：有限责任公司（法人独资），统一社会信用代码：9150010573******9E，住所：重庆市江北区</w:t>
      </w:r>
    </w:p>
    <w:p>
      <w:pPr>
        <w:keepNext w:val="0"/>
        <w:keepLines w:val="0"/>
        <w:pageBreakBefore w:val="0"/>
        <w:widowControl w:val="0"/>
        <w:kinsoku/>
        <w:wordWrap/>
        <w:overflowPunct/>
        <w:topLinePunct w:val="0"/>
        <w:autoSpaceDE/>
        <w:autoSpaceDN/>
        <w:bidi w:val="0"/>
        <w:adjustRightInd/>
        <w:snapToGrid w:val="0"/>
        <w:spacing w:line="560" w:lineRule="atLeast"/>
        <w:jc w:val="both"/>
        <w:textAlignment w:val="auto"/>
        <w:rPr>
          <w:rFonts w:hint="eastAsia" w:ascii="Times New Roman" w:hAnsi="Times New Roman" w:eastAsia="方正仿宋_GBK" w:cs="方正仿宋_GBK"/>
          <w:color w:val="000000"/>
          <w:sz w:val="32"/>
          <w:szCs w:val="32"/>
          <w:highlight w:val="none"/>
          <w:lang w:val="en-US" w:eastAsia="zh-CN"/>
        </w:rPr>
      </w:pPr>
      <w:r>
        <w:rPr>
          <w:rFonts w:hint="eastAsia" w:ascii="Times New Roman" w:hAnsi="Times New Roman" w:eastAsia="方正仿宋_GBK" w:cs="方正仿宋_GBK"/>
          <w:color w:val="000000"/>
          <w:sz w:val="32"/>
          <w:szCs w:val="32"/>
          <w:highlight w:val="none"/>
          <w:lang w:val="en-US" w:eastAsia="zh-CN"/>
        </w:rPr>
        <w:t>**工业园**区**，法定代表人：许**，注册资本：壹亿元整，成立日期：2002年8月16日，经营范围：许可项目：普通货运，货物专用运输（罐式）（依法须经批准的项目，经相关部门批准后方可开展经营活动，具体经营项目以相关部门批准文件或许可证件为准）。一般项目：生产、销售：各种强度等级的混凝土和特种混凝土，市政工程方砖、道牙、隔离墩、地面砖、花饰植草砖等小型预制构件（在许可证核定范围及期限内从事经营活动）；销售：建筑材料（不含危险化学品）；建筑设备租赁（除依法须经批准的项目外，凭营业执照依法自主开展经营活动）。</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default" w:ascii="Times New Roman" w:hAnsi="Times New Roman" w:eastAsia="方正仿宋_GBK" w:cs="方正仿宋_GBK"/>
          <w:color w:val="000000"/>
          <w:sz w:val="32"/>
          <w:szCs w:val="32"/>
          <w:highlight w:val="none"/>
          <w:lang w:val="en-US" w:eastAsia="zh-CN"/>
        </w:rPr>
      </w:pPr>
      <w:r>
        <w:rPr>
          <w:rFonts w:hint="eastAsia" w:ascii="Times New Roman" w:hAnsi="Times New Roman" w:eastAsia="方正仿宋_GBK" w:cs="方正仿宋_GBK"/>
          <w:color w:val="000000"/>
          <w:sz w:val="32"/>
          <w:szCs w:val="32"/>
          <w:highlight w:val="none"/>
          <w:lang w:val="en-US" w:eastAsia="zh-CN"/>
        </w:rPr>
        <w:t>该单位持有《建筑业企业资质证书》，证书编号：D3******10，有效期：2030年3月13日，资质类别及等级：预拌混凝土专业承包不分等级。</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default" w:ascii="Times New Roman" w:hAnsi="Times New Roman" w:eastAsia="方正仿宋_GBK" w:cs="方正仿宋_GBK"/>
          <w:color w:val="000000"/>
          <w:sz w:val="32"/>
          <w:szCs w:val="32"/>
          <w:highlight w:val="none"/>
          <w:lang w:val="en-US" w:eastAsia="zh-CN"/>
        </w:rPr>
      </w:pPr>
      <w:r>
        <w:rPr>
          <w:rFonts w:hint="eastAsia" w:ascii="Times New Roman" w:hAnsi="Times New Roman" w:eastAsia="方正仿宋_GBK" w:cs="方正仿宋_GBK"/>
          <w:color w:val="000000"/>
          <w:sz w:val="32"/>
          <w:szCs w:val="32"/>
          <w:highlight w:val="none"/>
          <w:lang w:val="en-US" w:eastAsia="zh-CN"/>
        </w:rPr>
        <w:t>该单位持有《中华人民共和国道路运输经营许可证》，证号：渝交运管许可渝字5001******93号，证件有效期：2022年7月18日至2026年7月18日，经营范围：道路普通货物运输，货物专用运输（罐式容器）。</w:t>
      </w:r>
    </w:p>
    <w:p>
      <w:pPr>
        <w:keepNext w:val="0"/>
        <w:keepLines w:val="0"/>
        <w:pageBreakBefore w:val="0"/>
        <w:widowControl w:val="0"/>
        <w:kinsoku/>
        <w:wordWrap/>
        <w:overflowPunct/>
        <w:topLinePunct w:val="0"/>
        <w:autoSpaceDE/>
        <w:autoSpaceDN/>
        <w:bidi w:val="0"/>
        <w:snapToGrid w:val="0"/>
        <w:spacing w:line="560" w:lineRule="exact"/>
        <w:ind w:firstLine="642" w:firstLineChars="200"/>
        <w:jc w:val="both"/>
        <w:textAlignment w:val="auto"/>
        <w:rPr>
          <w:rFonts w:hint="eastAsia" w:ascii="楷体_GB2312" w:hAnsi="楷体_GB2312" w:eastAsia="楷体_GB2312" w:cs="楷体_GB2312"/>
          <w:b/>
          <w:bCs w:val="0"/>
          <w:kern w:val="2"/>
          <w:sz w:val="32"/>
          <w:szCs w:val="32"/>
          <w:highlight w:val="none"/>
          <w:u w:val="none"/>
          <w:lang w:val="en-US" w:eastAsia="zh-CN" w:bidi="ar-SA"/>
        </w:rPr>
      </w:pPr>
      <w:r>
        <w:rPr>
          <w:rFonts w:hint="eastAsia" w:ascii="楷体_GB2312" w:hAnsi="楷体_GB2312" w:eastAsia="楷体_GB2312" w:cs="楷体_GB2312"/>
          <w:b/>
          <w:bCs w:val="0"/>
          <w:kern w:val="2"/>
          <w:sz w:val="32"/>
          <w:szCs w:val="32"/>
          <w:highlight w:val="none"/>
          <w:u w:val="none"/>
          <w:lang w:val="en-US" w:eastAsia="zh-CN" w:bidi="ar-SA"/>
        </w:rPr>
        <w:t>（四）事故发生单位安全管理情况</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default" w:ascii="Times New Roman" w:hAnsi="Times New Roman" w:eastAsia="方正仿宋_GBK" w:cs="方正仿宋_GBK"/>
          <w:color w:val="000000"/>
          <w:sz w:val="32"/>
          <w:szCs w:val="32"/>
          <w:highlight w:val="none"/>
          <w:lang w:val="en-US" w:eastAsia="zh-CN"/>
        </w:rPr>
      </w:pPr>
      <w:r>
        <w:rPr>
          <w:rFonts w:hint="eastAsia" w:ascii="Times New Roman" w:hAnsi="Times New Roman" w:eastAsia="方正仿宋_GBK" w:cs="方正仿宋_GBK"/>
          <w:color w:val="000000"/>
          <w:sz w:val="32"/>
          <w:szCs w:val="32"/>
          <w:highlight w:val="none"/>
          <w:lang w:val="en-US" w:eastAsia="zh-CN"/>
        </w:rPr>
        <w:t>重庆华冠混凝土有限公司，建立了由主要负责人负总责的安全生产管理机构，下设有安全环保部、生产部、质量技术部、预算部、财务部、安全生产管理员等机构和岗位，其主要负责人取得了《道路运输企业主要负责人和安全生产管理人员安全考核合格证明》，公司配备了专职安全生产管理人员，专职安全生产管理人员取得了《道路运输企业主要负责人和安全生产管理人员安全考核合格证明》。公司建立了安全生产领导小组，组长由主要负责人杨**担任，副组长由副总经理惠**、阙*担任，成员为各部门经理，公司制定了《安全生产管理基本制度》《安全风险分级管控制度》《安全生产风险研判制度》《安全生产事故隐患排查治理制度》《安全生产会议制度》《安全生产教育和培训制度》《运输安全管理制度》等制度。该公司对新入职的驾驶员进行了安全教育培训，公司每月组织1次安全生产教育培训会，由主要负责人杨**组织，安全管理人员和所有驾驶员参加；每年组织全体员工进行2次安全教育培训；公司通过培训机构利用优e师平台对驾驶员进行线上培训。公司设立有GPS监控系统，对驾驶员疲劳驾驶、超速驾驶进行监控，每月对驾驶员的驾驶情况进行汇总分析，对发生违章行为的驾驶员进行约谈，情况特别严重的会对驾驶员作出开除处理。</w:t>
      </w:r>
    </w:p>
    <w:p>
      <w:pPr>
        <w:keepNext w:val="0"/>
        <w:keepLines w:val="0"/>
        <w:pageBreakBefore w:val="0"/>
        <w:widowControl w:val="0"/>
        <w:kinsoku/>
        <w:wordWrap/>
        <w:overflowPunct/>
        <w:topLinePunct w:val="0"/>
        <w:autoSpaceDE/>
        <w:autoSpaceDN/>
        <w:bidi w:val="0"/>
        <w:snapToGrid w:val="0"/>
        <w:spacing w:line="560" w:lineRule="exact"/>
        <w:ind w:firstLine="642" w:firstLineChars="200"/>
        <w:textAlignment w:val="auto"/>
        <w:rPr>
          <w:rFonts w:hint="eastAsia" w:ascii="楷体_GB2312" w:hAnsi="楷体_GB2312" w:eastAsia="楷体_GB2312" w:cs="楷体_GB2312"/>
          <w:b/>
          <w:bCs w:val="0"/>
          <w:kern w:val="2"/>
          <w:sz w:val="32"/>
          <w:szCs w:val="32"/>
          <w:highlight w:val="none"/>
          <w:u w:val="none"/>
          <w:lang w:val="en-US" w:eastAsia="zh-CN" w:bidi="ar-SA"/>
        </w:rPr>
      </w:pPr>
      <w:r>
        <w:rPr>
          <w:rFonts w:hint="eastAsia" w:ascii="楷体_GB2312" w:hAnsi="楷体_GB2312" w:eastAsia="楷体_GB2312" w:cs="楷体_GB2312"/>
          <w:b/>
          <w:bCs w:val="0"/>
          <w:kern w:val="2"/>
          <w:sz w:val="32"/>
          <w:szCs w:val="32"/>
          <w:highlight w:val="none"/>
          <w:u w:val="none"/>
          <w:lang w:val="en-US" w:eastAsia="zh-CN" w:bidi="ar-SA"/>
        </w:rPr>
        <w:t>（五）事故发生经过</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default" w:ascii="Times New Roman" w:hAnsi="Times New Roman" w:eastAsia="方正仿宋_GBK" w:cs="方正仿宋_GBK"/>
          <w:color w:val="000000"/>
          <w:sz w:val="32"/>
          <w:szCs w:val="32"/>
          <w:highlight w:val="yellow"/>
          <w:lang w:val="en-US" w:eastAsia="zh-CN"/>
        </w:rPr>
      </w:pPr>
      <w:r>
        <w:rPr>
          <w:rFonts w:hint="eastAsia" w:ascii="Times New Roman" w:hAnsi="Times New Roman" w:eastAsia="方正仿宋_GBK" w:cs="方正仿宋_GBK"/>
          <w:color w:val="000000"/>
          <w:sz w:val="32"/>
          <w:szCs w:val="32"/>
          <w:highlight w:val="none"/>
          <w:lang w:val="en-US" w:eastAsia="zh-CN"/>
        </w:rPr>
        <w:t>2025年11月25日16时5分许，张**驾驶渝D8***0重型半挂牵引车（牵引渝DE**7挂车）沿重庆市江北区现代大道由王家沟立交往天堡南立交方向行驶，当行驶至现代大道长安科技园路段时，该车右侧部与车行方向由右至左横过机动车道的行人黄**身体发生碰撞，造成渝D8***0车辆受损，黄**经120抢救无效死亡的道路交通事故。</w:t>
      </w:r>
    </w:p>
    <w:p>
      <w:pPr>
        <w:keepNext w:val="0"/>
        <w:keepLines w:val="0"/>
        <w:pageBreakBefore w:val="0"/>
        <w:widowControl w:val="0"/>
        <w:kinsoku/>
        <w:wordWrap/>
        <w:overflowPunct/>
        <w:topLinePunct w:val="0"/>
        <w:autoSpaceDE/>
        <w:autoSpaceDN/>
        <w:bidi w:val="0"/>
        <w:snapToGrid w:val="0"/>
        <w:spacing w:line="560" w:lineRule="exact"/>
        <w:ind w:firstLine="642" w:firstLineChars="200"/>
        <w:textAlignment w:val="auto"/>
        <w:rPr>
          <w:rFonts w:hint="eastAsia" w:ascii="楷体_GB2312" w:hAnsi="楷体_GB2312" w:eastAsia="楷体_GB2312" w:cs="楷体_GB2312"/>
          <w:b/>
          <w:bCs w:val="0"/>
          <w:kern w:val="2"/>
          <w:sz w:val="32"/>
          <w:szCs w:val="32"/>
          <w:highlight w:val="none"/>
          <w:u w:val="none"/>
          <w:lang w:val="en-US" w:eastAsia="zh-CN" w:bidi="ar-SA"/>
        </w:rPr>
      </w:pPr>
      <w:r>
        <w:rPr>
          <w:rFonts w:hint="eastAsia" w:ascii="楷体_GB2312" w:hAnsi="楷体_GB2312" w:eastAsia="楷体_GB2312" w:cs="楷体_GB2312"/>
          <w:b/>
          <w:bCs w:val="0"/>
          <w:kern w:val="2"/>
          <w:sz w:val="32"/>
          <w:szCs w:val="32"/>
          <w:highlight w:val="none"/>
          <w:u w:val="none"/>
          <w:lang w:val="en-US" w:eastAsia="zh-CN" w:bidi="ar-SA"/>
        </w:rPr>
        <w:t>（六）事故现场情况</w:t>
      </w:r>
    </w:p>
    <w:p>
      <w:pPr>
        <w:keepNext w:val="0"/>
        <w:keepLines w:val="0"/>
        <w:pageBreakBefore w:val="0"/>
        <w:widowControl w:val="0"/>
        <w:kinsoku/>
        <w:wordWrap/>
        <w:overflowPunct/>
        <w:topLinePunct w:val="0"/>
        <w:autoSpaceDE/>
        <w:autoSpaceDN/>
        <w:bidi w:val="0"/>
        <w:adjustRightInd w:val="0"/>
        <w:snapToGrid w:val="0"/>
        <w:spacing w:line="560" w:lineRule="exact"/>
        <w:ind w:firstLine="960" w:firstLineChars="300"/>
        <w:textAlignment w:val="auto"/>
        <w:rPr>
          <w:rFonts w:hint="eastAsia" w:ascii="楷体_GB2312" w:hAnsi="楷体_GB2312" w:eastAsia="楷体_GB2312" w:cs="楷体_GB2312"/>
          <w:b/>
          <w:bCs/>
          <w:sz w:val="32"/>
          <w:szCs w:val="32"/>
          <w:highlight w:val="none"/>
        </w:rPr>
      </w:pPr>
      <w:r>
        <w:rPr>
          <w:rFonts w:hint="eastAsia" w:ascii="Times New Roman" w:hAnsi="Times New Roman" w:eastAsia="方正仿宋_GBK" w:cs="方正仿宋_GBK"/>
          <w:color w:val="000000"/>
          <w:sz w:val="32"/>
          <w:szCs w:val="32"/>
          <w:highlight w:val="none"/>
          <w:lang w:val="en-US" w:eastAsia="zh-CN"/>
        </w:rPr>
        <w:t>事故现场位于重庆市江北区现代大道长安科技园路段由王家沟立交往天堡南立交方向，单向四车道，双向八车道，车道宽度3.90米，单向路面宽度16.20米，道路中央有绿化带，路侧有金属护栏，沥青路面，路面平坦、干燥，事故发生时间为白天、晴天，视线良好，事发路段人行道处有事故多发路段标志，长安科技园出口匝道后端王家沟立交桥有人行横道，全路段有限速标志限速60km/h。</w:t>
      </w:r>
    </w:p>
    <w:p>
      <w:pPr>
        <w:keepNext w:val="0"/>
        <w:keepLines w:val="0"/>
        <w:pageBreakBefore w:val="0"/>
        <w:widowControl w:val="0"/>
        <w:kinsoku/>
        <w:wordWrap/>
        <w:overflowPunct/>
        <w:topLinePunct w:val="0"/>
        <w:autoSpaceDE/>
        <w:autoSpaceDN/>
        <w:bidi w:val="0"/>
        <w:adjustRightInd w:val="0"/>
        <w:snapToGrid w:val="0"/>
        <w:spacing w:line="560" w:lineRule="exact"/>
        <w:ind w:firstLine="642" w:firstLineChars="200"/>
        <w:textAlignment w:val="auto"/>
        <w:rPr>
          <w:rFonts w:hint="eastAsia" w:ascii="方正楷体_GBK" w:hAnsi="方正楷体_GBK" w:eastAsia="楷体_GB2312" w:cs="方正楷体_GBK"/>
          <w:b/>
          <w:bCs/>
          <w:sz w:val="32"/>
          <w:szCs w:val="32"/>
          <w:highlight w:val="none"/>
          <w:lang w:eastAsia="zh-CN"/>
        </w:rPr>
      </w:pPr>
      <w:r>
        <w:rPr>
          <w:rFonts w:hint="eastAsia" w:ascii="楷体_GB2312" w:hAnsi="楷体_GB2312" w:eastAsia="楷体_GB2312" w:cs="楷体_GB2312"/>
          <w:b/>
          <w:bCs/>
          <w:sz w:val="32"/>
          <w:szCs w:val="32"/>
          <w:highlight w:val="none"/>
        </w:rPr>
        <w:t>（七）事故造成的人员伤亡</w:t>
      </w:r>
      <w:r>
        <w:rPr>
          <w:rFonts w:hint="eastAsia" w:ascii="楷体_GB2312" w:hAnsi="楷体_GB2312" w:eastAsia="楷体_GB2312" w:cs="楷体_GB2312"/>
          <w:b/>
          <w:bCs/>
          <w:sz w:val="32"/>
          <w:szCs w:val="32"/>
          <w:highlight w:val="none"/>
          <w:lang w:eastAsia="zh-CN"/>
        </w:rPr>
        <w:t>情况和直接经济损失</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sz w:val="32"/>
          <w:szCs w:val="32"/>
          <w:lang w:val="en-US" w:eastAsia="zh-CN"/>
        </w:rPr>
      </w:pPr>
      <w:r>
        <w:rPr>
          <w:rFonts w:hint="eastAsia" w:ascii="Times New Roman" w:hAnsi="Times New Roman" w:eastAsia="方正仿宋_GBK" w:cs="方正仿宋_GBK"/>
          <w:color w:val="000000"/>
          <w:sz w:val="32"/>
          <w:szCs w:val="32"/>
          <w:highlight w:val="none"/>
          <w:lang w:val="en-US" w:eastAsia="zh-CN"/>
        </w:rPr>
        <w:t>1.</w:t>
      </w:r>
      <w:r>
        <w:rPr>
          <w:rFonts w:hint="eastAsia" w:ascii="仿宋_GB2312" w:hAnsi="仿宋_GB2312" w:eastAsia="仿宋_GB2312" w:cs="仿宋_GB2312"/>
          <w:b/>
          <w:sz w:val="32"/>
          <w:szCs w:val="32"/>
          <w:lang w:val="en-US" w:eastAsia="zh-CN"/>
        </w:rPr>
        <w:t>人员伤亡情况</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left"/>
        <w:textAlignment w:val="auto"/>
        <w:rPr>
          <w:rFonts w:hint="default" w:ascii="方正仿宋_GBK" w:hAnsi="方正仿宋_GBK" w:eastAsia="方正仿宋_GBK" w:cs="方正仿宋_GBK"/>
          <w:sz w:val="32"/>
          <w:szCs w:val="32"/>
          <w:highlight w:val="yellow"/>
          <w:lang w:val="en-US" w:eastAsia="zh-CN"/>
        </w:rPr>
      </w:pPr>
      <w:r>
        <w:rPr>
          <w:rFonts w:hint="eastAsia" w:ascii="Times New Roman" w:hAnsi="Times New Roman" w:eastAsia="方正仿宋_GBK" w:cs="方正仿宋_GBK"/>
          <w:color w:val="000000"/>
          <w:sz w:val="32"/>
          <w:szCs w:val="32"/>
          <w:highlight w:val="none"/>
          <w:lang w:val="en-US" w:eastAsia="zh-CN"/>
        </w:rPr>
        <w:t>死者黄**，女，56岁，身份证号：510224**********86，户籍地址：重庆市江北区**路**号***园**幢**。</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K" w:hAnsi="CESI宋体-GB2312" w:eastAsia="方正仿宋_GBK" w:cs="Times New Roman"/>
          <w:b/>
          <w:sz w:val="32"/>
          <w:szCs w:val="32"/>
          <w:lang w:eastAsia="zh-CN"/>
        </w:rPr>
      </w:pPr>
      <w:r>
        <w:rPr>
          <w:rFonts w:hint="eastAsia" w:ascii="Times New Roman" w:hAnsi="Times New Roman" w:eastAsia="方正仿宋_GBK" w:cs="方正仿宋_GBK"/>
          <w:color w:val="000000"/>
          <w:sz w:val="32"/>
          <w:szCs w:val="32"/>
          <w:highlight w:val="none"/>
          <w:lang w:val="en-US" w:eastAsia="zh-CN"/>
        </w:rPr>
        <w:t>2.</w:t>
      </w:r>
      <w:r>
        <w:rPr>
          <w:rFonts w:hint="eastAsia" w:ascii="仿宋_GB2312" w:hAnsi="仿宋_GB2312" w:eastAsia="仿宋_GB2312" w:cs="仿宋_GB2312"/>
          <w:b/>
          <w:sz w:val="32"/>
          <w:szCs w:val="32"/>
          <w:lang w:eastAsia="zh-CN"/>
        </w:rPr>
        <w:t>直接经济损失情况</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left"/>
        <w:textAlignment w:val="auto"/>
        <w:rPr>
          <w:rFonts w:hint="eastAsia" w:ascii="Times New Roman" w:hAnsi="Times New Roman" w:eastAsia="方正仿宋_GBK" w:cs="方正仿宋_GBK"/>
          <w:color w:val="000000"/>
          <w:sz w:val="32"/>
          <w:szCs w:val="32"/>
          <w:highlight w:val="none"/>
          <w:lang w:val="en-US" w:eastAsia="zh-CN"/>
        </w:rPr>
      </w:pPr>
      <w:r>
        <w:rPr>
          <w:rFonts w:hint="eastAsia" w:ascii="Times New Roman" w:hAnsi="Times New Roman" w:eastAsia="方正仿宋_GBK" w:cs="方正仿宋_GBK"/>
          <w:color w:val="000000"/>
          <w:sz w:val="32"/>
          <w:szCs w:val="32"/>
          <w:highlight w:val="none"/>
          <w:lang w:val="en-US" w:eastAsia="zh-CN"/>
        </w:rPr>
        <w:t>事故发生后，保险公司与死者家属达成了善后协议，合计赔付给死者家属方56.500997万元。</w:t>
      </w:r>
    </w:p>
    <w:p>
      <w:pPr>
        <w:keepNext w:val="0"/>
        <w:keepLines w:val="0"/>
        <w:pageBreakBefore w:val="0"/>
        <w:tabs>
          <w:tab w:val="left" w:pos="1440"/>
        </w:tabs>
        <w:kinsoku/>
        <w:wordWrap/>
        <w:overflowPunct/>
        <w:topLinePunct w:val="0"/>
        <w:autoSpaceDE/>
        <w:autoSpaceDN/>
        <w:bidi w:val="0"/>
        <w:adjustRightInd/>
        <w:snapToGrid w:val="0"/>
        <w:spacing w:line="560" w:lineRule="atLeast"/>
        <w:ind w:firstLine="640" w:firstLineChars="200"/>
        <w:textAlignment w:val="auto"/>
        <w:rPr>
          <w:rFonts w:hint="eastAsia" w:ascii="黑体" w:hAnsi="Times New Roman" w:eastAsia="黑体" w:cs="Times New Roman"/>
          <w:b w:val="0"/>
          <w:bCs/>
          <w:sz w:val="32"/>
          <w:szCs w:val="32"/>
          <w:highlight w:val="none"/>
        </w:rPr>
      </w:pPr>
      <w:r>
        <w:rPr>
          <w:rFonts w:hint="eastAsia" w:ascii="黑体" w:hAnsi="Times New Roman" w:eastAsia="黑体" w:cs="Times New Roman"/>
          <w:b w:val="0"/>
          <w:bCs/>
          <w:sz w:val="32"/>
          <w:szCs w:val="32"/>
          <w:highlight w:val="none"/>
        </w:rPr>
        <w:t>二、事故应急处置及评估情况</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left"/>
        <w:textAlignment w:val="auto"/>
        <w:rPr>
          <w:rFonts w:hint="eastAsia" w:ascii="Times New Roman" w:hAnsi="Times New Roman" w:eastAsia="方正仿宋_GBK" w:cs="方正仿宋_GBK"/>
          <w:color w:val="000000"/>
          <w:sz w:val="32"/>
          <w:szCs w:val="32"/>
          <w:highlight w:val="none"/>
          <w:lang w:val="en-US" w:eastAsia="zh-CN"/>
        </w:rPr>
      </w:pPr>
      <w:r>
        <w:rPr>
          <w:rFonts w:hint="eastAsia" w:ascii="Times New Roman" w:hAnsi="Times New Roman" w:eastAsia="方正仿宋_GBK" w:cs="方正仿宋_GBK"/>
          <w:color w:val="000000"/>
          <w:sz w:val="32"/>
          <w:szCs w:val="32"/>
          <w:highlight w:val="none"/>
          <w:lang w:val="en-US" w:eastAsia="zh-CN"/>
        </w:rPr>
        <w:t>区公安分局交巡警支队于2025年11月25日17时13分到达事故现场进行应急处置，组织指挥开展现场秩序维护、现场救援等工作。“120”接报后也及时赶到现场对死者进行处置。事故现场勘查处置完毕，现场撤除，恢复交通。</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left"/>
        <w:textAlignment w:val="auto"/>
        <w:rPr>
          <w:rFonts w:hint="eastAsia" w:ascii="Times New Roman" w:hAnsi="Times New Roman" w:eastAsia="方正仿宋_GBK" w:cs="方正仿宋_GBK"/>
          <w:color w:val="000000"/>
          <w:sz w:val="32"/>
          <w:szCs w:val="32"/>
          <w:highlight w:val="none"/>
          <w:lang w:val="en-US" w:eastAsia="zh-CN"/>
        </w:rPr>
      </w:pPr>
      <w:r>
        <w:rPr>
          <w:rFonts w:hint="eastAsia" w:ascii="Times New Roman" w:hAnsi="Times New Roman" w:eastAsia="方正仿宋_GBK" w:cs="方正仿宋_GBK"/>
          <w:color w:val="000000"/>
          <w:sz w:val="32"/>
          <w:szCs w:val="32"/>
          <w:highlight w:val="none"/>
          <w:lang w:val="en-US" w:eastAsia="zh-CN"/>
        </w:rPr>
        <w:t>区公安分局交巡警支队和“120”接到事故信息后及时响应，应急处置工作有序开展，责任落实到位。</w:t>
      </w:r>
    </w:p>
    <w:p>
      <w:pPr>
        <w:keepNext w:val="0"/>
        <w:keepLines w:val="0"/>
        <w:pageBreakBefore w:val="0"/>
        <w:tabs>
          <w:tab w:val="left" w:pos="1440"/>
        </w:tabs>
        <w:kinsoku/>
        <w:wordWrap/>
        <w:overflowPunct/>
        <w:topLinePunct w:val="0"/>
        <w:autoSpaceDE/>
        <w:autoSpaceDN/>
        <w:bidi w:val="0"/>
        <w:adjustRightInd/>
        <w:snapToGrid w:val="0"/>
        <w:spacing w:line="560" w:lineRule="atLeast"/>
        <w:ind w:firstLine="640" w:firstLineChars="200"/>
        <w:textAlignment w:val="auto"/>
        <w:rPr>
          <w:rFonts w:hint="eastAsia" w:ascii="黑体" w:hAnsi="Times New Roman" w:eastAsia="黑体" w:cs="Times New Roman"/>
          <w:b w:val="0"/>
          <w:bCs/>
          <w:sz w:val="32"/>
          <w:szCs w:val="32"/>
          <w:highlight w:val="none"/>
        </w:rPr>
      </w:pPr>
      <w:r>
        <w:rPr>
          <w:rFonts w:hint="eastAsia" w:ascii="黑体" w:hAnsi="Times New Roman" w:eastAsia="黑体" w:cs="Times New Roman"/>
          <w:b w:val="0"/>
          <w:bCs/>
          <w:sz w:val="32"/>
          <w:szCs w:val="32"/>
          <w:highlight w:val="none"/>
        </w:rPr>
        <w:t>三、事故原因分析</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default" w:ascii="Times New Roman" w:hAnsi="Times New Roman" w:eastAsia="方正仿宋_GBK" w:cs="方正仿宋_GBK"/>
          <w:color w:val="000000"/>
          <w:sz w:val="32"/>
          <w:szCs w:val="32"/>
          <w:highlight w:val="none"/>
          <w:lang w:val="en-US" w:eastAsia="zh-CN"/>
        </w:rPr>
      </w:pPr>
      <w:r>
        <w:rPr>
          <w:rFonts w:hint="eastAsia" w:ascii="Times New Roman" w:hAnsi="Times New Roman" w:eastAsia="方正仿宋_GBK" w:cs="方正仿宋_GBK"/>
          <w:color w:val="000000"/>
          <w:sz w:val="32"/>
          <w:szCs w:val="32"/>
          <w:highlight w:val="none"/>
          <w:lang w:val="en-US" w:eastAsia="zh-CN"/>
        </w:rPr>
        <w:t>事故发生后，区公安分局交巡警支队对该事故展开了前期调查，并委托相关司法鉴定中心对车辆和车速进行了检验鉴定。重庆市正港司法鉴定中心〔2025〕痕鉴字第4722号《司法鉴定意见书》的鉴定意见：被鉴定车辆渝D8***0重型半挂牵引车的转向系、行驶系性能事故前应有效；该车传动系及制动系（由于变速器分配阀管路接口陈旧性松动，致管路漏气，储气筒气压明显下降）存在不符合GB7258-2017《机动车运行安全技术条件》中相关规定。重庆市正港司法鉴定中心〔2025〕痕鉴字第4**3号《司法鉴定意见书》的鉴定意见：被鉴定车辆渝DE**7挂重型半挂车的转向系、传动系性能事故前应有效；该车制动系（第一轴、第二轴左侧制动摩擦片异常磨损，摩擦片厚度已达更换条件）不符合GB7258-2017《机动车运行安全技术条件》中相关规定。重庆市正港司法鉴定中心〔2025〕痕鉴字第4**4号《司法鉴定意见书》的鉴定意见：根据车辆VDR数据，渝D8***0重型半挂牵引车（牵引渝DE**7挂车）事发前的行驶速度应为67km/h。</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eastAsia" w:ascii="Times New Roman" w:hAnsi="Times New Roman" w:eastAsia="方正仿宋_GBK" w:cs="方正仿宋_GBK"/>
          <w:color w:val="000000"/>
          <w:sz w:val="32"/>
          <w:szCs w:val="32"/>
          <w:highlight w:val="yellow"/>
          <w:lang w:val="en-US" w:eastAsia="zh-CN"/>
        </w:rPr>
      </w:pPr>
      <w:r>
        <w:rPr>
          <w:rFonts w:hint="eastAsia" w:ascii="Times New Roman" w:hAnsi="Times New Roman" w:eastAsia="方正仿宋_GBK" w:cs="方正仿宋_GBK"/>
          <w:color w:val="000000"/>
          <w:sz w:val="32"/>
          <w:szCs w:val="32"/>
          <w:highlight w:val="none"/>
          <w:lang w:val="en-US" w:eastAsia="zh-CN"/>
        </w:rPr>
        <w:t>区公安分局交巡警支队依据现场勘查情况、检验鉴定情况、调查访问，当事人询问材料、视频录像等，查清了此次事故的直接原因，确定了事故责任，并作出了《道路交通事故认定书》：</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eastAsia" w:ascii="Times New Roman" w:hAnsi="Times New Roman" w:eastAsia="方正仿宋_GBK" w:cs="方正仿宋_GBK"/>
          <w:color w:val="000000"/>
          <w:sz w:val="32"/>
          <w:szCs w:val="32"/>
          <w:highlight w:val="none"/>
          <w:lang w:val="en-US" w:eastAsia="zh-CN"/>
        </w:rPr>
      </w:pPr>
      <w:r>
        <w:rPr>
          <w:rFonts w:hint="eastAsia" w:ascii="Times New Roman" w:hAnsi="Times New Roman" w:eastAsia="方正仿宋_GBK" w:cs="方正仿宋_GBK"/>
          <w:color w:val="000000"/>
          <w:sz w:val="32"/>
          <w:szCs w:val="32"/>
          <w:highlight w:val="none"/>
          <w:lang w:val="en-US" w:eastAsia="zh-CN"/>
        </w:rPr>
        <w:t>该事故中，张**驾驶制动系不符合规定的渝D8***0重型半挂牵引车（牵引渝DE**7挂车）行驶至事发路段时超速且未靠右行驶的行为，以及行人黄**横穿跑过道路、未观察来车方向行驶车辆及未通过人行过街设施的行为均是造成该事故发生的原因，双方违法行为的过错程度及在事故中所起作用基本相当。</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eastAsia" w:ascii="Times New Roman" w:hAnsi="Times New Roman" w:eastAsia="方正仿宋_GBK" w:cs="方正仿宋_GBK"/>
          <w:color w:val="000000"/>
          <w:sz w:val="32"/>
          <w:szCs w:val="32"/>
          <w:highlight w:val="yellow"/>
          <w:lang w:val="en-US" w:eastAsia="zh-CN"/>
        </w:rPr>
      </w:pPr>
      <w:r>
        <w:rPr>
          <w:rFonts w:hint="eastAsia" w:ascii="Times New Roman" w:hAnsi="Times New Roman" w:eastAsia="方正仿宋_GBK" w:cs="方正仿宋_GBK"/>
          <w:color w:val="000000"/>
          <w:sz w:val="32"/>
          <w:szCs w:val="32"/>
          <w:highlight w:val="none"/>
          <w:lang w:val="en-US" w:eastAsia="zh-CN"/>
        </w:rPr>
        <w:t>张**的行为违反了《中华人民共和国道路交通安全法》第二十一条：“驾驶人驾驶机动车上道路行驶前，应当对机动车的安全技术性能进行认真检查；不得驾驶安全设施不全或者机件不符合技术标准等具有安全隐患的机动车。”第四十二条第一款：“机动车上道路行驶，不得超过限速标志标明的最高时速。在没有限速标志的路段，应当保持安全车速。”、《重庆市道路交通安全条例》第37条：“在道路同方向划有两条以上机动车道的，左侧为快速车道，右侧为慢速车道。在快速车道行驶的机动车应当按照快速车道规定的速度行驶，未达到规定行驶速度的，应当在慢速车道行驶。重型货车、中型货车、低速货车、三轮汽车、牵引车、轮式专用机械车、拖拉机、摩托车，以及实习期驾驶人驾驶的机动车，应当在慢速车道行驶；其中，牵引车、轮式专用机械车、拖拉机、摩托车只能在最右侧车道行驶。”之规定。确定张**承担该事故的同等责任。</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left"/>
        <w:textAlignment w:val="auto"/>
        <w:rPr>
          <w:rFonts w:hint="eastAsia" w:ascii="Times New Roman" w:hAnsi="Times New Roman" w:eastAsia="方正仿宋_GBK" w:cs="方正仿宋_GBK"/>
          <w:color w:val="000000"/>
          <w:sz w:val="32"/>
          <w:szCs w:val="32"/>
          <w:highlight w:val="yellow"/>
          <w:lang w:val="en-US" w:eastAsia="zh-CN"/>
        </w:rPr>
      </w:pPr>
      <w:r>
        <w:rPr>
          <w:rFonts w:hint="eastAsia" w:ascii="Times New Roman" w:hAnsi="Times New Roman" w:eastAsia="方正仿宋_GBK" w:cs="方正仿宋_GBK"/>
          <w:color w:val="000000"/>
          <w:sz w:val="32"/>
          <w:szCs w:val="32"/>
          <w:highlight w:val="none"/>
          <w:lang w:val="en-US" w:eastAsia="zh-CN"/>
        </w:rPr>
        <w:t>黄**的行为违反了《中华人民共和国道路交通安全法》第六十二条：“行人通过路口或者横过道路，应当走人行横道或者过街设施；通过有交通信号灯的人行横道，应当按照交通信号灯指示通行；通过没有交通信号灯、人行横道的路口，或者在没有过街设施的路段横过道路，应当在确认安全后通过。”、《中华人民共和国道路交通安全法实施条例》第七十五条：“行人横过机动车道，应当从行人过街设施通过；没有行人过街设施的，应当从人行横道通过；没有人行横道的，应当观察来往车辆的情况，确认安全后直行通过，不得在车辆临近时突然加速横穿或者中途倒退、折返。”之规定。确定黄**承担该事故的同等责任。</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default" w:ascii="Times New Roman" w:hAnsi="Times New Roman" w:eastAsia="方正仿宋_GBK" w:cs="方正仿宋_GBK"/>
          <w:color w:val="000000"/>
          <w:sz w:val="32"/>
          <w:szCs w:val="32"/>
          <w:highlight w:val="none"/>
          <w:lang w:val="en-US" w:eastAsia="zh-CN"/>
        </w:rPr>
      </w:pPr>
      <w:r>
        <w:rPr>
          <w:rFonts w:hint="eastAsia" w:ascii="Times New Roman" w:hAnsi="Times New Roman" w:eastAsia="方正仿宋_GBK" w:cs="方正仿宋_GBK"/>
          <w:color w:val="000000"/>
          <w:sz w:val="32"/>
          <w:szCs w:val="32"/>
          <w:highlight w:val="none"/>
          <w:lang w:val="en-US" w:eastAsia="zh-CN"/>
        </w:rPr>
        <w:t>调查组通过对该事故相关当事人的询问调查，查看监控视频以及现场照片，结合《道路交通事故认定书》的结论意见，认为该事故主要是由于行人黄**横穿跑过道路、未观察来车方向行驶车辆及未通过人行过街设施的行为造成，驾驶员张**驾驶制动系不符合规定的渝D8***0重型半挂牵引车（牵引渝DE**7挂车）行驶至事发路段时超速且未靠右行驶的行为，与该事故的发生关联性不强。</w:t>
      </w:r>
    </w:p>
    <w:p>
      <w:pPr>
        <w:keepNext w:val="0"/>
        <w:keepLines w:val="0"/>
        <w:pageBreakBefore w:val="0"/>
        <w:tabs>
          <w:tab w:val="left" w:pos="1440"/>
        </w:tabs>
        <w:kinsoku/>
        <w:wordWrap/>
        <w:overflowPunct/>
        <w:topLinePunct w:val="0"/>
        <w:autoSpaceDE/>
        <w:autoSpaceDN/>
        <w:bidi w:val="0"/>
        <w:adjustRightInd/>
        <w:snapToGrid w:val="0"/>
        <w:spacing w:line="560" w:lineRule="atLeast"/>
        <w:ind w:firstLine="640" w:firstLineChars="200"/>
        <w:textAlignment w:val="auto"/>
        <w:rPr>
          <w:rFonts w:hint="eastAsia" w:ascii="黑体" w:hAnsi="Times New Roman" w:eastAsia="黑体" w:cs="Times New Roman"/>
          <w:b w:val="0"/>
          <w:bCs/>
          <w:sz w:val="32"/>
          <w:szCs w:val="32"/>
          <w:highlight w:val="none"/>
        </w:rPr>
      </w:pPr>
      <w:r>
        <w:rPr>
          <w:rFonts w:hint="eastAsia" w:ascii="黑体" w:hAnsi="Times New Roman" w:eastAsia="黑体" w:cs="Times New Roman"/>
          <w:b w:val="0"/>
          <w:bCs/>
          <w:sz w:val="32"/>
          <w:szCs w:val="32"/>
          <w:highlight w:val="none"/>
        </w:rPr>
        <w:t>四、对事故责任分析及处理意见</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left"/>
        <w:textAlignment w:val="auto"/>
        <w:rPr>
          <w:rFonts w:hint="eastAsia" w:ascii="楷体_GB2312" w:hAnsi="楷体_GB2312" w:eastAsia="楷体_GB2312" w:cs="楷体_GB2312"/>
          <w:b/>
          <w:bCs w:val="0"/>
          <w:kern w:val="2"/>
          <w:sz w:val="32"/>
          <w:szCs w:val="32"/>
          <w:highlight w:val="none"/>
          <w:u w:val="none"/>
          <w:lang w:val="en-US" w:eastAsia="zh-CN" w:bidi="ar-SA"/>
        </w:rPr>
      </w:pPr>
      <w:r>
        <w:rPr>
          <w:rFonts w:hint="eastAsia" w:ascii="Times New Roman" w:hAnsi="Times New Roman" w:eastAsia="方正仿宋_GBK" w:cs="方正仿宋_GBK"/>
          <w:color w:val="000000"/>
          <w:sz w:val="32"/>
          <w:szCs w:val="32"/>
          <w:highlight w:val="none"/>
          <w:lang w:val="en-US" w:eastAsia="zh-CN"/>
        </w:rPr>
        <w:t>（</w:t>
      </w:r>
      <w:r>
        <w:rPr>
          <w:rFonts w:hint="eastAsia" w:ascii="楷体_GB2312" w:hAnsi="楷体_GB2312" w:eastAsia="楷体_GB2312" w:cs="楷体_GB2312"/>
          <w:b/>
          <w:bCs w:val="0"/>
          <w:kern w:val="2"/>
          <w:sz w:val="32"/>
          <w:szCs w:val="32"/>
          <w:highlight w:val="none"/>
          <w:u w:val="none"/>
          <w:lang w:val="en-US" w:eastAsia="zh-CN" w:bidi="ar-SA"/>
        </w:rPr>
        <w:t>一）黄**</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left"/>
        <w:textAlignment w:val="auto"/>
        <w:rPr>
          <w:rFonts w:hint="eastAsia" w:ascii="Times New Roman" w:hAnsi="Times New Roman" w:eastAsia="方正仿宋_GBK" w:cs="方正仿宋_GBK"/>
          <w:color w:val="000000"/>
          <w:sz w:val="32"/>
          <w:szCs w:val="32"/>
          <w:highlight w:val="yellow"/>
          <w:lang w:val="en-US" w:eastAsia="zh-CN"/>
        </w:rPr>
      </w:pPr>
      <w:r>
        <w:rPr>
          <w:rFonts w:hint="eastAsia" w:ascii="Times New Roman" w:hAnsi="Times New Roman" w:eastAsia="方正仿宋_GBK" w:cs="方正仿宋_GBK"/>
          <w:color w:val="000000"/>
          <w:sz w:val="32"/>
          <w:szCs w:val="32"/>
          <w:highlight w:val="none"/>
          <w:lang w:val="en-US" w:eastAsia="zh-CN"/>
        </w:rPr>
        <w:t>黄**横穿跑过道路、未观察来车方向行驶车辆及未通过人行过街设施的行为，违反了《中华人民共和国道路交通安全法》第六十二条、《中华人民共和国道路交通安全法实施条例》第七十五条的规定。对本次事故负有同等责任。</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left"/>
        <w:textAlignment w:val="auto"/>
        <w:rPr>
          <w:rFonts w:hint="eastAsia" w:ascii="Times New Roman" w:hAnsi="Times New Roman" w:eastAsia="方正仿宋_GBK" w:cs="方正仿宋_GBK"/>
          <w:color w:val="000000"/>
          <w:sz w:val="32"/>
          <w:szCs w:val="32"/>
          <w:highlight w:val="yellow"/>
          <w:lang w:val="en-US" w:eastAsia="zh-CN"/>
        </w:rPr>
      </w:pPr>
      <w:r>
        <w:rPr>
          <w:rFonts w:hint="eastAsia" w:ascii="Times New Roman" w:hAnsi="Times New Roman" w:eastAsia="方正仿宋_GBK" w:cs="方正仿宋_GBK"/>
          <w:color w:val="000000"/>
          <w:sz w:val="32"/>
          <w:szCs w:val="32"/>
          <w:highlight w:val="none"/>
          <w:lang w:val="en-US" w:eastAsia="zh-CN"/>
        </w:rPr>
        <w:t>鉴于黄**在本次事故中已经死亡，建议免于追究其责任。</w:t>
      </w:r>
    </w:p>
    <w:p>
      <w:pPr>
        <w:keepNext w:val="0"/>
        <w:keepLines w:val="0"/>
        <w:pageBreakBefore w:val="0"/>
        <w:widowControl w:val="0"/>
        <w:numPr>
          <w:ilvl w:val="0"/>
          <w:numId w:val="1"/>
        </w:numPr>
        <w:kinsoku/>
        <w:wordWrap/>
        <w:overflowPunct/>
        <w:topLinePunct w:val="0"/>
        <w:autoSpaceDE/>
        <w:autoSpaceDN/>
        <w:bidi w:val="0"/>
        <w:adjustRightInd/>
        <w:snapToGrid w:val="0"/>
        <w:spacing w:line="560" w:lineRule="atLeast"/>
        <w:ind w:firstLine="642" w:firstLineChars="200"/>
        <w:jc w:val="left"/>
        <w:textAlignment w:val="auto"/>
        <w:rPr>
          <w:rFonts w:hint="eastAsia" w:ascii="楷体_GB2312" w:hAnsi="楷体_GB2312" w:eastAsia="楷体_GB2312" w:cs="楷体_GB2312"/>
          <w:b/>
          <w:bCs w:val="0"/>
          <w:kern w:val="2"/>
          <w:sz w:val="32"/>
          <w:szCs w:val="32"/>
          <w:highlight w:val="none"/>
          <w:u w:val="none"/>
          <w:lang w:val="en-US" w:eastAsia="zh-CN" w:bidi="ar-SA"/>
        </w:rPr>
      </w:pPr>
      <w:r>
        <w:rPr>
          <w:rFonts w:hint="eastAsia" w:ascii="楷体_GB2312" w:hAnsi="楷体_GB2312" w:eastAsia="楷体_GB2312" w:cs="楷体_GB2312"/>
          <w:b/>
          <w:bCs w:val="0"/>
          <w:kern w:val="2"/>
          <w:sz w:val="32"/>
          <w:szCs w:val="32"/>
          <w:highlight w:val="none"/>
          <w:u w:val="none"/>
          <w:lang w:val="en-US" w:eastAsia="zh-CN" w:bidi="ar-SA"/>
        </w:rPr>
        <w:t>张**</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atLeast"/>
        <w:ind w:firstLine="640" w:firstLineChars="200"/>
        <w:jc w:val="both"/>
        <w:textAlignment w:val="auto"/>
        <w:rPr>
          <w:rFonts w:hint="eastAsia" w:ascii="Times New Roman" w:hAnsi="Times New Roman" w:eastAsia="方正仿宋_GBK" w:cs="方正仿宋_GBK"/>
          <w:color w:val="000000"/>
          <w:sz w:val="32"/>
          <w:szCs w:val="32"/>
          <w:highlight w:val="none"/>
          <w:lang w:val="en-US" w:eastAsia="zh-CN"/>
        </w:rPr>
      </w:pPr>
      <w:r>
        <w:rPr>
          <w:rFonts w:hint="eastAsia" w:ascii="Times New Roman" w:hAnsi="Times New Roman" w:eastAsia="方正仿宋_GBK" w:cs="方正仿宋_GBK"/>
          <w:color w:val="000000"/>
          <w:sz w:val="32"/>
          <w:szCs w:val="32"/>
          <w:highlight w:val="none"/>
          <w:lang w:val="en-US" w:eastAsia="zh-CN"/>
        </w:rPr>
        <w:t>驾驶员张**驾驶制动系不符合规定的渝D8***0重型半挂牵引车（牵引渝DE**7挂车）行驶至事发路段时超速且未靠右行驶的行为，违反了《中华人民共和国道路交通安全法》第二十一条、第四十二条第一款、《重庆市道路交通安全条例》第37条的规定。对本次事故负有同等责任。</w:t>
      </w:r>
    </w:p>
    <w:p>
      <w:pPr>
        <w:keepNext w:val="0"/>
        <w:keepLines w:val="0"/>
        <w:pageBreakBefore w:val="0"/>
        <w:widowControl/>
        <w:kinsoku/>
        <w:wordWrap/>
        <w:overflowPunct/>
        <w:topLinePunct w:val="0"/>
        <w:autoSpaceDE/>
        <w:autoSpaceDN/>
        <w:bidi w:val="0"/>
        <w:adjustRightInd/>
        <w:snapToGrid w:val="0"/>
        <w:spacing w:line="560" w:lineRule="atLeast"/>
        <w:ind w:firstLine="640" w:firstLineChars="200"/>
        <w:jc w:val="left"/>
        <w:textAlignment w:val="auto"/>
        <w:rPr>
          <w:rFonts w:hint="default" w:ascii="楷体_GB2312" w:hAnsi="楷体_GB2312" w:eastAsia="楷体_GB2312" w:cs="楷体_GB2312"/>
          <w:b/>
          <w:bCs/>
          <w:sz w:val="32"/>
          <w:szCs w:val="32"/>
          <w:highlight w:val="none"/>
          <w:lang w:val="en-US" w:eastAsia="zh-CN"/>
        </w:rPr>
      </w:pPr>
      <w:r>
        <w:rPr>
          <w:rFonts w:hint="eastAsia" w:ascii="Times New Roman" w:hAnsi="Times New Roman" w:eastAsia="方正仿宋_GBK" w:cs="方正仿宋_GBK"/>
          <w:color w:val="000000"/>
          <w:kern w:val="2"/>
          <w:sz w:val="32"/>
          <w:szCs w:val="32"/>
          <w:lang w:val="en-US" w:eastAsia="zh-CN" w:bidi="ar-SA"/>
        </w:rPr>
        <w:t>建议由</w:t>
      </w:r>
      <w:r>
        <w:rPr>
          <w:rFonts w:hint="eastAsia" w:ascii="Times New Roman" w:hAnsi="Times New Roman" w:eastAsia="方正仿宋_GBK" w:cs="方正仿宋_GBK"/>
          <w:color w:val="000000"/>
          <w:sz w:val="32"/>
          <w:szCs w:val="32"/>
          <w:highlight w:val="none"/>
          <w:lang w:val="en-US" w:eastAsia="zh-CN"/>
        </w:rPr>
        <w:t>区公安分局交巡警支队</w:t>
      </w:r>
      <w:r>
        <w:rPr>
          <w:rFonts w:hint="eastAsia" w:ascii="Times New Roman" w:hAnsi="Times New Roman" w:eastAsia="方正仿宋_GBK" w:cs="方正仿宋_GBK"/>
          <w:color w:val="000000"/>
          <w:kern w:val="2"/>
          <w:sz w:val="32"/>
          <w:szCs w:val="32"/>
          <w:lang w:val="en-US" w:eastAsia="zh-CN" w:bidi="ar-SA"/>
        </w:rPr>
        <w:t>按相关规定处理。</w:t>
      </w:r>
    </w:p>
    <w:p>
      <w:pPr>
        <w:pStyle w:val="10"/>
        <w:keepNext w:val="0"/>
        <w:keepLines w:val="0"/>
        <w:pageBreakBefore w:val="0"/>
        <w:numPr>
          <w:ilvl w:val="0"/>
          <w:numId w:val="0"/>
        </w:numPr>
        <w:kinsoku/>
        <w:wordWrap/>
        <w:overflowPunct/>
        <w:topLinePunct w:val="0"/>
        <w:autoSpaceDE/>
        <w:autoSpaceDN/>
        <w:bidi w:val="0"/>
        <w:adjustRightInd/>
        <w:snapToGrid w:val="0"/>
        <w:spacing w:line="560" w:lineRule="exact"/>
        <w:ind w:leftChars="200"/>
        <w:textAlignment w:val="auto"/>
        <w:rPr>
          <w:rFonts w:hint="eastAsia" w:ascii="楷体_GB2312" w:hAnsi="楷体_GB2312" w:eastAsia="楷体_GB2312" w:cs="楷体_GB2312"/>
          <w:b/>
          <w:bCs/>
          <w:sz w:val="32"/>
          <w:szCs w:val="32"/>
          <w:highlight w:val="none"/>
          <w:lang w:eastAsia="zh-CN"/>
        </w:rPr>
      </w:pPr>
      <w:r>
        <w:rPr>
          <w:rFonts w:hint="eastAsia" w:ascii="楷体_GB2312" w:hAnsi="楷体_GB2312" w:eastAsia="楷体_GB2312" w:cs="楷体_GB2312"/>
          <w:b/>
          <w:bCs/>
          <w:sz w:val="32"/>
          <w:szCs w:val="32"/>
          <w:highlight w:val="none"/>
          <w:lang w:eastAsia="zh-CN"/>
        </w:rPr>
        <w:t>（三）重庆华冠混凝土有限公司</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eastAsia" w:ascii="Times New Roman" w:hAnsi="Times New Roman" w:eastAsia="方正仿宋_GBK" w:cs="方正仿宋_GBK"/>
          <w:color w:val="000000"/>
          <w:sz w:val="32"/>
          <w:szCs w:val="32"/>
          <w:highlight w:val="none"/>
          <w:lang w:val="en-US" w:eastAsia="zh-CN"/>
        </w:rPr>
      </w:pPr>
      <w:r>
        <w:rPr>
          <w:rFonts w:hint="eastAsia" w:ascii="Times New Roman" w:hAnsi="Times New Roman" w:eastAsia="方正仿宋_GBK" w:cs="方正仿宋_GBK"/>
          <w:color w:val="000000"/>
          <w:sz w:val="32"/>
          <w:szCs w:val="32"/>
          <w:highlight w:val="none"/>
          <w:lang w:val="en-US" w:eastAsia="zh-CN"/>
        </w:rPr>
        <w:t>经调查，重庆华冠混凝土有限公司设置有安全管理机构，成立了由主要负责人杨**为组长的安全生产领导小组，配备有安全管理人员，制定了《安全生产管理基本制度》《安全风险分级管控制度》《安全生产风险研判制度》《安全生产事故隐患排查治理制度》《安全生产会议制度》《安全生产教育和培训制度》《运输安全管理制度》等制度。该公司对新入职的驾驶员进行了安全教育培训，公司每月组织1次安全生产教育培训会，由主要负责人杨**组织，安全管理人员和所有驾驶员参加，每年组织全体员工进行2次安全教育培训，公司通过培训机构，利用优e师平台每月对驾驶员进行线上培训，并进行考试。</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default" w:ascii="Times New Roman" w:hAnsi="Times New Roman" w:eastAsia="方正仿宋_GBK" w:cs="方正仿宋_GBK"/>
          <w:color w:val="000000"/>
          <w:sz w:val="32"/>
          <w:szCs w:val="32"/>
          <w:highlight w:val="none"/>
          <w:lang w:val="en-US" w:eastAsia="zh-CN"/>
        </w:rPr>
      </w:pPr>
      <w:r>
        <w:rPr>
          <w:rFonts w:hint="eastAsia" w:ascii="Times New Roman" w:hAnsi="Times New Roman" w:eastAsia="方正仿宋_GBK" w:cs="方正仿宋_GBK"/>
          <w:color w:val="000000"/>
          <w:sz w:val="32"/>
          <w:szCs w:val="32"/>
          <w:highlight w:val="none"/>
          <w:lang w:val="en-US" w:eastAsia="zh-CN"/>
        </w:rPr>
        <w:t>车辆的安全检查，由驾驶员负责车辆的日检查，安全总监和安全员负责周检查，于2025年6月20日和2025年8月15日对渝D8***0重型半挂牵引车进行了检查，主要负责人负责月检查。关于渝D8***0重型半挂牵引车存在制动系不符合相关规定的情况，该公司于2025年8月23日通过重庆道宏汽车销售有限公司对该车辆进行了二级维护，检验合格，下一次二级维护时间是在2025年12月20日左右，事故发生时，该事故车辆仍在二级维护有效期内。关于该事故车辆行驶至事发路段时超速且未靠右行驶的行为，公司设立有GPS监控系统，对驾驶员疲劳驾驶、超速驾驶进行监控，每月对驾驶员的驾驶情况进行汇总分析，对发生违章行为的驾驶员进行约谈，情况特别严重的会对驾驶员作出开除处理。</w:t>
      </w:r>
      <w:r>
        <w:rPr>
          <w:rFonts w:hint="eastAsia" w:ascii="Times New Roman" w:hAnsi="Times New Roman" w:eastAsia="方正仿宋_GBK" w:cs="方正仿宋_GBK"/>
          <w:color w:val="000000"/>
          <w:sz w:val="32"/>
          <w:szCs w:val="32"/>
          <w:lang w:val="en-US" w:eastAsia="zh-CN"/>
        </w:rPr>
        <w:t>在本次事故中，未发现</w:t>
      </w:r>
      <w:r>
        <w:rPr>
          <w:rFonts w:hint="eastAsia" w:ascii="Times New Roman" w:hAnsi="Times New Roman" w:eastAsia="方正仿宋_GBK" w:cs="方正仿宋_GBK"/>
          <w:color w:val="000000"/>
          <w:sz w:val="32"/>
          <w:szCs w:val="32"/>
          <w:highlight w:val="none"/>
          <w:lang w:val="en-US" w:eastAsia="zh-CN"/>
        </w:rPr>
        <w:t>重庆华冠混凝土有限公司</w:t>
      </w:r>
      <w:r>
        <w:rPr>
          <w:rFonts w:hint="eastAsia" w:ascii="Times New Roman" w:hAnsi="Times New Roman" w:eastAsia="方正仿宋_GBK" w:cs="方正仿宋_GBK"/>
          <w:color w:val="000000"/>
          <w:sz w:val="32"/>
          <w:szCs w:val="32"/>
          <w:lang w:val="en-US" w:eastAsia="zh-CN"/>
        </w:rPr>
        <w:t>存在违法行为。</w:t>
      </w:r>
    </w:p>
    <w:p>
      <w:pPr>
        <w:keepNext w:val="0"/>
        <w:keepLines w:val="0"/>
        <w:pageBreakBefore w:val="0"/>
        <w:widowControl/>
        <w:kinsoku/>
        <w:wordWrap/>
        <w:overflowPunct/>
        <w:topLinePunct w:val="0"/>
        <w:autoSpaceDE/>
        <w:autoSpaceDN/>
        <w:bidi w:val="0"/>
        <w:adjustRightInd/>
        <w:snapToGrid w:val="0"/>
        <w:spacing w:line="560" w:lineRule="atLeast"/>
        <w:ind w:firstLine="640" w:firstLineChars="200"/>
        <w:jc w:val="left"/>
        <w:textAlignment w:val="auto"/>
        <w:rPr>
          <w:rFonts w:hint="eastAsia" w:ascii="Times New Roman" w:hAnsi="Times New Roman" w:eastAsia="方正仿宋_GBK" w:cs="方正仿宋_GBK"/>
          <w:color w:val="000000"/>
          <w:kern w:val="2"/>
          <w:sz w:val="32"/>
          <w:szCs w:val="32"/>
          <w:lang w:val="en-US" w:eastAsia="zh-CN" w:bidi="ar-SA"/>
        </w:rPr>
      </w:pPr>
      <w:r>
        <w:rPr>
          <w:rFonts w:hint="eastAsia" w:ascii="Times New Roman" w:hAnsi="Times New Roman" w:eastAsia="方正仿宋_GBK" w:cs="方正仿宋_GBK"/>
          <w:color w:val="000000"/>
          <w:kern w:val="2"/>
          <w:sz w:val="32"/>
          <w:szCs w:val="32"/>
          <w:lang w:val="en-US" w:eastAsia="zh-CN" w:bidi="ar-SA"/>
        </w:rPr>
        <w:t>针对调查中发现的企业车辆</w:t>
      </w:r>
      <w:r>
        <w:rPr>
          <w:rFonts w:hint="eastAsia" w:ascii="Times New Roman" w:hAnsi="Times New Roman" w:eastAsia="方正仿宋_GBK" w:cs="方正仿宋_GBK"/>
          <w:color w:val="000000"/>
          <w:sz w:val="32"/>
          <w:szCs w:val="32"/>
          <w:highlight w:val="none"/>
          <w:lang w:val="en-US" w:eastAsia="zh-CN"/>
        </w:rPr>
        <w:t>制动系不符合相关规定、车辆行驶至事发路段时超速且未靠右行驶的问题，</w:t>
      </w:r>
      <w:r>
        <w:rPr>
          <w:rFonts w:hint="eastAsia" w:ascii="Times New Roman" w:hAnsi="Times New Roman" w:eastAsia="方正仿宋_GBK" w:cs="方正仿宋_GBK"/>
          <w:color w:val="000000"/>
          <w:kern w:val="2"/>
          <w:sz w:val="32"/>
          <w:szCs w:val="32"/>
          <w:lang w:val="en-US" w:eastAsia="zh-CN" w:bidi="ar-SA"/>
        </w:rPr>
        <w:t>建议由区交通运输委按相关规定处理，加强行业监管，督促企业落实安全生产主体责任。</w:t>
      </w:r>
    </w:p>
    <w:p>
      <w:pPr>
        <w:pStyle w:val="10"/>
        <w:keepNext w:val="0"/>
        <w:keepLines w:val="0"/>
        <w:pageBreakBefore w:val="0"/>
        <w:numPr>
          <w:ilvl w:val="0"/>
          <w:numId w:val="0"/>
        </w:numPr>
        <w:kinsoku/>
        <w:wordWrap/>
        <w:overflowPunct/>
        <w:topLinePunct w:val="0"/>
        <w:autoSpaceDE/>
        <w:autoSpaceDN/>
        <w:bidi w:val="0"/>
        <w:adjustRightInd/>
        <w:snapToGrid w:val="0"/>
        <w:spacing w:line="560" w:lineRule="exact"/>
        <w:ind w:leftChars="200"/>
        <w:textAlignment w:val="auto"/>
        <w:rPr>
          <w:rFonts w:hint="eastAsia" w:ascii="楷体_GB2312" w:hAnsi="楷体_GB2312" w:eastAsia="楷体_GB2312" w:cs="楷体_GB2312"/>
          <w:b/>
          <w:bCs/>
          <w:sz w:val="32"/>
          <w:szCs w:val="32"/>
          <w:highlight w:val="none"/>
          <w:lang w:eastAsia="zh-CN"/>
        </w:rPr>
      </w:pPr>
      <w:r>
        <w:rPr>
          <w:rFonts w:hint="eastAsia" w:ascii="楷体_GB2312" w:hAnsi="楷体_GB2312" w:eastAsia="楷体_GB2312" w:cs="楷体_GB2312"/>
          <w:b/>
          <w:bCs/>
          <w:sz w:val="32"/>
          <w:szCs w:val="32"/>
          <w:highlight w:val="none"/>
          <w:lang w:eastAsia="zh-CN"/>
        </w:rPr>
        <w:t>（四）</w:t>
      </w:r>
      <w:r>
        <w:rPr>
          <w:rFonts w:hint="eastAsia" w:ascii="楷体_GB2312" w:hAnsi="楷体_GB2312" w:eastAsia="楷体_GB2312" w:cs="楷体_GB2312"/>
          <w:b/>
          <w:bCs/>
          <w:sz w:val="32"/>
          <w:szCs w:val="32"/>
          <w:highlight w:val="none"/>
        </w:rPr>
        <w:t>监管履职情况</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eastAsia" w:ascii="Times New Roman" w:hAnsi="Times New Roman" w:eastAsia="方正仿宋_GBK" w:cs="方正仿宋_GBK"/>
          <w:color w:val="000000"/>
          <w:sz w:val="32"/>
          <w:szCs w:val="32"/>
          <w:highlight w:val="none"/>
          <w:lang w:val="en-US" w:eastAsia="zh-CN"/>
        </w:rPr>
      </w:pPr>
      <w:r>
        <w:rPr>
          <w:rFonts w:hint="eastAsia" w:ascii="Times New Roman" w:hAnsi="Times New Roman" w:eastAsia="方正仿宋_GBK" w:cs="方正仿宋_GBK"/>
          <w:color w:val="000000"/>
          <w:sz w:val="32"/>
          <w:szCs w:val="32"/>
          <w:highlight w:val="none"/>
          <w:lang w:val="en-US" w:eastAsia="zh-CN"/>
        </w:rPr>
        <w:t>经查，区交通运输委作为行业监管部门，一是区交通运输委</w:t>
      </w:r>
      <w:r>
        <w:rPr>
          <w:rFonts w:hint="default" w:ascii="Times New Roman" w:hAnsi="Times New Roman" w:eastAsia="方正仿宋_GBK" w:cs="Times New Roman"/>
          <w:sz w:val="32"/>
          <w:szCs w:val="32"/>
          <w:shd w:val="clear" w:color="auto" w:fill="auto"/>
        </w:rPr>
        <w:t>党委会</w:t>
      </w:r>
      <w:r>
        <w:rPr>
          <w:rFonts w:hint="eastAsia" w:ascii="Times New Roman" w:hAnsi="Times New Roman" w:eastAsia="方正仿宋_GBK" w:cs="Times New Roman"/>
          <w:sz w:val="32"/>
          <w:szCs w:val="32"/>
          <w:shd w:val="clear" w:color="auto" w:fill="auto"/>
          <w:lang w:eastAsia="zh-CN"/>
        </w:rPr>
        <w:t>组织学习了</w:t>
      </w:r>
      <w:r>
        <w:rPr>
          <w:rFonts w:hint="default" w:ascii="Times New Roman" w:hAnsi="Times New Roman" w:eastAsia="方正仿宋_GBK" w:cs="Times New Roman"/>
          <w:sz w:val="32"/>
          <w:szCs w:val="32"/>
          <w:shd w:val="clear" w:color="auto" w:fill="auto"/>
        </w:rPr>
        <w:t>安全生产的相关论述</w:t>
      </w:r>
      <w:r>
        <w:rPr>
          <w:rFonts w:hint="eastAsia"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shd w:val="clear" w:color="auto" w:fill="auto"/>
        </w:rPr>
        <w:t>次，研究安全生产相关议题</w:t>
      </w:r>
      <w:r>
        <w:rPr>
          <w:rFonts w:hint="eastAsia" w:ascii="Times New Roman" w:hAnsi="Times New Roman" w:eastAsia="方正仿宋_GBK" w:cs="Times New Roman"/>
          <w:sz w:val="32"/>
          <w:szCs w:val="32"/>
          <w:lang w:val="en-US" w:eastAsia="zh-CN"/>
        </w:rPr>
        <w:t>8</w:t>
      </w:r>
      <w:r>
        <w:rPr>
          <w:rFonts w:hint="default" w:ascii="Times New Roman" w:hAnsi="Times New Roman" w:eastAsia="方正仿宋_GBK" w:cs="Times New Roman"/>
          <w:sz w:val="32"/>
          <w:szCs w:val="32"/>
        </w:rPr>
        <w:t>次</w:t>
      </w:r>
      <w:r>
        <w:rPr>
          <w:rFonts w:hint="eastAsia" w:eastAsia="方正仿宋_GBK" w:cs="Times New Roman"/>
          <w:sz w:val="32"/>
          <w:szCs w:val="32"/>
          <w:lang w:eastAsia="zh-CN"/>
        </w:rPr>
        <w:t>，</w:t>
      </w:r>
      <w:r>
        <w:rPr>
          <w:rFonts w:hint="default" w:ascii="Times New Roman" w:hAnsi="Times New Roman" w:eastAsia="方正仿宋_GBK" w:cs="Times New Roman"/>
          <w:sz w:val="32"/>
          <w:szCs w:val="32"/>
        </w:rPr>
        <w:t>每月组织召开“</w:t>
      </w:r>
      <w:r>
        <w:rPr>
          <w:rFonts w:hint="default" w:ascii="Times New Roman" w:hAnsi="Times New Roman" w:eastAsia="方正仿宋_GBK" w:cs="Times New Roman"/>
          <w:sz w:val="32"/>
          <w:szCs w:val="32"/>
          <w:lang w:val="zh-TW" w:eastAsia="zh-CN"/>
        </w:rPr>
        <w:t>区交通运输委</w:t>
      </w:r>
      <w:r>
        <w:rPr>
          <w:rFonts w:hint="default" w:ascii="Times New Roman" w:hAnsi="Times New Roman" w:eastAsia="方正仿宋_GBK" w:cs="Times New Roman"/>
          <w:sz w:val="32"/>
          <w:szCs w:val="32"/>
          <w:lang w:val="zh-TW"/>
        </w:rPr>
        <w:t>安全生产委员会</w:t>
      </w:r>
      <w:r>
        <w:rPr>
          <w:rFonts w:hint="eastAsia" w:ascii="Times New Roman" w:hAnsi="Times New Roman" w:eastAsia="方正仿宋_GBK" w:cs="Times New Roman"/>
          <w:sz w:val="32"/>
          <w:szCs w:val="32"/>
          <w:lang w:val="zh-TW" w:eastAsia="zh-CN"/>
        </w:rPr>
        <w:t>例会</w:t>
      </w:r>
      <w:r>
        <w:rPr>
          <w:rFonts w:hint="default" w:ascii="Times New Roman" w:hAnsi="Times New Roman" w:eastAsia="方正仿宋_GBK" w:cs="Times New Roman"/>
          <w:sz w:val="32"/>
          <w:szCs w:val="32"/>
        </w:rPr>
        <w:t>”，每周组织召开工作督办会</w:t>
      </w:r>
      <w:r>
        <w:rPr>
          <w:rFonts w:hint="eastAsia" w:ascii="Times New Roman" w:hAnsi="Times New Roman" w:eastAsia="方正仿宋_GBK" w:cs="Times New Roman"/>
          <w:sz w:val="32"/>
          <w:szCs w:val="32"/>
          <w:lang w:eastAsia="zh-CN"/>
        </w:rPr>
        <w:t>。二是</w:t>
      </w:r>
      <w:r>
        <w:rPr>
          <w:rFonts w:hint="eastAsia" w:ascii="Times New Roman" w:hAnsi="Times New Roman" w:eastAsia="方正仿宋_GBK" w:cs="Times New Roman"/>
          <w:sz w:val="32"/>
          <w:szCs w:val="32"/>
          <w:lang w:val="en-US" w:eastAsia="zh-CN"/>
        </w:rPr>
        <w:t>建立了“</w:t>
      </w:r>
      <w:r>
        <w:rPr>
          <w:rFonts w:hint="default" w:ascii="Times New Roman" w:hAnsi="Times New Roman" w:eastAsia="方正仿宋_GBK" w:cs="Times New Roman"/>
          <w:sz w:val="32"/>
          <w:szCs w:val="32"/>
          <w:lang w:val="en-US" w:eastAsia="zh-CN"/>
        </w:rPr>
        <w:t>安全生产警示约谈和挂牌督办</w:t>
      </w:r>
      <w:r>
        <w:rPr>
          <w:rFonts w:hint="eastAsia" w:ascii="Times New Roman" w:hAnsi="Times New Roman" w:eastAsia="方正仿宋_GBK" w:cs="Times New Roman"/>
          <w:sz w:val="32"/>
          <w:szCs w:val="32"/>
          <w:lang w:val="en-US" w:eastAsia="zh-CN"/>
        </w:rPr>
        <w:t>”工作机制，进一步明确了开展行业警示、约谈和</w:t>
      </w:r>
      <w:r>
        <w:rPr>
          <w:rFonts w:hint="default" w:ascii="Times New Roman" w:hAnsi="Times New Roman" w:eastAsia="方正仿宋_GBK" w:cs="Times New Roman"/>
          <w:sz w:val="32"/>
          <w:szCs w:val="32"/>
          <w:lang w:val="en-US" w:eastAsia="zh-CN"/>
        </w:rPr>
        <w:t>挂牌督办</w:t>
      </w:r>
      <w:r>
        <w:rPr>
          <w:rFonts w:hint="eastAsia" w:ascii="Times New Roman" w:hAnsi="Times New Roman" w:eastAsia="方正仿宋_GBK" w:cs="Times New Roman"/>
          <w:sz w:val="32"/>
          <w:szCs w:val="32"/>
          <w:lang w:val="en-US" w:eastAsia="zh-CN"/>
        </w:rPr>
        <w:t>的具体标准、流程。三是</w:t>
      </w:r>
      <w:r>
        <w:rPr>
          <w:rFonts w:hint="eastAsia" w:ascii="Times New Roman" w:hAnsi="Times New Roman" w:eastAsia="方正仿宋_GBK" w:cs="Times New Roman"/>
          <w:snapToGrid w:val="0"/>
          <w:kern w:val="0"/>
          <w:sz w:val="32"/>
          <w:szCs w:val="32"/>
          <w:lang w:val="en-US" w:eastAsia="zh-CN"/>
        </w:rPr>
        <w:t>在率先贯通运行“渝运安”的基础上，逐步推进将网络预约出租车、重型货车纳入“渝运安”监管。四是每季度制定《安全生产与自然灾害防治帮扶指导方案》，明确不同时期指导重点，督促委相关科室、中心</w:t>
      </w:r>
      <w:r>
        <w:rPr>
          <w:rFonts w:hint="default" w:ascii="Times New Roman" w:hAnsi="Times New Roman" w:eastAsia="方正仿宋_GBK" w:cs="Times New Roman"/>
          <w:snapToGrid w:val="0"/>
          <w:kern w:val="0"/>
          <w:sz w:val="32"/>
          <w:szCs w:val="32"/>
          <w:lang w:val="en-US" w:eastAsia="zh-CN"/>
        </w:rPr>
        <w:t>结合</w:t>
      </w:r>
      <w:r>
        <w:rPr>
          <w:rFonts w:hint="eastAsia" w:ascii="Times New Roman" w:hAnsi="Times New Roman" w:eastAsia="方正仿宋_GBK" w:cs="Times New Roman"/>
          <w:snapToGrid w:val="0"/>
          <w:kern w:val="0"/>
          <w:sz w:val="32"/>
          <w:szCs w:val="32"/>
          <w:lang w:val="en-US" w:eastAsia="zh-CN"/>
        </w:rPr>
        <w:t>“</w:t>
      </w:r>
      <w:r>
        <w:rPr>
          <w:rFonts w:hint="default" w:ascii="Times New Roman" w:hAnsi="Times New Roman" w:eastAsia="方正仿宋_GBK" w:cs="Times New Roman"/>
          <w:snapToGrid w:val="0"/>
          <w:kern w:val="0"/>
          <w:sz w:val="32"/>
          <w:szCs w:val="32"/>
          <w:lang w:val="en-US" w:eastAsia="zh-CN"/>
        </w:rPr>
        <w:t>两会</w:t>
      </w:r>
      <w:r>
        <w:rPr>
          <w:rFonts w:hint="eastAsia" w:ascii="Times New Roman" w:hAnsi="Times New Roman" w:eastAsia="方正仿宋_GBK" w:cs="Times New Roman"/>
          <w:snapToGrid w:val="0"/>
          <w:kern w:val="0"/>
          <w:sz w:val="32"/>
          <w:szCs w:val="32"/>
          <w:lang w:val="en-US" w:eastAsia="zh-CN"/>
        </w:rPr>
        <w:t>”</w:t>
      </w:r>
      <w:r>
        <w:rPr>
          <w:rFonts w:hint="default" w:ascii="Times New Roman" w:hAnsi="Times New Roman" w:eastAsia="方正仿宋_GBK" w:cs="Times New Roman"/>
          <w:snapToGrid w:val="0"/>
          <w:kern w:val="0"/>
          <w:sz w:val="32"/>
          <w:szCs w:val="32"/>
          <w:lang w:val="en-US" w:eastAsia="zh-CN"/>
        </w:rPr>
        <w:t>、节假日、春运、极端天气等重点时段，紧紧抓住车站码头、客货运输企业、水上客运、施工现场等关键环节，全面开展隐患排查</w:t>
      </w:r>
      <w:r>
        <w:rPr>
          <w:rFonts w:hint="eastAsia" w:ascii="Times New Roman" w:hAnsi="Times New Roman" w:eastAsia="方正仿宋_GBK" w:cs="Times New Roman"/>
          <w:snapToGrid w:val="0"/>
          <w:kern w:val="0"/>
          <w:sz w:val="32"/>
          <w:szCs w:val="32"/>
          <w:lang w:val="en-US" w:eastAsia="zh-CN"/>
        </w:rPr>
        <w:t>治理。</w:t>
      </w:r>
      <w:r>
        <w:rPr>
          <w:rFonts w:hint="eastAsia" w:ascii="Times New Roman" w:hAnsi="Times New Roman" w:eastAsia="方正仿宋_GBK" w:cs="方正仿宋_GBK"/>
          <w:color w:val="000000"/>
          <w:sz w:val="32"/>
          <w:szCs w:val="32"/>
          <w:highlight w:val="none"/>
          <w:lang w:val="en-US" w:eastAsia="zh-CN"/>
        </w:rPr>
        <w:t>五是制定并落实了《关于印发2025年安全生产与自然灾害防治工作服务指导计划的通知》，对规下货运企业开展安全指导38次，2025年11月10日对重庆华冠混凝土有限公司进行了安全指导，对发现的问题隐患督促公司进行了整改。六是及时将各类事故警示通报、安全工作文件等传达至各相关企业，督促企业落实关于安全工作的安排部署。七是先后于2025年1月10日、2月26日、4月9日组织重庆华冠混凝土有限公司参加了行业安全工作会，部署了各项安全生产与自然灾害防治重点工作，通报了各类安全生产事故，督促企业进一步落实安全生产主体责任。八是每年组织辖区道路运输企业主要负责人、安全管理人员开展安全培训，进一步提升主要负责人、安全管理人员的安全生产履职能力。重庆华冠混凝土有限公司主要负责人、安全管理人员均已参加2025年的安全培训。未发现相关监管人员监管履职不到位的情况。</w:t>
      </w:r>
    </w:p>
    <w:p>
      <w:pPr>
        <w:keepNext w:val="0"/>
        <w:keepLines w:val="0"/>
        <w:pageBreakBefore w:val="0"/>
        <w:widowControl/>
        <w:kinsoku/>
        <w:wordWrap/>
        <w:overflowPunct/>
        <w:topLinePunct w:val="0"/>
        <w:autoSpaceDE/>
        <w:autoSpaceDN/>
        <w:bidi w:val="0"/>
        <w:adjustRightInd/>
        <w:snapToGrid w:val="0"/>
        <w:spacing w:line="560" w:lineRule="atLeast"/>
        <w:ind w:firstLine="640" w:firstLineChars="200"/>
        <w:jc w:val="both"/>
        <w:textAlignment w:val="auto"/>
        <w:rPr>
          <w:rFonts w:hint="eastAsia" w:ascii="Times New Roman" w:hAnsi="Times New Roman" w:eastAsia="方正仿宋_GBK" w:cs="方正仿宋_GBK"/>
          <w:color w:val="000000"/>
          <w:sz w:val="32"/>
          <w:szCs w:val="32"/>
          <w:highlight w:val="none"/>
          <w:lang w:val="en-US" w:eastAsia="zh-CN"/>
        </w:rPr>
      </w:pPr>
      <w:r>
        <w:rPr>
          <w:rFonts w:hint="eastAsia" w:ascii="Times New Roman" w:hAnsi="Times New Roman" w:eastAsia="方正仿宋_GBK" w:cs="方正仿宋_GBK"/>
          <w:color w:val="000000"/>
          <w:sz w:val="32"/>
          <w:szCs w:val="32"/>
          <w:highlight w:val="none"/>
          <w:lang w:val="en-US" w:eastAsia="zh-CN"/>
        </w:rPr>
        <w:t>经查，鱼嘴镇作为属地监管单位</w:t>
      </w:r>
      <w:r>
        <w:rPr>
          <w:rFonts w:hint="eastAsia" w:ascii="Times New Roman" w:hAnsi="Times New Roman" w:eastAsia="方正仿宋_GBK" w:cs="方正仿宋_GBK"/>
          <w:b w:val="0"/>
          <w:bCs w:val="0"/>
          <w:color w:val="000000"/>
          <w:sz w:val="32"/>
          <w:szCs w:val="32"/>
          <w:highlight w:val="none"/>
          <w:lang w:val="en-US" w:eastAsia="zh-CN"/>
        </w:rPr>
        <w:t>，</w:t>
      </w:r>
      <w:r>
        <w:rPr>
          <w:rFonts w:hint="eastAsia" w:ascii="Times New Roman" w:hAnsi="Times New Roman" w:eastAsia="方正仿宋_GBK" w:cs="方正仿宋_GBK"/>
          <w:color w:val="000000"/>
          <w:kern w:val="2"/>
          <w:sz w:val="32"/>
          <w:szCs w:val="32"/>
          <w:lang w:val="en-US" w:eastAsia="zh-CN" w:bidi="ar-SA"/>
        </w:rPr>
        <w:t>一是利用党委会、镇长办公会、中心组学习、安全（扩大）会议等契机，学习贯彻习近平总书记关于安全生产和自然灾害防治工作重要指示批示精神。2025年全年镇党委、政府主要领导每周过问安排安全工作，定期听取全镇安全生产与自然灾害防治情况工作汇报。党政领导干部组织召开安全相关会议183次，开展安全检查261次。二是开展消防安全、道路交通安全、一氧化碳中毒防范、防溺水、森林防火、防灾减灾、安全生产月、12350有奖举报等各类宣传活动30余次，发放宣传资料9000余份。三是组织“6+5”支力量开展联合执法检查和“交安”行动，共计检查各类车辆1950辆，纠正交通违法行为403件，重点开展了摩托车电动车超员、不带安全头盔，网约车驾驶人员不系安全带等专项整治工作。1-11月共排查各类道路交通安全隐患14处，其中涉及园区道路隐患8处，农村道路隐患6处，现已全部完成治理。四是实地更新重庆市农村交通安全管理信息系统台账，录入辖区摩托车电动车相关数据62台次，道路交通违法行为处罚信息125条。五是联合交巡警、执法大队、消防中队开展了消防通道违停专项整治工作，处罚违停车辆561余台次，罚款金额为11.22万元。</w:t>
      </w:r>
      <w:r>
        <w:rPr>
          <w:rFonts w:hint="eastAsia" w:ascii="Times New Roman" w:hAnsi="Times New Roman" w:eastAsia="方正仿宋_GBK" w:cs="方正仿宋_GBK"/>
          <w:color w:val="000000"/>
          <w:sz w:val="32"/>
          <w:szCs w:val="32"/>
          <w:highlight w:val="none"/>
          <w:lang w:val="en-US" w:eastAsia="zh-CN"/>
        </w:rPr>
        <w:t>未发现相关监管人员监管履职不到位的情况。</w:t>
      </w:r>
    </w:p>
    <w:p>
      <w:pPr>
        <w:keepNext w:val="0"/>
        <w:keepLines w:val="0"/>
        <w:pageBreakBefore w:val="0"/>
        <w:tabs>
          <w:tab w:val="left" w:pos="1440"/>
        </w:tabs>
        <w:kinsoku/>
        <w:wordWrap/>
        <w:overflowPunct/>
        <w:topLinePunct w:val="0"/>
        <w:autoSpaceDE/>
        <w:autoSpaceDN/>
        <w:bidi w:val="0"/>
        <w:adjustRightInd/>
        <w:snapToGrid w:val="0"/>
        <w:spacing w:line="560" w:lineRule="atLeast"/>
        <w:ind w:firstLine="640" w:firstLineChars="200"/>
        <w:jc w:val="both"/>
        <w:textAlignment w:val="auto"/>
        <w:rPr>
          <w:rFonts w:hint="eastAsia" w:ascii="黑体" w:hAnsi="Times New Roman" w:eastAsia="黑体" w:cs="Times New Roman"/>
          <w:b w:val="0"/>
          <w:bCs/>
          <w:sz w:val="32"/>
          <w:szCs w:val="32"/>
          <w:highlight w:val="none"/>
        </w:rPr>
      </w:pPr>
      <w:r>
        <w:rPr>
          <w:rFonts w:hint="eastAsia" w:ascii="黑体" w:hAnsi="Times New Roman" w:eastAsia="黑体" w:cs="Times New Roman"/>
          <w:b w:val="0"/>
          <w:bCs/>
          <w:sz w:val="32"/>
          <w:szCs w:val="32"/>
          <w:highlight w:val="none"/>
        </w:rPr>
        <w:t>五、事故防范措施意见</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eastAsia" w:ascii="Times New Roman" w:hAnsi="Times New Roman" w:eastAsia="方正仿宋_GBK" w:cs="方正仿宋_GBK"/>
          <w:color w:val="000000"/>
          <w:sz w:val="32"/>
          <w:szCs w:val="32"/>
          <w:highlight w:val="none"/>
          <w:lang w:val="en-US" w:eastAsia="zh-CN"/>
        </w:rPr>
      </w:pPr>
      <w:r>
        <w:rPr>
          <w:rFonts w:hint="eastAsia" w:ascii="Times New Roman" w:hAnsi="Times New Roman" w:eastAsia="方正仿宋_GBK" w:cs="方正仿宋_GBK"/>
          <w:color w:val="000000"/>
          <w:sz w:val="32"/>
          <w:szCs w:val="32"/>
          <w:highlight w:val="none"/>
          <w:lang w:val="en-US" w:eastAsia="zh-CN"/>
        </w:rPr>
        <w:t>为了避免和预防类似事故再次发生，在以后的工作中，上述事故相关单位应从以下方面采取预防措施：</w:t>
      </w:r>
    </w:p>
    <w:p>
      <w:pPr>
        <w:keepNext w:val="0"/>
        <w:keepLines w:val="0"/>
        <w:pageBreakBefore w:val="0"/>
        <w:widowControl w:val="0"/>
        <w:kinsoku/>
        <w:wordWrap/>
        <w:overflowPunct/>
        <w:topLinePunct w:val="0"/>
        <w:autoSpaceDE/>
        <w:autoSpaceDN/>
        <w:bidi w:val="0"/>
        <w:adjustRightInd/>
        <w:snapToGrid w:val="0"/>
        <w:spacing w:line="560" w:lineRule="atLeast"/>
        <w:ind w:firstLine="642" w:firstLineChars="200"/>
        <w:jc w:val="left"/>
        <w:textAlignment w:val="auto"/>
        <w:rPr>
          <w:rFonts w:hint="eastAsia" w:ascii="Times New Roman" w:hAnsi="Times New Roman" w:eastAsia="方正仿宋_GBK" w:cs="方正仿宋_GBK"/>
          <w:color w:val="000000"/>
          <w:sz w:val="32"/>
          <w:szCs w:val="32"/>
          <w:highlight w:val="none"/>
          <w:lang w:val="en-US" w:eastAsia="zh-CN"/>
        </w:rPr>
      </w:pPr>
      <w:r>
        <w:rPr>
          <w:rFonts w:hint="eastAsia" w:ascii="楷体_GB2312" w:hAnsi="楷体_GB2312" w:eastAsia="楷体_GB2312" w:cs="楷体_GB2312"/>
          <w:b/>
          <w:bCs/>
          <w:kern w:val="2"/>
          <w:sz w:val="32"/>
          <w:szCs w:val="32"/>
          <w:highlight w:val="none"/>
          <w:lang w:val="en-US" w:eastAsia="zh-CN" w:bidi="ar-SA"/>
        </w:rPr>
        <w:t>（一）</w:t>
      </w:r>
      <w:r>
        <w:rPr>
          <w:rFonts w:hint="eastAsia" w:ascii="楷体_GB2312" w:hAnsi="楷体_GB2312" w:eastAsia="楷体_GB2312" w:cs="楷体_GB2312"/>
          <w:b/>
          <w:bCs/>
          <w:sz w:val="32"/>
          <w:szCs w:val="32"/>
          <w:highlight w:val="none"/>
          <w:lang w:eastAsia="zh-CN"/>
        </w:rPr>
        <w:t>重庆华冠混凝土有限公司</w:t>
      </w:r>
      <w:r>
        <w:rPr>
          <w:rFonts w:hint="eastAsia" w:ascii="楷体_GB2312" w:hAnsi="楷体_GB2312" w:eastAsia="楷体_GB2312" w:cs="楷体_GB2312"/>
          <w:b/>
          <w:bCs/>
          <w:kern w:val="2"/>
          <w:sz w:val="32"/>
          <w:szCs w:val="32"/>
          <w:highlight w:val="none"/>
          <w:lang w:val="en-US" w:eastAsia="zh-CN" w:bidi="ar-SA"/>
        </w:rPr>
        <w:t>，</w:t>
      </w:r>
      <w:r>
        <w:rPr>
          <w:rFonts w:hint="eastAsia" w:ascii="Times New Roman" w:hAnsi="Times New Roman" w:eastAsia="方正仿宋_GBK" w:cs="方正仿宋_GBK"/>
          <w:color w:val="000000"/>
          <w:sz w:val="32"/>
          <w:szCs w:val="32"/>
          <w:highlight w:val="none"/>
          <w:lang w:val="en-US" w:eastAsia="zh-CN"/>
        </w:rPr>
        <w:t>一是要严格按照《中华人民共和国道路交通安全法》等相关法律法规，进一步完善安全生产管理制度，切实加强驾驶人员的安全教育培训，严格检查运营车辆安全状况。二是要加大安全管理工作力度，加强隐患排查，及时发现和纠正驾驶员的各类违法、违规行为以及车辆存在的安全隐患，确保安全营运。</w:t>
      </w:r>
    </w:p>
    <w:p>
      <w:pPr>
        <w:keepNext w:val="0"/>
        <w:keepLines w:val="0"/>
        <w:pageBreakBefore w:val="0"/>
        <w:widowControl w:val="0"/>
        <w:kinsoku/>
        <w:wordWrap/>
        <w:overflowPunct/>
        <w:topLinePunct w:val="0"/>
        <w:autoSpaceDE/>
        <w:autoSpaceDN/>
        <w:bidi w:val="0"/>
        <w:adjustRightInd/>
        <w:snapToGrid w:val="0"/>
        <w:spacing w:line="560" w:lineRule="atLeast"/>
        <w:ind w:firstLine="642" w:firstLineChars="200"/>
        <w:jc w:val="left"/>
        <w:textAlignment w:val="auto"/>
        <w:rPr>
          <w:rFonts w:hint="eastAsia" w:ascii="Times New Roman" w:hAnsi="Times New Roman" w:eastAsia="方正仿宋_GBK" w:cs="方正仿宋_GBK"/>
          <w:color w:val="000000"/>
          <w:sz w:val="32"/>
          <w:szCs w:val="32"/>
          <w:highlight w:val="yellow"/>
          <w:lang w:val="en-US" w:eastAsia="zh-CN"/>
        </w:rPr>
      </w:pPr>
      <w:r>
        <w:rPr>
          <w:rFonts w:hint="eastAsia" w:ascii="楷体_GB2312" w:hAnsi="楷体_GB2312" w:eastAsia="楷体_GB2312" w:cs="楷体_GB2312"/>
          <w:b/>
          <w:bCs/>
          <w:kern w:val="2"/>
          <w:sz w:val="32"/>
          <w:szCs w:val="32"/>
          <w:highlight w:val="none"/>
          <w:lang w:val="en-US" w:eastAsia="zh-CN" w:bidi="ar-SA"/>
        </w:rPr>
        <w:t>（二）区交通运输委，</w:t>
      </w:r>
      <w:r>
        <w:rPr>
          <w:rFonts w:hint="eastAsia" w:ascii="Times New Roman" w:hAnsi="Times New Roman" w:eastAsia="方正仿宋_GBK" w:cs="方正仿宋_GBK"/>
          <w:color w:val="000000"/>
          <w:sz w:val="32"/>
          <w:szCs w:val="32"/>
          <w:highlight w:val="none"/>
          <w:lang w:val="en-US" w:eastAsia="zh-CN"/>
        </w:rPr>
        <w:t>要进一步强化源头监管力度，督促相关企业认真落实安全生产主体责任，避免事故发生。</w:t>
      </w:r>
    </w:p>
    <w:p>
      <w:pPr>
        <w:keepNext w:val="0"/>
        <w:keepLines w:val="0"/>
        <w:pageBreakBefore w:val="0"/>
        <w:widowControl w:val="0"/>
        <w:kinsoku/>
        <w:wordWrap/>
        <w:overflowPunct/>
        <w:topLinePunct w:val="0"/>
        <w:autoSpaceDE/>
        <w:autoSpaceDN/>
        <w:bidi w:val="0"/>
        <w:adjustRightInd/>
        <w:snapToGrid w:val="0"/>
        <w:spacing w:line="560" w:lineRule="atLeast"/>
        <w:ind w:firstLine="642" w:firstLineChars="200"/>
        <w:jc w:val="left"/>
        <w:textAlignment w:val="auto"/>
        <w:rPr>
          <w:rFonts w:hint="eastAsia" w:ascii="Times New Roman" w:hAnsi="Times New Roman" w:eastAsia="方正仿宋_GBK" w:cs="方正仿宋_GBK"/>
          <w:color w:val="000000"/>
          <w:sz w:val="32"/>
          <w:szCs w:val="32"/>
          <w:highlight w:val="yellow"/>
          <w:lang w:val="en-US" w:eastAsia="zh-CN"/>
        </w:rPr>
      </w:pPr>
      <w:r>
        <w:rPr>
          <w:rFonts w:hint="eastAsia" w:ascii="楷体_GB2312" w:hAnsi="楷体_GB2312" w:eastAsia="楷体_GB2312" w:cs="楷体_GB2312"/>
          <w:b/>
          <w:bCs/>
          <w:kern w:val="2"/>
          <w:sz w:val="32"/>
          <w:szCs w:val="32"/>
          <w:highlight w:val="none"/>
          <w:lang w:val="en-US" w:eastAsia="zh-CN" w:bidi="ar-SA"/>
        </w:rPr>
        <w:t>（三）鱼嘴镇，</w:t>
      </w:r>
      <w:r>
        <w:rPr>
          <w:rFonts w:hint="eastAsia" w:ascii="Times New Roman" w:hAnsi="Times New Roman" w:eastAsia="方正仿宋_GBK" w:cs="方正仿宋_GBK"/>
          <w:color w:val="000000"/>
          <w:kern w:val="2"/>
          <w:sz w:val="32"/>
          <w:szCs w:val="32"/>
          <w:lang w:val="en-US" w:eastAsia="zh-CN" w:bidi="ar-SA"/>
        </w:rPr>
        <w:t>要进一步加强交通安全宣传力度，制定有针对性的监督检查措施，及时发现和纠正各类交通安全违法、违规行为，避免事故发生。</w:t>
      </w:r>
    </w:p>
    <w:p>
      <w:pPr>
        <w:keepNext w:val="0"/>
        <w:keepLines w:val="0"/>
        <w:pageBreakBefore w:val="0"/>
        <w:widowControl w:val="0"/>
        <w:kinsoku/>
        <w:wordWrap/>
        <w:overflowPunct/>
        <w:topLinePunct w:val="0"/>
        <w:autoSpaceDE/>
        <w:autoSpaceDN/>
        <w:bidi w:val="0"/>
        <w:adjustRightInd/>
        <w:snapToGrid w:val="0"/>
        <w:spacing w:line="560" w:lineRule="atLeast"/>
        <w:jc w:val="left"/>
        <w:textAlignment w:val="auto"/>
        <w:rPr>
          <w:rFonts w:hint="eastAsia" w:ascii="Times New Roman" w:hAnsi="Times New Roman" w:eastAsia="方正仿宋_GBK" w:cs="方正仿宋_GBK"/>
          <w:color w:val="000000"/>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60" w:lineRule="atLeast"/>
        <w:ind w:firstLine="3520" w:firstLineChars="1100"/>
        <w:jc w:val="left"/>
        <w:textAlignment w:val="auto"/>
        <w:rPr>
          <w:rFonts w:hint="eastAsia" w:ascii="Times New Roman" w:hAnsi="Times New Roman" w:eastAsia="方正仿宋_GBK" w:cs="方正仿宋_GBK"/>
          <w:color w:val="000000"/>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60" w:lineRule="atLeast"/>
        <w:jc w:val="right"/>
        <w:textAlignment w:val="auto"/>
        <w:rPr>
          <w:rFonts w:hint="eastAsia" w:ascii="Times New Roman" w:hAnsi="Times New Roman" w:eastAsia="方正仿宋_GBK" w:cs="方正仿宋_GBK"/>
          <w:color w:val="000000"/>
          <w:sz w:val="32"/>
          <w:szCs w:val="32"/>
          <w:highlight w:val="none"/>
          <w:lang w:val="en-US" w:eastAsia="zh-CN"/>
        </w:rPr>
      </w:pPr>
      <w:r>
        <w:rPr>
          <w:rFonts w:hint="eastAsia" w:ascii="Times New Roman" w:hAnsi="Times New Roman" w:eastAsia="方正仿宋_GBK" w:cs="方正仿宋_GBK"/>
          <w:color w:val="000000"/>
          <w:sz w:val="32"/>
          <w:szCs w:val="32"/>
          <w:highlight w:val="none"/>
          <w:lang w:val="en-US" w:eastAsia="zh-CN"/>
        </w:rPr>
        <w:t>两江新区鱼嘴“11·25”一般道路交通事故调查组</w:t>
      </w:r>
    </w:p>
    <w:p>
      <w:pPr>
        <w:keepNext w:val="0"/>
        <w:keepLines w:val="0"/>
        <w:pageBreakBefore w:val="0"/>
        <w:tabs>
          <w:tab w:val="left" w:pos="1440"/>
        </w:tabs>
        <w:kinsoku/>
        <w:wordWrap/>
        <w:overflowPunct/>
        <w:topLinePunct w:val="0"/>
        <w:autoSpaceDE/>
        <w:autoSpaceDN/>
        <w:bidi w:val="0"/>
        <w:adjustRightInd/>
        <w:snapToGrid w:val="0"/>
        <w:spacing w:line="560" w:lineRule="atLeast"/>
        <w:ind w:firstLine="640" w:firstLineChars="200"/>
        <w:jc w:val="center"/>
        <w:textAlignment w:val="auto"/>
        <w:rPr>
          <w:rFonts w:hint="eastAsia" w:ascii="Times New Roman" w:hAnsi="Times New Roman" w:eastAsia="方正仿宋_GBK" w:cs="方正仿宋_GBK"/>
          <w:color w:val="000000"/>
          <w:sz w:val="32"/>
          <w:szCs w:val="32"/>
          <w:highlight w:val="none"/>
          <w:lang w:val="en-US" w:eastAsia="zh-CN"/>
        </w:rPr>
      </w:pPr>
      <w:r>
        <w:rPr>
          <w:rFonts w:hint="eastAsia" w:ascii="Times New Roman" w:hAnsi="Times New Roman" w:eastAsia="方正仿宋_GBK" w:cs="方正仿宋_GBK"/>
          <w:color w:val="000000"/>
          <w:sz w:val="32"/>
          <w:szCs w:val="32"/>
          <w:highlight w:val="none"/>
          <w:lang w:val="en-US" w:eastAsia="zh-CN"/>
        </w:rPr>
        <w:t xml:space="preserve">                    2026年3月24日</w:t>
      </w:r>
    </w:p>
    <w:p>
      <w:pPr>
        <w:tabs>
          <w:tab w:val="left" w:pos="638"/>
        </w:tabs>
        <w:bidi w:val="0"/>
        <w:jc w:val="left"/>
        <w:rPr>
          <w:lang w:val="en-US" w:eastAsia="zh-CN"/>
        </w:rPr>
      </w:pPr>
      <w:bookmarkStart w:id="0" w:name="_GoBack"/>
      <w:bookmarkEnd w:id="0"/>
    </w:p>
    <w:sectPr>
      <w:footerReference r:id="rId5" w:type="default"/>
      <w:pgSz w:w="11906" w:h="16838"/>
      <w:pgMar w:top="2098" w:right="1474" w:bottom="1985" w:left="1588"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等线">
    <w:altName w:val="华文中宋"/>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等线 Light">
    <w:altName w:val="华文中宋"/>
    <w:panose1 w:val="02010600030101010101"/>
    <w:charset w:val="86"/>
    <w:family w:val="auto"/>
    <w:pitch w:val="default"/>
    <w:sig w:usb0="00000000" w:usb1="00000000" w:usb2="00000016" w:usb3="00000000" w:csb0="0004000F"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CESI宋体-GB2312">
    <w:panose1 w:val="02000500000000000000"/>
    <w:charset w:val="86"/>
    <w:family w:val="auto"/>
    <w:pitch w:val="default"/>
    <w:sig w:usb0="800002AF" w:usb1="08476CF8" w:usb2="00000010" w:usb3="00000000" w:csb0="0004000F" w:csb1="00000000"/>
  </w:font>
  <w:font w:name="等线">
    <w:altName w:val="仿宋_GB2312"/>
    <w:panose1 w:val="00000000000000000000"/>
    <w:charset w:val="00"/>
    <w:family w:val="auto"/>
    <w:pitch w:val="default"/>
    <w:sig w:usb0="00000000" w:usb1="00000000" w:usb2="00000000" w:usb3="00000000" w:csb0="00000000" w:csb1="00000000"/>
  </w:font>
  <w:font w:name="等线 Light">
    <w:altName w:val="仿宋_GB2312"/>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rPr>
        <w:rFonts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9Dt23LAIAAFUEAAAOAAAAZHJz&#10;L2Uyb0RvYy54bWytVM2O0zAQviPxDpbvNGkrVl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6Zv&#10;0/bC1QNwqZEjkugeG63Q7Jue2d7kZxBzpusMb/mmQvIt8+GBObQCHoxhCfdYCmmQxPQWJaVxX/91&#10;HuNRIXgpqdFaGdWYJErkB43KATAMhhuM/WDoo7oz6NUxhtDy1sQFF+RgFs6oL5igVcwBF9McmTIa&#10;BvMudO2NCeRitWqD0GuWha3eWR6ho3jero4BAra6RlE6JXqt0G1tZfrJiO38576NevobLB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FgAA&#10;AGRycy9QSwECFAAUAAAACACHTuJAs0lY7tAAAAAFAQAADwAAAAAAAAABACAAAAA4AAAAZHJzL2Rv&#10;d25yZXYueG1sUEsBAhQAFAAAAAgAh07iQL0O3bcsAgAAVQQAAA4AAAAAAAAAAQAgAAAANQEAAGRy&#10;cy9lMm9Eb2MueG1sUEsFBgAAAAAGAAYAWQEAANMFAAAAAA==&#10;">
              <v:fill on="f" focussize="0,0"/>
              <v:stroke on="f" weight="0.5pt"/>
              <v:imagedata o:title=""/>
              <o:lock v:ext="edit" aspectratio="f"/>
              <v:textbox inset="0mm,0mm,0mm,0mm" style="mso-fit-shape-to-text:t;">
                <w:txbxContent>
                  <w:p>
                    <w:pPr>
                      <w:pStyle w:val="6"/>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4 -</w:t>
    </w:r>
    <w:r>
      <w:rPr>
        <w:rFonts w:ascii="宋体" w:hAnsi="宋体"/>
        <w:sz w:val="28"/>
        <w:szCs w:val="2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rPr>
        <w:rFonts w:ascii="宋体" w:hAnsi="宋体"/>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kgka0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&#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JIJGtDECAABhBAAADgAAAAAAAAABACAAAAA1&#10;AQAAZHJzL2Uyb0RvYy54bWxQSwUGAAAAAAYABgBZAQAA2AUAAAAA&#10;">
              <v:fill on="f" focussize="0,0"/>
              <v:stroke on="f" weight="0.5pt"/>
              <v:imagedata o:title=""/>
              <o:lock v:ext="edit" aspectratio="f"/>
              <v:textbox inset="0mm,0mm,0mm,0mm" style="mso-fit-shape-to-text:t;">
                <w:txbxContent>
                  <w:p>
                    <w:pPr>
                      <w:pStyle w:val="6"/>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p>
                </w:txbxContent>
              </v:textbox>
            </v:shape>
          </w:pict>
        </mc:Fallback>
      </mc:AlternateContent>
    </w:r>
    <w:r>
      <w:rPr>
        <w:sz w:val="2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M1w58KgIAAFU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gizZlnY6p3lEToq5u3qGCBgp2sUpVdi0ArT1nVmeBlxnP/cd1GPf4Pl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BYAAABk&#10;cnMvUEsBAhQAFAAAAAgAh07iQLNJWO7QAAAABQEAAA8AAAAAAAAAAQAgAAAAOAAAAGRycy9kb3du&#10;cmV2LnhtbFBLAQIUABQAAAAIAIdO4kCM1w58KgIAAFUEAAAOAAAAAAAAAAEAIAAAADUBAABkcnMv&#10;ZTJvRG9jLnhtbFBLBQYAAAAABgAGAFkBAADRBQAAAAA=&#10;">
              <v:fill on="f" focussize="0,0"/>
              <v:stroke on="f" weight="0.5pt"/>
              <v:imagedata o:title=""/>
              <o:lock v:ext="edit" aspectratio="f"/>
              <v:textbox inset="0mm,0mm,0mm,0mm" style="mso-fit-shape-to-text:t;">
                <w:txbxContent>
                  <w:p>
                    <w:pPr>
                      <w:pStyle w:val="6"/>
                    </w:pP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BEAEAD1"/>
    <w:multiLevelType w:val="singleLevel"/>
    <w:tmpl w:val="7BEAEAD1"/>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7912"/>
    <w:rsid w:val="0014332B"/>
    <w:rsid w:val="0020689B"/>
    <w:rsid w:val="00277A3F"/>
    <w:rsid w:val="00377666"/>
    <w:rsid w:val="004057C6"/>
    <w:rsid w:val="008A3665"/>
    <w:rsid w:val="008B1362"/>
    <w:rsid w:val="00B551F2"/>
    <w:rsid w:val="00CF7912"/>
    <w:rsid w:val="00E4500B"/>
    <w:rsid w:val="00EE3376"/>
    <w:rsid w:val="00F6392B"/>
    <w:rsid w:val="00F64DF4"/>
    <w:rsid w:val="02727BA6"/>
    <w:rsid w:val="03DB4E5F"/>
    <w:rsid w:val="047D34C5"/>
    <w:rsid w:val="05E000FC"/>
    <w:rsid w:val="06844721"/>
    <w:rsid w:val="077211C3"/>
    <w:rsid w:val="07EC0192"/>
    <w:rsid w:val="098D32EE"/>
    <w:rsid w:val="09A80FE4"/>
    <w:rsid w:val="0A0F60CA"/>
    <w:rsid w:val="0B8F0C83"/>
    <w:rsid w:val="0D0236EB"/>
    <w:rsid w:val="0D5B4A77"/>
    <w:rsid w:val="0FA774C1"/>
    <w:rsid w:val="0FFA5660"/>
    <w:rsid w:val="114217E4"/>
    <w:rsid w:val="11BF5835"/>
    <w:rsid w:val="1288610B"/>
    <w:rsid w:val="14622FC1"/>
    <w:rsid w:val="15973DF7"/>
    <w:rsid w:val="15FC658E"/>
    <w:rsid w:val="160B7230"/>
    <w:rsid w:val="1740037B"/>
    <w:rsid w:val="175F10C5"/>
    <w:rsid w:val="176945E2"/>
    <w:rsid w:val="1788491D"/>
    <w:rsid w:val="17FD1D4B"/>
    <w:rsid w:val="17FD6CA6"/>
    <w:rsid w:val="18495EC1"/>
    <w:rsid w:val="190D119D"/>
    <w:rsid w:val="19827DE5"/>
    <w:rsid w:val="1A6B2FA1"/>
    <w:rsid w:val="1A9A08B1"/>
    <w:rsid w:val="1D52388F"/>
    <w:rsid w:val="1DF66715"/>
    <w:rsid w:val="1DFF9684"/>
    <w:rsid w:val="1EBF67A7"/>
    <w:rsid w:val="1EF2FEC6"/>
    <w:rsid w:val="1F1AF1AB"/>
    <w:rsid w:val="1F2C5185"/>
    <w:rsid w:val="1F7B4C97"/>
    <w:rsid w:val="1F7E4521"/>
    <w:rsid w:val="208A35F3"/>
    <w:rsid w:val="223A6CD2"/>
    <w:rsid w:val="239375E1"/>
    <w:rsid w:val="26BB353B"/>
    <w:rsid w:val="289C5AAF"/>
    <w:rsid w:val="2A8F3401"/>
    <w:rsid w:val="2BB792FE"/>
    <w:rsid w:val="2BFD0909"/>
    <w:rsid w:val="2C1A4C9F"/>
    <w:rsid w:val="2D170A86"/>
    <w:rsid w:val="2D2D0CAE"/>
    <w:rsid w:val="2E215073"/>
    <w:rsid w:val="2E37C721"/>
    <w:rsid w:val="2E521500"/>
    <w:rsid w:val="2EFAF8FE"/>
    <w:rsid w:val="2F314DE1"/>
    <w:rsid w:val="2FBF8693"/>
    <w:rsid w:val="2FDFE1AB"/>
    <w:rsid w:val="2FEF9DFD"/>
    <w:rsid w:val="2FF9931C"/>
    <w:rsid w:val="327B7B22"/>
    <w:rsid w:val="32E34D98"/>
    <w:rsid w:val="32EA3BB0"/>
    <w:rsid w:val="33BFB3FD"/>
    <w:rsid w:val="33C9325C"/>
    <w:rsid w:val="34063B13"/>
    <w:rsid w:val="34F7D915"/>
    <w:rsid w:val="353765BE"/>
    <w:rsid w:val="356C45C3"/>
    <w:rsid w:val="35FB79B6"/>
    <w:rsid w:val="368D5FC2"/>
    <w:rsid w:val="37166ADF"/>
    <w:rsid w:val="377E0AA8"/>
    <w:rsid w:val="37B86C4F"/>
    <w:rsid w:val="37BBC12E"/>
    <w:rsid w:val="393BB54C"/>
    <w:rsid w:val="39BB098B"/>
    <w:rsid w:val="39FB124D"/>
    <w:rsid w:val="3A6EDADC"/>
    <w:rsid w:val="3ABF1F3A"/>
    <w:rsid w:val="3AD76819"/>
    <w:rsid w:val="3B543BE4"/>
    <w:rsid w:val="3B6554B5"/>
    <w:rsid w:val="3B710987"/>
    <w:rsid w:val="3BCF734C"/>
    <w:rsid w:val="3BFF0DB4"/>
    <w:rsid w:val="3C7262ED"/>
    <w:rsid w:val="3CFF4E95"/>
    <w:rsid w:val="3D696857"/>
    <w:rsid w:val="3DFD56D7"/>
    <w:rsid w:val="3DFD8430"/>
    <w:rsid w:val="3EBF42D5"/>
    <w:rsid w:val="3EDB0437"/>
    <w:rsid w:val="3EF5BBD6"/>
    <w:rsid w:val="3F7E135B"/>
    <w:rsid w:val="3FDBD878"/>
    <w:rsid w:val="3FDDF013"/>
    <w:rsid w:val="3FDF2DC5"/>
    <w:rsid w:val="3FE6BB8F"/>
    <w:rsid w:val="3FEB1CAD"/>
    <w:rsid w:val="402B7E4E"/>
    <w:rsid w:val="405922D7"/>
    <w:rsid w:val="415610EC"/>
    <w:rsid w:val="41EB0337"/>
    <w:rsid w:val="43BFC81F"/>
    <w:rsid w:val="45A55D4D"/>
    <w:rsid w:val="45FCC6E2"/>
    <w:rsid w:val="46532F68"/>
    <w:rsid w:val="46696398"/>
    <w:rsid w:val="46712740"/>
    <w:rsid w:val="46C73B51"/>
    <w:rsid w:val="4B725B1E"/>
    <w:rsid w:val="4D181EB3"/>
    <w:rsid w:val="4EA73F9E"/>
    <w:rsid w:val="4EDFAF9C"/>
    <w:rsid w:val="4F7761F7"/>
    <w:rsid w:val="4FB1EBEB"/>
    <w:rsid w:val="50640BF4"/>
    <w:rsid w:val="517792F8"/>
    <w:rsid w:val="53634DA2"/>
    <w:rsid w:val="53F72289"/>
    <w:rsid w:val="557F4B25"/>
    <w:rsid w:val="56D50752"/>
    <w:rsid w:val="57804E91"/>
    <w:rsid w:val="57FB5962"/>
    <w:rsid w:val="57FD76D0"/>
    <w:rsid w:val="5875677A"/>
    <w:rsid w:val="58A000AB"/>
    <w:rsid w:val="58C70199"/>
    <w:rsid w:val="59FCCB49"/>
    <w:rsid w:val="59FFA70A"/>
    <w:rsid w:val="5A471AD6"/>
    <w:rsid w:val="5AFE46D5"/>
    <w:rsid w:val="5B2FD98C"/>
    <w:rsid w:val="5B571896"/>
    <w:rsid w:val="5B8646B4"/>
    <w:rsid w:val="5BDB102A"/>
    <w:rsid w:val="5BDB5653"/>
    <w:rsid w:val="5BF56412"/>
    <w:rsid w:val="5BFFE21B"/>
    <w:rsid w:val="5C0D5892"/>
    <w:rsid w:val="5D7FB8DE"/>
    <w:rsid w:val="5DA424B0"/>
    <w:rsid w:val="5DFB7905"/>
    <w:rsid w:val="5DFFF86E"/>
    <w:rsid w:val="5E390325"/>
    <w:rsid w:val="5E953F02"/>
    <w:rsid w:val="5EBD046F"/>
    <w:rsid w:val="5F9A1346"/>
    <w:rsid w:val="5FB738AD"/>
    <w:rsid w:val="5FBDD13D"/>
    <w:rsid w:val="5FBF909E"/>
    <w:rsid w:val="5FF607B4"/>
    <w:rsid w:val="5FF7C8BE"/>
    <w:rsid w:val="5FFFC5BF"/>
    <w:rsid w:val="60924A0D"/>
    <w:rsid w:val="617B3D7A"/>
    <w:rsid w:val="619306EF"/>
    <w:rsid w:val="61FC1BA6"/>
    <w:rsid w:val="6437290E"/>
    <w:rsid w:val="64A02A30"/>
    <w:rsid w:val="64AD4EF5"/>
    <w:rsid w:val="65CE0600"/>
    <w:rsid w:val="65F795B0"/>
    <w:rsid w:val="65FFF504"/>
    <w:rsid w:val="666B4678"/>
    <w:rsid w:val="66FF057E"/>
    <w:rsid w:val="673FCC31"/>
    <w:rsid w:val="678F8125"/>
    <w:rsid w:val="67BD44B3"/>
    <w:rsid w:val="67F9F4AC"/>
    <w:rsid w:val="687D1F4A"/>
    <w:rsid w:val="68C90287"/>
    <w:rsid w:val="69791297"/>
    <w:rsid w:val="6A27402F"/>
    <w:rsid w:val="6A6FDB9A"/>
    <w:rsid w:val="6A7A76F4"/>
    <w:rsid w:val="6ABA5CB7"/>
    <w:rsid w:val="6ABC577D"/>
    <w:rsid w:val="6B233BC7"/>
    <w:rsid w:val="6BA042A4"/>
    <w:rsid w:val="6BFCC17E"/>
    <w:rsid w:val="6C6973EC"/>
    <w:rsid w:val="6C931138"/>
    <w:rsid w:val="6CB24900"/>
    <w:rsid w:val="6CDF3869"/>
    <w:rsid w:val="6CE6E2DB"/>
    <w:rsid w:val="6DF896CE"/>
    <w:rsid w:val="6DFCD33B"/>
    <w:rsid w:val="6EBFE0DF"/>
    <w:rsid w:val="6ECF0694"/>
    <w:rsid w:val="6EE71536"/>
    <w:rsid w:val="6EFDA185"/>
    <w:rsid w:val="6F5FB218"/>
    <w:rsid w:val="6FBFF7FA"/>
    <w:rsid w:val="6FCF411E"/>
    <w:rsid w:val="6FEF1991"/>
    <w:rsid w:val="6FEF7BD7"/>
    <w:rsid w:val="6FFD302B"/>
    <w:rsid w:val="6FFF45DC"/>
    <w:rsid w:val="7393582A"/>
    <w:rsid w:val="73AEF035"/>
    <w:rsid w:val="73B5D11E"/>
    <w:rsid w:val="73EF42E8"/>
    <w:rsid w:val="741A54B2"/>
    <w:rsid w:val="74DE0746"/>
    <w:rsid w:val="74FEDE13"/>
    <w:rsid w:val="757F0A77"/>
    <w:rsid w:val="75D774DD"/>
    <w:rsid w:val="75EB296E"/>
    <w:rsid w:val="75F63241"/>
    <w:rsid w:val="767D39F0"/>
    <w:rsid w:val="77713ED2"/>
    <w:rsid w:val="77DE0F2D"/>
    <w:rsid w:val="77EFFD82"/>
    <w:rsid w:val="77FFBA54"/>
    <w:rsid w:val="78B13B2D"/>
    <w:rsid w:val="794C7704"/>
    <w:rsid w:val="79CF5442"/>
    <w:rsid w:val="79F91187"/>
    <w:rsid w:val="7A2318A1"/>
    <w:rsid w:val="7A5DA12B"/>
    <w:rsid w:val="7A69DE41"/>
    <w:rsid w:val="7A7FB313"/>
    <w:rsid w:val="7AD634FD"/>
    <w:rsid w:val="7AD8E2BC"/>
    <w:rsid w:val="7B1B04E0"/>
    <w:rsid w:val="7BB2A70F"/>
    <w:rsid w:val="7BBBE78B"/>
    <w:rsid w:val="7BCFC12E"/>
    <w:rsid w:val="7BEC708C"/>
    <w:rsid w:val="7BF9C3B9"/>
    <w:rsid w:val="7BFE218B"/>
    <w:rsid w:val="7BFF7CD1"/>
    <w:rsid w:val="7BFF8FBF"/>
    <w:rsid w:val="7CA42236"/>
    <w:rsid w:val="7CDF29E4"/>
    <w:rsid w:val="7CFF2A22"/>
    <w:rsid w:val="7D570D7D"/>
    <w:rsid w:val="7DB7A1B9"/>
    <w:rsid w:val="7DBDD377"/>
    <w:rsid w:val="7DC63096"/>
    <w:rsid w:val="7DDF9C84"/>
    <w:rsid w:val="7DE622CF"/>
    <w:rsid w:val="7DEF461A"/>
    <w:rsid w:val="7DF6300F"/>
    <w:rsid w:val="7DFBEE1F"/>
    <w:rsid w:val="7DFEA972"/>
    <w:rsid w:val="7DFFC30B"/>
    <w:rsid w:val="7E2A6EE4"/>
    <w:rsid w:val="7E2E723B"/>
    <w:rsid w:val="7E57705D"/>
    <w:rsid w:val="7E6C7C3A"/>
    <w:rsid w:val="7E6F4ABA"/>
    <w:rsid w:val="7ED48FE0"/>
    <w:rsid w:val="7EDFF4CE"/>
    <w:rsid w:val="7EDFF555"/>
    <w:rsid w:val="7EE7D1DA"/>
    <w:rsid w:val="7EE931A7"/>
    <w:rsid w:val="7EF6E982"/>
    <w:rsid w:val="7EF9CA75"/>
    <w:rsid w:val="7EFF0599"/>
    <w:rsid w:val="7F4EFCB3"/>
    <w:rsid w:val="7F6D02FE"/>
    <w:rsid w:val="7F8F7834"/>
    <w:rsid w:val="7F9E3867"/>
    <w:rsid w:val="7FAB884D"/>
    <w:rsid w:val="7FBEEC21"/>
    <w:rsid w:val="7FCFBD93"/>
    <w:rsid w:val="7FD2D131"/>
    <w:rsid w:val="7FEB2C98"/>
    <w:rsid w:val="7FEF964C"/>
    <w:rsid w:val="7FF70F6F"/>
    <w:rsid w:val="7FFB3788"/>
    <w:rsid w:val="7FFB392F"/>
    <w:rsid w:val="7FFCA0F4"/>
    <w:rsid w:val="7FFEC5EC"/>
    <w:rsid w:val="7FFF7F9F"/>
    <w:rsid w:val="7FFFF40F"/>
    <w:rsid w:val="86B71DB8"/>
    <w:rsid w:val="87FEAE70"/>
    <w:rsid w:val="96AB264F"/>
    <w:rsid w:val="9ABDCB2C"/>
    <w:rsid w:val="9BF1764E"/>
    <w:rsid w:val="9D94F75A"/>
    <w:rsid w:val="9DF7063D"/>
    <w:rsid w:val="9FE69099"/>
    <w:rsid w:val="9FF9F2A8"/>
    <w:rsid w:val="A4B6C682"/>
    <w:rsid w:val="A6BE71DA"/>
    <w:rsid w:val="A6E969FF"/>
    <w:rsid w:val="A9F73C15"/>
    <w:rsid w:val="AB679922"/>
    <w:rsid w:val="ADFB4BB6"/>
    <w:rsid w:val="AE8FE8CA"/>
    <w:rsid w:val="AEED8A90"/>
    <w:rsid w:val="AF6F11C3"/>
    <w:rsid w:val="AF7F4CC8"/>
    <w:rsid w:val="B09F1C45"/>
    <w:rsid w:val="B1C66193"/>
    <w:rsid w:val="B2FB7320"/>
    <w:rsid w:val="B4B363EA"/>
    <w:rsid w:val="B4C59755"/>
    <w:rsid w:val="B5BDE11B"/>
    <w:rsid w:val="B5E3EB95"/>
    <w:rsid w:val="B7E57C78"/>
    <w:rsid w:val="B7EECBC1"/>
    <w:rsid w:val="B9DBD127"/>
    <w:rsid w:val="BAE71C64"/>
    <w:rsid w:val="BBF934EA"/>
    <w:rsid w:val="BBFF7D25"/>
    <w:rsid w:val="BBFFE243"/>
    <w:rsid w:val="BD9F59EE"/>
    <w:rsid w:val="BDA582D9"/>
    <w:rsid w:val="BDDAA296"/>
    <w:rsid w:val="BDE7B809"/>
    <w:rsid w:val="BDF7AFA8"/>
    <w:rsid w:val="BE6D60DD"/>
    <w:rsid w:val="BE75804D"/>
    <w:rsid w:val="BE95D947"/>
    <w:rsid w:val="BEFB3009"/>
    <w:rsid w:val="BEFF3F62"/>
    <w:rsid w:val="BF3E4C46"/>
    <w:rsid w:val="BF79FFFB"/>
    <w:rsid w:val="BF7B5D39"/>
    <w:rsid w:val="BFBFABEF"/>
    <w:rsid w:val="BFEF6066"/>
    <w:rsid w:val="BFF9BAAD"/>
    <w:rsid w:val="BFF9C298"/>
    <w:rsid w:val="BFFBD7D8"/>
    <w:rsid w:val="BFFE0B08"/>
    <w:rsid w:val="C33AB0F2"/>
    <w:rsid w:val="C75E5427"/>
    <w:rsid w:val="C7FF7F4E"/>
    <w:rsid w:val="CB9A3723"/>
    <w:rsid w:val="CCE57097"/>
    <w:rsid w:val="CF6386CB"/>
    <w:rsid w:val="CF7F95CE"/>
    <w:rsid w:val="CFDFBE5A"/>
    <w:rsid w:val="CFE31AEC"/>
    <w:rsid w:val="CFFBF9CF"/>
    <w:rsid w:val="D16FDBCB"/>
    <w:rsid w:val="D35E4D6C"/>
    <w:rsid w:val="D35F4146"/>
    <w:rsid w:val="D5E7C874"/>
    <w:rsid w:val="D6EA213A"/>
    <w:rsid w:val="D77D6386"/>
    <w:rsid w:val="D77F2F2C"/>
    <w:rsid w:val="D7DDAE0D"/>
    <w:rsid w:val="D7F60B74"/>
    <w:rsid w:val="D7FE26BB"/>
    <w:rsid w:val="D9FBF81A"/>
    <w:rsid w:val="DA7E6B80"/>
    <w:rsid w:val="DB7793BC"/>
    <w:rsid w:val="DBEA49CB"/>
    <w:rsid w:val="DCFE0D02"/>
    <w:rsid w:val="DE73D214"/>
    <w:rsid w:val="DE77B9B6"/>
    <w:rsid w:val="DE7FB0B1"/>
    <w:rsid w:val="DEBF05B9"/>
    <w:rsid w:val="DEEF219C"/>
    <w:rsid w:val="DF0E9C6B"/>
    <w:rsid w:val="DF37CB55"/>
    <w:rsid w:val="DF766036"/>
    <w:rsid w:val="DFC751EF"/>
    <w:rsid w:val="DFDDEA50"/>
    <w:rsid w:val="DFF35EDC"/>
    <w:rsid w:val="DFF7E7E8"/>
    <w:rsid w:val="DFF948F1"/>
    <w:rsid w:val="E0FA41A4"/>
    <w:rsid w:val="E1DB985B"/>
    <w:rsid w:val="E37EF51F"/>
    <w:rsid w:val="E3FEBE98"/>
    <w:rsid w:val="E7D09051"/>
    <w:rsid w:val="E8F5C356"/>
    <w:rsid w:val="EA72F645"/>
    <w:rsid w:val="EBA73FF6"/>
    <w:rsid w:val="EBBD702B"/>
    <w:rsid w:val="EBD7A704"/>
    <w:rsid w:val="EBFF1ED3"/>
    <w:rsid w:val="EBFFF692"/>
    <w:rsid w:val="ECCFA18E"/>
    <w:rsid w:val="ED7C3492"/>
    <w:rsid w:val="EDBB72B1"/>
    <w:rsid w:val="EDBDDD49"/>
    <w:rsid w:val="EDCB93F6"/>
    <w:rsid w:val="EDFB45AB"/>
    <w:rsid w:val="EDFF5F4C"/>
    <w:rsid w:val="EE033A19"/>
    <w:rsid w:val="EED69210"/>
    <w:rsid w:val="EEF3EA90"/>
    <w:rsid w:val="EF3F0EC0"/>
    <w:rsid w:val="EF77BCAD"/>
    <w:rsid w:val="EF7FA093"/>
    <w:rsid w:val="EF9DF50F"/>
    <w:rsid w:val="EFB6333B"/>
    <w:rsid w:val="EFB7F95E"/>
    <w:rsid w:val="EFDE3BA3"/>
    <w:rsid w:val="EFF7D911"/>
    <w:rsid w:val="EFFBB9C3"/>
    <w:rsid w:val="F2BE5E8B"/>
    <w:rsid w:val="F3A54F77"/>
    <w:rsid w:val="F3B7708C"/>
    <w:rsid w:val="F4FE4EB7"/>
    <w:rsid w:val="F5FD70C1"/>
    <w:rsid w:val="F6AF993B"/>
    <w:rsid w:val="F6BE3EA4"/>
    <w:rsid w:val="F6D69417"/>
    <w:rsid w:val="F6EFB091"/>
    <w:rsid w:val="F6F93DE9"/>
    <w:rsid w:val="F6FE7D46"/>
    <w:rsid w:val="F6FFF94A"/>
    <w:rsid w:val="F74CBE33"/>
    <w:rsid w:val="F76E2F96"/>
    <w:rsid w:val="F7A3EA86"/>
    <w:rsid w:val="F7BB4B55"/>
    <w:rsid w:val="F7FBD0DB"/>
    <w:rsid w:val="F7FDCE77"/>
    <w:rsid w:val="F7FF99AB"/>
    <w:rsid w:val="F89E3C80"/>
    <w:rsid w:val="F9DE3FC5"/>
    <w:rsid w:val="F9E915C6"/>
    <w:rsid w:val="FA064869"/>
    <w:rsid w:val="FAEDE507"/>
    <w:rsid w:val="FB5F91CB"/>
    <w:rsid w:val="FB73C6D9"/>
    <w:rsid w:val="FB9B3CD5"/>
    <w:rsid w:val="FBB4750B"/>
    <w:rsid w:val="FBE7EA35"/>
    <w:rsid w:val="FBEFD8CB"/>
    <w:rsid w:val="FBFCBCEF"/>
    <w:rsid w:val="FBFD0F56"/>
    <w:rsid w:val="FBFDC7CC"/>
    <w:rsid w:val="FBFF7F9C"/>
    <w:rsid w:val="FCEF6C4E"/>
    <w:rsid w:val="FCF7D970"/>
    <w:rsid w:val="FCFF3F5E"/>
    <w:rsid w:val="FD7ECCC1"/>
    <w:rsid w:val="FD9C6522"/>
    <w:rsid w:val="FDDA8BA4"/>
    <w:rsid w:val="FDFBD5B3"/>
    <w:rsid w:val="FDFE6443"/>
    <w:rsid w:val="FDFF3284"/>
    <w:rsid w:val="FE29A4FA"/>
    <w:rsid w:val="FE4F7FE3"/>
    <w:rsid w:val="FE5DC077"/>
    <w:rsid w:val="FE7751A2"/>
    <w:rsid w:val="FE8FF217"/>
    <w:rsid w:val="FEDA9509"/>
    <w:rsid w:val="FEDF911A"/>
    <w:rsid w:val="FEE2E227"/>
    <w:rsid w:val="FEF92838"/>
    <w:rsid w:val="FEFF6597"/>
    <w:rsid w:val="FF0D3E79"/>
    <w:rsid w:val="FF1E2F91"/>
    <w:rsid w:val="FF2952EA"/>
    <w:rsid w:val="FF4B7891"/>
    <w:rsid w:val="FF7BD1E0"/>
    <w:rsid w:val="FF931DE5"/>
    <w:rsid w:val="FF9488A8"/>
    <w:rsid w:val="FF9A2DE6"/>
    <w:rsid w:val="FF9F454F"/>
    <w:rsid w:val="FF9FEAEA"/>
    <w:rsid w:val="FFB35A54"/>
    <w:rsid w:val="FFBBB267"/>
    <w:rsid w:val="FFBF2E9A"/>
    <w:rsid w:val="FFDE5E2C"/>
    <w:rsid w:val="FFDF051E"/>
    <w:rsid w:val="FFDF9141"/>
    <w:rsid w:val="FFE76824"/>
    <w:rsid w:val="FFF52FFB"/>
    <w:rsid w:val="FFF731BC"/>
    <w:rsid w:val="FFF73DEF"/>
    <w:rsid w:val="FFFE5D42"/>
    <w:rsid w:val="FFFFA530"/>
    <w:rsid w:val="FFFFC0C2"/>
    <w:rsid w:val="FFFFDD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Message Header"/>
    <w:basedOn w:val="1"/>
    <w:next w:val="3"/>
    <w:qFormat/>
    <w:uiPriority w:val="0"/>
    <w:pPr>
      <w:pBdr>
        <w:top w:val="single" w:color="auto" w:sz="6" w:space="1"/>
        <w:left w:val="single" w:color="auto" w:sz="6" w:space="1"/>
        <w:bottom w:val="single" w:color="auto" w:sz="6" w:space="1"/>
        <w:right w:val="single" w:color="auto" w:sz="6" w:space="1"/>
      </w:pBdr>
      <w:shd w:val="pct20" w:color="auto" w:fill="auto"/>
      <w:ind w:left="1000" w:leftChars="500" w:hanging="500" w:hangingChars="500"/>
    </w:pPr>
    <w:rPr>
      <w:rFonts w:ascii="Cambria" w:hAnsi="Cambria"/>
      <w:sz w:val="24"/>
    </w:rPr>
  </w:style>
  <w:style w:type="paragraph" w:styleId="3">
    <w:name w:val="Body Text"/>
    <w:basedOn w:val="1"/>
    <w:next w:val="1"/>
    <w:link w:val="19"/>
    <w:qFormat/>
    <w:uiPriority w:val="99"/>
  </w:style>
  <w:style w:type="paragraph" w:styleId="4">
    <w:name w:val="Normal Indent"/>
    <w:basedOn w:val="1"/>
    <w:unhideWhenUsed/>
    <w:qFormat/>
    <w:uiPriority w:val="99"/>
    <w:pPr>
      <w:ind w:firstLine="420" w:firstLineChars="200"/>
    </w:pPr>
  </w:style>
  <w:style w:type="paragraph" w:styleId="5">
    <w:name w:val="Body Text Indent"/>
    <w:basedOn w:val="1"/>
    <w:link w:val="17"/>
    <w:semiHidden/>
    <w:unhideWhenUsed/>
    <w:qFormat/>
    <w:uiPriority w:val="99"/>
    <w:pPr>
      <w:spacing w:after="120"/>
      <w:ind w:left="420" w:leftChars="200"/>
    </w:pPr>
  </w:style>
  <w:style w:type="paragraph" w:styleId="6">
    <w:name w:val="footer"/>
    <w:basedOn w:val="1"/>
    <w:link w:val="16"/>
    <w:unhideWhenUsed/>
    <w:qFormat/>
    <w:uiPriority w:val="99"/>
    <w:pPr>
      <w:tabs>
        <w:tab w:val="center" w:pos="4153"/>
        <w:tab w:val="right" w:pos="8306"/>
      </w:tabs>
      <w:snapToGrid w:val="0"/>
      <w:jc w:val="left"/>
    </w:pPr>
    <w:rPr>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link w:val="2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paragraph" w:styleId="9">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0">
    <w:name w:val="Body Text First Indent 2"/>
    <w:basedOn w:val="5"/>
    <w:link w:val="18"/>
    <w:qFormat/>
    <w:uiPriority w:val="0"/>
    <w:pPr>
      <w:spacing w:after="0"/>
      <w:ind w:firstLine="420" w:firstLineChars="200"/>
    </w:pPr>
  </w:style>
  <w:style w:type="character" w:styleId="13">
    <w:name w:val="Strong"/>
    <w:basedOn w:val="12"/>
    <w:qFormat/>
    <w:uiPriority w:val="22"/>
    <w:rPr>
      <w:b/>
    </w:rPr>
  </w:style>
  <w:style w:type="paragraph" w:customStyle="1" w:styleId="14">
    <w:name w:val="正文-公1"/>
    <w:basedOn w:val="1"/>
    <w:next w:val="1"/>
    <w:qFormat/>
    <w:uiPriority w:val="0"/>
    <w:pPr>
      <w:ind w:firstLine="200" w:firstLineChars="200"/>
      <w:jc w:val="left"/>
    </w:pPr>
    <w:rPr>
      <w:rFonts w:eastAsia="仿宋_GB2312"/>
    </w:rPr>
  </w:style>
  <w:style w:type="character" w:customStyle="1" w:styleId="15">
    <w:name w:val="页眉 字符"/>
    <w:basedOn w:val="12"/>
    <w:link w:val="7"/>
    <w:qFormat/>
    <w:uiPriority w:val="99"/>
    <w:rPr>
      <w:sz w:val="18"/>
      <w:szCs w:val="18"/>
    </w:rPr>
  </w:style>
  <w:style w:type="character" w:customStyle="1" w:styleId="16">
    <w:name w:val="页脚 字符"/>
    <w:basedOn w:val="12"/>
    <w:link w:val="6"/>
    <w:qFormat/>
    <w:uiPriority w:val="99"/>
    <w:rPr>
      <w:sz w:val="18"/>
      <w:szCs w:val="18"/>
    </w:rPr>
  </w:style>
  <w:style w:type="character" w:customStyle="1" w:styleId="17">
    <w:name w:val="正文文本缩进 字符"/>
    <w:basedOn w:val="12"/>
    <w:link w:val="5"/>
    <w:semiHidden/>
    <w:qFormat/>
    <w:uiPriority w:val="99"/>
  </w:style>
  <w:style w:type="character" w:customStyle="1" w:styleId="18">
    <w:name w:val="正文首行缩进 2 字符"/>
    <w:basedOn w:val="17"/>
    <w:link w:val="10"/>
    <w:qFormat/>
    <w:uiPriority w:val="0"/>
  </w:style>
  <w:style w:type="character" w:customStyle="1" w:styleId="19">
    <w:name w:val="正文文本 字符"/>
    <w:basedOn w:val="12"/>
    <w:link w:val="3"/>
    <w:qFormat/>
    <w:uiPriority w:val="99"/>
  </w:style>
  <w:style w:type="paragraph" w:styleId="20">
    <w:name w:val="List Paragraph"/>
    <w:basedOn w:val="1"/>
    <w:qFormat/>
    <w:uiPriority w:val="99"/>
    <w:pPr>
      <w:ind w:firstLine="420" w:firstLineChars="200"/>
    </w:pPr>
  </w:style>
  <w:style w:type="character" w:customStyle="1" w:styleId="21">
    <w:name w:val="HTML 预设格式 字符"/>
    <w:basedOn w:val="12"/>
    <w:link w:val="8"/>
    <w:semiHidden/>
    <w:qFormat/>
    <w:uiPriority w:val="99"/>
    <w:rPr>
      <w:rFonts w:ascii="宋体" w:hAnsi="宋体" w:eastAsia="宋体" w:cs="Times New Roman"/>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14</Pages>
  <Words>704</Words>
  <Characters>4017</Characters>
  <Lines>33</Lines>
  <Paragraphs>9</Paragraphs>
  <TotalTime>21</TotalTime>
  <ScaleCrop>false</ScaleCrop>
  <LinksUpToDate>false</LinksUpToDate>
  <CharactersWithSpaces>4712</CharactersWithSpaces>
  <Application>WPS Office_11.8.2.1122_F1E327BC-269C-435d-A152-05C5408002CA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2024-08-01T18:18:00Z</dcterms:created>
  <dc:creator>CQ</dc:creator>
  <cp:lastModifiedBy>abc</cp:lastModifiedBy>
  <cp:lastPrinted>2026-03-24T23:31:00Z</cp:lastPrinted>
  <dcterms:modified xsi:type="dcterms:W3CDTF">2026-04-08T11:04:42Z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2052-11.8.2.1122</vt:lpwstr>
  </property>
  <property fmtid="{D5CDD505-2E9C-101B-9397-08002B2CF9AE}" pid="3" name="ICV">
    <vt:lpwstr>899C27AC5FA84D77A66533D5B2BECA9A</vt:lpwstr>
  </property>
</Properties>
</file>