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keepNext w:val="0"/>
        <w:keepLines w:val="0"/>
        <w:pageBreakBefore w:val="0"/>
        <w:widowControl/>
        <w:suppressLineNumbers w:val="0"/>
        <w:kinsoku/>
        <w:wordWrap/>
        <w:topLinePunct w:val="0"/>
        <w:autoSpaceDE/>
        <w:autoSpaceDN/>
        <w:bidi w:val="0"/>
        <w:spacing w:before="0" w:beforeAutospacing="0" w:after="0" w:afterAutospacing="0" w:line="600" w:lineRule="exact"/>
        <w:ind w:left="0" w:right="0" w:firstLine="0"/>
        <w:jc w:val="center"/>
        <w:textAlignment w:val="auto"/>
        <w:rPr>
          <w:rFonts w:ascii="Times New Roman" w:hAnsi="Times New Roman" w:eastAsia="方正小标宋_GBK" w:cs="Times New Roman"/>
          <w:kern w:val="2"/>
          <w:sz w:val="44"/>
          <w:szCs w:val="44"/>
          <w:lang w:val="en-US" w:eastAsia="zh-CN" w:bidi="ar-SA"/>
        </w:rPr>
      </w:pPr>
      <w:bookmarkStart w:id="0" w:name="_Hlk194914015"/>
      <w:r>
        <w:rPr>
          <w:rFonts w:ascii="Times New Roman" w:hAnsi="Times New Roman" w:eastAsia="方正小标宋_GBK" w:cs="Times New Roman"/>
          <w:kern w:val="2"/>
          <w:sz w:val="44"/>
          <w:szCs w:val="44"/>
          <w:lang w:val="en-US" w:eastAsia="zh-CN" w:bidi="ar-SA"/>
        </w:rPr>
        <w:t>两江重庆江北区长安产业有限公司</w:t>
      </w:r>
    </w:p>
    <w:p>
      <w:pPr>
        <w:keepNext w:val="0"/>
        <w:keepLines w:val="0"/>
        <w:pageBreakBefore w:val="0"/>
        <w:kinsoku/>
        <w:wordWrap/>
        <w:overflowPunct w:val="0"/>
        <w:topLinePunct w:val="0"/>
        <w:autoSpaceDE/>
        <w:autoSpaceDN/>
        <w:bidi w:val="0"/>
        <w:adjustRightInd w:val="0"/>
        <w:snapToGrid w:val="0"/>
        <w:spacing w:line="600" w:lineRule="exact"/>
        <w:jc w:val="center"/>
        <w:textAlignment w:val="auto"/>
        <w:rPr>
          <w:rFonts w:eastAsia="方正小标宋_GBK"/>
          <w:sz w:val="44"/>
          <w:szCs w:val="44"/>
        </w:rPr>
      </w:pPr>
      <w:r>
        <w:rPr>
          <w:rFonts w:eastAsia="方正小标宋_GBK"/>
          <w:sz w:val="44"/>
          <w:szCs w:val="44"/>
        </w:rPr>
        <w:t>“3·13”一般机械伤害事故</w:t>
      </w:r>
      <w:bookmarkEnd w:id="0"/>
      <w:r>
        <w:rPr>
          <w:rFonts w:eastAsia="方正小标宋_GBK"/>
          <w:sz w:val="44"/>
          <w:szCs w:val="44"/>
        </w:rPr>
        <w:t>调查报告</w:t>
      </w:r>
    </w:p>
    <w:p>
      <w:pPr>
        <w:tabs>
          <w:tab w:val="left" w:pos="2880"/>
        </w:tabs>
        <w:overflowPunct w:val="0"/>
        <w:adjustRightInd w:val="0"/>
        <w:snapToGrid w:val="0"/>
        <w:spacing w:line="594" w:lineRule="exact"/>
        <w:ind w:firstLine="632" w:firstLineChars="200"/>
        <w:jc w:val="left"/>
        <w:rPr>
          <w:color w:val="000000"/>
          <w:szCs w:val="32"/>
        </w:rPr>
      </w:pPr>
    </w:p>
    <w:p>
      <w:pPr>
        <w:overflowPunct w:val="0"/>
        <w:adjustRightInd w:val="0"/>
        <w:snapToGrid w:val="0"/>
        <w:spacing w:line="594" w:lineRule="exact"/>
        <w:ind w:firstLine="632" w:firstLineChars="200"/>
        <w:rPr>
          <w:szCs w:val="32"/>
        </w:rPr>
      </w:pPr>
      <w:r>
        <w:rPr>
          <w:color w:val="000000"/>
          <w:szCs w:val="32"/>
        </w:rPr>
        <w:t>2026年3月13日，位于两江</w:t>
      </w:r>
      <w:r>
        <w:rPr>
          <w:szCs w:val="32"/>
        </w:rPr>
        <w:t>新区石船镇</w:t>
      </w:r>
      <w:r>
        <w:rPr>
          <w:rFonts w:hint="eastAsia"/>
          <w:szCs w:val="32"/>
        </w:rPr>
        <w:t>某</w:t>
      </w:r>
      <w:r>
        <w:rPr>
          <w:szCs w:val="32"/>
        </w:rPr>
        <w:t>路</w:t>
      </w:r>
      <w:r>
        <w:rPr>
          <w:rFonts w:hint="eastAsia"/>
          <w:szCs w:val="32"/>
        </w:rPr>
        <w:t>某</w:t>
      </w:r>
      <w:r>
        <w:rPr>
          <w:szCs w:val="32"/>
        </w:rPr>
        <w:t>号</w:t>
      </w:r>
      <w:r>
        <w:rPr>
          <w:kern w:val="21"/>
          <w:szCs w:val="32"/>
        </w:rPr>
        <w:t>的重庆某公司一工人在CLH-3.5*850数控板料开卷校平飞剪线作业期间发生</w:t>
      </w:r>
      <w:r>
        <w:rPr>
          <w:rFonts w:hint="eastAsia"/>
          <w:kern w:val="21"/>
          <w:szCs w:val="32"/>
        </w:rPr>
        <w:t>一起</w:t>
      </w:r>
      <w:r>
        <w:rPr>
          <w:kern w:val="21"/>
          <w:szCs w:val="32"/>
        </w:rPr>
        <w:t>机械伤害</w:t>
      </w:r>
      <w:r>
        <w:rPr>
          <w:rFonts w:hint="eastAsia"/>
          <w:kern w:val="21"/>
          <w:szCs w:val="32"/>
        </w:rPr>
        <w:t>事故</w:t>
      </w:r>
      <w:r>
        <w:rPr>
          <w:kern w:val="21"/>
          <w:szCs w:val="32"/>
        </w:rPr>
        <w:t>，造成1人死亡，直接经济损失125万元。</w:t>
      </w:r>
    </w:p>
    <w:p>
      <w:pPr>
        <w:overflowPunct w:val="0"/>
        <w:adjustRightInd w:val="0"/>
        <w:snapToGrid w:val="0"/>
        <w:spacing w:line="594" w:lineRule="exact"/>
        <w:ind w:firstLine="632" w:firstLineChars="200"/>
        <w:rPr>
          <w:color w:val="000000"/>
          <w:szCs w:val="32"/>
        </w:rPr>
      </w:pPr>
      <w:r>
        <w:rPr>
          <w:szCs w:val="32"/>
        </w:rPr>
        <w:t>接到事故报告后，区应急管理局、</w:t>
      </w:r>
      <w:r>
        <w:rPr>
          <w:rFonts w:hint="eastAsia"/>
          <w:szCs w:val="32"/>
        </w:rPr>
        <w:t>区</w:t>
      </w:r>
      <w:r>
        <w:rPr>
          <w:color w:val="000000"/>
          <w:szCs w:val="32"/>
        </w:rPr>
        <w:t>经信委、</w:t>
      </w:r>
      <w:r>
        <w:rPr>
          <w:rFonts w:hint="eastAsia"/>
          <w:color w:val="000000"/>
          <w:szCs w:val="32"/>
        </w:rPr>
        <w:t>区</w:t>
      </w:r>
      <w:r>
        <w:rPr>
          <w:color w:val="000000"/>
          <w:szCs w:val="32"/>
        </w:rPr>
        <w:t>公安分局</w:t>
      </w:r>
      <w:r>
        <w:rPr>
          <w:szCs w:val="32"/>
        </w:rPr>
        <w:t>、石船镇</w:t>
      </w:r>
      <w:r>
        <w:rPr>
          <w:color w:val="000000"/>
          <w:szCs w:val="32"/>
        </w:rPr>
        <w:t>等相关部门和单位人员立即赶赴现场处置。根据《中华人民共和国安全生产法》《生产安全事故报告和调查处理条例》（国务院令第493号）《重庆市安全生产条例》有关规定，</w:t>
      </w:r>
      <w:r>
        <w:rPr>
          <w:rFonts w:hint="eastAsia"/>
          <w:color w:val="000000"/>
          <w:szCs w:val="32"/>
        </w:rPr>
        <w:t>经区政府授权，</w:t>
      </w:r>
      <w:r>
        <w:rPr>
          <w:kern w:val="21"/>
          <w:szCs w:val="32"/>
        </w:rPr>
        <w:t>成立了由区应急管理局牵头，区政府办公室、</w:t>
      </w:r>
      <w:bookmarkStart w:id="1" w:name="_Hlk229130637"/>
      <w:r>
        <w:rPr>
          <w:kern w:val="21"/>
          <w:szCs w:val="32"/>
        </w:rPr>
        <w:t>区经信委、区总工会、区公安分局</w:t>
      </w:r>
      <w:bookmarkEnd w:id="1"/>
      <w:r>
        <w:rPr>
          <w:color w:val="000000"/>
          <w:szCs w:val="32"/>
        </w:rPr>
        <w:t>等单位派人组成的</w:t>
      </w:r>
      <w:r>
        <w:rPr>
          <w:rFonts w:hint="eastAsia"/>
          <w:color w:val="000000"/>
          <w:szCs w:val="32"/>
        </w:rPr>
        <w:t>两江</w:t>
      </w:r>
      <w:r>
        <w:rPr>
          <w:kern w:val="21"/>
          <w:szCs w:val="32"/>
        </w:rPr>
        <w:t>重庆某公司“3·13”一般机械伤害事故</w:t>
      </w:r>
      <w:r>
        <w:rPr>
          <w:color w:val="000000"/>
          <w:szCs w:val="32"/>
        </w:rPr>
        <w:t>调查组（以下简称事故调查组），并邀请新区纪委监委、区检察院派员参加调查工作。</w:t>
      </w:r>
      <w:bookmarkStart w:id="2" w:name="_Hlk229130750"/>
      <w:r>
        <w:rPr>
          <w:color w:val="000000"/>
          <w:kern w:val="21"/>
          <w:szCs w:val="32"/>
        </w:rPr>
        <w:t>事故调查组下设技术组，由三名市应急管理专家组成，负责查明事故的直接原因。</w:t>
      </w:r>
      <w:bookmarkEnd w:id="2"/>
      <w:r>
        <w:rPr>
          <w:color w:val="000000"/>
          <w:szCs w:val="32"/>
        </w:rPr>
        <w:t>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overflowPunct w:val="0"/>
        <w:adjustRightInd w:val="0"/>
        <w:snapToGrid w:val="0"/>
        <w:spacing w:line="594" w:lineRule="exact"/>
        <w:ind w:firstLine="632" w:firstLineChars="200"/>
        <w:rPr>
          <w:color w:val="000000"/>
          <w:szCs w:val="32"/>
        </w:rPr>
      </w:pPr>
      <w:r>
        <w:rPr>
          <w:color w:val="000000"/>
          <w:szCs w:val="32"/>
        </w:rPr>
        <w:t>经调查认定，</w:t>
      </w:r>
      <w:r>
        <w:rPr>
          <w:rFonts w:hint="eastAsia"/>
          <w:color w:val="000000"/>
          <w:szCs w:val="32"/>
        </w:rPr>
        <w:t>两江</w:t>
      </w:r>
      <w:r>
        <w:rPr>
          <w:color w:val="000000"/>
          <w:szCs w:val="32"/>
        </w:rPr>
        <w:t>重庆某公司“3·13”机械伤害事故是一起因</w:t>
      </w:r>
      <w:r>
        <w:rPr>
          <w:szCs w:val="32"/>
        </w:rPr>
        <w:t>作业人员违章</w:t>
      </w:r>
      <w:r>
        <w:rPr>
          <w:rFonts w:hint="eastAsia"/>
          <w:szCs w:val="32"/>
        </w:rPr>
        <w:t>冒险</w:t>
      </w:r>
      <w:r>
        <w:rPr>
          <w:szCs w:val="32"/>
        </w:rPr>
        <w:t>作业，生产经营单位安全管理不到位</w:t>
      </w:r>
      <w:r>
        <w:rPr>
          <w:rFonts w:hint="eastAsia"/>
          <w:szCs w:val="32"/>
        </w:rPr>
        <w:t>、</w:t>
      </w:r>
      <w:r>
        <w:rPr>
          <w:szCs w:val="32"/>
        </w:rPr>
        <w:t>现场</w:t>
      </w:r>
      <w:r>
        <w:rPr>
          <w:rFonts w:hint="eastAsia"/>
          <w:szCs w:val="32"/>
        </w:rPr>
        <w:t>隐患排查不到位</w:t>
      </w:r>
      <w:r>
        <w:rPr>
          <w:szCs w:val="32"/>
        </w:rPr>
        <w:t>导致的一般生</w:t>
      </w:r>
      <w:r>
        <w:rPr>
          <w:color w:val="000000"/>
          <w:szCs w:val="32"/>
        </w:rPr>
        <w:t>产安全责任事故。</w:t>
      </w:r>
    </w:p>
    <w:p>
      <w:pPr>
        <w:overflowPunct w:val="0"/>
        <w:adjustRightInd w:val="0"/>
        <w:snapToGrid w:val="0"/>
        <w:spacing w:line="594" w:lineRule="exact"/>
        <w:ind w:firstLine="632" w:firstLineChars="200"/>
        <w:outlineLvl w:val="0"/>
        <w:rPr>
          <w:rFonts w:eastAsia="方正黑体_GBK"/>
          <w:szCs w:val="32"/>
        </w:rPr>
      </w:pPr>
      <w:bookmarkStart w:id="3" w:name="_Toc229132234"/>
      <w:bookmarkStart w:id="4" w:name="_Toc172190257"/>
      <w:r>
        <w:rPr>
          <w:rFonts w:eastAsia="方正黑体_GBK"/>
          <w:szCs w:val="32"/>
        </w:rPr>
        <w:t>一、事故基本情况</w:t>
      </w:r>
      <w:bookmarkEnd w:id="3"/>
      <w:bookmarkEnd w:id="4"/>
    </w:p>
    <w:p>
      <w:pPr>
        <w:overflowPunct w:val="0"/>
        <w:adjustRightInd w:val="0"/>
        <w:snapToGrid w:val="0"/>
        <w:spacing w:line="594" w:lineRule="exact"/>
        <w:ind w:firstLine="632" w:firstLineChars="200"/>
        <w:outlineLvl w:val="1"/>
        <w:rPr>
          <w:rFonts w:eastAsia="方正楷体_GBK"/>
          <w:szCs w:val="32"/>
        </w:rPr>
      </w:pPr>
      <w:bookmarkStart w:id="5" w:name="_Toc229132235"/>
      <w:bookmarkStart w:id="6" w:name="_Toc172190258"/>
      <w:r>
        <w:rPr>
          <w:rFonts w:eastAsia="方正楷体_GBK"/>
          <w:szCs w:val="32"/>
        </w:rPr>
        <w:t>（一）企业概况</w:t>
      </w:r>
      <w:bookmarkEnd w:id="5"/>
      <w:bookmarkEnd w:id="6"/>
    </w:p>
    <w:p>
      <w:pPr>
        <w:overflowPunct w:val="0"/>
        <w:adjustRightInd w:val="0"/>
        <w:snapToGrid w:val="0"/>
        <w:spacing w:line="594" w:lineRule="exact"/>
        <w:ind w:firstLine="632" w:firstLineChars="200"/>
        <w:rPr>
          <w:kern w:val="21"/>
          <w:szCs w:val="32"/>
        </w:rPr>
      </w:pPr>
      <w:bookmarkStart w:id="7" w:name="_Toc172190259"/>
      <w:r>
        <w:rPr>
          <w:kern w:val="21"/>
          <w:szCs w:val="32"/>
        </w:rPr>
        <w:t>重庆某公司、重庆某公司</w:t>
      </w:r>
      <w:r>
        <w:rPr>
          <w:rFonts w:hint="eastAsia"/>
          <w:kern w:val="21"/>
          <w:szCs w:val="32"/>
        </w:rPr>
        <w:t>（2）</w:t>
      </w:r>
      <w:r>
        <w:rPr>
          <w:kern w:val="21"/>
          <w:szCs w:val="32"/>
        </w:rPr>
        <w:t>坐落于两江新区石船工业园区</w:t>
      </w:r>
      <w:r>
        <w:rPr>
          <w:rFonts w:hint="eastAsia"/>
          <w:kern w:val="21"/>
          <w:szCs w:val="32"/>
        </w:rPr>
        <w:t>某</w:t>
      </w:r>
      <w:r>
        <w:rPr>
          <w:kern w:val="21"/>
          <w:szCs w:val="32"/>
        </w:rPr>
        <w:t>路</w:t>
      </w:r>
      <w:r>
        <w:rPr>
          <w:rFonts w:hint="eastAsia"/>
          <w:kern w:val="21"/>
          <w:szCs w:val="32"/>
        </w:rPr>
        <w:t>某</w:t>
      </w:r>
      <w:r>
        <w:rPr>
          <w:kern w:val="21"/>
          <w:szCs w:val="32"/>
        </w:rPr>
        <w:t>号</w:t>
      </w:r>
      <w:r>
        <w:rPr>
          <w:rFonts w:hint="eastAsia"/>
          <w:kern w:val="21"/>
          <w:szCs w:val="32"/>
        </w:rPr>
        <w:t>，实际控制</w:t>
      </w:r>
      <w:r>
        <w:rPr>
          <w:kern w:val="21"/>
          <w:szCs w:val="32"/>
        </w:rPr>
        <w:t>人均为董事长何某</w:t>
      </w:r>
      <w:r>
        <w:rPr>
          <w:rFonts w:hint="eastAsia"/>
          <w:kern w:val="21"/>
          <w:szCs w:val="32"/>
        </w:rPr>
        <w:t>，两家公司</w:t>
      </w:r>
      <w:r>
        <w:rPr>
          <w:kern w:val="21"/>
          <w:szCs w:val="32"/>
        </w:rPr>
        <w:t>由</w:t>
      </w:r>
      <w:r>
        <w:rPr>
          <w:rFonts w:hint="eastAsia"/>
          <w:kern w:val="21"/>
          <w:szCs w:val="32"/>
        </w:rPr>
        <w:t>同</w:t>
      </w:r>
      <w:r>
        <w:rPr>
          <w:kern w:val="21"/>
          <w:szCs w:val="32"/>
        </w:rPr>
        <w:t>一套管理人员实施管理</w:t>
      </w:r>
      <w:r>
        <w:rPr>
          <w:rFonts w:hint="eastAsia"/>
          <w:kern w:val="21"/>
          <w:szCs w:val="32"/>
        </w:rPr>
        <w:t>。</w:t>
      </w:r>
      <w:r>
        <w:rPr>
          <w:kern w:val="21"/>
          <w:szCs w:val="32"/>
        </w:rPr>
        <w:t>重庆某公司现有生产场地4000余</w:t>
      </w:r>
      <w:r>
        <w:rPr>
          <w:rFonts w:hint="eastAsia"/>
          <w:kern w:val="21"/>
          <w:szCs w:val="32"/>
        </w:rPr>
        <w:t>平方米，位于厂区</w:t>
      </w:r>
      <w:r>
        <w:rPr>
          <w:kern w:val="21"/>
          <w:szCs w:val="32"/>
        </w:rPr>
        <w:t>1号综合车间东面，由重庆某公司出租</w:t>
      </w:r>
      <w:r>
        <w:rPr>
          <w:rFonts w:hint="eastAsia"/>
          <w:kern w:val="21"/>
          <w:szCs w:val="32"/>
        </w:rPr>
        <w:t>。</w:t>
      </w:r>
      <w:r>
        <w:rPr>
          <w:kern w:val="21"/>
          <w:szCs w:val="32"/>
        </w:rPr>
        <w:t>该场地内现有</w:t>
      </w:r>
      <w:r>
        <w:rPr>
          <w:rFonts w:hint="eastAsia"/>
          <w:kern w:val="21"/>
          <w:szCs w:val="32"/>
        </w:rPr>
        <w:t>的</w:t>
      </w:r>
      <w:r>
        <w:rPr>
          <w:kern w:val="21"/>
          <w:szCs w:val="32"/>
        </w:rPr>
        <w:t>CLH-3.5*850数控板料开卷校平飞剪、1850飞摆剪、1850纵剪、1850分条机、CLL-3X2050数控开卷落料等设备产权均属重庆某公司。</w:t>
      </w:r>
    </w:p>
    <w:p>
      <w:pPr>
        <w:overflowPunct w:val="0"/>
        <w:adjustRightInd w:val="0"/>
        <w:snapToGrid w:val="0"/>
        <w:spacing w:line="594" w:lineRule="exact"/>
        <w:ind w:firstLine="632" w:firstLineChars="200"/>
        <w:rPr>
          <w:kern w:val="21"/>
          <w:szCs w:val="32"/>
        </w:rPr>
      </w:pPr>
      <w:r>
        <w:rPr>
          <w:rFonts w:hint="eastAsia"/>
          <w:kern w:val="21"/>
          <w:szCs w:val="32"/>
        </w:rPr>
        <w:t>重庆某公司，</w:t>
      </w:r>
      <w:r>
        <w:rPr>
          <w:kern w:val="21"/>
          <w:szCs w:val="32"/>
        </w:rPr>
        <w:t>统一社会信用代码：91500000********XY；法定代表人：何某；注册资本：500万元；成立日期：1999年5月27日；注册地址：重庆市</w:t>
      </w:r>
      <w:r>
        <w:rPr>
          <w:rFonts w:hint="eastAsia"/>
          <w:kern w:val="21"/>
          <w:szCs w:val="32"/>
        </w:rPr>
        <w:t>两江新</w:t>
      </w:r>
      <w:r>
        <w:rPr>
          <w:kern w:val="21"/>
          <w:szCs w:val="32"/>
        </w:rPr>
        <w:t>区</w:t>
      </w:r>
      <w:r>
        <w:rPr>
          <w:rFonts w:hint="eastAsia"/>
          <w:kern w:val="21"/>
          <w:szCs w:val="32"/>
        </w:rPr>
        <w:t>某</w:t>
      </w:r>
      <w:r>
        <w:rPr>
          <w:kern w:val="21"/>
          <w:szCs w:val="32"/>
        </w:rPr>
        <w:t>大道</w:t>
      </w:r>
      <w:r>
        <w:rPr>
          <w:rFonts w:hint="eastAsia"/>
          <w:kern w:val="21"/>
          <w:szCs w:val="32"/>
        </w:rPr>
        <w:t>某</w:t>
      </w:r>
      <w:r>
        <w:rPr>
          <w:kern w:val="21"/>
          <w:szCs w:val="32"/>
        </w:rPr>
        <w:t>号</w:t>
      </w:r>
      <w:r>
        <w:rPr>
          <w:rFonts w:hint="eastAsia"/>
          <w:kern w:val="21"/>
          <w:szCs w:val="32"/>
        </w:rPr>
        <w:t>某</w:t>
      </w:r>
      <w:r>
        <w:rPr>
          <w:kern w:val="21"/>
          <w:szCs w:val="32"/>
        </w:rPr>
        <w:t>幢*-*；生产经营场所：两江新区石船工业园区</w:t>
      </w:r>
      <w:r>
        <w:rPr>
          <w:rFonts w:hint="eastAsia"/>
          <w:kern w:val="21"/>
          <w:szCs w:val="32"/>
        </w:rPr>
        <w:t>某</w:t>
      </w:r>
      <w:r>
        <w:rPr>
          <w:kern w:val="21"/>
          <w:szCs w:val="32"/>
        </w:rPr>
        <w:t>路</w:t>
      </w:r>
      <w:r>
        <w:rPr>
          <w:rFonts w:hint="eastAsia"/>
          <w:kern w:val="21"/>
          <w:szCs w:val="32"/>
        </w:rPr>
        <w:t>某</w:t>
      </w:r>
      <w:r>
        <w:rPr>
          <w:kern w:val="21"/>
          <w:szCs w:val="32"/>
        </w:rPr>
        <w:t>号。类型：有限责任公司（法人独资）；经营范围：加工：汽车零部件（不含发动机）；销售汽车配件、建筑材料（不含危险化学品）、五金交电、化工产品、日用百货等（按许可证核定的事项和期限从事经营）（除依法须经批准的项目外，凭营业执照依法自主开展经营活动）。</w:t>
      </w:r>
    </w:p>
    <w:p>
      <w:pPr>
        <w:overflowPunct w:val="0"/>
        <w:adjustRightInd w:val="0"/>
        <w:snapToGrid w:val="0"/>
        <w:spacing w:line="594" w:lineRule="exact"/>
        <w:ind w:firstLine="632" w:firstLineChars="200"/>
        <w:outlineLvl w:val="1"/>
        <w:rPr>
          <w:rFonts w:eastAsia="方正楷体_GBK"/>
          <w:szCs w:val="32"/>
        </w:rPr>
      </w:pPr>
      <w:bookmarkStart w:id="8" w:name="_Toc229132236"/>
      <w:r>
        <w:rPr>
          <w:rFonts w:eastAsia="方正楷体_GBK"/>
          <w:szCs w:val="32"/>
        </w:rPr>
        <w:t>（二）事故发生单位安全管理情况</w:t>
      </w:r>
      <w:bookmarkEnd w:id="8"/>
    </w:p>
    <w:p>
      <w:pPr>
        <w:overflowPunct w:val="0"/>
        <w:adjustRightInd w:val="0"/>
        <w:snapToGrid w:val="0"/>
        <w:spacing w:line="594" w:lineRule="exact"/>
        <w:ind w:firstLine="632" w:firstLineChars="200"/>
        <w:rPr>
          <w:kern w:val="21"/>
          <w:szCs w:val="32"/>
        </w:rPr>
      </w:pPr>
      <w:r>
        <w:rPr>
          <w:kern w:val="21"/>
          <w:szCs w:val="32"/>
        </w:rPr>
        <w:t>重庆某公司制定</w:t>
      </w:r>
      <w:r>
        <w:rPr>
          <w:rFonts w:hint="eastAsia"/>
          <w:kern w:val="21"/>
          <w:szCs w:val="32"/>
        </w:rPr>
        <w:t>有</w:t>
      </w:r>
      <w:r>
        <w:rPr>
          <w:kern w:val="21"/>
          <w:szCs w:val="32"/>
        </w:rPr>
        <w:t>EHS体系制度，明确了安全管理部门，任命了安全管理人员，配备了设备管理部门</w:t>
      </w:r>
      <w:r>
        <w:rPr>
          <w:rFonts w:hint="eastAsia"/>
          <w:kern w:val="21"/>
          <w:szCs w:val="32"/>
        </w:rPr>
        <w:t>、</w:t>
      </w:r>
      <w:r>
        <w:rPr>
          <w:kern w:val="21"/>
          <w:szCs w:val="32"/>
        </w:rPr>
        <w:t>维修工程师及设备维修专业人员。公司建立了安全生产责任制、安全生产目标考核、安全生产会议、安全费用提取和管理、安全操作规程、隐患排查等安全生产制度。公司现有300余人，设立7个部门，配备了安全管理小组及4名（2名专职、2名兼职）安全管理人员。</w:t>
      </w:r>
      <w:r>
        <w:rPr>
          <w:rFonts w:hint="eastAsia"/>
          <w:kern w:val="21"/>
          <w:szCs w:val="32"/>
        </w:rPr>
        <w:t>严格组织</w:t>
      </w:r>
      <w:r>
        <w:rPr>
          <w:kern w:val="21"/>
          <w:szCs w:val="32"/>
        </w:rPr>
        <w:t>安全教育培训，人员均参加培训并考核合格后方可上岗</w:t>
      </w:r>
      <w:r>
        <w:rPr>
          <w:rFonts w:hint="eastAsia"/>
          <w:kern w:val="21"/>
          <w:szCs w:val="32"/>
        </w:rPr>
        <w:t>，</w:t>
      </w:r>
      <w:r>
        <w:rPr>
          <w:kern w:val="21"/>
          <w:szCs w:val="32"/>
        </w:rPr>
        <w:t>安全员</w:t>
      </w:r>
      <w:r>
        <w:rPr>
          <w:rFonts w:hint="eastAsia"/>
          <w:kern w:val="21"/>
          <w:szCs w:val="32"/>
        </w:rPr>
        <w:t>落实</w:t>
      </w:r>
      <w:r>
        <w:rPr>
          <w:kern w:val="21"/>
          <w:szCs w:val="32"/>
        </w:rPr>
        <w:t>作业人员的日常安全教育，班组长每日组织召开倒班会，提醒按章操作及安全注意事项；主要负责人每周组织安全管理人员对各部门开展综合安全检查，对问题隐患逐一登记造册，责令各部门按期整改，对违章人员进行处罚</w:t>
      </w:r>
      <w:r>
        <w:rPr>
          <w:rFonts w:hint="eastAsia"/>
          <w:kern w:val="21"/>
          <w:szCs w:val="32"/>
        </w:rPr>
        <w:t>并</w:t>
      </w:r>
      <w:r>
        <w:rPr>
          <w:kern w:val="21"/>
          <w:szCs w:val="32"/>
        </w:rPr>
        <w:t>通报，本年度以来发现工人违章行为3次，通报2次，处罚200元。</w:t>
      </w:r>
    </w:p>
    <w:bookmarkEnd w:id="7"/>
    <w:p>
      <w:pPr>
        <w:overflowPunct w:val="0"/>
        <w:adjustRightInd w:val="0"/>
        <w:snapToGrid w:val="0"/>
        <w:spacing w:line="594" w:lineRule="exact"/>
        <w:ind w:firstLine="632" w:firstLineChars="200"/>
        <w:outlineLvl w:val="1"/>
        <w:rPr>
          <w:rFonts w:eastAsia="方正楷体_GBK"/>
          <w:szCs w:val="32"/>
        </w:rPr>
      </w:pPr>
      <w:bookmarkStart w:id="9" w:name="_Toc172190262"/>
      <w:bookmarkStart w:id="10" w:name="_Toc229132237"/>
      <w:r>
        <w:rPr>
          <w:rFonts w:eastAsia="方正楷体_GBK"/>
          <w:szCs w:val="32"/>
        </w:rPr>
        <w:t>（三）事故发生经过</w:t>
      </w:r>
      <w:bookmarkEnd w:id="9"/>
      <w:bookmarkEnd w:id="10"/>
    </w:p>
    <w:p>
      <w:pPr>
        <w:overflowPunct w:val="0"/>
        <w:adjustRightInd w:val="0"/>
        <w:snapToGrid w:val="0"/>
        <w:spacing w:line="594" w:lineRule="exact"/>
        <w:ind w:firstLine="632" w:firstLineChars="200"/>
        <w:rPr>
          <w:szCs w:val="32"/>
        </w:rPr>
      </w:pPr>
      <w:bookmarkStart w:id="11" w:name="_Toc172190263"/>
      <w:r>
        <w:rPr>
          <w:szCs w:val="32"/>
        </w:rPr>
        <w:t>2026</w:t>
      </w:r>
      <w:r>
        <w:rPr>
          <w:rFonts w:hint="eastAsia"/>
          <w:szCs w:val="32"/>
        </w:rPr>
        <w:t>年</w:t>
      </w:r>
      <w:r>
        <w:rPr>
          <w:szCs w:val="32"/>
        </w:rPr>
        <w:t>3月12日20时许，根据工作安排，数控副机长陈某某和包装工人李某某到CLH-3.5*850数控板料开卷校平飞剪线（以下简称850飞剪线）作业，陈某某操作设备剪切材料，李某某在数控板料剪切运输平台后方的1</w:t>
      </w:r>
      <w:r>
        <w:rPr>
          <w:rFonts w:hint="eastAsia"/>
          <w:szCs w:val="32"/>
        </w:rPr>
        <w:t>、</w:t>
      </w:r>
      <w:r>
        <w:rPr>
          <w:szCs w:val="32"/>
        </w:rPr>
        <w:t>2号</w:t>
      </w:r>
      <w:r>
        <w:rPr>
          <w:rFonts w:hint="eastAsia"/>
          <w:szCs w:val="32"/>
        </w:rPr>
        <w:t>出料</w:t>
      </w:r>
      <w:r>
        <w:rPr>
          <w:szCs w:val="32"/>
        </w:rPr>
        <w:t>口处（</w:t>
      </w:r>
      <w:r>
        <w:rPr>
          <w:rFonts w:hint="eastAsia"/>
          <w:szCs w:val="32"/>
        </w:rPr>
        <w:t>距</w:t>
      </w:r>
      <w:r>
        <w:rPr>
          <w:szCs w:val="32"/>
        </w:rPr>
        <w:t>陈某某约20</w:t>
      </w:r>
      <w:r>
        <w:rPr>
          <w:rFonts w:hint="eastAsia"/>
          <w:szCs w:val="32"/>
        </w:rPr>
        <w:t>余</w:t>
      </w:r>
      <w:r>
        <w:rPr>
          <w:szCs w:val="32"/>
        </w:rPr>
        <w:t>米）</w:t>
      </w:r>
      <w:r>
        <w:rPr>
          <w:rFonts w:hint="eastAsia"/>
          <w:szCs w:val="32"/>
        </w:rPr>
        <w:t>打包</w:t>
      </w:r>
      <w:r>
        <w:rPr>
          <w:szCs w:val="32"/>
        </w:rPr>
        <w:t>剪切完成</w:t>
      </w:r>
      <w:r>
        <w:rPr>
          <w:rFonts w:hint="eastAsia"/>
          <w:szCs w:val="32"/>
        </w:rPr>
        <w:t>的</w:t>
      </w:r>
      <w:r>
        <w:rPr>
          <w:szCs w:val="32"/>
        </w:rPr>
        <w:t>成品</w:t>
      </w:r>
      <w:r>
        <w:rPr>
          <w:rFonts w:hint="eastAsia"/>
          <w:szCs w:val="32"/>
        </w:rPr>
        <w:t>材料</w:t>
      </w:r>
      <w:r>
        <w:rPr>
          <w:szCs w:val="32"/>
        </w:rPr>
        <w:t>。</w:t>
      </w:r>
    </w:p>
    <w:p>
      <w:pPr>
        <w:overflowPunct w:val="0"/>
        <w:adjustRightInd w:val="0"/>
        <w:snapToGrid w:val="0"/>
        <w:spacing w:line="594" w:lineRule="exact"/>
        <w:ind w:firstLine="632" w:firstLineChars="200"/>
        <w:rPr>
          <w:szCs w:val="32"/>
        </w:rPr>
      </w:pPr>
      <w:r>
        <w:rPr>
          <w:szCs w:val="32"/>
        </w:rPr>
        <w:t>13日凌晨1时10分许，李某某到陈某某作业旁的打印机处，将</w:t>
      </w:r>
      <w:r>
        <w:rPr>
          <w:rFonts w:hint="eastAsia"/>
          <w:szCs w:val="32"/>
        </w:rPr>
        <w:t>打包</w:t>
      </w:r>
      <w:r>
        <w:rPr>
          <w:szCs w:val="32"/>
        </w:rPr>
        <w:t>完成的</w:t>
      </w:r>
      <w:r>
        <w:rPr>
          <w:rFonts w:hint="eastAsia"/>
          <w:szCs w:val="32"/>
        </w:rPr>
        <w:t>成品</w:t>
      </w:r>
      <w:r>
        <w:rPr>
          <w:szCs w:val="32"/>
        </w:rPr>
        <w:t>材料通过行车起吊进行称重、计数</w:t>
      </w:r>
      <w:r>
        <w:rPr>
          <w:rFonts w:hint="eastAsia"/>
          <w:szCs w:val="32"/>
        </w:rPr>
        <w:t>并记录。1时3</w:t>
      </w:r>
      <w:r>
        <w:rPr>
          <w:szCs w:val="32"/>
        </w:rPr>
        <w:t>0</w:t>
      </w:r>
      <w:r>
        <w:rPr>
          <w:rFonts w:hint="eastAsia"/>
          <w:szCs w:val="32"/>
        </w:rPr>
        <w:t>分许</w:t>
      </w:r>
      <w:r>
        <w:rPr>
          <w:szCs w:val="32"/>
        </w:rPr>
        <w:t>，李某某回到2号出料口</w:t>
      </w:r>
      <w:r>
        <w:rPr>
          <w:rFonts w:hint="eastAsia"/>
          <w:szCs w:val="32"/>
        </w:rPr>
        <w:t>处继续打包材料。1时3</w:t>
      </w:r>
      <w:r>
        <w:rPr>
          <w:szCs w:val="32"/>
        </w:rPr>
        <w:t>7</w:t>
      </w:r>
      <w:r>
        <w:rPr>
          <w:rFonts w:hint="eastAsia"/>
          <w:szCs w:val="32"/>
        </w:rPr>
        <w:t>分许</w:t>
      </w:r>
      <w:r>
        <w:rPr>
          <w:szCs w:val="32"/>
        </w:rPr>
        <w:t>，李某某到1号出料口时，看见陈某某</w:t>
      </w:r>
      <w:r>
        <w:rPr>
          <w:rFonts w:hint="eastAsia"/>
          <w:szCs w:val="32"/>
        </w:rPr>
        <w:t>胸腹部</w:t>
      </w:r>
      <w:r>
        <w:rPr>
          <w:szCs w:val="32"/>
        </w:rPr>
        <w:t>卡在850飞剪线4</w:t>
      </w:r>
      <w:r>
        <w:rPr>
          <w:rFonts w:hint="eastAsia"/>
          <w:szCs w:val="32"/>
        </w:rPr>
        <w:t>#</w:t>
      </w:r>
      <w:r>
        <w:rPr>
          <w:szCs w:val="32"/>
        </w:rPr>
        <w:t>传输带与数控平台钢架体之间</w:t>
      </w:r>
      <w:r>
        <w:rPr>
          <w:rFonts w:hint="eastAsia"/>
          <w:szCs w:val="32"/>
        </w:rPr>
        <w:t>，面部朝下，</w:t>
      </w:r>
      <w:r>
        <w:rPr>
          <w:szCs w:val="32"/>
        </w:rPr>
        <w:t>4</w:t>
      </w:r>
      <w:r>
        <w:rPr>
          <w:rFonts w:hint="eastAsia"/>
          <w:szCs w:val="32"/>
        </w:rPr>
        <w:t>#</w:t>
      </w:r>
      <w:r>
        <w:rPr>
          <w:szCs w:val="32"/>
        </w:rPr>
        <w:t>传输带</w:t>
      </w:r>
      <w:r>
        <w:rPr>
          <w:rFonts w:hint="eastAsia"/>
          <w:szCs w:val="32"/>
        </w:rPr>
        <w:t>仍</w:t>
      </w:r>
      <w:r>
        <w:rPr>
          <w:szCs w:val="32"/>
        </w:rPr>
        <w:t>在运转</w:t>
      </w:r>
      <w:r>
        <w:rPr>
          <w:rFonts w:hint="eastAsia"/>
          <w:szCs w:val="32"/>
        </w:rPr>
        <w:t>。</w:t>
      </w:r>
      <w:r>
        <w:rPr>
          <w:szCs w:val="32"/>
        </w:rPr>
        <w:t>李某某呼叫陈某某</w:t>
      </w:r>
      <w:r>
        <w:rPr>
          <w:rFonts w:hint="eastAsia"/>
          <w:szCs w:val="32"/>
        </w:rPr>
        <w:t>，</w:t>
      </w:r>
      <w:r>
        <w:rPr>
          <w:szCs w:val="32"/>
        </w:rPr>
        <w:t>无反应。</w:t>
      </w:r>
    </w:p>
    <w:p>
      <w:pPr>
        <w:overflowPunct w:val="0"/>
        <w:adjustRightInd w:val="0"/>
        <w:snapToGrid w:val="0"/>
        <w:spacing w:line="594" w:lineRule="exact"/>
        <w:ind w:firstLine="632" w:firstLineChars="200"/>
        <w:outlineLvl w:val="1"/>
        <w:rPr>
          <w:rFonts w:eastAsia="方正楷体_GBK"/>
          <w:szCs w:val="32"/>
        </w:rPr>
      </w:pPr>
      <w:bookmarkStart w:id="12" w:name="_Toc229132238"/>
      <w:r>
        <w:rPr>
          <w:rFonts w:eastAsia="方正楷体_GBK"/>
          <w:szCs w:val="32"/>
        </w:rPr>
        <w:t>（四）事故现场情况</w:t>
      </w:r>
      <w:bookmarkEnd w:id="11"/>
      <w:bookmarkEnd w:id="12"/>
    </w:p>
    <w:p>
      <w:pPr>
        <w:spacing w:line="594" w:lineRule="exact"/>
        <w:ind w:firstLine="632" w:firstLineChars="200"/>
        <w:rPr>
          <w:szCs w:val="32"/>
        </w:rPr>
      </w:pPr>
      <w:r>
        <w:rPr>
          <w:szCs w:val="32"/>
        </w:rPr>
        <w:t>2026年3月13日，事故调查组调查人员、技术组对事故现场进行了详细的踏勘，向现场有关人员了解了相关情况。</w:t>
      </w:r>
    </w:p>
    <w:p>
      <w:pPr>
        <w:spacing w:line="594" w:lineRule="exact"/>
        <w:ind w:firstLine="632" w:firstLineChars="200"/>
        <w:rPr>
          <w:szCs w:val="32"/>
        </w:rPr>
      </w:pPr>
      <w:r>
        <w:rPr>
          <w:szCs w:val="32"/>
        </w:rPr>
        <w:t>1.事故现场环境</w:t>
      </w:r>
    </w:p>
    <w:p>
      <w:pPr>
        <w:tabs>
          <w:tab w:val="left" w:pos="1586"/>
          <w:tab w:val="left" w:pos="6493"/>
        </w:tabs>
        <w:spacing w:line="594" w:lineRule="exact"/>
        <w:ind w:firstLine="632" w:firstLineChars="200"/>
        <w:rPr>
          <w:szCs w:val="32"/>
        </w:rPr>
      </w:pPr>
      <w:r>
        <w:rPr>
          <w:szCs w:val="32"/>
        </w:rPr>
        <w:t>重庆某公司在</w:t>
      </w:r>
      <w:r>
        <w:rPr>
          <w:rFonts w:hint="eastAsia"/>
          <w:szCs w:val="32"/>
        </w:rPr>
        <w:t>两江新区</w:t>
      </w:r>
      <w:r>
        <w:rPr>
          <w:szCs w:val="32"/>
        </w:rPr>
        <w:t>石船镇</w:t>
      </w:r>
      <w:r>
        <w:rPr>
          <w:rFonts w:hint="eastAsia"/>
          <w:szCs w:val="32"/>
        </w:rPr>
        <w:t>某</w:t>
      </w:r>
      <w:r>
        <w:rPr>
          <w:szCs w:val="32"/>
        </w:rPr>
        <w:t>路</w:t>
      </w:r>
      <w:r>
        <w:rPr>
          <w:rFonts w:hint="eastAsia"/>
          <w:szCs w:val="32"/>
        </w:rPr>
        <w:t>某</w:t>
      </w:r>
      <w:r>
        <w:rPr>
          <w:szCs w:val="32"/>
        </w:rPr>
        <w:t>号厂区租赁4000</w:t>
      </w:r>
      <w:r>
        <w:rPr>
          <w:rFonts w:hint="eastAsia"/>
          <w:szCs w:val="32"/>
        </w:rPr>
        <w:t>㎡</w:t>
      </w:r>
      <w:r>
        <w:rPr>
          <w:szCs w:val="32"/>
        </w:rPr>
        <w:t>厂房建设剪切车间，进行汽车钢板开卷剪切生产。剪切车间内共4条开卷生产线，本次事故发生在850飞剪线的4#输送带中部。经查，事故设备周围无维修工具，4#输送带下方地面存放少量生产辅助材料，发生事故断电后设备</w:t>
      </w:r>
      <w:r>
        <w:rPr>
          <w:rFonts w:hint="eastAsia"/>
          <w:szCs w:val="32"/>
        </w:rPr>
        <w:t>未</w:t>
      </w:r>
      <w:r>
        <w:rPr>
          <w:szCs w:val="32"/>
        </w:rPr>
        <w:t>启动。850飞剪线长度</w:t>
      </w:r>
      <w:r>
        <w:rPr>
          <w:rFonts w:hint="eastAsia"/>
          <w:szCs w:val="32"/>
        </w:rPr>
        <w:t>约</w:t>
      </w:r>
      <w:r>
        <w:rPr>
          <w:szCs w:val="32"/>
        </w:rPr>
        <w:t>25米，4#输送带在生产线靠近中控台部位，事故设备区域情况见下图。</w:t>
      </w:r>
    </w:p>
    <w:p>
      <w:pPr>
        <w:tabs>
          <w:tab w:val="left" w:pos="1586"/>
          <w:tab w:val="left" w:pos="6493"/>
        </w:tabs>
        <w:spacing w:line="360" w:lineRule="auto"/>
        <w:ind w:firstLine="412" w:firstLineChars="200"/>
        <w:rPr>
          <w:rFonts w:eastAsia="宋体"/>
          <w:szCs w:val="32"/>
        </w:rPr>
      </w:pPr>
      <w:r>
        <w:rPr>
          <w:rFonts w:ascii="Calibri" w:hAnsi="Calibri" w:eastAsia="宋体"/>
          <w:sz w:val="21"/>
          <w:szCs w:val="22"/>
        </w:rPr>
        <w:drawing>
          <wp:anchor distT="0" distB="0" distL="114300" distR="114300" simplePos="0" relativeHeight="251667456" behindDoc="0" locked="0" layoutInCell="1" allowOverlap="1">
            <wp:simplePos x="0" y="0"/>
            <wp:positionH relativeFrom="column">
              <wp:posOffset>219710</wp:posOffset>
            </wp:positionH>
            <wp:positionV relativeFrom="paragraph">
              <wp:posOffset>74930</wp:posOffset>
            </wp:positionV>
            <wp:extent cx="5192395" cy="2027555"/>
            <wp:effectExtent l="0" t="0" r="8890" b="0"/>
            <wp:wrapNone/>
            <wp:docPr id="10"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true" noChangeArrowheads="true"/>
                    </pic:cNvPicPr>
                  </pic:nvPicPr>
                  <pic:blipFill>
                    <a:blip r:embed="rId6">
                      <a:extLst>
                        <a:ext uri="{28A0092B-C50C-407E-A947-70E740481C1C}">
                          <a14:useLocalDpi xmlns:a14="http://schemas.microsoft.com/office/drawing/2010/main" val="false"/>
                        </a:ext>
                      </a:extLst>
                    </a:blip>
                    <a:srcRect/>
                    <a:stretch>
                      <a:fillRect/>
                    </a:stretch>
                  </pic:blipFill>
                  <pic:spPr>
                    <a:xfrm>
                      <a:off x="0" y="0"/>
                      <a:ext cx="5192202" cy="2027800"/>
                    </a:xfrm>
                    <a:prstGeom prst="rect">
                      <a:avLst/>
                    </a:prstGeom>
                    <a:noFill/>
                    <a:ln>
                      <a:noFill/>
                    </a:ln>
                    <a:effectLst/>
                  </pic:spPr>
                </pic:pic>
              </a:graphicData>
            </a:graphic>
          </wp:anchor>
        </w:drawing>
      </w:r>
    </w:p>
    <w:p>
      <w:pPr>
        <w:tabs>
          <w:tab w:val="left" w:pos="1586"/>
          <w:tab w:val="left" w:pos="6493"/>
        </w:tabs>
        <w:spacing w:line="360" w:lineRule="auto"/>
        <w:ind w:firstLine="632" w:firstLineChars="200"/>
        <w:rPr>
          <w:szCs w:val="32"/>
        </w:rPr>
      </w:pPr>
    </w:p>
    <w:p>
      <w:pPr>
        <w:tabs>
          <w:tab w:val="left" w:pos="1586"/>
          <w:tab w:val="left" w:pos="6493"/>
        </w:tabs>
        <w:spacing w:line="360" w:lineRule="auto"/>
        <w:ind w:firstLine="632" w:firstLineChars="200"/>
        <w:rPr>
          <w:szCs w:val="32"/>
        </w:rPr>
      </w:pPr>
    </w:p>
    <w:p>
      <w:pPr>
        <w:tabs>
          <w:tab w:val="left" w:pos="1586"/>
          <w:tab w:val="left" w:pos="6493"/>
        </w:tabs>
        <w:spacing w:line="360" w:lineRule="auto"/>
        <w:ind w:firstLine="632" w:firstLineChars="200"/>
        <w:rPr>
          <w:szCs w:val="32"/>
        </w:rPr>
      </w:pPr>
    </w:p>
    <w:p>
      <w:pPr>
        <w:spacing w:line="594" w:lineRule="exact"/>
        <w:ind w:firstLine="632" w:firstLineChars="200"/>
        <w:rPr>
          <w:szCs w:val="32"/>
        </w:rPr>
      </w:pPr>
      <w:r>
        <w:rPr>
          <w:szCs w:val="32"/>
        </w:rPr>
        <w:t>2.事故现场设备设施检查</w:t>
      </w:r>
      <w:r>
        <w:rPr>
          <w:rFonts w:hint="eastAsia"/>
          <w:szCs w:val="32"/>
        </w:rPr>
        <w:t>情况</w:t>
      </w:r>
    </w:p>
    <w:p>
      <w:pPr>
        <w:overflowPunct w:val="0"/>
        <w:adjustRightInd w:val="0"/>
        <w:snapToGrid w:val="0"/>
        <w:spacing w:line="594" w:lineRule="exact"/>
        <w:ind w:firstLine="632" w:firstLineChars="200"/>
        <w:rPr>
          <w:szCs w:val="32"/>
        </w:rPr>
      </w:pPr>
      <w:r>
        <w:rPr>
          <w:szCs w:val="32"/>
        </w:rPr>
        <w:t>（1）850</w:t>
      </w:r>
      <w:r>
        <w:rPr>
          <w:rFonts w:hint="eastAsia"/>
          <w:szCs w:val="32"/>
        </w:rPr>
        <w:t>飞剪线</w:t>
      </w:r>
      <w:r>
        <w:rPr>
          <w:szCs w:val="32"/>
        </w:rPr>
        <w:t>输送带基本情况</w:t>
      </w:r>
    </w:p>
    <w:p>
      <w:pPr>
        <w:overflowPunct w:val="0"/>
        <w:adjustRightInd w:val="0"/>
        <w:snapToGrid w:val="0"/>
        <w:spacing w:line="600" w:lineRule="exact"/>
        <w:ind w:firstLine="632" w:firstLineChars="200"/>
        <w:rPr>
          <w:rFonts w:eastAsia="宋体"/>
          <w:szCs w:val="32"/>
        </w:rPr>
      </w:pPr>
      <w:r>
        <w:rPr>
          <w:szCs w:val="32"/>
        </w:rPr>
        <w:drawing>
          <wp:anchor distT="0" distB="0" distL="114300" distR="114300" simplePos="0" relativeHeight="251663360" behindDoc="0" locked="0" layoutInCell="1" allowOverlap="1">
            <wp:simplePos x="0" y="0"/>
            <wp:positionH relativeFrom="column">
              <wp:posOffset>163830</wp:posOffset>
            </wp:positionH>
            <wp:positionV relativeFrom="paragraph">
              <wp:posOffset>111125</wp:posOffset>
            </wp:positionV>
            <wp:extent cx="5471160" cy="2414905"/>
            <wp:effectExtent l="0" t="0" r="0" b="4445"/>
            <wp:wrapNone/>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noChangeArrowheads="true"/>
                    </pic:cNvPicPr>
                  </pic:nvPicPr>
                  <pic:blipFill>
                    <a:blip r:embed="rId7">
                      <a:extLst>
                        <a:ext uri="{28A0092B-C50C-407E-A947-70E740481C1C}">
                          <a14:useLocalDpi xmlns:a14="http://schemas.microsoft.com/office/drawing/2010/main" val="false"/>
                        </a:ext>
                      </a:extLst>
                    </a:blip>
                    <a:srcRect/>
                    <a:stretch>
                      <a:fillRect/>
                    </a:stretch>
                  </pic:blipFill>
                  <pic:spPr>
                    <a:xfrm>
                      <a:off x="0" y="0"/>
                      <a:ext cx="5470966" cy="2415095"/>
                    </a:xfrm>
                    <a:prstGeom prst="rect">
                      <a:avLst/>
                    </a:prstGeom>
                    <a:noFill/>
                    <a:ln>
                      <a:noFill/>
                    </a:ln>
                    <a:effectLst/>
                  </pic:spPr>
                </pic:pic>
              </a:graphicData>
            </a:graphic>
          </wp:anchor>
        </w:drawing>
      </w:r>
    </w:p>
    <w:p>
      <w:pPr>
        <w:overflowPunct w:val="0"/>
        <w:adjustRightInd w:val="0"/>
        <w:snapToGrid w:val="0"/>
        <w:spacing w:line="600" w:lineRule="exact"/>
        <w:ind w:firstLine="632" w:firstLineChars="200"/>
        <w:rPr>
          <w:rFonts w:eastAsia="宋体"/>
          <w:szCs w:val="32"/>
        </w:rPr>
      </w:pPr>
    </w:p>
    <w:p>
      <w:pPr>
        <w:overflowPunct w:val="0"/>
        <w:adjustRightInd w:val="0"/>
        <w:snapToGrid w:val="0"/>
        <w:spacing w:line="600" w:lineRule="exact"/>
        <w:ind w:firstLine="632" w:firstLineChars="200"/>
        <w:rPr>
          <w:rFonts w:eastAsia="宋体"/>
          <w:szCs w:val="32"/>
        </w:rPr>
      </w:pPr>
    </w:p>
    <w:p>
      <w:pPr>
        <w:overflowPunct w:val="0"/>
        <w:adjustRightInd w:val="0"/>
        <w:snapToGrid w:val="0"/>
        <w:spacing w:line="600" w:lineRule="exact"/>
        <w:ind w:firstLine="632" w:firstLineChars="200"/>
        <w:rPr>
          <w:rFonts w:eastAsia="宋体"/>
          <w:szCs w:val="32"/>
        </w:rPr>
      </w:pPr>
    </w:p>
    <w:p>
      <w:pPr>
        <w:overflowPunct w:val="0"/>
        <w:adjustRightInd w:val="0"/>
        <w:snapToGrid w:val="0"/>
        <w:spacing w:line="600" w:lineRule="exact"/>
        <w:ind w:firstLine="632" w:firstLineChars="200"/>
        <w:rPr>
          <w:rFonts w:eastAsia="宋体"/>
          <w:szCs w:val="32"/>
        </w:rPr>
      </w:pPr>
    </w:p>
    <w:p>
      <w:pPr>
        <w:overflowPunct w:val="0"/>
        <w:adjustRightInd w:val="0"/>
        <w:snapToGrid w:val="0"/>
        <w:spacing w:line="600" w:lineRule="exact"/>
        <w:rPr>
          <w:rFonts w:eastAsia="宋体"/>
          <w:szCs w:val="32"/>
        </w:rPr>
      </w:pPr>
    </w:p>
    <w:p>
      <w:pPr>
        <w:spacing w:line="579" w:lineRule="exact"/>
        <w:ind w:firstLine="632" w:firstLineChars="200"/>
        <w:jc w:val="left"/>
        <w:rPr>
          <w:szCs w:val="32"/>
        </w:rPr>
      </w:pPr>
    </w:p>
    <w:p>
      <w:pPr>
        <w:spacing w:line="594" w:lineRule="exact"/>
        <w:ind w:firstLine="632" w:firstLineChars="200"/>
        <w:rPr>
          <w:szCs w:val="32"/>
        </w:rPr>
      </w:pPr>
      <w:r>
        <w:rPr>
          <w:szCs w:val="32"/>
        </w:rPr>
        <w:t>4#输送带安装在850飞剪线中部，作用是输送剪切合格的钢板。4#输送带是一条典型的皮带输送机，通过</w:t>
      </w:r>
      <w:r>
        <w:rPr>
          <w:rFonts w:hint="eastAsia"/>
          <w:szCs w:val="32"/>
        </w:rPr>
        <w:t>两</w:t>
      </w:r>
      <w:r>
        <w:rPr>
          <w:szCs w:val="32"/>
        </w:rPr>
        <w:t>端的机械结构与下方平台钢架连接，一端是可转动角度</w:t>
      </w:r>
      <w:r>
        <w:rPr>
          <w:rFonts w:hint="eastAsia"/>
          <w:szCs w:val="32"/>
        </w:rPr>
        <w:t>的</w:t>
      </w:r>
      <w:r>
        <w:rPr>
          <w:szCs w:val="32"/>
        </w:rPr>
        <w:t>铰链</w:t>
      </w:r>
      <w:r>
        <w:rPr>
          <w:rFonts w:hint="eastAsia"/>
          <w:szCs w:val="32"/>
        </w:rPr>
        <w:t>，</w:t>
      </w:r>
      <w:r>
        <w:rPr>
          <w:szCs w:val="32"/>
        </w:rPr>
        <w:t>一端是可上升下降</w:t>
      </w:r>
      <w:r>
        <w:rPr>
          <w:rFonts w:hint="eastAsia"/>
          <w:szCs w:val="32"/>
        </w:rPr>
        <w:t>的两</w:t>
      </w:r>
      <w:r>
        <w:rPr>
          <w:szCs w:val="32"/>
        </w:rPr>
        <w:t>只气缸</w:t>
      </w:r>
      <w:r>
        <w:rPr>
          <w:rFonts w:hint="eastAsia"/>
          <w:szCs w:val="32"/>
        </w:rPr>
        <w:t>（</w:t>
      </w:r>
      <w:r>
        <w:rPr>
          <w:szCs w:val="32"/>
        </w:rPr>
        <w:t>通过操作中控台按钮向压缩空气电磁阀发出信号</w:t>
      </w:r>
      <w:r>
        <w:rPr>
          <w:rFonts w:hint="eastAsia"/>
          <w:szCs w:val="32"/>
        </w:rPr>
        <w:t>、</w:t>
      </w:r>
      <w:r>
        <w:rPr>
          <w:szCs w:val="32"/>
        </w:rPr>
        <w:t>开关压缩空气通道</w:t>
      </w:r>
      <w:r>
        <w:rPr>
          <w:rFonts w:hint="eastAsia"/>
          <w:szCs w:val="32"/>
        </w:rPr>
        <w:t>、</w:t>
      </w:r>
      <w:r>
        <w:rPr>
          <w:szCs w:val="32"/>
        </w:rPr>
        <w:t>使气缸动作</w:t>
      </w:r>
      <w:r>
        <w:rPr>
          <w:rFonts w:hint="eastAsia"/>
          <w:szCs w:val="32"/>
        </w:rPr>
        <w:t>，</w:t>
      </w:r>
      <w:r>
        <w:rPr>
          <w:szCs w:val="32"/>
        </w:rPr>
        <w:t>完成输送带上升下降</w:t>
      </w:r>
      <w:r>
        <w:rPr>
          <w:rFonts w:hint="eastAsia"/>
          <w:szCs w:val="32"/>
        </w:rPr>
        <w:t>）</w:t>
      </w:r>
      <w:r>
        <w:rPr>
          <w:szCs w:val="32"/>
        </w:rPr>
        <w:t>。4#输送带</w:t>
      </w:r>
      <w:r>
        <w:rPr>
          <w:rFonts w:hint="eastAsia"/>
          <w:szCs w:val="32"/>
        </w:rPr>
        <w:t>两</w:t>
      </w:r>
      <w:r>
        <w:rPr>
          <w:szCs w:val="32"/>
        </w:rPr>
        <w:t>端侧面各张贴</w:t>
      </w:r>
      <w:r>
        <w:rPr>
          <w:rFonts w:hint="eastAsia"/>
          <w:szCs w:val="32"/>
        </w:rPr>
        <w:t>有</w:t>
      </w:r>
      <w:r>
        <w:rPr>
          <w:szCs w:val="32"/>
        </w:rPr>
        <w:t>一张安全警示标识</w:t>
      </w:r>
      <w:r>
        <w:rPr>
          <w:rFonts w:hint="eastAsia"/>
          <w:szCs w:val="32"/>
        </w:rPr>
        <w:t>。</w:t>
      </w:r>
      <w:r>
        <w:rPr>
          <w:szCs w:val="32"/>
        </w:rPr>
        <w:t>警告转动的皮带可能对人体造成伤害，</w:t>
      </w:r>
      <w:r>
        <w:rPr>
          <w:rFonts w:hint="eastAsia"/>
          <w:szCs w:val="32"/>
        </w:rPr>
        <w:t>没有</w:t>
      </w:r>
      <w:r>
        <w:rPr>
          <w:szCs w:val="32"/>
        </w:rPr>
        <w:t>挤压风险警示。同时，4#输送带下方还存放3#输送带的不合格钢板塑料筐，此区域需要工人进行操作。</w:t>
      </w:r>
    </w:p>
    <w:p>
      <w:pPr>
        <w:spacing w:line="594" w:lineRule="exact"/>
        <w:ind w:firstLine="632" w:firstLineChars="200"/>
        <w:jc w:val="left"/>
        <w:rPr>
          <w:szCs w:val="32"/>
        </w:rPr>
      </w:pPr>
      <w:r>
        <w:rPr>
          <w:szCs w:val="32"/>
        </w:rPr>
        <w:t>（2）850飞剪线相关数据和状态</w:t>
      </w:r>
    </w:p>
    <w:p>
      <w:pPr>
        <w:spacing w:line="594" w:lineRule="exact"/>
        <w:ind w:firstLine="632" w:firstLineChars="200"/>
        <w:rPr>
          <w:szCs w:val="32"/>
        </w:rPr>
      </w:pPr>
      <w:r>
        <w:rPr>
          <w:rFonts w:hint="eastAsia"/>
          <w:szCs w:val="32"/>
        </w:rPr>
        <w:t>技术</w:t>
      </w:r>
      <w:r>
        <w:rPr>
          <w:szCs w:val="32"/>
        </w:rPr>
        <w:t>组了解设备功能，测量设备相关尺寸。850飞剪线设备具体数据见下表：</w:t>
      </w:r>
    </w:p>
    <w:tbl>
      <w:tblPr>
        <w:tblStyle w:val="19"/>
        <w:tblpPr w:leftFromText="180" w:rightFromText="180" w:horzAnchor="margin" w:tblpY="200"/>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2977"/>
        <w:gridCol w:w="1833"/>
        <w:gridCol w:w="2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860" w:type="dxa"/>
            <w:vAlign w:val="center"/>
          </w:tcPr>
          <w:p>
            <w:pPr>
              <w:spacing w:line="594" w:lineRule="exact"/>
              <w:jc w:val="center"/>
              <w:rPr>
                <w:sz w:val="24"/>
                <w:szCs w:val="24"/>
              </w:rPr>
            </w:pPr>
            <w:r>
              <w:rPr>
                <w:sz w:val="24"/>
                <w:szCs w:val="24"/>
              </w:rPr>
              <w:t>设备名称</w:t>
            </w:r>
          </w:p>
        </w:tc>
        <w:tc>
          <w:tcPr>
            <w:tcW w:w="2977" w:type="dxa"/>
            <w:vAlign w:val="center"/>
          </w:tcPr>
          <w:p>
            <w:pPr>
              <w:spacing w:line="594" w:lineRule="exact"/>
              <w:jc w:val="center"/>
              <w:rPr>
                <w:sz w:val="24"/>
                <w:szCs w:val="24"/>
              </w:rPr>
            </w:pPr>
            <w:r>
              <w:rPr>
                <w:sz w:val="24"/>
                <w:szCs w:val="24"/>
              </w:rPr>
              <w:t>数控板料开卷校平飞剪线</w:t>
            </w:r>
          </w:p>
        </w:tc>
        <w:tc>
          <w:tcPr>
            <w:tcW w:w="1833" w:type="dxa"/>
            <w:vAlign w:val="center"/>
          </w:tcPr>
          <w:p>
            <w:pPr>
              <w:spacing w:line="594" w:lineRule="exact"/>
              <w:jc w:val="center"/>
              <w:rPr>
                <w:sz w:val="24"/>
                <w:szCs w:val="24"/>
              </w:rPr>
            </w:pPr>
            <w:r>
              <w:rPr>
                <w:sz w:val="24"/>
                <w:szCs w:val="24"/>
              </w:rPr>
              <w:t>设备型号</w:t>
            </w:r>
          </w:p>
        </w:tc>
        <w:tc>
          <w:tcPr>
            <w:tcW w:w="2561" w:type="dxa"/>
            <w:vAlign w:val="center"/>
          </w:tcPr>
          <w:p>
            <w:pPr>
              <w:spacing w:line="594" w:lineRule="exact"/>
              <w:jc w:val="center"/>
              <w:rPr>
                <w:sz w:val="24"/>
                <w:szCs w:val="24"/>
              </w:rPr>
            </w:pPr>
            <w:r>
              <w:rPr>
                <w:sz w:val="24"/>
                <w:szCs w:val="24"/>
              </w:rPr>
              <w:t>CLH-3.5x850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860" w:type="dxa"/>
            <w:vAlign w:val="center"/>
          </w:tcPr>
          <w:p>
            <w:pPr>
              <w:spacing w:line="594" w:lineRule="exact"/>
              <w:jc w:val="center"/>
              <w:rPr>
                <w:sz w:val="24"/>
                <w:szCs w:val="24"/>
              </w:rPr>
            </w:pPr>
            <w:r>
              <w:rPr>
                <w:sz w:val="24"/>
                <w:szCs w:val="24"/>
              </w:rPr>
              <w:t>可剪最大板厚</w:t>
            </w:r>
          </w:p>
        </w:tc>
        <w:tc>
          <w:tcPr>
            <w:tcW w:w="2977" w:type="dxa"/>
            <w:vAlign w:val="center"/>
          </w:tcPr>
          <w:p>
            <w:pPr>
              <w:spacing w:line="594" w:lineRule="exact"/>
              <w:jc w:val="center"/>
              <w:rPr>
                <w:sz w:val="24"/>
                <w:szCs w:val="24"/>
              </w:rPr>
            </w:pPr>
            <w:r>
              <w:rPr>
                <w:sz w:val="24"/>
                <w:szCs w:val="24"/>
              </w:rPr>
              <w:t>3.5mm</w:t>
            </w:r>
          </w:p>
        </w:tc>
        <w:tc>
          <w:tcPr>
            <w:tcW w:w="1833" w:type="dxa"/>
            <w:vAlign w:val="center"/>
          </w:tcPr>
          <w:p>
            <w:pPr>
              <w:spacing w:line="594" w:lineRule="exact"/>
              <w:jc w:val="center"/>
              <w:rPr>
                <w:sz w:val="24"/>
                <w:szCs w:val="24"/>
              </w:rPr>
            </w:pPr>
            <w:r>
              <w:rPr>
                <w:sz w:val="24"/>
                <w:szCs w:val="24"/>
              </w:rPr>
              <w:t>可剪最大板宽</w:t>
            </w:r>
          </w:p>
        </w:tc>
        <w:tc>
          <w:tcPr>
            <w:tcW w:w="2561" w:type="dxa"/>
            <w:vAlign w:val="center"/>
          </w:tcPr>
          <w:p>
            <w:pPr>
              <w:spacing w:line="594" w:lineRule="exact"/>
              <w:jc w:val="center"/>
              <w:rPr>
                <w:sz w:val="24"/>
                <w:szCs w:val="24"/>
              </w:rPr>
            </w:pPr>
            <w:r>
              <w:rPr>
                <w:sz w:val="24"/>
                <w:szCs w:val="24"/>
              </w:rPr>
              <w:t>850mm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860" w:type="dxa"/>
            <w:vAlign w:val="center"/>
          </w:tcPr>
          <w:p>
            <w:pPr>
              <w:spacing w:line="594" w:lineRule="exact"/>
              <w:jc w:val="center"/>
              <w:rPr>
                <w:sz w:val="24"/>
                <w:szCs w:val="24"/>
              </w:rPr>
            </w:pPr>
            <w:r>
              <w:rPr>
                <w:sz w:val="24"/>
                <w:szCs w:val="24"/>
              </w:rPr>
              <w:t>钢卷重量</w:t>
            </w:r>
          </w:p>
        </w:tc>
        <w:tc>
          <w:tcPr>
            <w:tcW w:w="2977" w:type="dxa"/>
            <w:vAlign w:val="center"/>
          </w:tcPr>
          <w:p>
            <w:pPr>
              <w:spacing w:line="594" w:lineRule="exact"/>
              <w:jc w:val="center"/>
              <w:rPr>
                <w:sz w:val="24"/>
                <w:szCs w:val="24"/>
              </w:rPr>
            </w:pPr>
            <w:r>
              <w:rPr>
                <w:sz w:val="24"/>
                <w:szCs w:val="24"/>
              </w:rPr>
              <w:t>最大8000KG</w:t>
            </w:r>
          </w:p>
        </w:tc>
        <w:tc>
          <w:tcPr>
            <w:tcW w:w="1833" w:type="dxa"/>
            <w:vAlign w:val="center"/>
          </w:tcPr>
          <w:p>
            <w:pPr>
              <w:spacing w:line="594" w:lineRule="exact"/>
              <w:jc w:val="center"/>
              <w:rPr>
                <w:sz w:val="24"/>
                <w:szCs w:val="24"/>
              </w:rPr>
            </w:pPr>
            <w:r>
              <w:rPr>
                <w:sz w:val="24"/>
                <w:szCs w:val="24"/>
              </w:rPr>
              <w:t>电源电压</w:t>
            </w:r>
          </w:p>
        </w:tc>
        <w:tc>
          <w:tcPr>
            <w:tcW w:w="2561" w:type="dxa"/>
            <w:vAlign w:val="center"/>
          </w:tcPr>
          <w:p>
            <w:pPr>
              <w:spacing w:line="594" w:lineRule="exact"/>
              <w:jc w:val="center"/>
              <w:rPr>
                <w:sz w:val="24"/>
                <w:szCs w:val="24"/>
              </w:rPr>
            </w:pPr>
            <w:r>
              <w:rPr>
                <w:sz w:val="24"/>
                <w:szCs w:val="24"/>
              </w:rPr>
              <w:t>三相380V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860" w:type="dxa"/>
            <w:vAlign w:val="center"/>
          </w:tcPr>
          <w:p>
            <w:pPr>
              <w:spacing w:line="594" w:lineRule="exact"/>
              <w:jc w:val="center"/>
              <w:rPr>
                <w:sz w:val="24"/>
                <w:szCs w:val="24"/>
              </w:rPr>
            </w:pPr>
            <w:r>
              <w:rPr>
                <w:sz w:val="24"/>
                <w:szCs w:val="24"/>
              </w:rPr>
              <w:t>运行标高</w:t>
            </w:r>
          </w:p>
        </w:tc>
        <w:tc>
          <w:tcPr>
            <w:tcW w:w="2977" w:type="dxa"/>
            <w:vAlign w:val="center"/>
          </w:tcPr>
          <w:p>
            <w:pPr>
              <w:spacing w:line="594" w:lineRule="exact"/>
              <w:jc w:val="center"/>
              <w:rPr>
                <w:sz w:val="24"/>
                <w:szCs w:val="24"/>
              </w:rPr>
            </w:pPr>
            <w:r>
              <w:rPr>
                <w:sz w:val="24"/>
                <w:szCs w:val="24"/>
              </w:rPr>
              <w:t>1100mm</w:t>
            </w:r>
          </w:p>
        </w:tc>
        <w:tc>
          <w:tcPr>
            <w:tcW w:w="1833" w:type="dxa"/>
            <w:vAlign w:val="center"/>
          </w:tcPr>
          <w:p>
            <w:pPr>
              <w:spacing w:line="594" w:lineRule="exact"/>
              <w:jc w:val="center"/>
              <w:rPr>
                <w:sz w:val="24"/>
                <w:szCs w:val="24"/>
              </w:rPr>
            </w:pPr>
            <w:r>
              <w:rPr>
                <w:sz w:val="24"/>
                <w:szCs w:val="24"/>
              </w:rPr>
              <w:t>工作气压</w:t>
            </w:r>
          </w:p>
        </w:tc>
        <w:tc>
          <w:tcPr>
            <w:tcW w:w="2561" w:type="dxa"/>
            <w:vAlign w:val="center"/>
          </w:tcPr>
          <w:p>
            <w:pPr>
              <w:spacing w:line="594" w:lineRule="exact"/>
              <w:jc w:val="center"/>
              <w:rPr>
                <w:sz w:val="24"/>
                <w:szCs w:val="24"/>
              </w:rPr>
            </w:pPr>
            <w:r>
              <w:rPr>
                <w:sz w:val="24"/>
                <w:szCs w:val="24"/>
              </w:rPr>
              <w:t>0.4-0.6MPa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860" w:type="dxa"/>
            <w:vAlign w:val="center"/>
          </w:tcPr>
          <w:p>
            <w:pPr>
              <w:spacing w:line="594" w:lineRule="exact"/>
              <w:jc w:val="center"/>
              <w:rPr>
                <w:sz w:val="24"/>
                <w:szCs w:val="24"/>
              </w:rPr>
            </w:pPr>
            <w:r>
              <w:rPr>
                <w:sz w:val="24"/>
                <w:szCs w:val="24"/>
              </w:rPr>
              <w:t>出厂日期</w:t>
            </w:r>
          </w:p>
        </w:tc>
        <w:tc>
          <w:tcPr>
            <w:tcW w:w="2977" w:type="dxa"/>
            <w:vAlign w:val="center"/>
          </w:tcPr>
          <w:p>
            <w:pPr>
              <w:spacing w:line="594" w:lineRule="exact"/>
              <w:jc w:val="center"/>
              <w:rPr>
                <w:sz w:val="24"/>
                <w:szCs w:val="24"/>
              </w:rPr>
            </w:pPr>
            <w:r>
              <w:rPr>
                <w:sz w:val="24"/>
                <w:szCs w:val="24"/>
              </w:rPr>
              <w:t>2021年1月</w:t>
            </w:r>
          </w:p>
        </w:tc>
        <w:tc>
          <w:tcPr>
            <w:tcW w:w="1833" w:type="dxa"/>
            <w:vAlign w:val="center"/>
          </w:tcPr>
          <w:p>
            <w:pPr>
              <w:spacing w:line="594" w:lineRule="exact"/>
              <w:jc w:val="center"/>
              <w:rPr>
                <w:sz w:val="24"/>
                <w:szCs w:val="24"/>
              </w:rPr>
            </w:pPr>
            <w:r>
              <w:rPr>
                <w:sz w:val="24"/>
                <w:szCs w:val="24"/>
              </w:rPr>
              <w:t>产品编号</w:t>
            </w:r>
          </w:p>
        </w:tc>
        <w:tc>
          <w:tcPr>
            <w:tcW w:w="2561" w:type="dxa"/>
            <w:vAlign w:val="center"/>
          </w:tcPr>
          <w:p>
            <w:pPr>
              <w:spacing w:line="594" w:lineRule="exact"/>
              <w:jc w:val="center"/>
              <w:rPr>
                <w:sz w:val="24"/>
                <w:szCs w:val="24"/>
              </w:rPr>
            </w:pPr>
            <w:r>
              <w:rPr>
                <w:sz w:val="24"/>
                <w:szCs w:val="24"/>
              </w:rPr>
              <w:t>CLH035008521010001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860" w:type="dxa"/>
            <w:vAlign w:val="center"/>
          </w:tcPr>
          <w:p>
            <w:pPr>
              <w:spacing w:line="594" w:lineRule="exact"/>
              <w:jc w:val="center"/>
              <w:rPr>
                <w:sz w:val="24"/>
                <w:szCs w:val="24"/>
              </w:rPr>
            </w:pPr>
            <w:r>
              <w:rPr>
                <w:sz w:val="24"/>
                <w:szCs w:val="24"/>
              </w:rPr>
              <w:t>生产企业</w:t>
            </w:r>
          </w:p>
        </w:tc>
        <w:tc>
          <w:tcPr>
            <w:tcW w:w="7371" w:type="dxa"/>
            <w:gridSpan w:val="3"/>
            <w:vAlign w:val="center"/>
          </w:tcPr>
          <w:p>
            <w:pPr>
              <w:spacing w:line="594" w:lineRule="exact"/>
              <w:jc w:val="center"/>
              <w:rPr>
                <w:sz w:val="24"/>
                <w:szCs w:val="24"/>
              </w:rPr>
            </w:pPr>
            <w:r>
              <w:rPr>
                <w:sz w:val="24"/>
                <w:szCs w:val="24"/>
              </w:rPr>
              <w:t>江苏亚威机床股份有限公司</w:t>
            </w:r>
          </w:p>
        </w:tc>
      </w:tr>
    </w:tbl>
    <w:p>
      <w:pPr>
        <w:spacing w:line="594" w:lineRule="exact"/>
        <w:ind w:firstLine="632" w:firstLineChars="200"/>
        <w:rPr>
          <w:szCs w:val="32"/>
        </w:rPr>
      </w:pPr>
      <w:r>
        <w:rPr>
          <w:szCs w:val="32"/>
        </w:rPr>
        <w:t>经查，850飞剪线出厂</w:t>
      </w:r>
      <w:r>
        <w:rPr>
          <w:rFonts w:hint="eastAsia"/>
          <w:szCs w:val="32"/>
        </w:rPr>
        <w:t>时间为</w:t>
      </w:r>
      <w:r>
        <w:rPr>
          <w:szCs w:val="32"/>
        </w:rPr>
        <w:t>2021年1月</w:t>
      </w:r>
      <w:r>
        <w:rPr>
          <w:rFonts w:hint="eastAsia"/>
          <w:szCs w:val="32"/>
        </w:rPr>
        <w:t>，</w:t>
      </w:r>
      <w:r>
        <w:rPr>
          <w:szCs w:val="32"/>
        </w:rPr>
        <w:t>最近一次设备维护保养是2025年8月，无传输带及其他故障</w:t>
      </w:r>
      <w:r>
        <w:rPr>
          <w:rFonts w:hint="eastAsia"/>
          <w:szCs w:val="32"/>
        </w:rPr>
        <w:t>记录。事故前</w:t>
      </w:r>
      <w:r>
        <w:rPr>
          <w:szCs w:val="32"/>
        </w:rPr>
        <w:t>1-2个月</w:t>
      </w:r>
      <w:r>
        <w:rPr>
          <w:rFonts w:hint="eastAsia"/>
          <w:szCs w:val="32"/>
        </w:rPr>
        <w:t>8</w:t>
      </w:r>
      <w:r>
        <w:rPr>
          <w:szCs w:val="32"/>
        </w:rPr>
        <w:t>50</w:t>
      </w:r>
      <w:r>
        <w:rPr>
          <w:rFonts w:hint="eastAsia"/>
          <w:szCs w:val="32"/>
        </w:rPr>
        <w:t>飞剪线</w:t>
      </w:r>
      <w:r>
        <w:rPr>
          <w:szCs w:val="32"/>
        </w:rPr>
        <w:t>设备传输带及压缩空气系统</w:t>
      </w:r>
      <w:r>
        <w:rPr>
          <w:rFonts w:hint="eastAsia"/>
          <w:szCs w:val="32"/>
        </w:rPr>
        <w:t>没有</w:t>
      </w:r>
      <w:r>
        <w:rPr>
          <w:szCs w:val="32"/>
        </w:rPr>
        <w:t>故障报修及维修记录</w:t>
      </w:r>
      <w:r>
        <w:rPr>
          <w:rFonts w:hint="eastAsia"/>
          <w:szCs w:val="32"/>
        </w:rPr>
        <w:t>，</w:t>
      </w:r>
      <w:r>
        <w:rPr>
          <w:szCs w:val="32"/>
        </w:rPr>
        <w:t>查看工房压缩空气气压正常</w:t>
      </w:r>
      <w:r>
        <w:rPr>
          <w:rFonts w:hint="eastAsia"/>
          <w:szCs w:val="32"/>
        </w:rPr>
        <w:t>，</w:t>
      </w:r>
      <w:r>
        <w:rPr>
          <w:szCs w:val="32"/>
        </w:rPr>
        <w:t>中控台4#输送带按钮正常</w:t>
      </w:r>
      <w:r>
        <w:rPr>
          <w:rFonts w:hint="eastAsia"/>
          <w:szCs w:val="32"/>
        </w:rPr>
        <w:t>、</w:t>
      </w:r>
      <w:r>
        <w:rPr>
          <w:szCs w:val="32"/>
        </w:rPr>
        <w:t>指示名称无误</w:t>
      </w:r>
      <w:r>
        <w:rPr>
          <w:rFonts w:hint="eastAsia"/>
          <w:szCs w:val="32"/>
        </w:rPr>
        <w:t>，</w:t>
      </w:r>
      <w:r>
        <w:rPr>
          <w:szCs w:val="32"/>
        </w:rPr>
        <w:t>中控台左下侧的紧急停止按钮正常。</w:t>
      </w:r>
    </w:p>
    <w:p>
      <w:pPr>
        <w:spacing w:line="594" w:lineRule="exact"/>
        <w:ind w:firstLine="632" w:firstLineChars="200"/>
        <w:rPr>
          <w:szCs w:val="32"/>
        </w:rPr>
      </w:pPr>
      <w:r>
        <w:rPr>
          <w:szCs w:val="32"/>
        </w:rPr>
        <w:t>3</w:t>
      </w:r>
      <w:r>
        <w:rPr>
          <w:rFonts w:hint="eastAsia"/>
          <w:szCs w:val="32"/>
        </w:rPr>
        <w:t>.</w:t>
      </w:r>
      <w:r>
        <w:rPr>
          <w:szCs w:val="32"/>
        </w:rPr>
        <w:t>850</w:t>
      </w:r>
      <w:r>
        <w:rPr>
          <w:rFonts w:hint="eastAsia"/>
          <w:szCs w:val="32"/>
        </w:rPr>
        <w:t>飞剪线</w:t>
      </w:r>
      <w:r>
        <w:rPr>
          <w:szCs w:val="32"/>
        </w:rPr>
        <w:t>运行情况</w:t>
      </w:r>
    </w:p>
    <w:p>
      <w:pPr>
        <w:spacing w:line="594" w:lineRule="exact"/>
        <w:ind w:firstLine="632" w:firstLineChars="200"/>
        <w:rPr>
          <w:szCs w:val="32"/>
        </w:rPr>
      </w:pPr>
      <w:r>
        <w:rPr>
          <w:szCs w:val="32"/>
        </w:rPr>
        <w:t>参考数控板料开卷校平飞剪线用户操作说明书（机械篇），850飞剪线生产工艺流程如下：</w:t>
      </w:r>
    </w:p>
    <w:p>
      <w:pPr>
        <w:tabs>
          <w:tab w:val="center" w:pos="4153"/>
        </w:tabs>
        <w:spacing w:line="360" w:lineRule="auto"/>
        <w:rPr>
          <w:rFonts w:eastAsia="宋体"/>
          <w:szCs w:val="32"/>
        </w:rPr>
      </w:pPr>
      <w:r>
        <w:rPr>
          <w:rFonts w:eastAsia="宋体"/>
          <w:szCs w:val="32"/>
        </w:rPr>
        <w:drawing>
          <wp:inline distT="0" distB="0" distL="0" distR="0">
            <wp:extent cx="4404995" cy="5716905"/>
            <wp:effectExtent l="0" t="8255" r="6350" b="6350"/>
            <wp:docPr id="5" name="图片 5" descr="612bdaf5a3b6d0e504daf75277d4d0f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612bdaf5a3b6d0e504daf75277d4d0f2"/>
                    <pic:cNvPicPr>
                      <a:picLocks noChangeAspect="true" noChangeArrowheads="true"/>
                    </pic:cNvPicPr>
                  </pic:nvPicPr>
                  <pic:blipFill>
                    <a:blip r:embed="rId8" cstate="print">
                      <a:extLst>
                        <a:ext uri="{28A0092B-C50C-407E-A947-70E740481C1C}">
                          <a14:useLocalDpi xmlns:a14="http://schemas.microsoft.com/office/drawing/2010/main" val="false"/>
                        </a:ext>
                      </a:extLst>
                    </a:blip>
                    <a:srcRect/>
                    <a:stretch>
                      <a:fillRect/>
                    </a:stretch>
                  </pic:blipFill>
                  <pic:spPr>
                    <a:xfrm rot="-5400000">
                      <a:off x="0" y="0"/>
                      <a:ext cx="4404995" cy="5716905"/>
                    </a:xfrm>
                    <a:prstGeom prst="rect">
                      <a:avLst/>
                    </a:prstGeom>
                    <a:noFill/>
                    <a:ln>
                      <a:noFill/>
                    </a:ln>
                    <a:effectLst/>
                  </pic:spPr>
                </pic:pic>
              </a:graphicData>
            </a:graphic>
          </wp:inline>
        </w:drawing>
      </w:r>
    </w:p>
    <w:p>
      <w:pPr>
        <w:overflowPunct w:val="0"/>
        <w:adjustRightInd w:val="0"/>
        <w:snapToGrid w:val="0"/>
        <w:spacing w:line="594" w:lineRule="exact"/>
        <w:ind w:firstLine="632" w:firstLineChars="200"/>
        <w:rPr>
          <w:color w:val="0000FF"/>
          <w:szCs w:val="32"/>
        </w:rPr>
      </w:pPr>
      <w:r>
        <w:rPr>
          <w:szCs w:val="32"/>
        </w:rPr>
        <w:t>850飞剪线是对最大板宽850mm的薄板钢卷进行开卷、校平、横向不间断剪切加工的生产线。原材料钢卷吊</w:t>
      </w:r>
      <w:r>
        <w:rPr>
          <w:rFonts w:hint="eastAsia"/>
          <w:szCs w:val="32"/>
        </w:rPr>
        <w:t>至</w:t>
      </w:r>
      <w:r>
        <w:rPr>
          <w:szCs w:val="32"/>
        </w:rPr>
        <w:t>上料小车，装在开卷机上，通过引料装置夹送</w:t>
      </w:r>
      <w:r>
        <w:rPr>
          <w:rFonts w:hint="eastAsia"/>
          <w:szCs w:val="32"/>
        </w:rPr>
        <w:t>至</w:t>
      </w:r>
      <w:r>
        <w:rPr>
          <w:szCs w:val="32"/>
        </w:rPr>
        <w:t>矫直机，完成夹送喂料，就可按设定长度进行运行中不间断的剪切下料，俗称“飞剪”。其中，生产线的1#</w:t>
      </w:r>
      <w:r>
        <w:rPr>
          <w:rFonts w:hint="eastAsia"/>
          <w:szCs w:val="32"/>
        </w:rPr>
        <w:t>、</w:t>
      </w:r>
      <w:r>
        <w:rPr>
          <w:szCs w:val="32"/>
        </w:rPr>
        <w:t>2#皮带输送机辅助矫直及剪切</w:t>
      </w:r>
      <w:r>
        <w:rPr>
          <w:rFonts w:hint="eastAsia"/>
          <w:szCs w:val="32"/>
        </w:rPr>
        <w:t>后</w:t>
      </w:r>
      <w:r>
        <w:rPr>
          <w:szCs w:val="32"/>
        </w:rPr>
        <w:t>的钢板输送；3#皮带输送机可上升下降，把钢板输送</w:t>
      </w:r>
      <w:r>
        <w:rPr>
          <w:rFonts w:hint="eastAsia"/>
          <w:szCs w:val="32"/>
        </w:rPr>
        <w:t>至</w:t>
      </w:r>
      <w:r>
        <w:rPr>
          <w:szCs w:val="32"/>
        </w:rPr>
        <w:t>不同后方；4#皮带输送机也可上升下降，把剪切</w:t>
      </w:r>
      <w:r>
        <w:rPr>
          <w:rFonts w:hint="eastAsia"/>
          <w:szCs w:val="32"/>
        </w:rPr>
        <w:t>的</w:t>
      </w:r>
      <w:r>
        <w:rPr>
          <w:szCs w:val="32"/>
        </w:rPr>
        <w:t>钢板分别输送</w:t>
      </w:r>
      <w:r>
        <w:rPr>
          <w:rFonts w:hint="eastAsia"/>
          <w:szCs w:val="32"/>
        </w:rPr>
        <w:t>至</w:t>
      </w:r>
      <w:r>
        <w:rPr>
          <w:szCs w:val="32"/>
        </w:rPr>
        <w:t>1#</w:t>
      </w:r>
      <w:r>
        <w:rPr>
          <w:rFonts w:hint="eastAsia"/>
          <w:szCs w:val="32"/>
        </w:rPr>
        <w:t>、</w:t>
      </w:r>
      <w:r>
        <w:rPr>
          <w:szCs w:val="32"/>
        </w:rPr>
        <w:t>2#排料码垛机</w:t>
      </w:r>
      <w:r>
        <w:rPr>
          <w:rFonts w:hint="eastAsia"/>
          <w:szCs w:val="32"/>
        </w:rPr>
        <w:t>。因两</w:t>
      </w:r>
      <w:r>
        <w:rPr>
          <w:szCs w:val="32"/>
        </w:rPr>
        <w:t>台码垛机分别装满后才切换，</w:t>
      </w:r>
      <w:r>
        <w:rPr>
          <w:rFonts w:hint="eastAsia"/>
          <w:szCs w:val="32"/>
        </w:rPr>
        <w:t>所以</w:t>
      </w:r>
      <w:r>
        <w:rPr>
          <w:szCs w:val="32"/>
        </w:rPr>
        <w:t>切换时间长，4#皮带输送机上升下降操作不频繁。</w:t>
      </w:r>
    </w:p>
    <w:p>
      <w:pPr>
        <w:spacing w:line="594" w:lineRule="exact"/>
        <w:ind w:firstLine="632" w:firstLineChars="200"/>
        <w:rPr>
          <w:szCs w:val="32"/>
        </w:rPr>
      </w:pPr>
      <w:bookmarkStart w:id="13" w:name="_Toc172190264"/>
      <w:r>
        <w:rPr>
          <w:rFonts w:hint="eastAsia"/>
          <w:szCs w:val="32"/>
        </w:rPr>
        <w:t>4.事故原因分析</w:t>
      </w:r>
    </w:p>
    <w:p>
      <w:pPr>
        <w:overflowPunct w:val="0"/>
        <w:adjustRightInd w:val="0"/>
        <w:snapToGrid w:val="0"/>
        <w:spacing w:line="594" w:lineRule="exact"/>
        <w:ind w:firstLine="632" w:firstLineChars="200"/>
        <w:rPr>
          <w:szCs w:val="32"/>
        </w:rPr>
      </w:pPr>
      <w:r>
        <w:rPr>
          <w:szCs w:val="32"/>
        </w:rPr>
        <w:t>3月13日晚</w:t>
      </w:r>
      <w:r>
        <w:rPr>
          <w:rFonts w:hint="eastAsia"/>
          <w:szCs w:val="32"/>
        </w:rPr>
        <w:t>，</w:t>
      </w:r>
      <w:r>
        <w:rPr>
          <w:szCs w:val="32"/>
        </w:rPr>
        <w:t>操作</w:t>
      </w:r>
      <w:r>
        <w:rPr>
          <w:rFonts w:hint="eastAsia"/>
          <w:szCs w:val="32"/>
        </w:rPr>
        <w:t>8</w:t>
      </w:r>
      <w:r>
        <w:rPr>
          <w:szCs w:val="32"/>
        </w:rPr>
        <w:t>50</w:t>
      </w:r>
      <w:r>
        <w:rPr>
          <w:rFonts w:hint="eastAsia"/>
          <w:szCs w:val="32"/>
        </w:rPr>
        <w:t>飞剪线</w:t>
      </w:r>
      <w:r>
        <w:rPr>
          <w:szCs w:val="32"/>
        </w:rPr>
        <w:t>的</w:t>
      </w:r>
      <w:r>
        <w:rPr>
          <w:rFonts w:hint="eastAsia"/>
          <w:szCs w:val="32"/>
        </w:rPr>
        <w:t>仅</w:t>
      </w:r>
      <w:r>
        <w:rPr>
          <w:szCs w:val="32"/>
        </w:rPr>
        <w:t>2</w:t>
      </w:r>
      <w:r>
        <w:rPr>
          <w:rFonts w:hint="eastAsia"/>
          <w:szCs w:val="32"/>
        </w:rPr>
        <w:t>人，</w:t>
      </w:r>
      <w:r>
        <w:rPr>
          <w:szCs w:val="32"/>
        </w:rPr>
        <w:t>主机手陈某某、</w:t>
      </w:r>
      <w:r>
        <w:rPr>
          <w:rFonts w:hint="eastAsia"/>
          <w:szCs w:val="32"/>
        </w:rPr>
        <w:t>包装</w:t>
      </w:r>
      <w:r>
        <w:rPr>
          <w:szCs w:val="32"/>
        </w:rPr>
        <w:t>工李某某</w:t>
      </w:r>
      <w:r>
        <w:rPr>
          <w:rFonts w:hint="eastAsia"/>
          <w:szCs w:val="32"/>
        </w:rPr>
        <w:t>。通过</w:t>
      </w:r>
      <w:r>
        <w:rPr>
          <w:szCs w:val="32"/>
        </w:rPr>
        <w:t>企业</w:t>
      </w:r>
      <w:r>
        <w:rPr>
          <w:rFonts w:hint="eastAsia"/>
          <w:szCs w:val="32"/>
        </w:rPr>
        <w:t>查看</w:t>
      </w:r>
      <w:r>
        <w:rPr>
          <w:szCs w:val="32"/>
        </w:rPr>
        <w:t>监控</w:t>
      </w:r>
      <w:r>
        <w:rPr>
          <w:rFonts w:hint="eastAsia"/>
          <w:szCs w:val="32"/>
        </w:rPr>
        <w:t>及调查</w:t>
      </w:r>
      <w:r>
        <w:rPr>
          <w:szCs w:val="32"/>
        </w:rPr>
        <w:t>，</w:t>
      </w:r>
      <w:r>
        <w:rPr>
          <w:rFonts w:hint="eastAsia"/>
          <w:szCs w:val="32"/>
        </w:rPr>
        <w:t>未发现其他人员</w:t>
      </w:r>
      <w:r>
        <w:rPr>
          <w:szCs w:val="32"/>
        </w:rPr>
        <w:t>操作设备。</w:t>
      </w:r>
    </w:p>
    <w:p>
      <w:pPr>
        <w:overflowPunct w:val="0"/>
        <w:adjustRightInd w:val="0"/>
        <w:snapToGrid w:val="0"/>
        <w:spacing w:line="594" w:lineRule="exact"/>
        <w:ind w:firstLine="632" w:firstLineChars="200"/>
        <w:rPr>
          <w:szCs w:val="32"/>
        </w:rPr>
      </w:pPr>
      <w:r>
        <w:rPr>
          <w:rFonts w:hint="eastAsia"/>
          <w:szCs w:val="32"/>
        </w:rPr>
        <w:t>技术组联合重庆某公司设备动力部对</w:t>
      </w:r>
      <w:r>
        <w:rPr>
          <w:szCs w:val="32"/>
        </w:rPr>
        <w:t>850飞剪线4#输送带</w:t>
      </w:r>
      <w:r>
        <w:rPr>
          <w:rFonts w:hint="eastAsia"/>
          <w:szCs w:val="32"/>
        </w:rPr>
        <w:t>进行</w:t>
      </w:r>
      <w:r>
        <w:rPr>
          <w:szCs w:val="32"/>
        </w:rPr>
        <w:t>通电测试</w:t>
      </w:r>
      <w:r>
        <w:rPr>
          <w:rFonts w:hint="eastAsia"/>
          <w:szCs w:val="32"/>
        </w:rPr>
        <w:t>，</w:t>
      </w:r>
      <w:r>
        <w:rPr>
          <w:szCs w:val="32"/>
        </w:rPr>
        <w:t>发现</w:t>
      </w:r>
      <w:r>
        <w:rPr>
          <w:rFonts w:hint="eastAsia"/>
          <w:szCs w:val="32"/>
        </w:rPr>
        <w:t>其</w:t>
      </w:r>
      <w:r>
        <w:rPr>
          <w:szCs w:val="32"/>
        </w:rPr>
        <w:t>下降功能异常</w:t>
      </w:r>
      <w:r>
        <w:rPr>
          <w:rFonts w:hint="eastAsia"/>
          <w:szCs w:val="32"/>
        </w:rPr>
        <w:t>：</w:t>
      </w:r>
      <w:r>
        <w:rPr>
          <w:szCs w:val="32"/>
        </w:rPr>
        <w:t>不能下降或下降动作时有时无</w:t>
      </w:r>
      <w:r>
        <w:rPr>
          <w:rFonts w:hint="eastAsia"/>
          <w:szCs w:val="32"/>
        </w:rPr>
        <w:t>。勘查</w:t>
      </w:r>
      <w:r>
        <w:rPr>
          <w:szCs w:val="32"/>
        </w:rPr>
        <w:t>气缸的控制电磁阀，外观</w:t>
      </w:r>
      <w:r>
        <w:rPr>
          <w:rFonts w:hint="eastAsia"/>
          <w:szCs w:val="32"/>
        </w:rPr>
        <w:t>无</w:t>
      </w:r>
      <w:r>
        <w:rPr>
          <w:szCs w:val="32"/>
        </w:rPr>
        <w:t>任何损坏、变形、脱落、螺丝松动、线路破损</w:t>
      </w:r>
      <w:r>
        <w:rPr>
          <w:rFonts w:hint="eastAsia"/>
          <w:szCs w:val="32"/>
        </w:rPr>
        <w:t>，</w:t>
      </w:r>
      <w:r>
        <w:rPr>
          <w:szCs w:val="32"/>
        </w:rPr>
        <w:t>可排除电磁阀因外力撞击</w:t>
      </w:r>
      <w:r>
        <w:rPr>
          <w:rFonts w:hint="eastAsia"/>
          <w:szCs w:val="32"/>
        </w:rPr>
        <w:t>导致</w:t>
      </w:r>
      <w:r>
        <w:rPr>
          <w:szCs w:val="32"/>
        </w:rPr>
        <w:t>损坏、漏气失灵、电路破损失灵</w:t>
      </w:r>
      <w:r>
        <w:rPr>
          <w:rFonts w:hint="eastAsia"/>
          <w:szCs w:val="32"/>
        </w:rPr>
        <w:t>等</w:t>
      </w:r>
      <w:r>
        <w:rPr>
          <w:szCs w:val="32"/>
        </w:rPr>
        <w:t>情况。</w:t>
      </w:r>
      <w:r>
        <w:rPr>
          <w:rFonts w:hint="eastAsia"/>
          <w:szCs w:val="32"/>
        </w:rPr>
        <w:t>进一步勘查</w:t>
      </w:r>
      <w:r>
        <w:rPr>
          <w:szCs w:val="32"/>
        </w:rPr>
        <w:t>发现</w:t>
      </w:r>
      <w:r>
        <w:rPr>
          <w:rFonts w:hint="eastAsia"/>
          <w:szCs w:val="32"/>
        </w:rPr>
        <w:t>，</w:t>
      </w:r>
      <w:r>
        <w:rPr>
          <w:szCs w:val="32"/>
        </w:rPr>
        <w:t>电磁阀控制线的插头接触不良</w:t>
      </w:r>
      <w:r>
        <w:rPr>
          <w:rFonts w:hint="eastAsia"/>
          <w:szCs w:val="32"/>
        </w:rPr>
        <w:t>，</w:t>
      </w:r>
      <w:r>
        <w:rPr>
          <w:szCs w:val="32"/>
        </w:rPr>
        <w:t>输送带气缸机构其他部位和接头均正常。电磁阀的电源电压</w:t>
      </w:r>
      <w:r>
        <w:rPr>
          <w:rFonts w:hint="eastAsia"/>
          <w:szCs w:val="32"/>
        </w:rPr>
        <w:t>为</w:t>
      </w:r>
      <w:r>
        <w:rPr>
          <w:szCs w:val="32"/>
        </w:rPr>
        <w:t>24V直流</w:t>
      </w:r>
      <w:r>
        <w:rPr>
          <w:rFonts w:hint="eastAsia"/>
          <w:szCs w:val="32"/>
        </w:rPr>
        <w:t>电</w:t>
      </w:r>
      <w:r>
        <w:rPr>
          <w:szCs w:val="32"/>
        </w:rPr>
        <w:t>，</w:t>
      </w:r>
      <w:r>
        <w:rPr>
          <w:rFonts w:hint="eastAsia"/>
          <w:szCs w:val="32"/>
        </w:rPr>
        <w:t>人员无</w:t>
      </w:r>
      <w:r>
        <w:rPr>
          <w:szCs w:val="32"/>
        </w:rPr>
        <w:t>触电死亡风险。公司设备部工程师更换新</w:t>
      </w:r>
      <w:r>
        <w:rPr>
          <w:rFonts w:hint="eastAsia"/>
          <w:szCs w:val="32"/>
        </w:rPr>
        <w:t>电磁阀控制线</w:t>
      </w:r>
      <w:r>
        <w:rPr>
          <w:szCs w:val="32"/>
        </w:rPr>
        <w:t>插头</w:t>
      </w:r>
      <w:r>
        <w:rPr>
          <w:rFonts w:hint="eastAsia"/>
          <w:szCs w:val="32"/>
        </w:rPr>
        <w:t>后</w:t>
      </w:r>
      <w:r>
        <w:rPr>
          <w:szCs w:val="32"/>
        </w:rPr>
        <w:t>，电磁阀动作全部正常。</w:t>
      </w:r>
    </w:p>
    <w:p>
      <w:pPr>
        <w:overflowPunct w:val="0"/>
        <w:adjustRightInd w:val="0"/>
        <w:snapToGrid w:val="0"/>
        <w:spacing w:line="594" w:lineRule="exact"/>
        <w:ind w:firstLine="632" w:firstLineChars="200"/>
        <w:rPr>
          <w:szCs w:val="32"/>
        </w:rPr>
      </w:pPr>
      <w:r>
        <w:rPr>
          <w:szCs w:val="32"/>
        </w:rPr>
        <w:t>现场查勘中，</w:t>
      </w:r>
      <w:r>
        <w:rPr>
          <w:rFonts w:hint="eastAsia"/>
          <w:szCs w:val="32"/>
        </w:rPr>
        <w:t>技术组</w:t>
      </w:r>
      <w:r>
        <w:rPr>
          <w:szCs w:val="32"/>
        </w:rPr>
        <w:t>测量</w:t>
      </w:r>
      <w:r>
        <w:rPr>
          <w:rFonts w:hint="eastAsia"/>
          <w:szCs w:val="32"/>
        </w:rPr>
        <w:t>了</w:t>
      </w:r>
      <w:r>
        <w:rPr>
          <w:szCs w:val="32"/>
        </w:rPr>
        <w:t>4#输送带的上升下降情况，上升状态时死者被夹部位的上方耳板与下方平台钢架的间隙</w:t>
      </w:r>
      <w:r>
        <w:rPr>
          <w:rFonts w:hint="eastAsia"/>
          <w:szCs w:val="32"/>
        </w:rPr>
        <w:t>为</w:t>
      </w:r>
      <w:r>
        <w:rPr>
          <w:szCs w:val="32"/>
        </w:rPr>
        <w:t>25</w:t>
      </w:r>
      <w:r>
        <w:rPr>
          <w:rFonts w:hint="eastAsia"/>
          <w:szCs w:val="32"/>
        </w:rPr>
        <w:t>厘米</w:t>
      </w:r>
      <w:r>
        <w:rPr>
          <w:szCs w:val="32"/>
        </w:rPr>
        <w:t>，下降状态时上方耳板与下方平台钢架的间隙</w:t>
      </w:r>
      <w:r>
        <w:rPr>
          <w:rFonts w:hint="eastAsia"/>
          <w:szCs w:val="32"/>
        </w:rPr>
        <w:t>为</w:t>
      </w:r>
      <w:r>
        <w:rPr>
          <w:szCs w:val="32"/>
        </w:rPr>
        <w:t>5</w:t>
      </w:r>
      <w:r>
        <w:rPr>
          <w:rFonts w:hint="eastAsia"/>
          <w:szCs w:val="32"/>
        </w:rPr>
        <w:t>厘米</w:t>
      </w:r>
      <w:r>
        <w:rPr>
          <w:szCs w:val="32"/>
        </w:rPr>
        <w:t>。气缸下降过程约1.5</w:t>
      </w:r>
      <w:r>
        <w:rPr>
          <w:rFonts w:hint="eastAsia"/>
          <w:szCs w:val="32"/>
        </w:rPr>
        <w:t>秒</w:t>
      </w:r>
      <w:r>
        <w:rPr>
          <w:szCs w:val="32"/>
        </w:rPr>
        <w:t>；升降机电磁阀未设置警示标志和安全装置，且有触碰痕迹</w:t>
      </w:r>
      <w:r>
        <w:rPr>
          <w:rFonts w:hint="eastAsia"/>
          <w:szCs w:val="32"/>
        </w:rPr>
        <w:t>，经调查认定，系陈某某发现故障后自行检查时所留</w:t>
      </w:r>
      <w:r>
        <w:rPr>
          <w:szCs w:val="32"/>
        </w:rPr>
        <w:t>。4#输送带升起状态情况</w:t>
      </w:r>
      <w:r>
        <w:rPr>
          <w:rFonts w:hint="eastAsia"/>
          <w:szCs w:val="32"/>
        </w:rPr>
        <w:t>如</w:t>
      </w:r>
      <w:r>
        <w:rPr>
          <w:szCs w:val="32"/>
        </w:rPr>
        <w:t>下图。</w:t>
      </w: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r>
        <w:rPr>
          <w:rFonts w:eastAsia="宋体"/>
          <w:szCs w:val="32"/>
        </w:rPr>
        <w:drawing>
          <wp:anchor distT="0" distB="0" distL="114300" distR="114300" simplePos="0" relativeHeight="251664384" behindDoc="0" locked="0" layoutInCell="1" allowOverlap="1">
            <wp:simplePos x="0" y="0"/>
            <wp:positionH relativeFrom="column">
              <wp:posOffset>331470</wp:posOffset>
            </wp:positionH>
            <wp:positionV relativeFrom="paragraph">
              <wp:posOffset>79375</wp:posOffset>
            </wp:positionV>
            <wp:extent cx="4848860" cy="1911350"/>
            <wp:effectExtent l="0" t="0" r="8890" b="0"/>
            <wp:wrapNone/>
            <wp:docPr id="8"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true" noChangeArrowheads="true"/>
                    </pic:cNvPicPr>
                  </pic:nvPicPr>
                  <pic:blipFill>
                    <a:blip r:embed="rId9">
                      <a:extLst>
                        <a:ext uri="{28A0092B-C50C-407E-A947-70E740481C1C}">
                          <a14:useLocalDpi xmlns:a14="http://schemas.microsoft.com/office/drawing/2010/main" val="false"/>
                        </a:ext>
                      </a:extLst>
                    </a:blip>
                    <a:srcRect b="48022"/>
                    <a:stretch>
                      <a:fillRect/>
                    </a:stretch>
                  </pic:blipFill>
                  <pic:spPr>
                    <a:xfrm>
                      <a:off x="0" y="0"/>
                      <a:ext cx="4848860" cy="1911350"/>
                    </a:xfrm>
                    <a:prstGeom prst="rect">
                      <a:avLst/>
                    </a:prstGeom>
                    <a:noFill/>
                    <a:ln>
                      <a:noFill/>
                    </a:ln>
                    <a:effectLst/>
                  </pic:spPr>
                </pic:pic>
              </a:graphicData>
            </a:graphic>
          </wp:anchor>
        </w:drawing>
      </w: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bookmarkEnd w:id="13"/>
    <w:p>
      <w:pPr>
        <w:overflowPunct w:val="0"/>
        <w:adjustRightInd w:val="0"/>
        <w:snapToGrid w:val="0"/>
        <w:spacing w:line="578" w:lineRule="exact"/>
        <w:ind w:firstLine="632" w:firstLineChars="200"/>
        <w:rPr>
          <w:szCs w:val="32"/>
        </w:rPr>
      </w:pPr>
    </w:p>
    <w:p>
      <w:pPr>
        <w:overflowPunct w:val="0"/>
        <w:adjustRightInd w:val="0"/>
        <w:snapToGrid w:val="0"/>
        <w:spacing w:line="594" w:lineRule="exact"/>
        <w:ind w:firstLine="632" w:firstLineChars="200"/>
        <w:rPr>
          <w:szCs w:val="32"/>
        </w:rPr>
      </w:pPr>
      <w:r>
        <w:rPr>
          <w:szCs w:val="32"/>
        </w:rPr>
        <w:t>分析现场设备异常情况后，</w:t>
      </w:r>
      <w:r>
        <w:rPr>
          <w:rFonts w:hint="eastAsia"/>
          <w:szCs w:val="32"/>
        </w:rPr>
        <w:t>技术组</w:t>
      </w:r>
      <w:r>
        <w:rPr>
          <w:szCs w:val="32"/>
        </w:rPr>
        <w:t>再次对电磁阀异常插头进行</w:t>
      </w:r>
      <w:r>
        <w:rPr>
          <w:rFonts w:hint="eastAsia"/>
          <w:szCs w:val="32"/>
        </w:rPr>
        <w:t>了</w:t>
      </w:r>
      <w:r>
        <w:rPr>
          <w:szCs w:val="32"/>
        </w:rPr>
        <w:t>解体</w:t>
      </w:r>
      <w:r>
        <w:rPr>
          <w:rFonts w:hint="eastAsia"/>
          <w:szCs w:val="32"/>
        </w:rPr>
        <w:t>勘查</w:t>
      </w:r>
      <w:r>
        <w:rPr>
          <w:szCs w:val="32"/>
        </w:rPr>
        <w:t>。</w:t>
      </w:r>
    </w:p>
    <w:p>
      <w:pPr>
        <w:overflowPunct w:val="0"/>
        <w:adjustRightInd w:val="0"/>
        <w:snapToGrid w:val="0"/>
        <w:spacing w:line="594" w:lineRule="exact"/>
        <w:ind w:firstLine="632" w:firstLineChars="200"/>
        <w:rPr>
          <w:szCs w:val="32"/>
        </w:rPr>
      </w:pPr>
      <w:r>
        <w:rPr>
          <w:szCs w:val="32"/>
        </w:rPr>
        <w:t>电磁阀说明书</w:t>
      </w:r>
      <w:r>
        <w:rPr>
          <w:rFonts w:hint="eastAsia"/>
          <w:szCs w:val="32"/>
        </w:rPr>
        <w:t>显示</w:t>
      </w:r>
      <w:r>
        <w:rPr>
          <w:szCs w:val="32"/>
        </w:rPr>
        <w:t>，该电磁阀</w:t>
      </w:r>
      <w:r>
        <w:rPr>
          <w:rFonts w:hint="eastAsia"/>
          <w:szCs w:val="32"/>
        </w:rPr>
        <w:t>为</w:t>
      </w:r>
      <w:r>
        <w:rPr>
          <w:szCs w:val="32"/>
        </w:rPr>
        <w:t>三位五通，受2个线圈控制。线圈都不通电时，电磁阀的阀芯处于中间位，P、A、B、R、S</w:t>
      </w:r>
      <w:r>
        <w:rPr>
          <w:rFonts w:hint="eastAsia"/>
          <w:szCs w:val="32"/>
        </w:rPr>
        <w:t>五</w:t>
      </w:r>
      <w:r>
        <w:rPr>
          <w:szCs w:val="32"/>
        </w:rPr>
        <w:t>个口均为关闭状态，A、B口连接的气缸气路不会进气和排气，实现了气缸的位置锁定。在某个线圈通电时，会使得阀芯被推动，实现A、B口的进气或排气，推动气缸上升或下降。</w:t>
      </w:r>
    </w:p>
    <w:p>
      <w:pPr>
        <w:overflowPunct w:val="0"/>
        <w:adjustRightInd w:val="0"/>
        <w:snapToGrid w:val="0"/>
        <w:spacing w:line="594" w:lineRule="exact"/>
        <w:ind w:firstLine="632" w:firstLineChars="200"/>
        <w:rPr>
          <w:szCs w:val="32"/>
        </w:rPr>
      </w:pPr>
      <w:r>
        <w:rPr>
          <w:szCs w:val="32"/>
        </w:rPr>
        <w:t>拆开电磁阀下降插头，发现内部接线端子的塑料固定结构明显损坏，接线端子从定位槽内脱出，造成下降插头内部簧片与线圈的引脚接触不良，插头与插座</w:t>
      </w:r>
      <w:r>
        <w:rPr>
          <w:rFonts w:hint="eastAsia"/>
          <w:szCs w:val="32"/>
        </w:rPr>
        <w:t>不能</w:t>
      </w:r>
      <w:r>
        <w:rPr>
          <w:szCs w:val="32"/>
        </w:rPr>
        <w:t>很好插接。电磁阀外观特写及插头的插接良好、不良示意图</w:t>
      </w:r>
      <w:r>
        <w:rPr>
          <w:rFonts w:hint="eastAsia"/>
          <w:szCs w:val="32"/>
        </w:rPr>
        <w:t>如下</w:t>
      </w:r>
      <w:r>
        <w:rPr>
          <w:szCs w:val="32"/>
        </w:rPr>
        <w:t>。</w:t>
      </w:r>
    </w:p>
    <w:p>
      <w:pPr>
        <w:overflowPunct w:val="0"/>
        <w:adjustRightInd w:val="0"/>
        <w:snapToGrid w:val="0"/>
        <w:spacing w:line="578"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r>
        <w:rPr>
          <w:rFonts w:eastAsia="宋体"/>
          <w:szCs w:val="32"/>
        </w:rPr>
        <w:drawing>
          <wp:anchor distT="0" distB="0" distL="114300" distR="114300" simplePos="0" relativeHeight="251665408" behindDoc="0" locked="0" layoutInCell="1" allowOverlap="1">
            <wp:simplePos x="0" y="0"/>
            <wp:positionH relativeFrom="column">
              <wp:posOffset>220345</wp:posOffset>
            </wp:positionH>
            <wp:positionV relativeFrom="paragraph">
              <wp:posOffset>34925</wp:posOffset>
            </wp:positionV>
            <wp:extent cx="5322570" cy="2665730"/>
            <wp:effectExtent l="0" t="0" r="0" b="1270"/>
            <wp:wrapNone/>
            <wp:docPr id="7"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true" noChangeArrowheads="true"/>
                    </pic:cNvPicPr>
                  </pic:nvPicPr>
                  <pic:blipFill>
                    <a:blip r:embed="rId10">
                      <a:extLst>
                        <a:ext uri="{28A0092B-C50C-407E-A947-70E740481C1C}">
                          <a14:useLocalDpi xmlns:a14="http://schemas.microsoft.com/office/drawing/2010/main" val="false"/>
                        </a:ext>
                      </a:extLst>
                    </a:blip>
                    <a:srcRect/>
                    <a:stretch>
                      <a:fillRect/>
                    </a:stretch>
                  </pic:blipFill>
                  <pic:spPr>
                    <a:xfrm>
                      <a:off x="0" y="0"/>
                      <a:ext cx="5325497" cy="2667320"/>
                    </a:xfrm>
                    <a:prstGeom prst="rect">
                      <a:avLst/>
                    </a:prstGeom>
                    <a:noFill/>
                    <a:ln>
                      <a:noFill/>
                    </a:ln>
                    <a:effectLst/>
                  </pic:spPr>
                </pic:pic>
              </a:graphicData>
            </a:graphic>
          </wp:anchor>
        </w:drawing>
      </w: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r>
        <w:rPr>
          <w:rFonts w:eastAsia="宋体"/>
          <w:szCs w:val="32"/>
        </w:rPr>
        <w:drawing>
          <wp:anchor distT="0" distB="0" distL="114300" distR="114300" simplePos="0" relativeHeight="251666432" behindDoc="0" locked="0" layoutInCell="1" allowOverlap="1">
            <wp:simplePos x="0" y="0"/>
            <wp:positionH relativeFrom="column">
              <wp:posOffset>223520</wp:posOffset>
            </wp:positionH>
            <wp:positionV relativeFrom="paragraph">
              <wp:posOffset>84455</wp:posOffset>
            </wp:positionV>
            <wp:extent cx="5322570" cy="2980690"/>
            <wp:effectExtent l="0" t="0" r="0" b="0"/>
            <wp:wrapNone/>
            <wp:docPr id="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true" noChangeArrowheads="true"/>
                    </pic:cNvPicPr>
                  </pic:nvPicPr>
                  <pic:blipFill>
                    <a:blip r:embed="rId11">
                      <a:extLst>
                        <a:ext uri="{28A0092B-C50C-407E-A947-70E740481C1C}">
                          <a14:useLocalDpi xmlns:a14="http://schemas.microsoft.com/office/drawing/2010/main" val="false"/>
                        </a:ext>
                      </a:extLst>
                    </a:blip>
                    <a:srcRect/>
                    <a:stretch>
                      <a:fillRect/>
                    </a:stretch>
                  </pic:blipFill>
                  <pic:spPr>
                    <a:xfrm>
                      <a:off x="0" y="0"/>
                      <a:ext cx="5322570" cy="2980690"/>
                    </a:xfrm>
                    <a:prstGeom prst="rect">
                      <a:avLst/>
                    </a:prstGeom>
                    <a:noFill/>
                    <a:ln>
                      <a:noFill/>
                    </a:ln>
                    <a:effectLst/>
                  </pic:spPr>
                </pic:pic>
              </a:graphicData>
            </a:graphic>
          </wp:anchor>
        </w:drawing>
      </w: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overflowPunct w:val="0"/>
        <w:adjustRightInd w:val="0"/>
        <w:snapToGrid w:val="0"/>
        <w:spacing w:line="600" w:lineRule="exact"/>
        <w:ind w:firstLine="632" w:firstLineChars="200"/>
        <w:rPr>
          <w:szCs w:val="32"/>
        </w:rPr>
      </w:pPr>
    </w:p>
    <w:p>
      <w:pPr>
        <w:spacing w:line="594" w:lineRule="exact"/>
        <w:ind w:firstLine="632" w:firstLineChars="200"/>
        <w:outlineLvl w:val="1"/>
        <w:rPr>
          <w:rFonts w:eastAsia="方正楷体_GBK"/>
          <w:szCs w:val="32"/>
        </w:rPr>
      </w:pPr>
      <w:bookmarkStart w:id="14" w:name="_Toc229132239"/>
      <w:bookmarkStart w:id="15" w:name="_Toc219728390"/>
      <w:r>
        <w:rPr>
          <w:rFonts w:eastAsia="方正楷体_GBK"/>
          <w:szCs w:val="32"/>
        </w:rPr>
        <w:t>（五）事故造成的人员伤亡和直接经济损失</w:t>
      </w:r>
      <w:bookmarkEnd w:id="14"/>
      <w:bookmarkEnd w:id="15"/>
    </w:p>
    <w:p>
      <w:pPr>
        <w:overflowPunct w:val="0"/>
        <w:adjustRightInd w:val="0"/>
        <w:snapToGrid w:val="0"/>
        <w:spacing w:line="594" w:lineRule="exact"/>
        <w:ind w:firstLine="632" w:firstLineChars="200"/>
        <w:rPr>
          <w:szCs w:val="32"/>
        </w:rPr>
      </w:pPr>
      <w:r>
        <w:rPr>
          <w:szCs w:val="32"/>
        </w:rPr>
        <w:t>1.人员伤亡情况</w:t>
      </w:r>
    </w:p>
    <w:p>
      <w:pPr>
        <w:overflowPunct w:val="0"/>
        <w:adjustRightInd w:val="0"/>
        <w:snapToGrid w:val="0"/>
        <w:spacing w:line="594" w:lineRule="exact"/>
        <w:ind w:firstLine="632" w:firstLineChars="200"/>
        <w:rPr>
          <w:szCs w:val="32"/>
        </w:rPr>
      </w:pPr>
      <w:r>
        <w:rPr>
          <w:szCs w:val="32"/>
        </w:rPr>
        <w:t>本次事故造成1人死亡。死者：陈某某，男，**岁，原渝北区石船镇</w:t>
      </w:r>
      <w:r>
        <w:rPr>
          <w:rFonts w:hint="eastAsia"/>
          <w:szCs w:val="32"/>
        </w:rPr>
        <w:t>人</w:t>
      </w:r>
      <w:r>
        <w:rPr>
          <w:szCs w:val="32"/>
        </w:rPr>
        <w:t>；身份证号：510224****6036；生前家庭住址：重庆市</w:t>
      </w:r>
      <w:r>
        <w:rPr>
          <w:rFonts w:hint="eastAsia"/>
          <w:szCs w:val="32"/>
        </w:rPr>
        <w:t>原</w:t>
      </w:r>
      <w:r>
        <w:rPr>
          <w:szCs w:val="32"/>
        </w:rPr>
        <w:t>渝北区石船镇</w:t>
      </w:r>
      <w:r>
        <w:rPr>
          <w:rFonts w:hint="eastAsia"/>
          <w:szCs w:val="32"/>
        </w:rPr>
        <w:t>某</w:t>
      </w:r>
      <w:r>
        <w:rPr>
          <w:szCs w:val="32"/>
        </w:rPr>
        <w:t>社区；系</w:t>
      </w:r>
      <w:r>
        <w:rPr>
          <w:kern w:val="21"/>
          <w:szCs w:val="32"/>
        </w:rPr>
        <w:t>重庆某公司</w:t>
      </w:r>
      <w:r>
        <w:rPr>
          <w:szCs w:val="32"/>
        </w:rPr>
        <w:t>的</w:t>
      </w:r>
      <w:r>
        <w:rPr>
          <w:rFonts w:hint="eastAsia"/>
          <w:szCs w:val="32"/>
        </w:rPr>
        <w:t>850飞剪线</w:t>
      </w:r>
      <w:r>
        <w:rPr>
          <w:szCs w:val="32"/>
        </w:rPr>
        <w:t>数控副机长。</w:t>
      </w:r>
    </w:p>
    <w:p>
      <w:pPr>
        <w:overflowPunct w:val="0"/>
        <w:adjustRightInd w:val="0"/>
        <w:snapToGrid w:val="0"/>
        <w:spacing w:line="594" w:lineRule="exact"/>
        <w:ind w:firstLine="632" w:firstLineChars="200"/>
        <w:rPr>
          <w:szCs w:val="32"/>
        </w:rPr>
      </w:pPr>
      <w:r>
        <w:rPr>
          <w:szCs w:val="32"/>
        </w:rPr>
        <w:t>2.直接经济损失</w:t>
      </w:r>
    </w:p>
    <w:p>
      <w:pPr>
        <w:overflowPunct w:val="0"/>
        <w:adjustRightInd w:val="0"/>
        <w:snapToGrid w:val="0"/>
        <w:spacing w:line="594" w:lineRule="exact"/>
        <w:ind w:firstLine="632" w:firstLineChars="200"/>
        <w:rPr>
          <w:szCs w:val="32"/>
        </w:rPr>
      </w:pPr>
      <w:r>
        <w:rPr>
          <w:szCs w:val="32"/>
        </w:rPr>
        <w:t>本次事故直接经济损失</w:t>
      </w:r>
      <w:r>
        <w:rPr>
          <w:kern w:val="21"/>
          <w:szCs w:val="32"/>
        </w:rPr>
        <w:t>125</w:t>
      </w:r>
      <w:r>
        <w:rPr>
          <w:szCs w:val="32"/>
        </w:rPr>
        <w:t>万元。</w:t>
      </w:r>
    </w:p>
    <w:p>
      <w:pPr>
        <w:overflowPunct w:val="0"/>
        <w:adjustRightInd w:val="0"/>
        <w:snapToGrid w:val="0"/>
        <w:spacing w:line="594" w:lineRule="exact"/>
        <w:ind w:firstLine="632" w:firstLineChars="200"/>
        <w:outlineLvl w:val="0"/>
        <w:rPr>
          <w:rFonts w:eastAsia="方正黑体_GBK"/>
          <w:szCs w:val="32"/>
        </w:rPr>
      </w:pPr>
      <w:bookmarkStart w:id="16" w:name="_Toc172190265"/>
      <w:bookmarkStart w:id="17" w:name="_Toc229132240"/>
      <w:r>
        <w:rPr>
          <w:rFonts w:eastAsia="方正黑体_GBK"/>
          <w:szCs w:val="32"/>
        </w:rPr>
        <w:t>二、事故应急处置及评估情况</w:t>
      </w:r>
      <w:bookmarkEnd w:id="16"/>
      <w:bookmarkEnd w:id="17"/>
    </w:p>
    <w:p>
      <w:pPr>
        <w:overflowPunct w:val="0"/>
        <w:adjustRightInd w:val="0"/>
        <w:snapToGrid w:val="0"/>
        <w:spacing w:line="594" w:lineRule="exact"/>
        <w:ind w:firstLine="632" w:firstLineChars="200"/>
        <w:outlineLvl w:val="1"/>
        <w:rPr>
          <w:rFonts w:eastAsia="方正楷体_GBK"/>
          <w:szCs w:val="32"/>
        </w:rPr>
      </w:pPr>
      <w:bookmarkStart w:id="18" w:name="_Toc229132241"/>
      <w:bookmarkStart w:id="19" w:name="_Toc172190266"/>
      <w:r>
        <w:rPr>
          <w:rFonts w:eastAsia="方正楷体_GBK"/>
          <w:szCs w:val="32"/>
        </w:rPr>
        <w:t>（一）事故信息接报及响应情况</w:t>
      </w:r>
      <w:bookmarkEnd w:id="18"/>
      <w:bookmarkEnd w:id="19"/>
    </w:p>
    <w:p>
      <w:pPr>
        <w:overflowPunct w:val="0"/>
        <w:adjustRightInd w:val="0"/>
        <w:snapToGrid w:val="0"/>
        <w:spacing w:line="594" w:lineRule="exact"/>
        <w:ind w:firstLine="632" w:firstLineChars="200"/>
        <w:rPr>
          <w:szCs w:val="32"/>
        </w:rPr>
      </w:pPr>
      <w:r>
        <w:rPr>
          <w:szCs w:val="32"/>
        </w:rPr>
        <w:t>事故发生后，</w:t>
      </w:r>
      <w:r>
        <w:rPr>
          <w:rFonts w:hint="eastAsia"/>
          <w:szCs w:val="32"/>
        </w:rPr>
        <w:t>工人李某某</w:t>
      </w:r>
      <w:r>
        <w:rPr>
          <w:szCs w:val="32"/>
        </w:rPr>
        <w:t>向</w:t>
      </w:r>
      <w:r>
        <w:rPr>
          <w:rFonts w:hint="eastAsia"/>
          <w:szCs w:val="32"/>
        </w:rPr>
        <w:t>车间副主任赵某某进行了报告，赵某某立即电话向安全员卢某和总经理王某某</w:t>
      </w:r>
      <w:r>
        <w:rPr>
          <w:szCs w:val="32"/>
        </w:rPr>
        <w:t>报告</w:t>
      </w:r>
      <w:r>
        <w:rPr>
          <w:rFonts w:hint="eastAsia"/>
          <w:szCs w:val="32"/>
        </w:rPr>
        <w:t>了</w:t>
      </w:r>
      <w:r>
        <w:rPr>
          <w:szCs w:val="32"/>
        </w:rPr>
        <w:t>情况，</w:t>
      </w:r>
      <w:r>
        <w:rPr>
          <w:rFonts w:hint="eastAsia"/>
          <w:szCs w:val="32"/>
        </w:rPr>
        <w:t>公司行政部门</w:t>
      </w:r>
      <w:r>
        <w:rPr>
          <w:szCs w:val="32"/>
        </w:rPr>
        <w:t>向两江新区</w:t>
      </w:r>
      <w:r>
        <w:rPr>
          <w:rFonts w:hint="eastAsia"/>
          <w:szCs w:val="32"/>
        </w:rPr>
        <w:t>相关</w:t>
      </w:r>
      <w:r>
        <w:rPr>
          <w:szCs w:val="32"/>
        </w:rPr>
        <w:t>部门报告了事故情况。区应急管理局、</w:t>
      </w:r>
      <w:r>
        <w:rPr>
          <w:rFonts w:hint="eastAsia"/>
          <w:szCs w:val="32"/>
        </w:rPr>
        <w:t>区</w:t>
      </w:r>
      <w:r>
        <w:rPr>
          <w:szCs w:val="32"/>
        </w:rPr>
        <w:t>经信委、</w:t>
      </w:r>
      <w:r>
        <w:rPr>
          <w:rFonts w:hint="eastAsia"/>
          <w:szCs w:val="32"/>
        </w:rPr>
        <w:t>区</w:t>
      </w:r>
      <w:r>
        <w:rPr>
          <w:szCs w:val="32"/>
        </w:rPr>
        <w:t>公安分局</w:t>
      </w:r>
      <w:r>
        <w:rPr>
          <w:rFonts w:hint="eastAsia"/>
          <w:szCs w:val="32"/>
        </w:rPr>
        <w:t>、</w:t>
      </w:r>
      <w:r>
        <w:rPr>
          <w:szCs w:val="32"/>
        </w:rPr>
        <w:t>石船镇得到事故报告后，立即启动应急响应，同时派人赶到事故现场进行处置。</w:t>
      </w:r>
    </w:p>
    <w:p>
      <w:pPr>
        <w:overflowPunct w:val="0"/>
        <w:adjustRightInd w:val="0"/>
        <w:snapToGrid w:val="0"/>
        <w:spacing w:line="594" w:lineRule="exact"/>
        <w:ind w:firstLine="632" w:firstLineChars="200"/>
        <w:outlineLvl w:val="1"/>
        <w:rPr>
          <w:rFonts w:eastAsia="方正楷体_GBK"/>
          <w:szCs w:val="32"/>
        </w:rPr>
      </w:pPr>
      <w:bookmarkStart w:id="20" w:name="_Toc172190267"/>
      <w:bookmarkStart w:id="21" w:name="_Toc229132242"/>
      <w:r>
        <w:rPr>
          <w:rFonts w:eastAsia="方正楷体_GBK"/>
          <w:szCs w:val="32"/>
        </w:rPr>
        <w:t>（二）事故现场应急处置情况</w:t>
      </w:r>
      <w:bookmarkEnd w:id="20"/>
      <w:bookmarkEnd w:id="21"/>
    </w:p>
    <w:p>
      <w:pPr>
        <w:overflowPunct w:val="0"/>
        <w:adjustRightInd w:val="0"/>
        <w:snapToGrid w:val="0"/>
        <w:spacing w:line="594" w:lineRule="exact"/>
        <w:ind w:firstLine="632" w:firstLineChars="200"/>
        <w:rPr>
          <w:color w:val="FF0000"/>
          <w:szCs w:val="32"/>
        </w:rPr>
      </w:pPr>
      <w:r>
        <w:rPr>
          <w:rFonts w:hint="eastAsia"/>
          <w:szCs w:val="32"/>
        </w:rPr>
        <w:t>李某某</w:t>
      </w:r>
      <w:r>
        <w:rPr>
          <w:szCs w:val="32"/>
        </w:rPr>
        <w:t>发现</w:t>
      </w:r>
      <w:r>
        <w:rPr>
          <w:rFonts w:hint="eastAsia"/>
          <w:szCs w:val="32"/>
        </w:rPr>
        <w:t>陈某某被</w:t>
      </w:r>
      <w:r>
        <w:rPr>
          <w:szCs w:val="32"/>
        </w:rPr>
        <w:t>机械</w:t>
      </w:r>
      <w:r>
        <w:rPr>
          <w:rFonts w:hint="eastAsia"/>
          <w:szCs w:val="32"/>
        </w:rPr>
        <w:t>挤压</w:t>
      </w:r>
      <w:r>
        <w:rPr>
          <w:szCs w:val="32"/>
        </w:rPr>
        <w:t>后，立即</w:t>
      </w:r>
      <w:r>
        <w:rPr>
          <w:rFonts w:hint="eastAsia"/>
          <w:szCs w:val="32"/>
        </w:rPr>
        <w:t>大声呼救并报告，赵某某得知情况后，立即通知设备维修工程师王某某和安全员卢某，并组织现场工人施救，施救工人拨打了</w:t>
      </w:r>
      <w:r>
        <w:rPr>
          <w:szCs w:val="32"/>
        </w:rPr>
        <w:t>“120”急救电话。医护人员到达现场</w:t>
      </w:r>
      <w:r>
        <w:rPr>
          <w:rFonts w:hint="eastAsia"/>
          <w:szCs w:val="32"/>
        </w:rPr>
        <w:t>后</w:t>
      </w:r>
      <w:r>
        <w:rPr>
          <w:szCs w:val="32"/>
        </w:rPr>
        <w:t>，</w:t>
      </w:r>
      <w:r>
        <w:rPr>
          <w:rFonts w:hint="eastAsia"/>
          <w:szCs w:val="32"/>
        </w:rPr>
        <w:t>立即对陈某某进行抢救，并将其转移至重庆医科大学附属第三医院救治。3月13日上午11时许，陈某某经</w:t>
      </w:r>
      <w:r>
        <w:rPr>
          <w:szCs w:val="32"/>
        </w:rPr>
        <w:t>抢救无效死亡</w:t>
      </w:r>
      <w:r>
        <w:rPr>
          <w:rFonts w:hint="eastAsia"/>
          <w:szCs w:val="32"/>
        </w:rPr>
        <w:t>，</w:t>
      </w:r>
      <w:r>
        <w:rPr>
          <w:szCs w:val="32"/>
        </w:rPr>
        <w:t>随即</w:t>
      </w:r>
      <w:r>
        <w:rPr>
          <w:rFonts w:hint="eastAsia"/>
          <w:szCs w:val="32"/>
        </w:rPr>
        <w:t>重庆某公司</w:t>
      </w:r>
      <w:r>
        <w:rPr>
          <w:szCs w:val="32"/>
        </w:rPr>
        <w:t>封锁了事故现场，公司相关负责人在事故现场配合应急管理部门调查，联系死者家属处置善后。</w:t>
      </w:r>
    </w:p>
    <w:p>
      <w:pPr>
        <w:overflowPunct w:val="0"/>
        <w:adjustRightInd w:val="0"/>
        <w:snapToGrid w:val="0"/>
        <w:spacing w:line="594" w:lineRule="exact"/>
        <w:ind w:firstLine="632" w:firstLineChars="200"/>
        <w:outlineLvl w:val="1"/>
        <w:rPr>
          <w:rFonts w:eastAsia="方正楷体_GBK"/>
          <w:szCs w:val="32"/>
        </w:rPr>
      </w:pPr>
      <w:bookmarkStart w:id="22" w:name="_Toc172190268"/>
      <w:bookmarkStart w:id="23" w:name="_Toc229132243"/>
      <w:r>
        <w:rPr>
          <w:rFonts w:eastAsia="方正楷体_GBK"/>
          <w:szCs w:val="32"/>
        </w:rPr>
        <w:t>（三）事故应急处置评估</w:t>
      </w:r>
      <w:bookmarkEnd w:id="22"/>
      <w:bookmarkEnd w:id="23"/>
    </w:p>
    <w:p>
      <w:pPr>
        <w:overflowPunct w:val="0"/>
        <w:adjustRightInd w:val="0"/>
        <w:snapToGrid w:val="0"/>
        <w:spacing w:line="594" w:lineRule="exact"/>
        <w:ind w:firstLine="632" w:firstLineChars="200"/>
        <w:rPr>
          <w:szCs w:val="32"/>
        </w:rPr>
      </w:pPr>
      <w:r>
        <w:rPr>
          <w:szCs w:val="32"/>
        </w:rPr>
        <w:t>接到事故信息后，区应急管理局、</w:t>
      </w:r>
      <w:r>
        <w:rPr>
          <w:rFonts w:hint="eastAsia"/>
          <w:szCs w:val="32"/>
        </w:rPr>
        <w:t>区</w:t>
      </w:r>
      <w:r>
        <w:rPr>
          <w:szCs w:val="32"/>
        </w:rPr>
        <w:t>经信委、</w:t>
      </w:r>
      <w:r>
        <w:rPr>
          <w:rFonts w:hint="eastAsia"/>
          <w:szCs w:val="32"/>
        </w:rPr>
        <w:t>区</w:t>
      </w:r>
      <w:r>
        <w:rPr>
          <w:szCs w:val="32"/>
        </w:rPr>
        <w:t>公安分局</w:t>
      </w:r>
      <w:r>
        <w:rPr>
          <w:rFonts w:hint="eastAsia"/>
          <w:szCs w:val="32"/>
        </w:rPr>
        <w:t>、</w:t>
      </w:r>
      <w:r>
        <w:rPr>
          <w:szCs w:val="32"/>
        </w:rPr>
        <w:t>石船镇等单位第一时间赶赴现场进行处置，</w:t>
      </w:r>
      <w:r>
        <w:rPr>
          <w:rFonts w:hint="eastAsia"/>
          <w:szCs w:val="32"/>
        </w:rPr>
        <w:t>应急响应及时，组织指挥有效，现场处置得当，善后处理稳妥，未造成负面舆情，无不稳定情况</w:t>
      </w:r>
      <w:r>
        <w:rPr>
          <w:szCs w:val="32"/>
        </w:rPr>
        <w:t>。</w:t>
      </w:r>
    </w:p>
    <w:p>
      <w:pPr>
        <w:overflowPunct w:val="0"/>
        <w:adjustRightInd w:val="0"/>
        <w:snapToGrid w:val="0"/>
        <w:spacing w:line="594" w:lineRule="exact"/>
        <w:ind w:firstLine="632" w:firstLineChars="200"/>
        <w:outlineLvl w:val="0"/>
        <w:rPr>
          <w:rFonts w:eastAsia="方正黑体_GBK"/>
          <w:szCs w:val="32"/>
        </w:rPr>
      </w:pPr>
      <w:bookmarkStart w:id="24" w:name="_Toc172190269"/>
      <w:bookmarkStart w:id="25" w:name="_Toc229132244"/>
      <w:r>
        <w:rPr>
          <w:rFonts w:eastAsia="方正黑体_GBK"/>
          <w:szCs w:val="32"/>
        </w:rPr>
        <w:t>三、事故原因</w:t>
      </w:r>
      <w:bookmarkEnd w:id="24"/>
      <w:bookmarkEnd w:id="25"/>
    </w:p>
    <w:p>
      <w:pPr>
        <w:overflowPunct w:val="0"/>
        <w:adjustRightInd w:val="0"/>
        <w:snapToGrid w:val="0"/>
        <w:spacing w:line="594" w:lineRule="exact"/>
        <w:ind w:firstLine="632" w:firstLineChars="200"/>
        <w:outlineLvl w:val="1"/>
        <w:rPr>
          <w:szCs w:val="32"/>
        </w:rPr>
      </w:pPr>
      <w:bookmarkStart w:id="26" w:name="_Toc229132245"/>
      <w:bookmarkStart w:id="27" w:name="_Toc172190270"/>
      <w:r>
        <w:rPr>
          <w:rFonts w:eastAsia="方正楷体_GBK"/>
          <w:szCs w:val="32"/>
        </w:rPr>
        <w:t>（一）直接原因</w:t>
      </w:r>
      <w:bookmarkEnd w:id="26"/>
      <w:bookmarkEnd w:id="27"/>
    </w:p>
    <w:p>
      <w:pPr>
        <w:overflowPunct w:val="0"/>
        <w:adjustRightInd w:val="0"/>
        <w:snapToGrid w:val="0"/>
        <w:spacing w:line="594" w:lineRule="exact"/>
        <w:ind w:firstLine="632" w:firstLineChars="200"/>
        <w:rPr>
          <w:szCs w:val="32"/>
        </w:rPr>
      </w:pPr>
      <w:r>
        <w:rPr>
          <w:szCs w:val="32"/>
        </w:rPr>
        <w:t>作业人员在生产线</w:t>
      </w:r>
      <w:r>
        <w:rPr>
          <w:rFonts w:hint="eastAsia"/>
          <w:szCs w:val="32"/>
        </w:rPr>
        <w:t>未</w:t>
      </w:r>
      <w:r>
        <w:rPr>
          <w:szCs w:val="32"/>
        </w:rPr>
        <w:t>停车断电情况下，违章冒险进入平台钢架与4#输送带之间的狭窄空间检查设备故障，触碰到接触不良</w:t>
      </w:r>
      <w:r>
        <w:rPr>
          <w:rFonts w:hint="eastAsia"/>
          <w:szCs w:val="32"/>
        </w:rPr>
        <w:t>的</w:t>
      </w:r>
      <w:r>
        <w:rPr>
          <w:szCs w:val="32"/>
        </w:rPr>
        <w:t>升降机电磁阀，</w:t>
      </w:r>
      <w:r>
        <w:rPr>
          <w:rFonts w:hint="eastAsia"/>
          <w:szCs w:val="32"/>
        </w:rPr>
        <w:t>致使</w:t>
      </w:r>
      <w:bookmarkStart w:id="28" w:name="_Hlk228201871"/>
      <w:r>
        <w:rPr>
          <w:szCs w:val="32"/>
        </w:rPr>
        <w:t>输送带通电后突然下降</w:t>
      </w:r>
      <w:bookmarkEnd w:id="28"/>
      <w:r>
        <w:rPr>
          <w:szCs w:val="32"/>
        </w:rPr>
        <w:t>，作业人员胸腹部被挤压</w:t>
      </w:r>
      <w:r>
        <w:rPr>
          <w:rFonts w:hint="eastAsia"/>
          <w:szCs w:val="32"/>
        </w:rPr>
        <w:t>在</w:t>
      </w:r>
      <w:r>
        <w:rPr>
          <w:szCs w:val="32"/>
        </w:rPr>
        <w:t>输送带</w:t>
      </w:r>
      <w:r>
        <w:rPr>
          <w:rFonts w:hint="eastAsia"/>
          <w:szCs w:val="32"/>
        </w:rPr>
        <w:t>与平台钢架之间，</w:t>
      </w:r>
      <w:r>
        <w:rPr>
          <w:szCs w:val="32"/>
        </w:rPr>
        <w:t>是事故发生的直接原因。</w:t>
      </w:r>
    </w:p>
    <w:p>
      <w:pPr>
        <w:overflowPunct w:val="0"/>
        <w:adjustRightInd w:val="0"/>
        <w:snapToGrid w:val="0"/>
        <w:spacing w:line="594" w:lineRule="exact"/>
        <w:ind w:firstLine="632" w:firstLineChars="200"/>
        <w:outlineLvl w:val="1"/>
        <w:rPr>
          <w:rFonts w:eastAsia="方正楷体_GBK"/>
          <w:szCs w:val="32"/>
        </w:rPr>
      </w:pPr>
      <w:bookmarkStart w:id="29" w:name="_Toc172190271"/>
      <w:bookmarkStart w:id="30" w:name="_Toc229132246"/>
      <w:r>
        <w:rPr>
          <w:rFonts w:eastAsia="方正楷体_GBK"/>
          <w:szCs w:val="32"/>
        </w:rPr>
        <w:t>（二）间接原因</w:t>
      </w:r>
      <w:bookmarkEnd w:id="29"/>
      <w:bookmarkEnd w:id="30"/>
    </w:p>
    <w:p>
      <w:pPr>
        <w:overflowPunct w:val="0"/>
        <w:adjustRightInd w:val="0"/>
        <w:snapToGrid w:val="0"/>
        <w:spacing w:line="594" w:lineRule="exact"/>
        <w:ind w:firstLine="632" w:firstLineChars="200"/>
        <w:rPr>
          <w:kern w:val="0"/>
          <w:szCs w:val="32"/>
        </w:rPr>
      </w:pPr>
      <w:r>
        <w:rPr>
          <w:rFonts w:hint="eastAsia"/>
          <w:kern w:val="0"/>
          <w:szCs w:val="32"/>
        </w:rPr>
        <w:t>重庆某公司</w:t>
      </w:r>
      <w:r>
        <w:rPr>
          <w:szCs w:val="32"/>
        </w:rPr>
        <w:t>未严格落实安全生产</w:t>
      </w:r>
      <w:r>
        <w:rPr>
          <w:kern w:val="0"/>
          <w:szCs w:val="32"/>
        </w:rPr>
        <w:t>主体责任，</w:t>
      </w:r>
      <w:r>
        <w:rPr>
          <w:rFonts w:hint="eastAsia"/>
          <w:kern w:val="0"/>
          <w:szCs w:val="32"/>
        </w:rPr>
        <w:t>主</w:t>
      </w:r>
      <w:r>
        <w:rPr>
          <w:kern w:val="0"/>
          <w:szCs w:val="32"/>
        </w:rPr>
        <w:t>要表现为：</w:t>
      </w:r>
    </w:p>
    <w:p>
      <w:pPr>
        <w:overflowPunct w:val="0"/>
        <w:adjustRightInd w:val="0"/>
        <w:snapToGrid w:val="0"/>
        <w:spacing w:line="594" w:lineRule="exact"/>
        <w:ind w:firstLine="632" w:firstLineChars="200"/>
        <w:rPr>
          <w:kern w:val="0"/>
          <w:szCs w:val="32"/>
        </w:rPr>
      </w:pPr>
      <w:r>
        <w:rPr>
          <w:rFonts w:hint="eastAsia"/>
          <w:kern w:val="0"/>
          <w:szCs w:val="32"/>
        </w:rPr>
        <w:t>一是</w:t>
      </w:r>
      <w:r>
        <w:rPr>
          <w:kern w:val="0"/>
          <w:szCs w:val="32"/>
        </w:rPr>
        <w:t>安全管理不到位</w:t>
      </w:r>
      <w:r>
        <w:rPr>
          <w:rFonts w:hint="eastAsia"/>
          <w:kern w:val="0"/>
          <w:szCs w:val="32"/>
        </w:rPr>
        <w:t>。</w:t>
      </w:r>
      <w:bookmarkStart w:id="31" w:name="_Hlk228201918"/>
      <w:r>
        <w:rPr>
          <w:rFonts w:hint="eastAsia"/>
          <w:kern w:val="0"/>
          <w:szCs w:val="32"/>
        </w:rPr>
        <w:t>未有效教育和督促从业人员严格执行本单位的《剪板机操作安全规程》</w:t>
      </w:r>
      <w:bookmarkEnd w:id="31"/>
      <w:r>
        <w:rPr>
          <w:rFonts w:hint="eastAsia"/>
          <w:kern w:val="0"/>
          <w:szCs w:val="32"/>
        </w:rPr>
        <w:t>（《剪板机操作安全规程》第11条“严禁设备带病操作，严禁员工私自维修操作，设备发生故障应第一时间报设备维修”），</w:t>
      </w:r>
      <w:bookmarkStart w:id="32" w:name="_Hlk228201931"/>
      <w:r>
        <w:rPr>
          <w:rFonts w:hint="eastAsia"/>
          <w:kern w:val="0"/>
          <w:szCs w:val="32"/>
        </w:rPr>
        <w:t>未及时发现、制止从业人员自行</w:t>
      </w:r>
      <w:r>
        <w:rPr>
          <w:rFonts w:hint="eastAsia"/>
          <w:szCs w:val="32"/>
        </w:rPr>
        <w:t>进入到输送</w:t>
      </w:r>
      <w:r>
        <w:rPr>
          <w:szCs w:val="32"/>
        </w:rPr>
        <w:t>平台钢架与4#输送带之间的狭窄空间</w:t>
      </w:r>
      <w:r>
        <w:rPr>
          <w:rFonts w:hint="eastAsia"/>
          <w:szCs w:val="32"/>
        </w:rPr>
        <w:t>维修设备的违章冒险行为</w:t>
      </w:r>
      <w:bookmarkEnd w:id="32"/>
      <w:r>
        <w:rPr>
          <w:rFonts w:hint="eastAsia"/>
          <w:szCs w:val="32"/>
        </w:rPr>
        <w:t>。</w:t>
      </w:r>
    </w:p>
    <w:p>
      <w:pPr>
        <w:overflowPunct w:val="0"/>
        <w:adjustRightInd w:val="0"/>
        <w:snapToGrid w:val="0"/>
        <w:spacing w:line="594" w:lineRule="exact"/>
        <w:ind w:firstLine="632" w:firstLineChars="200"/>
        <w:rPr>
          <w:color w:val="FF0000"/>
          <w:szCs w:val="32"/>
        </w:rPr>
      </w:pPr>
      <w:r>
        <w:rPr>
          <w:rFonts w:hint="eastAsia"/>
          <w:szCs w:val="32"/>
        </w:rPr>
        <w:t>二是现场隐患排查不到位。未及时发现并消除850飞剪线</w:t>
      </w:r>
      <w:r>
        <w:rPr>
          <w:szCs w:val="32"/>
        </w:rPr>
        <w:t>升降机电磁阀</w:t>
      </w:r>
      <w:r>
        <w:rPr>
          <w:rFonts w:hint="eastAsia"/>
          <w:szCs w:val="32"/>
        </w:rPr>
        <w:t>下降插头接触不良的事故隐患。</w:t>
      </w:r>
    </w:p>
    <w:p>
      <w:pPr>
        <w:overflowPunct w:val="0"/>
        <w:adjustRightInd w:val="0"/>
        <w:snapToGrid w:val="0"/>
        <w:spacing w:line="594" w:lineRule="exact"/>
        <w:ind w:firstLine="632" w:firstLineChars="200"/>
        <w:outlineLvl w:val="0"/>
        <w:rPr>
          <w:rFonts w:eastAsia="方正黑体_GBK"/>
          <w:szCs w:val="32"/>
        </w:rPr>
      </w:pPr>
      <w:bookmarkStart w:id="33" w:name="_Toc229132247"/>
      <w:r>
        <w:rPr>
          <w:rFonts w:eastAsia="方正黑体_GBK"/>
          <w:szCs w:val="32"/>
        </w:rPr>
        <w:t>四、监管部门履职情况</w:t>
      </w:r>
      <w:bookmarkEnd w:id="33"/>
    </w:p>
    <w:p>
      <w:pPr>
        <w:overflowPunct w:val="0"/>
        <w:adjustRightInd w:val="0"/>
        <w:snapToGrid w:val="0"/>
        <w:spacing w:line="594" w:lineRule="exact"/>
        <w:ind w:firstLine="632" w:firstLineChars="200"/>
        <w:rPr>
          <w:szCs w:val="32"/>
        </w:rPr>
      </w:pPr>
      <w:r>
        <w:rPr>
          <w:rFonts w:hint="eastAsia"/>
          <w:szCs w:val="32"/>
        </w:rPr>
        <w:t>区经信委</w:t>
      </w:r>
      <w:r>
        <w:rPr>
          <w:rFonts w:hint="eastAsia" w:ascii="方正楷体_GBK" w:eastAsia="方正楷体_GBK"/>
          <w:szCs w:val="32"/>
        </w:rPr>
        <w:t>严格落实行业安全监管责任。</w:t>
      </w:r>
      <w:r>
        <w:rPr>
          <w:rFonts w:hint="eastAsia"/>
          <w:szCs w:val="32"/>
        </w:rPr>
        <w:t>每年编制安全生产工作要点和年度执法工作计划，委党委会定期研究安全生产工作，研判风险。发挥安全机构技术支撑，根据企业安全风险评估结果，实行不同频次检查。今年截至事发前，累计开展执法检查</w:t>
      </w:r>
      <w:r>
        <w:rPr>
          <w:szCs w:val="32"/>
        </w:rPr>
        <w:t>*</w:t>
      </w:r>
      <w:r>
        <w:rPr>
          <w:rFonts w:hint="eastAsia"/>
          <w:szCs w:val="32"/>
        </w:rPr>
        <w:t>家次，下发责令限期整改书</w:t>
      </w:r>
      <w:r>
        <w:rPr>
          <w:szCs w:val="32"/>
        </w:rPr>
        <w:t>*</w:t>
      </w:r>
      <w:r>
        <w:rPr>
          <w:rFonts w:hint="eastAsia"/>
          <w:szCs w:val="32"/>
        </w:rPr>
        <w:t>份，排查安全隐患</w:t>
      </w:r>
      <w:r>
        <w:rPr>
          <w:szCs w:val="32"/>
        </w:rPr>
        <w:t>*</w:t>
      </w:r>
      <w:r>
        <w:rPr>
          <w:rFonts w:hint="eastAsia"/>
          <w:szCs w:val="32"/>
        </w:rPr>
        <w:t>条，同时聘请第三方安全技术服务公司对北碚划入片区</w:t>
      </w:r>
      <w:r>
        <w:rPr>
          <w:szCs w:val="32"/>
        </w:rPr>
        <w:t>*</w:t>
      </w:r>
      <w:r>
        <w:rPr>
          <w:rFonts w:hint="eastAsia"/>
          <w:szCs w:val="32"/>
        </w:rPr>
        <w:t>家规上工业企业开展安全摸底排查工作。</w:t>
      </w:r>
      <w:r>
        <w:rPr>
          <w:rFonts w:hint="eastAsia" w:ascii="方正楷体_GBK" w:eastAsia="方正楷体_GBK"/>
          <w:szCs w:val="32"/>
        </w:rPr>
        <w:t>大力开展安全专项及教育培训。</w:t>
      </w:r>
      <w:r>
        <w:rPr>
          <w:rFonts w:hint="eastAsia"/>
          <w:szCs w:val="32"/>
        </w:rPr>
        <w:t>按照区安委办关于春节节后复工复产要求，对企业节后复工复产安全工作“八条措施”落实情况开展检查指导服务，降低企业复工复产安全事故风险。3月，分批次组织区经信系统重点企业主要负责人、分管负责人、安全管理</w:t>
      </w:r>
      <w:r>
        <w:rPr>
          <w:rFonts w:hint="eastAsia" w:ascii="方正仿宋_GBK"/>
          <w:szCs w:val="32"/>
        </w:rPr>
        <w:t>员“三类人员”共计</w:t>
      </w:r>
      <w:r>
        <w:rPr>
          <w:szCs w:val="32"/>
        </w:rPr>
        <w:t>*</w:t>
      </w:r>
      <w:r>
        <w:rPr>
          <w:rFonts w:hint="eastAsia"/>
          <w:szCs w:val="32"/>
        </w:rPr>
        <w:t>余人开展安全教育培训。</w:t>
      </w:r>
      <w:r>
        <w:rPr>
          <w:rFonts w:hint="eastAsia" w:ascii="方正楷体_GBK" w:eastAsia="方正楷体_GBK"/>
          <w:szCs w:val="32"/>
        </w:rPr>
        <w:t>加强对镇街工作指导督促。</w:t>
      </w:r>
      <w:r>
        <w:rPr>
          <w:rFonts w:hint="eastAsia"/>
          <w:szCs w:val="32"/>
        </w:rPr>
        <w:t>2</w:t>
      </w:r>
      <w:r>
        <w:rPr>
          <w:szCs w:val="32"/>
        </w:rPr>
        <w:t>026</w:t>
      </w:r>
      <w:r>
        <w:rPr>
          <w:rFonts w:hint="eastAsia"/>
          <w:szCs w:val="32"/>
        </w:rPr>
        <w:t>年，向各镇街印发《工贸企业复工复产工作提示函》《关于深入开展安全生产大排查大整治暨消防安全隐患集中整治行动的通知》《关于开展工业企业实验室安全隐患自查工作的通知》等文件。每月会同1-2个镇街对其辖区部分规下工业企业进行执法检查，截至当前，已指导镇街开展执法检查</w:t>
      </w:r>
      <w:r>
        <w:rPr>
          <w:szCs w:val="32"/>
        </w:rPr>
        <w:t>*</w:t>
      </w:r>
      <w:r>
        <w:rPr>
          <w:rFonts w:hint="eastAsia"/>
          <w:szCs w:val="32"/>
        </w:rPr>
        <w:t>余次。建立镇街联合检查工作群，定期向群内推送监管工作要求和注意事项，进一步完善部门镇街协作机制。本次事故调查中，未发现区经信委安全监管不到位的情况。</w:t>
      </w:r>
    </w:p>
    <w:p>
      <w:pPr>
        <w:overflowPunct w:val="0"/>
        <w:adjustRightInd w:val="0"/>
        <w:snapToGrid w:val="0"/>
        <w:spacing w:line="594" w:lineRule="exact"/>
        <w:ind w:firstLine="632" w:firstLineChars="200"/>
        <w:outlineLvl w:val="0"/>
        <w:rPr>
          <w:rFonts w:eastAsia="方正黑体_GBK"/>
          <w:szCs w:val="32"/>
        </w:rPr>
      </w:pPr>
      <w:bookmarkStart w:id="34" w:name="_Toc229132248"/>
      <w:r>
        <w:rPr>
          <w:rFonts w:eastAsia="方正黑体_GBK"/>
          <w:szCs w:val="32"/>
        </w:rPr>
        <w:t>五</w:t>
      </w:r>
      <w:bookmarkStart w:id="35" w:name="_Toc172190274"/>
      <w:r>
        <w:rPr>
          <w:rFonts w:eastAsia="方正黑体_GBK"/>
          <w:szCs w:val="32"/>
        </w:rPr>
        <w:t>、对有关责任人员和责任单位的处理建议</w:t>
      </w:r>
      <w:bookmarkEnd w:id="34"/>
      <w:bookmarkEnd w:id="35"/>
    </w:p>
    <w:p>
      <w:pPr>
        <w:overflowPunct w:val="0"/>
        <w:adjustRightInd w:val="0"/>
        <w:snapToGrid w:val="0"/>
        <w:spacing w:line="594" w:lineRule="exact"/>
        <w:ind w:firstLine="632" w:firstLineChars="200"/>
        <w:outlineLvl w:val="1"/>
        <w:rPr>
          <w:rFonts w:eastAsia="方正楷体_GBK"/>
          <w:szCs w:val="32"/>
        </w:rPr>
      </w:pPr>
      <w:bookmarkStart w:id="36" w:name="_Toc172190275"/>
      <w:bookmarkStart w:id="37" w:name="_Toc229132249"/>
      <w:r>
        <w:rPr>
          <w:rFonts w:eastAsia="方正楷体_GBK"/>
          <w:szCs w:val="32"/>
        </w:rPr>
        <w:t>（一）建议免予追究责任的人员</w:t>
      </w:r>
      <w:bookmarkEnd w:id="36"/>
      <w:bookmarkEnd w:id="37"/>
    </w:p>
    <w:p>
      <w:pPr>
        <w:overflowPunct w:val="0"/>
        <w:adjustRightInd w:val="0"/>
        <w:snapToGrid w:val="0"/>
        <w:spacing w:line="594" w:lineRule="exact"/>
        <w:ind w:firstLine="632" w:firstLineChars="200"/>
        <w:rPr>
          <w:szCs w:val="32"/>
        </w:rPr>
      </w:pPr>
      <w:r>
        <w:rPr>
          <w:szCs w:val="32"/>
        </w:rPr>
        <w:t>陈某某，违章</w:t>
      </w:r>
      <w:r>
        <w:rPr>
          <w:rFonts w:hint="eastAsia"/>
          <w:szCs w:val="32"/>
        </w:rPr>
        <w:t>冒险</w:t>
      </w:r>
      <w:r>
        <w:rPr>
          <w:szCs w:val="32"/>
        </w:rPr>
        <w:t>作业，进入平台钢架与</w:t>
      </w:r>
      <w:r>
        <w:rPr>
          <w:rFonts w:hint="eastAsia"/>
          <w:szCs w:val="32"/>
        </w:rPr>
        <w:t>4#</w:t>
      </w:r>
      <w:r>
        <w:rPr>
          <w:szCs w:val="32"/>
        </w:rPr>
        <w:t>输送带之间的狭窄空间检查设备故障，触碰到接触不良</w:t>
      </w:r>
      <w:r>
        <w:rPr>
          <w:rFonts w:hint="eastAsia"/>
          <w:szCs w:val="32"/>
        </w:rPr>
        <w:t>的</w:t>
      </w:r>
      <w:r>
        <w:rPr>
          <w:szCs w:val="32"/>
        </w:rPr>
        <w:t>升降机电磁阀</w:t>
      </w:r>
      <w:r>
        <w:rPr>
          <w:rFonts w:hint="eastAsia"/>
          <w:szCs w:val="32"/>
        </w:rPr>
        <w:t>，致使输送带通电后突然下降，</w:t>
      </w:r>
      <w:r>
        <w:rPr>
          <w:szCs w:val="32"/>
        </w:rPr>
        <w:t>导致事故发生，对本次事故负有责任，鉴于其在事故中死亡，建议免于追究责任。</w:t>
      </w:r>
    </w:p>
    <w:p>
      <w:pPr>
        <w:overflowPunct w:val="0"/>
        <w:adjustRightInd w:val="0"/>
        <w:snapToGrid w:val="0"/>
        <w:spacing w:line="594" w:lineRule="exact"/>
        <w:ind w:firstLine="632" w:firstLineChars="200"/>
        <w:outlineLvl w:val="1"/>
        <w:rPr>
          <w:rFonts w:eastAsia="方正楷体_GBK"/>
          <w:szCs w:val="32"/>
        </w:rPr>
      </w:pPr>
      <w:bookmarkStart w:id="38" w:name="_Toc229132250"/>
      <w:bookmarkStart w:id="39" w:name="_Toc172190276"/>
      <w:bookmarkStart w:id="40" w:name="_Hlk194934765"/>
      <w:r>
        <w:rPr>
          <w:rFonts w:eastAsia="方正楷体_GBK"/>
          <w:szCs w:val="32"/>
        </w:rPr>
        <w:t>（二）建议给予行政处罚的单位</w:t>
      </w:r>
      <w:bookmarkEnd w:id="38"/>
      <w:bookmarkEnd w:id="39"/>
    </w:p>
    <w:bookmarkEnd w:id="40"/>
    <w:p>
      <w:pPr>
        <w:overflowPunct w:val="0"/>
        <w:adjustRightInd w:val="0"/>
        <w:snapToGrid w:val="0"/>
        <w:spacing w:line="594" w:lineRule="exact"/>
        <w:ind w:firstLine="632" w:firstLineChars="200"/>
        <w:rPr>
          <w:szCs w:val="32"/>
        </w:rPr>
      </w:pPr>
      <w:r>
        <w:rPr>
          <w:rFonts w:hint="eastAsia"/>
          <w:szCs w:val="32"/>
        </w:rPr>
        <w:t>重庆某公司</w:t>
      </w:r>
      <w:r>
        <w:rPr>
          <w:szCs w:val="32"/>
        </w:rPr>
        <w:t>，未严格落实安全生产主体责任，安全管理不到位</w:t>
      </w:r>
      <w:r>
        <w:rPr>
          <w:rFonts w:hint="eastAsia"/>
          <w:szCs w:val="32"/>
        </w:rPr>
        <w:t>，未有效教育和督促从业人员严格执行本单位的《剪板机操作安全规程》</w:t>
      </w:r>
      <w:r>
        <w:rPr>
          <w:szCs w:val="32"/>
        </w:rPr>
        <w:t>，</w:t>
      </w:r>
      <w:r>
        <w:rPr>
          <w:rFonts w:hint="eastAsia"/>
          <w:szCs w:val="32"/>
        </w:rPr>
        <w:t>未及时发现、制止从业人员自行进入到输送平台钢架与4#输送带之间的狭窄空间维修设备的违章冒险行为；现场</w:t>
      </w:r>
      <w:r>
        <w:rPr>
          <w:szCs w:val="32"/>
        </w:rPr>
        <w:t>隐患排查不到位</w:t>
      </w:r>
      <w:r>
        <w:rPr>
          <w:rFonts w:hint="eastAsia"/>
          <w:szCs w:val="32"/>
        </w:rPr>
        <w:t>，未及时发现并消除850飞剪线升降机电磁阀下降插头接触不良的事故隐患</w:t>
      </w:r>
      <w:r>
        <w:rPr>
          <w:szCs w:val="32"/>
        </w:rPr>
        <w:t>。其行为违反了《中华人民共和国安全生产法》</w:t>
      </w:r>
      <w:r>
        <w:rPr>
          <w:rFonts w:hint="eastAsia"/>
          <w:szCs w:val="32"/>
        </w:rPr>
        <w:t>第四十四条第一款、</w:t>
      </w:r>
      <w:r>
        <w:rPr>
          <w:szCs w:val="32"/>
        </w:rPr>
        <w:t>第</w:t>
      </w:r>
      <w:r>
        <w:rPr>
          <w:rFonts w:hint="eastAsia"/>
          <w:szCs w:val="32"/>
        </w:rPr>
        <w:t>四十一</w:t>
      </w:r>
      <w:r>
        <w:rPr>
          <w:szCs w:val="32"/>
        </w:rPr>
        <w:t>条</w:t>
      </w:r>
      <w:r>
        <w:rPr>
          <w:rFonts w:hint="eastAsia"/>
          <w:szCs w:val="32"/>
        </w:rPr>
        <w:t>第二款</w:t>
      </w:r>
      <w:r>
        <w:rPr>
          <w:szCs w:val="32"/>
        </w:rPr>
        <w:t>的规定，对本次事故负有责任</w:t>
      </w:r>
      <w:r>
        <w:rPr>
          <w:rFonts w:hint="eastAsia"/>
          <w:szCs w:val="32"/>
        </w:rPr>
        <w:t>，依据</w:t>
      </w:r>
      <w:r>
        <w:rPr>
          <w:szCs w:val="32"/>
        </w:rPr>
        <w:t>《中华人民共和国安全生产法》第一百一十四条第一款第一项，</w:t>
      </w:r>
      <w:r>
        <w:rPr>
          <w:rFonts w:hint="eastAsia"/>
          <w:szCs w:val="32"/>
        </w:rPr>
        <w:t>参照</w:t>
      </w:r>
      <w:r>
        <w:rPr>
          <w:szCs w:val="32"/>
        </w:rPr>
        <w:t>《</w:t>
      </w:r>
      <w:r>
        <w:rPr>
          <w:rFonts w:hint="eastAsia"/>
          <w:szCs w:val="32"/>
        </w:rPr>
        <w:t>重庆市应急管理系统行政处罚裁量权基准</w:t>
      </w:r>
      <w:r>
        <w:rPr>
          <w:szCs w:val="32"/>
        </w:rPr>
        <w:t>》的规定，建议由</w:t>
      </w:r>
      <w:r>
        <w:rPr>
          <w:rFonts w:hint="eastAsia"/>
          <w:szCs w:val="32"/>
        </w:rPr>
        <w:t>区</w:t>
      </w:r>
      <w:r>
        <w:rPr>
          <w:szCs w:val="32"/>
        </w:rPr>
        <w:t>应急管理局对其</w:t>
      </w:r>
      <w:r>
        <w:rPr>
          <w:rFonts w:hint="eastAsia"/>
          <w:szCs w:val="32"/>
        </w:rPr>
        <w:t>作出</w:t>
      </w:r>
      <w:r>
        <w:rPr>
          <w:szCs w:val="32"/>
        </w:rPr>
        <w:t>罚款的行政处罚。</w:t>
      </w:r>
    </w:p>
    <w:p>
      <w:pPr>
        <w:overflowPunct w:val="0"/>
        <w:adjustRightInd w:val="0"/>
        <w:snapToGrid w:val="0"/>
        <w:spacing w:line="594" w:lineRule="exact"/>
        <w:ind w:firstLine="632" w:firstLineChars="200"/>
        <w:outlineLvl w:val="1"/>
        <w:rPr>
          <w:rFonts w:eastAsia="方正楷体_GBK"/>
          <w:szCs w:val="32"/>
        </w:rPr>
      </w:pPr>
      <w:bookmarkStart w:id="41" w:name="_Toc229132251"/>
      <w:r>
        <w:rPr>
          <w:rFonts w:eastAsia="方正楷体_GBK"/>
          <w:szCs w:val="32"/>
        </w:rPr>
        <w:t>（三）建议给予行政处罚的人员</w:t>
      </w:r>
      <w:bookmarkEnd w:id="41"/>
    </w:p>
    <w:p>
      <w:pPr>
        <w:overflowPunct w:val="0"/>
        <w:adjustRightInd w:val="0"/>
        <w:snapToGrid w:val="0"/>
        <w:spacing w:line="594" w:lineRule="exact"/>
        <w:ind w:firstLine="632" w:firstLineChars="200"/>
        <w:rPr>
          <w:szCs w:val="32"/>
        </w:rPr>
      </w:pPr>
      <w:r>
        <w:rPr>
          <w:rFonts w:hint="eastAsia"/>
          <w:szCs w:val="32"/>
        </w:rPr>
        <w:t>王昌伟</w:t>
      </w:r>
      <w:r>
        <w:rPr>
          <w:szCs w:val="32"/>
        </w:rPr>
        <w:t>，</w:t>
      </w:r>
      <w:r>
        <w:rPr>
          <w:rFonts w:hint="eastAsia"/>
          <w:szCs w:val="32"/>
        </w:rPr>
        <w:t>重庆某公司</w:t>
      </w:r>
      <w:r>
        <w:rPr>
          <w:szCs w:val="32"/>
        </w:rPr>
        <w:t>的</w:t>
      </w:r>
      <w:r>
        <w:rPr>
          <w:rFonts w:hint="eastAsia"/>
          <w:szCs w:val="32"/>
        </w:rPr>
        <w:t>总经理</w:t>
      </w:r>
      <w:r>
        <w:rPr>
          <w:szCs w:val="32"/>
        </w:rPr>
        <w:t>，主持公司</w:t>
      </w:r>
      <w:r>
        <w:rPr>
          <w:rFonts w:hint="eastAsia"/>
          <w:szCs w:val="32"/>
        </w:rPr>
        <w:t>全面工作</w:t>
      </w:r>
      <w:r>
        <w:rPr>
          <w:szCs w:val="32"/>
        </w:rPr>
        <w:t>，安全生产工作主要负责人，</w:t>
      </w:r>
      <w:r>
        <w:rPr>
          <w:rFonts w:hint="eastAsia"/>
          <w:szCs w:val="32"/>
        </w:rPr>
        <w:t>组织实施本单位的安全生产规章制度和操作规程不力，</w:t>
      </w:r>
      <w:r>
        <w:rPr>
          <w:szCs w:val="32"/>
        </w:rPr>
        <w:t>对本单位的安全生产工作督促、检查不力，未及时消除生产安全事故隐患，导致事故发生。其行为违反了《中华人民共和国安全生产法》第二十一条第</w:t>
      </w:r>
      <w:r>
        <w:rPr>
          <w:rFonts w:hint="eastAsia"/>
          <w:szCs w:val="32"/>
        </w:rPr>
        <w:t>二、</w:t>
      </w:r>
      <w:r>
        <w:rPr>
          <w:szCs w:val="32"/>
        </w:rPr>
        <w:t>五项的规定，对本次事故负有责任</w:t>
      </w:r>
      <w:r>
        <w:rPr>
          <w:rFonts w:hint="eastAsia"/>
          <w:szCs w:val="32"/>
        </w:rPr>
        <w:t>，依据</w:t>
      </w:r>
      <w:r>
        <w:rPr>
          <w:szCs w:val="32"/>
        </w:rPr>
        <w:t>《中华人民共和国安全生产法》第九十五条第一项的规定，建议由</w:t>
      </w:r>
      <w:r>
        <w:rPr>
          <w:rFonts w:hint="eastAsia"/>
          <w:szCs w:val="32"/>
        </w:rPr>
        <w:t>区</w:t>
      </w:r>
      <w:r>
        <w:rPr>
          <w:szCs w:val="32"/>
        </w:rPr>
        <w:t>应急管理局对其处以罚款的行政处罚。</w:t>
      </w:r>
    </w:p>
    <w:p>
      <w:pPr>
        <w:overflowPunct w:val="0"/>
        <w:adjustRightInd w:val="0"/>
        <w:snapToGrid w:val="0"/>
        <w:spacing w:line="594" w:lineRule="exact"/>
        <w:ind w:firstLine="632" w:firstLineChars="200"/>
        <w:outlineLvl w:val="0"/>
        <w:rPr>
          <w:rFonts w:eastAsia="方正黑体_GBK"/>
          <w:szCs w:val="32"/>
        </w:rPr>
      </w:pPr>
      <w:bookmarkStart w:id="42" w:name="_Toc229132252"/>
      <w:bookmarkStart w:id="43" w:name="_Toc172190277"/>
      <w:r>
        <w:rPr>
          <w:rFonts w:eastAsia="方正黑体_GBK"/>
          <w:szCs w:val="32"/>
        </w:rPr>
        <w:t>六、事故整改和防范措施</w:t>
      </w:r>
      <w:bookmarkEnd w:id="42"/>
      <w:bookmarkEnd w:id="43"/>
    </w:p>
    <w:p>
      <w:pPr>
        <w:overflowPunct w:val="0"/>
        <w:adjustRightInd w:val="0"/>
        <w:snapToGrid w:val="0"/>
        <w:spacing w:line="594" w:lineRule="exact"/>
        <w:ind w:firstLine="632" w:firstLineChars="200"/>
        <w:rPr>
          <w:kern w:val="0"/>
          <w:szCs w:val="32"/>
        </w:rPr>
      </w:pPr>
      <w:r>
        <w:rPr>
          <w:kern w:val="0"/>
          <w:szCs w:val="32"/>
        </w:rPr>
        <w:t>为深刻吸取事故教训，避免和预防类似事故再次发生，应从以下方面采取防范措施：</w:t>
      </w:r>
    </w:p>
    <w:p>
      <w:pPr>
        <w:overflowPunct w:val="0"/>
        <w:adjustRightInd w:val="0"/>
        <w:snapToGrid w:val="0"/>
        <w:spacing w:line="594" w:lineRule="exact"/>
        <w:ind w:firstLine="632" w:firstLineChars="200"/>
        <w:rPr>
          <w:kern w:val="0"/>
          <w:szCs w:val="32"/>
        </w:rPr>
      </w:pPr>
      <w:r>
        <w:rPr>
          <w:kern w:val="0"/>
          <w:szCs w:val="32"/>
        </w:rPr>
        <w:t>（一）重庆某公司</w:t>
      </w:r>
      <w:r>
        <w:rPr>
          <w:rFonts w:hint="eastAsia"/>
          <w:kern w:val="0"/>
          <w:szCs w:val="32"/>
        </w:rPr>
        <w:t>要进一步建立健全生产安全管理体系，明确各部门、各岗位安全生产责任，将安全生产责任层层分解、压实到人。要针对管理部门及生产员工，开展安全管理制度、设备操作规程、机械安全知识专项培训，重点强化危险场景应急处置等实操内容，提升员工安全操作技能和风险防范意识。要加强设备安全管理与风险防控，组织安全管理人员和设备技术工程师，全面分析各类机械设备安全风险；在设备高风险部位设置明显、规范的安全警示标志，在高速运行的高危区域安装防护网或防护栏，防止人员无意进入。要加强设备日常管控，严格执行定期点检、巡查制度，详细记录设备运行状态；进一步明确设备故障检修责任，建立设备故障整改台账，确保问题及时闭环。</w:t>
      </w:r>
    </w:p>
    <w:p>
      <w:pPr>
        <w:overflowPunct w:val="0"/>
        <w:adjustRightInd w:val="0"/>
        <w:snapToGrid w:val="0"/>
        <w:spacing w:line="594" w:lineRule="exact"/>
        <w:ind w:firstLine="632" w:firstLineChars="200"/>
        <w:rPr>
          <w:kern w:val="0"/>
          <w:szCs w:val="32"/>
        </w:rPr>
      </w:pPr>
      <w:r>
        <w:rPr>
          <w:kern w:val="0"/>
          <w:szCs w:val="32"/>
        </w:rPr>
        <w:t>（</w:t>
      </w:r>
      <w:r>
        <w:rPr>
          <w:rFonts w:hint="eastAsia"/>
          <w:kern w:val="0"/>
          <w:szCs w:val="32"/>
        </w:rPr>
        <w:t>二</w:t>
      </w:r>
      <w:r>
        <w:rPr>
          <w:kern w:val="0"/>
          <w:szCs w:val="32"/>
        </w:rPr>
        <w:t>）区</w:t>
      </w:r>
      <w:r>
        <w:rPr>
          <w:rFonts w:hint="eastAsia"/>
          <w:kern w:val="0"/>
          <w:szCs w:val="32"/>
        </w:rPr>
        <w:t>经济和信息化委员会</w:t>
      </w:r>
      <w:r>
        <w:rPr>
          <w:kern w:val="0"/>
          <w:szCs w:val="32"/>
        </w:rPr>
        <w:t>作为行业主管部门，</w:t>
      </w:r>
      <w:r>
        <w:rPr>
          <w:rFonts w:hint="eastAsia"/>
          <w:kern w:val="0"/>
          <w:szCs w:val="32"/>
        </w:rPr>
        <w:t>要强化源头管控，严格落实工贸企业机械类设备安全设施相关制度，重点核查机床、冲压、剪切等设备的安全防护装置配置情况，坚决淘汰不符合安全标准的老旧机械装备。要深化行业专项治理，聚焦机械制造、零部件加工等领域，组织开展机械伤害专项整治行动，推广安全防护升级、自动化改造等先进技术和管理经验。要督促企业强化全员安全培训，重点提升作业人员机械操作规范、危险辨识及应急处置能力，严禁无证操作、违规作业。</w:t>
      </w:r>
    </w:p>
    <w:p>
      <w:pPr>
        <w:spacing w:line="594" w:lineRule="exact"/>
        <w:ind w:firstLine="632" w:firstLineChars="200"/>
      </w:pPr>
    </w:p>
    <w:p>
      <w:pPr>
        <w:spacing w:line="594" w:lineRule="exact"/>
        <w:ind w:firstLine="632" w:firstLineChars="200"/>
      </w:pPr>
      <w:bookmarkStart w:id="44" w:name="_GoBack"/>
      <w:bookmarkEnd w:id="44"/>
    </w:p>
    <w:p>
      <w:pPr>
        <w:spacing w:line="594" w:lineRule="exact"/>
        <w:ind w:firstLine="632" w:firstLineChars="200"/>
        <w:rPr>
          <w:snapToGrid w:val="0"/>
          <w:spacing w:val="-6"/>
          <w:kern w:val="0"/>
        </w:rPr>
      </w:pPr>
      <w:r>
        <w:t xml:space="preserve">      </w:t>
      </w:r>
      <w:r>
        <w:rPr>
          <w:rFonts w:hint="eastAsia"/>
        </w:rPr>
        <w:t>两江重庆某公司“3·13”一般机械伤害事故调查组</w:t>
      </w:r>
    </w:p>
    <w:p>
      <w:pPr>
        <w:wordWrap w:val="0"/>
        <w:spacing w:line="594" w:lineRule="exact"/>
        <w:ind w:right="1264" w:rightChars="400"/>
        <w:jc w:val="right"/>
        <w:rPr>
          <w:snapToGrid w:val="0"/>
          <w:spacing w:val="-6"/>
          <w:kern w:val="0"/>
        </w:rPr>
      </w:pPr>
      <w:r>
        <w:rPr>
          <w:snapToGrid w:val="0"/>
          <w:spacing w:val="-6"/>
          <w:kern w:val="0"/>
        </w:rPr>
        <w:t>2026</w:t>
      </w:r>
      <w:r>
        <w:rPr>
          <w:rFonts w:hint="eastAsia"/>
          <w:snapToGrid w:val="0"/>
          <w:spacing w:val="-6"/>
          <w:kern w:val="0"/>
        </w:rPr>
        <w:t>年5月8日</w:t>
      </w:r>
    </w:p>
    <w:sectPr>
      <w:footerReference r:id="rId3" w:type="default"/>
      <w:footerReference r:id="rId4" w:type="even"/>
      <w:pgSz w:w="11906" w:h="16838"/>
      <w:pgMar w:top="2098" w:right="1531" w:bottom="1985" w:left="1531" w:header="851" w:footer="1247" w:gutter="0"/>
      <w:pgNumType w:start="1"/>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0000019F" w:csb1="00000000"/>
  </w:font>
  <w:font w:name="方正黑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
    <w:altName w:val="方正仿宋_GBK"/>
    <w:panose1 w:val="00000000000000000000"/>
    <w:charset w:val="86"/>
    <w:family w:val="auto"/>
    <w:pitch w:val="default"/>
    <w:sig w:usb0="00000000" w:usb1="00000000" w:usb2="0000001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20" w:rightChars="100" w:firstLine="280" w:firstLineChars="100"/>
      <w:rPr>
        <w:sz w:val="28"/>
      </w:rPr>
    </w:pPr>
    <w:r>
      <w:rPr>
        <w:sz w:val="28"/>
      </w:rPr>
      <mc:AlternateContent>
        <mc:Choice Requires="wps">
          <w:drawing>
            <wp:anchor distT="0" distB="0" distL="114300" distR="114300" simplePos="0" relativeHeight="251662336" behindDoc="0" locked="0" layoutInCell="1" allowOverlap="1">
              <wp:simplePos x="0" y="0"/>
              <wp:positionH relativeFrom="margin">
                <wp:posOffset>4601210</wp:posOffset>
              </wp:positionH>
              <wp:positionV relativeFrom="paragraph">
                <wp:posOffset>-3175</wp:posOffset>
              </wp:positionV>
              <wp:extent cx="1184910" cy="1828800"/>
              <wp:effectExtent l="0" t="0" r="0" b="10795"/>
              <wp:wrapNone/>
              <wp:docPr id="11" name="文本框 11"/>
              <wp:cNvGraphicFramePr/>
              <a:graphic xmlns:a="http://schemas.openxmlformats.org/drawingml/2006/main">
                <a:graphicData uri="http://schemas.microsoft.com/office/word/2010/wordprocessingShape">
                  <wps:wsp>
                    <wps:cNvSpPr txBox="true"/>
                    <wps:spPr>
                      <a:xfrm>
                        <a:off x="0" y="0"/>
                        <a:ext cx="11847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left:362.3pt;margin-top:-0.25pt;height:144pt;width:93.3pt;mso-position-horizontal-relative:margin;z-index:251662336;mso-width-relative:page;mso-height-relative:page;" filled="f" stroked="f" coordsize="21600,21600" o:gfxdata="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FgAAAGRycy9Q&#10;SwECFAAUAAAACACHTuJALlLH79kAAAAJAQAADwAAAAAAAAABACAAAAA4AAAAZHJzL2Rvd25yZXYu&#10;eG1sUEsBAhQAFAAAAAgAh07iQN3iwCMdAgAAHQQAAA4AAAAAAAAAAQAgAAAAPgEAAGRycy9lMm9E&#10;b2MueG1sUEsFBgAAAAAGAAYAWQEAAM0FAAAAAA==&#10;">
              <v:fill on="f" focussize="0,0"/>
              <v:stroke on="f" weight="0.5pt"/>
              <v:imagedata o:title=""/>
              <o:lock v:ext="edit" aspectratio="f"/>
              <v:textbox inset="0mm,0mm,0mm,0mm" style="mso-fit-shape-to-text:t;">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20" w:rightChars="100" w:firstLine="180" w:firstLineChars="100"/>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200785" cy="1828800"/>
              <wp:effectExtent l="0" t="0" r="0" b="10795"/>
              <wp:wrapNone/>
              <wp:docPr id="12" name="文本框 12"/>
              <wp:cNvGraphicFramePr/>
              <a:graphic xmlns:a="http://schemas.openxmlformats.org/drawingml/2006/main">
                <a:graphicData uri="http://schemas.microsoft.com/office/word/2010/wordprocessingShape">
                  <wps:wsp>
                    <wps:cNvSpPr txBox="true"/>
                    <wps:spPr>
                      <a:xfrm>
                        <a:off x="0" y="0"/>
                        <a:ext cx="120064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94.55pt;mso-position-horizontal:outside;mso-position-horizontal-relative:margin;z-index:251664384;mso-width-relative:page;mso-height-relative:page;" filled="f" stroked="f" coordsize="21600,21600" o:gfxdata="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RQMmGtQAAAAFAQAADwAAAAAAAAABACAAAAA4AAAAZHJzL2Rvd25yZXYueG1sUEsB&#10;AhQAFAAAAAgAh07iQPQcc2EcAgAAHQQAAA4AAAAAAAAAAQAgAAAAOQEAAGRycy9lMm9Eb2MueG1s&#10;UEsFBgAAAAAGAAYAWQEAAMcFAAAAAA==&#10;">
              <v:fill on="f" focussize="0,0"/>
              <v:stroke on="f" weight="0.5pt"/>
              <v:imagedata o:title=""/>
              <o:lock v:ext="edit" aspectratio="f"/>
              <v:textbox inset="0mm,0mm,0mm,0mm" style="mso-fit-shape-to-text:t;">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2"/>
  <w:evenAndOddHeaders w:val="true"/>
  <w:drawingGridHorizontalSpacing w:val="315"/>
  <w:drawingGridVerticalSpacing w:val="579"/>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23.143.0.11:80/seeyon/officeservlet"/>
  </w:docVars>
  <w:rsids>
    <w:rsidRoot w:val="62520CA9"/>
    <w:rsid w:val="00003A72"/>
    <w:rsid w:val="00005872"/>
    <w:rsid w:val="00006E6D"/>
    <w:rsid w:val="00012404"/>
    <w:rsid w:val="00012714"/>
    <w:rsid w:val="00013916"/>
    <w:rsid w:val="000221F1"/>
    <w:rsid w:val="00022C93"/>
    <w:rsid w:val="000240BD"/>
    <w:rsid w:val="00025503"/>
    <w:rsid w:val="00025F29"/>
    <w:rsid w:val="00031C35"/>
    <w:rsid w:val="000345C3"/>
    <w:rsid w:val="00036B55"/>
    <w:rsid w:val="00040EEB"/>
    <w:rsid w:val="000423CC"/>
    <w:rsid w:val="000446AF"/>
    <w:rsid w:val="000477C5"/>
    <w:rsid w:val="00047F17"/>
    <w:rsid w:val="00054E83"/>
    <w:rsid w:val="00061E46"/>
    <w:rsid w:val="0006315C"/>
    <w:rsid w:val="00072880"/>
    <w:rsid w:val="00072B8A"/>
    <w:rsid w:val="00074413"/>
    <w:rsid w:val="0007512A"/>
    <w:rsid w:val="00076F2B"/>
    <w:rsid w:val="0008168C"/>
    <w:rsid w:val="00082FCC"/>
    <w:rsid w:val="00083ED6"/>
    <w:rsid w:val="000847A9"/>
    <w:rsid w:val="00085857"/>
    <w:rsid w:val="00086092"/>
    <w:rsid w:val="0009135E"/>
    <w:rsid w:val="0009340E"/>
    <w:rsid w:val="0009389C"/>
    <w:rsid w:val="000951AC"/>
    <w:rsid w:val="00097296"/>
    <w:rsid w:val="000978F7"/>
    <w:rsid w:val="00097AA5"/>
    <w:rsid w:val="000A19A4"/>
    <w:rsid w:val="000A6FA1"/>
    <w:rsid w:val="000A791E"/>
    <w:rsid w:val="000B11FB"/>
    <w:rsid w:val="000B373F"/>
    <w:rsid w:val="000B3B1E"/>
    <w:rsid w:val="000B452C"/>
    <w:rsid w:val="000C1939"/>
    <w:rsid w:val="000C25F0"/>
    <w:rsid w:val="000C26EC"/>
    <w:rsid w:val="000C4504"/>
    <w:rsid w:val="000C587D"/>
    <w:rsid w:val="000D3197"/>
    <w:rsid w:val="000D4A7D"/>
    <w:rsid w:val="000E047D"/>
    <w:rsid w:val="000E1EF8"/>
    <w:rsid w:val="000E4296"/>
    <w:rsid w:val="000E5B45"/>
    <w:rsid w:val="000E5B53"/>
    <w:rsid w:val="000E744C"/>
    <w:rsid w:val="000F677A"/>
    <w:rsid w:val="000F6CB7"/>
    <w:rsid w:val="00100500"/>
    <w:rsid w:val="00103759"/>
    <w:rsid w:val="001054D6"/>
    <w:rsid w:val="001078A2"/>
    <w:rsid w:val="00107DE6"/>
    <w:rsid w:val="00111973"/>
    <w:rsid w:val="00112020"/>
    <w:rsid w:val="0011324E"/>
    <w:rsid w:val="00114C00"/>
    <w:rsid w:val="00121706"/>
    <w:rsid w:val="001236D0"/>
    <w:rsid w:val="00125B6D"/>
    <w:rsid w:val="00127364"/>
    <w:rsid w:val="00127C14"/>
    <w:rsid w:val="001306EF"/>
    <w:rsid w:val="00132840"/>
    <w:rsid w:val="00133609"/>
    <w:rsid w:val="00133FFF"/>
    <w:rsid w:val="00134EEB"/>
    <w:rsid w:val="0014231F"/>
    <w:rsid w:val="00143305"/>
    <w:rsid w:val="001459BF"/>
    <w:rsid w:val="00151195"/>
    <w:rsid w:val="00153954"/>
    <w:rsid w:val="00155FEB"/>
    <w:rsid w:val="00156420"/>
    <w:rsid w:val="00161012"/>
    <w:rsid w:val="00161499"/>
    <w:rsid w:val="0017266F"/>
    <w:rsid w:val="00172A27"/>
    <w:rsid w:val="00172D8C"/>
    <w:rsid w:val="00176CB4"/>
    <w:rsid w:val="001864E8"/>
    <w:rsid w:val="0019096F"/>
    <w:rsid w:val="00190F2B"/>
    <w:rsid w:val="00194410"/>
    <w:rsid w:val="00195236"/>
    <w:rsid w:val="001961BC"/>
    <w:rsid w:val="0019727A"/>
    <w:rsid w:val="00197332"/>
    <w:rsid w:val="001A232D"/>
    <w:rsid w:val="001A4DB7"/>
    <w:rsid w:val="001B058A"/>
    <w:rsid w:val="001B2833"/>
    <w:rsid w:val="001B4039"/>
    <w:rsid w:val="001B458D"/>
    <w:rsid w:val="001B4DCD"/>
    <w:rsid w:val="001B5825"/>
    <w:rsid w:val="001B5971"/>
    <w:rsid w:val="001C6461"/>
    <w:rsid w:val="001C7BE3"/>
    <w:rsid w:val="001D2539"/>
    <w:rsid w:val="001D27F2"/>
    <w:rsid w:val="001D40F4"/>
    <w:rsid w:val="001D4308"/>
    <w:rsid w:val="001D4979"/>
    <w:rsid w:val="001D7AA7"/>
    <w:rsid w:val="001E39FB"/>
    <w:rsid w:val="001E4727"/>
    <w:rsid w:val="001E58E7"/>
    <w:rsid w:val="001F275B"/>
    <w:rsid w:val="001F4DD4"/>
    <w:rsid w:val="001F6899"/>
    <w:rsid w:val="00202492"/>
    <w:rsid w:val="002028F4"/>
    <w:rsid w:val="00205E70"/>
    <w:rsid w:val="00207250"/>
    <w:rsid w:val="00207BF0"/>
    <w:rsid w:val="00210544"/>
    <w:rsid w:val="00217B73"/>
    <w:rsid w:val="002202FB"/>
    <w:rsid w:val="0023470A"/>
    <w:rsid w:val="0023572E"/>
    <w:rsid w:val="00235830"/>
    <w:rsid w:val="00237E07"/>
    <w:rsid w:val="002407C1"/>
    <w:rsid w:val="00256A68"/>
    <w:rsid w:val="00261448"/>
    <w:rsid w:val="002620D0"/>
    <w:rsid w:val="002622B6"/>
    <w:rsid w:val="002640A9"/>
    <w:rsid w:val="00271F13"/>
    <w:rsid w:val="00273E0A"/>
    <w:rsid w:val="002765F6"/>
    <w:rsid w:val="00277FDF"/>
    <w:rsid w:val="0028188A"/>
    <w:rsid w:val="00281FC0"/>
    <w:rsid w:val="00287721"/>
    <w:rsid w:val="00287E19"/>
    <w:rsid w:val="002910D0"/>
    <w:rsid w:val="0029232B"/>
    <w:rsid w:val="00292461"/>
    <w:rsid w:val="00292E8B"/>
    <w:rsid w:val="00293B4C"/>
    <w:rsid w:val="00293CCF"/>
    <w:rsid w:val="00293F5E"/>
    <w:rsid w:val="00293F6F"/>
    <w:rsid w:val="002954BD"/>
    <w:rsid w:val="00296011"/>
    <w:rsid w:val="002A0EE7"/>
    <w:rsid w:val="002A2DB0"/>
    <w:rsid w:val="002A5556"/>
    <w:rsid w:val="002B0B5F"/>
    <w:rsid w:val="002B2537"/>
    <w:rsid w:val="002B400A"/>
    <w:rsid w:val="002B434E"/>
    <w:rsid w:val="002B75AC"/>
    <w:rsid w:val="002C395B"/>
    <w:rsid w:val="002C6B29"/>
    <w:rsid w:val="002D03FB"/>
    <w:rsid w:val="002D0479"/>
    <w:rsid w:val="002D0754"/>
    <w:rsid w:val="002D1EC1"/>
    <w:rsid w:val="002D2507"/>
    <w:rsid w:val="002D2CCB"/>
    <w:rsid w:val="002D4B3A"/>
    <w:rsid w:val="002D66EF"/>
    <w:rsid w:val="002D6926"/>
    <w:rsid w:val="002D6963"/>
    <w:rsid w:val="002D6E5D"/>
    <w:rsid w:val="002E00FA"/>
    <w:rsid w:val="002E762D"/>
    <w:rsid w:val="002F1A66"/>
    <w:rsid w:val="002F22BA"/>
    <w:rsid w:val="002F4F92"/>
    <w:rsid w:val="002F5FF5"/>
    <w:rsid w:val="002F6371"/>
    <w:rsid w:val="002F6483"/>
    <w:rsid w:val="002F65B2"/>
    <w:rsid w:val="002F6AD8"/>
    <w:rsid w:val="00300F75"/>
    <w:rsid w:val="003034C0"/>
    <w:rsid w:val="00304306"/>
    <w:rsid w:val="00304F08"/>
    <w:rsid w:val="00312804"/>
    <w:rsid w:val="003178CE"/>
    <w:rsid w:val="003269AD"/>
    <w:rsid w:val="00330623"/>
    <w:rsid w:val="003408C4"/>
    <w:rsid w:val="00341019"/>
    <w:rsid w:val="00341803"/>
    <w:rsid w:val="00342C5B"/>
    <w:rsid w:val="00344564"/>
    <w:rsid w:val="00345C87"/>
    <w:rsid w:val="00347000"/>
    <w:rsid w:val="003667D2"/>
    <w:rsid w:val="0037102A"/>
    <w:rsid w:val="00376466"/>
    <w:rsid w:val="003767AF"/>
    <w:rsid w:val="0037706E"/>
    <w:rsid w:val="003811A0"/>
    <w:rsid w:val="00382490"/>
    <w:rsid w:val="00383878"/>
    <w:rsid w:val="00385F6C"/>
    <w:rsid w:val="003867E0"/>
    <w:rsid w:val="00387F34"/>
    <w:rsid w:val="00390786"/>
    <w:rsid w:val="00391CE8"/>
    <w:rsid w:val="003939F5"/>
    <w:rsid w:val="0039492C"/>
    <w:rsid w:val="00396832"/>
    <w:rsid w:val="003A14A2"/>
    <w:rsid w:val="003A1E28"/>
    <w:rsid w:val="003A3194"/>
    <w:rsid w:val="003A3524"/>
    <w:rsid w:val="003A3DA4"/>
    <w:rsid w:val="003A54BA"/>
    <w:rsid w:val="003B240A"/>
    <w:rsid w:val="003B2D83"/>
    <w:rsid w:val="003B5029"/>
    <w:rsid w:val="003C088D"/>
    <w:rsid w:val="003C11E3"/>
    <w:rsid w:val="003C1620"/>
    <w:rsid w:val="003C3599"/>
    <w:rsid w:val="003C4B28"/>
    <w:rsid w:val="003C5779"/>
    <w:rsid w:val="003C60DD"/>
    <w:rsid w:val="003C6979"/>
    <w:rsid w:val="003D0256"/>
    <w:rsid w:val="003D3ABF"/>
    <w:rsid w:val="003D4F44"/>
    <w:rsid w:val="003D67EF"/>
    <w:rsid w:val="003E2A67"/>
    <w:rsid w:val="003E37AE"/>
    <w:rsid w:val="003E3FEE"/>
    <w:rsid w:val="003E77A1"/>
    <w:rsid w:val="003F0C2F"/>
    <w:rsid w:val="003F2A3E"/>
    <w:rsid w:val="003F30A5"/>
    <w:rsid w:val="003F58DF"/>
    <w:rsid w:val="00406026"/>
    <w:rsid w:val="00406A91"/>
    <w:rsid w:val="004110DD"/>
    <w:rsid w:val="00412680"/>
    <w:rsid w:val="00412CD3"/>
    <w:rsid w:val="0041424C"/>
    <w:rsid w:val="00414DC8"/>
    <w:rsid w:val="004205C2"/>
    <w:rsid w:val="004222B6"/>
    <w:rsid w:val="004229F1"/>
    <w:rsid w:val="00426925"/>
    <w:rsid w:val="0043261E"/>
    <w:rsid w:val="00433045"/>
    <w:rsid w:val="0043711D"/>
    <w:rsid w:val="00437624"/>
    <w:rsid w:val="004420D4"/>
    <w:rsid w:val="004468B4"/>
    <w:rsid w:val="00450BEF"/>
    <w:rsid w:val="004552BC"/>
    <w:rsid w:val="0045667A"/>
    <w:rsid w:val="00456CA3"/>
    <w:rsid w:val="00463D74"/>
    <w:rsid w:val="00466A85"/>
    <w:rsid w:val="00466DBD"/>
    <w:rsid w:val="00467E3F"/>
    <w:rsid w:val="004701B0"/>
    <w:rsid w:val="00471C68"/>
    <w:rsid w:val="00472088"/>
    <w:rsid w:val="00474CD6"/>
    <w:rsid w:val="00475D6E"/>
    <w:rsid w:val="004764B6"/>
    <w:rsid w:val="00476C2B"/>
    <w:rsid w:val="00480205"/>
    <w:rsid w:val="004843C9"/>
    <w:rsid w:val="00484ACB"/>
    <w:rsid w:val="004861EE"/>
    <w:rsid w:val="0048677A"/>
    <w:rsid w:val="004868EE"/>
    <w:rsid w:val="00496629"/>
    <w:rsid w:val="00497426"/>
    <w:rsid w:val="004A0E19"/>
    <w:rsid w:val="004B11BF"/>
    <w:rsid w:val="004B1473"/>
    <w:rsid w:val="004B1962"/>
    <w:rsid w:val="004B1E14"/>
    <w:rsid w:val="004B44AF"/>
    <w:rsid w:val="004B672A"/>
    <w:rsid w:val="004C04E4"/>
    <w:rsid w:val="004C1113"/>
    <w:rsid w:val="004C224B"/>
    <w:rsid w:val="004C3375"/>
    <w:rsid w:val="004C4A68"/>
    <w:rsid w:val="004C52D2"/>
    <w:rsid w:val="004C7012"/>
    <w:rsid w:val="004C7FA7"/>
    <w:rsid w:val="004D1D7D"/>
    <w:rsid w:val="004D3720"/>
    <w:rsid w:val="004D42E4"/>
    <w:rsid w:val="004D5C24"/>
    <w:rsid w:val="004D6F36"/>
    <w:rsid w:val="004E4876"/>
    <w:rsid w:val="004E5CFC"/>
    <w:rsid w:val="004E5E9B"/>
    <w:rsid w:val="004F1537"/>
    <w:rsid w:val="004F2462"/>
    <w:rsid w:val="004F7302"/>
    <w:rsid w:val="005067A7"/>
    <w:rsid w:val="0051071B"/>
    <w:rsid w:val="0051156B"/>
    <w:rsid w:val="00513AEA"/>
    <w:rsid w:val="00513BAD"/>
    <w:rsid w:val="00515F81"/>
    <w:rsid w:val="0052448B"/>
    <w:rsid w:val="005258E5"/>
    <w:rsid w:val="00527B8C"/>
    <w:rsid w:val="00527EEF"/>
    <w:rsid w:val="00533C33"/>
    <w:rsid w:val="0053509D"/>
    <w:rsid w:val="005373DB"/>
    <w:rsid w:val="00537826"/>
    <w:rsid w:val="0054293A"/>
    <w:rsid w:val="005456C5"/>
    <w:rsid w:val="005459AE"/>
    <w:rsid w:val="0054637C"/>
    <w:rsid w:val="00546E5F"/>
    <w:rsid w:val="00550E9D"/>
    <w:rsid w:val="00553B12"/>
    <w:rsid w:val="0055448E"/>
    <w:rsid w:val="00556266"/>
    <w:rsid w:val="00561EFE"/>
    <w:rsid w:val="00562A57"/>
    <w:rsid w:val="00566338"/>
    <w:rsid w:val="00566B24"/>
    <w:rsid w:val="00570F84"/>
    <w:rsid w:val="00572892"/>
    <w:rsid w:val="00574F92"/>
    <w:rsid w:val="005754CF"/>
    <w:rsid w:val="005763E6"/>
    <w:rsid w:val="0057726B"/>
    <w:rsid w:val="00585F21"/>
    <w:rsid w:val="0058653B"/>
    <w:rsid w:val="0058744A"/>
    <w:rsid w:val="00587F6F"/>
    <w:rsid w:val="00590A8B"/>
    <w:rsid w:val="0059378B"/>
    <w:rsid w:val="00594509"/>
    <w:rsid w:val="005A06BB"/>
    <w:rsid w:val="005A17A3"/>
    <w:rsid w:val="005A1F03"/>
    <w:rsid w:val="005A5EAE"/>
    <w:rsid w:val="005A5F49"/>
    <w:rsid w:val="005A6B7D"/>
    <w:rsid w:val="005A6CE6"/>
    <w:rsid w:val="005A6D85"/>
    <w:rsid w:val="005B5382"/>
    <w:rsid w:val="005C4F0F"/>
    <w:rsid w:val="005C7859"/>
    <w:rsid w:val="005D2FAB"/>
    <w:rsid w:val="005D4B14"/>
    <w:rsid w:val="005D5AEA"/>
    <w:rsid w:val="005D5C80"/>
    <w:rsid w:val="005E18D3"/>
    <w:rsid w:val="005E2A33"/>
    <w:rsid w:val="005E567F"/>
    <w:rsid w:val="005E64FA"/>
    <w:rsid w:val="005E7947"/>
    <w:rsid w:val="005F12CF"/>
    <w:rsid w:val="005F7927"/>
    <w:rsid w:val="005F7B87"/>
    <w:rsid w:val="00601A60"/>
    <w:rsid w:val="00602B12"/>
    <w:rsid w:val="00605FC9"/>
    <w:rsid w:val="00607144"/>
    <w:rsid w:val="00607F69"/>
    <w:rsid w:val="00611804"/>
    <w:rsid w:val="006118C3"/>
    <w:rsid w:val="006143D9"/>
    <w:rsid w:val="0061790C"/>
    <w:rsid w:val="00623521"/>
    <w:rsid w:val="006257BA"/>
    <w:rsid w:val="0062632B"/>
    <w:rsid w:val="00627544"/>
    <w:rsid w:val="006313ED"/>
    <w:rsid w:val="00631EDE"/>
    <w:rsid w:val="0063296E"/>
    <w:rsid w:val="00633914"/>
    <w:rsid w:val="0064485A"/>
    <w:rsid w:val="006452D4"/>
    <w:rsid w:val="00646D6A"/>
    <w:rsid w:val="00650C7F"/>
    <w:rsid w:val="006521C6"/>
    <w:rsid w:val="0065293B"/>
    <w:rsid w:val="0065321C"/>
    <w:rsid w:val="00654ACB"/>
    <w:rsid w:val="006557A2"/>
    <w:rsid w:val="00657E46"/>
    <w:rsid w:val="00666821"/>
    <w:rsid w:val="00673455"/>
    <w:rsid w:val="00673A61"/>
    <w:rsid w:val="00674EF2"/>
    <w:rsid w:val="00675590"/>
    <w:rsid w:val="0067726E"/>
    <w:rsid w:val="00681C1C"/>
    <w:rsid w:val="00683F01"/>
    <w:rsid w:val="00684F4C"/>
    <w:rsid w:val="00686D7D"/>
    <w:rsid w:val="0069003E"/>
    <w:rsid w:val="0069009C"/>
    <w:rsid w:val="006952F8"/>
    <w:rsid w:val="00697BC6"/>
    <w:rsid w:val="006A16F6"/>
    <w:rsid w:val="006A4F7C"/>
    <w:rsid w:val="006A52AD"/>
    <w:rsid w:val="006B3451"/>
    <w:rsid w:val="006B4C8A"/>
    <w:rsid w:val="006B4CE3"/>
    <w:rsid w:val="006B6D04"/>
    <w:rsid w:val="006B722A"/>
    <w:rsid w:val="006C00B8"/>
    <w:rsid w:val="006C0C45"/>
    <w:rsid w:val="006C1ACF"/>
    <w:rsid w:val="006C5BEF"/>
    <w:rsid w:val="006C754E"/>
    <w:rsid w:val="006D1F1A"/>
    <w:rsid w:val="006D1FE7"/>
    <w:rsid w:val="006D2979"/>
    <w:rsid w:val="006E3817"/>
    <w:rsid w:val="006F2310"/>
    <w:rsid w:val="006F24DA"/>
    <w:rsid w:val="006F29AB"/>
    <w:rsid w:val="006F31C5"/>
    <w:rsid w:val="006F55DC"/>
    <w:rsid w:val="006F5A68"/>
    <w:rsid w:val="006F75C1"/>
    <w:rsid w:val="00700705"/>
    <w:rsid w:val="007009F1"/>
    <w:rsid w:val="007034B6"/>
    <w:rsid w:val="00705176"/>
    <w:rsid w:val="00705701"/>
    <w:rsid w:val="007059F7"/>
    <w:rsid w:val="00705C7D"/>
    <w:rsid w:val="007075D7"/>
    <w:rsid w:val="007146E9"/>
    <w:rsid w:val="00715FED"/>
    <w:rsid w:val="007222D7"/>
    <w:rsid w:val="0072307E"/>
    <w:rsid w:val="0072459F"/>
    <w:rsid w:val="00724FDF"/>
    <w:rsid w:val="007263B5"/>
    <w:rsid w:val="00727039"/>
    <w:rsid w:val="007273A9"/>
    <w:rsid w:val="00731492"/>
    <w:rsid w:val="00733AAE"/>
    <w:rsid w:val="00733FB5"/>
    <w:rsid w:val="007358E4"/>
    <w:rsid w:val="00740BE1"/>
    <w:rsid w:val="007428B6"/>
    <w:rsid w:val="00742A27"/>
    <w:rsid w:val="007468C3"/>
    <w:rsid w:val="00746F06"/>
    <w:rsid w:val="0075422A"/>
    <w:rsid w:val="007579D3"/>
    <w:rsid w:val="00760D19"/>
    <w:rsid w:val="00762524"/>
    <w:rsid w:val="007636CC"/>
    <w:rsid w:val="00772298"/>
    <w:rsid w:val="00772455"/>
    <w:rsid w:val="007733C4"/>
    <w:rsid w:val="007827A1"/>
    <w:rsid w:val="00783FA9"/>
    <w:rsid w:val="00784843"/>
    <w:rsid w:val="00784C11"/>
    <w:rsid w:val="0078754A"/>
    <w:rsid w:val="00792BE2"/>
    <w:rsid w:val="0079458B"/>
    <w:rsid w:val="00794EFE"/>
    <w:rsid w:val="00796F13"/>
    <w:rsid w:val="007A1EE7"/>
    <w:rsid w:val="007B0DBF"/>
    <w:rsid w:val="007B3C1E"/>
    <w:rsid w:val="007B44F0"/>
    <w:rsid w:val="007B78F3"/>
    <w:rsid w:val="007B791A"/>
    <w:rsid w:val="007C205E"/>
    <w:rsid w:val="007C6723"/>
    <w:rsid w:val="007C6EF1"/>
    <w:rsid w:val="007D0D6E"/>
    <w:rsid w:val="007D2DAB"/>
    <w:rsid w:val="007D3649"/>
    <w:rsid w:val="007D383C"/>
    <w:rsid w:val="007D789B"/>
    <w:rsid w:val="007E1E70"/>
    <w:rsid w:val="007E22E1"/>
    <w:rsid w:val="007E2870"/>
    <w:rsid w:val="007F0AC6"/>
    <w:rsid w:val="007F70AE"/>
    <w:rsid w:val="007F79BF"/>
    <w:rsid w:val="0080017F"/>
    <w:rsid w:val="00814AB5"/>
    <w:rsid w:val="008160AC"/>
    <w:rsid w:val="00822BB7"/>
    <w:rsid w:val="00825DAB"/>
    <w:rsid w:val="00830265"/>
    <w:rsid w:val="008302E2"/>
    <w:rsid w:val="00831D54"/>
    <w:rsid w:val="00832519"/>
    <w:rsid w:val="008331AB"/>
    <w:rsid w:val="00833334"/>
    <w:rsid w:val="008505C1"/>
    <w:rsid w:val="00855014"/>
    <w:rsid w:val="00855332"/>
    <w:rsid w:val="00862770"/>
    <w:rsid w:val="00865944"/>
    <w:rsid w:val="008667D1"/>
    <w:rsid w:val="00866A96"/>
    <w:rsid w:val="00867966"/>
    <w:rsid w:val="008706E6"/>
    <w:rsid w:val="00870F02"/>
    <w:rsid w:val="00874CC1"/>
    <w:rsid w:val="0087506B"/>
    <w:rsid w:val="0087569A"/>
    <w:rsid w:val="00876137"/>
    <w:rsid w:val="00877A40"/>
    <w:rsid w:val="00880DC0"/>
    <w:rsid w:val="00881996"/>
    <w:rsid w:val="008819D0"/>
    <w:rsid w:val="00881C28"/>
    <w:rsid w:val="00884493"/>
    <w:rsid w:val="008867D1"/>
    <w:rsid w:val="008872A2"/>
    <w:rsid w:val="0088780A"/>
    <w:rsid w:val="00890822"/>
    <w:rsid w:val="00891BE2"/>
    <w:rsid w:val="00892DA6"/>
    <w:rsid w:val="00893305"/>
    <w:rsid w:val="00894F0D"/>
    <w:rsid w:val="008A4256"/>
    <w:rsid w:val="008A697B"/>
    <w:rsid w:val="008A6AC9"/>
    <w:rsid w:val="008B130E"/>
    <w:rsid w:val="008B1ACC"/>
    <w:rsid w:val="008B323B"/>
    <w:rsid w:val="008B720C"/>
    <w:rsid w:val="008B75BE"/>
    <w:rsid w:val="008B7F56"/>
    <w:rsid w:val="008C0C3E"/>
    <w:rsid w:val="008C18F1"/>
    <w:rsid w:val="008C3B1E"/>
    <w:rsid w:val="008C4EDA"/>
    <w:rsid w:val="008C52C1"/>
    <w:rsid w:val="008D3A40"/>
    <w:rsid w:val="008D4C54"/>
    <w:rsid w:val="008D7258"/>
    <w:rsid w:val="008D7C78"/>
    <w:rsid w:val="008E346C"/>
    <w:rsid w:val="008E56C3"/>
    <w:rsid w:val="008E67C9"/>
    <w:rsid w:val="008E6D0A"/>
    <w:rsid w:val="008F074F"/>
    <w:rsid w:val="008F2FA7"/>
    <w:rsid w:val="008F43DB"/>
    <w:rsid w:val="00900E28"/>
    <w:rsid w:val="00901E94"/>
    <w:rsid w:val="00901F34"/>
    <w:rsid w:val="0090740D"/>
    <w:rsid w:val="00907927"/>
    <w:rsid w:val="009100E5"/>
    <w:rsid w:val="00911EBE"/>
    <w:rsid w:val="009141EE"/>
    <w:rsid w:val="00915278"/>
    <w:rsid w:val="00915421"/>
    <w:rsid w:val="00915A46"/>
    <w:rsid w:val="009177E3"/>
    <w:rsid w:val="00921067"/>
    <w:rsid w:val="00922177"/>
    <w:rsid w:val="0092247E"/>
    <w:rsid w:val="009230A5"/>
    <w:rsid w:val="009249B8"/>
    <w:rsid w:val="00927E49"/>
    <w:rsid w:val="00930395"/>
    <w:rsid w:val="009325D5"/>
    <w:rsid w:val="00932B2F"/>
    <w:rsid w:val="0093351A"/>
    <w:rsid w:val="00934773"/>
    <w:rsid w:val="00935629"/>
    <w:rsid w:val="00940D42"/>
    <w:rsid w:val="00941685"/>
    <w:rsid w:val="00943561"/>
    <w:rsid w:val="00946467"/>
    <w:rsid w:val="00951111"/>
    <w:rsid w:val="00951124"/>
    <w:rsid w:val="00954083"/>
    <w:rsid w:val="00956A82"/>
    <w:rsid w:val="00961B05"/>
    <w:rsid w:val="0096325C"/>
    <w:rsid w:val="00963C21"/>
    <w:rsid w:val="00964433"/>
    <w:rsid w:val="00975CFF"/>
    <w:rsid w:val="00976559"/>
    <w:rsid w:val="00976A8A"/>
    <w:rsid w:val="00983866"/>
    <w:rsid w:val="00983C68"/>
    <w:rsid w:val="009854B0"/>
    <w:rsid w:val="00994322"/>
    <w:rsid w:val="00997354"/>
    <w:rsid w:val="009A1A67"/>
    <w:rsid w:val="009A27E4"/>
    <w:rsid w:val="009A3331"/>
    <w:rsid w:val="009A3A10"/>
    <w:rsid w:val="009A67AF"/>
    <w:rsid w:val="009B1202"/>
    <w:rsid w:val="009B244C"/>
    <w:rsid w:val="009B255C"/>
    <w:rsid w:val="009B2924"/>
    <w:rsid w:val="009B529E"/>
    <w:rsid w:val="009B5EB1"/>
    <w:rsid w:val="009C027F"/>
    <w:rsid w:val="009C19C2"/>
    <w:rsid w:val="009C3BCC"/>
    <w:rsid w:val="009C41AF"/>
    <w:rsid w:val="009D57DD"/>
    <w:rsid w:val="009D5FCE"/>
    <w:rsid w:val="009D6A79"/>
    <w:rsid w:val="009E0F40"/>
    <w:rsid w:val="009E3031"/>
    <w:rsid w:val="009E33CD"/>
    <w:rsid w:val="009E5D37"/>
    <w:rsid w:val="009E769C"/>
    <w:rsid w:val="009E7FB2"/>
    <w:rsid w:val="009F1568"/>
    <w:rsid w:val="009F3B68"/>
    <w:rsid w:val="009F472B"/>
    <w:rsid w:val="00A001A5"/>
    <w:rsid w:val="00A03EA0"/>
    <w:rsid w:val="00A137AA"/>
    <w:rsid w:val="00A13E19"/>
    <w:rsid w:val="00A248F5"/>
    <w:rsid w:val="00A267B8"/>
    <w:rsid w:val="00A27394"/>
    <w:rsid w:val="00A363CA"/>
    <w:rsid w:val="00A512AE"/>
    <w:rsid w:val="00A61222"/>
    <w:rsid w:val="00A613E9"/>
    <w:rsid w:val="00A61520"/>
    <w:rsid w:val="00A61E1B"/>
    <w:rsid w:val="00A6352C"/>
    <w:rsid w:val="00A65144"/>
    <w:rsid w:val="00A67363"/>
    <w:rsid w:val="00A70261"/>
    <w:rsid w:val="00A70599"/>
    <w:rsid w:val="00A70D93"/>
    <w:rsid w:val="00A7293C"/>
    <w:rsid w:val="00A73C8B"/>
    <w:rsid w:val="00A7419B"/>
    <w:rsid w:val="00A80268"/>
    <w:rsid w:val="00A80BDD"/>
    <w:rsid w:val="00A8101C"/>
    <w:rsid w:val="00A84849"/>
    <w:rsid w:val="00A87CF5"/>
    <w:rsid w:val="00A93CA0"/>
    <w:rsid w:val="00A93E3E"/>
    <w:rsid w:val="00A94BFB"/>
    <w:rsid w:val="00A952AF"/>
    <w:rsid w:val="00A96B7F"/>
    <w:rsid w:val="00A96D40"/>
    <w:rsid w:val="00A97AC1"/>
    <w:rsid w:val="00AA1AA7"/>
    <w:rsid w:val="00AB09D9"/>
    <w:rsid w:val="00AB1C81"/>
    <w:rsid w:val="00AB379D"/>
    <w:rsid w:val="00AB52A7"/>
    <w:rsid w:val="00AB656B"/>
    <w:rsid w:val="00AC0319"/>
    <w:rsid w:val="00AC119E"/>
    <w:rsid w:val="00AC6C8C"/>
    <w:rsid w:val="00AD0347"/>
    <w:rsid w:val="00AD12CE"/>
    <w:rsid w:val="00AD1CD8"/>
    <w:rsid w:val="00AD3238"/>
    <w:rsid w:val="00AD534F"/>
    <w:rsid w:val="00AD6E72"/>
    <w:rsid w:val="00AE39F7"/>
    <w:rsid w:val="00AE4092"/>
    <w:rsid w:val="00AE5AC4"/>
    <w:rsid w:val="00AE6312"/>
    <w:rsid w:val="00AE6ED7"/>
    <w:rsid w:val="00AF5861"/>
    <w:rsid w:val="00AF6665"/>
    <w:rsid w:val="00B02438"/>
    <w:rsid w:val="00B03318"/>
    <w:rsid w:val="00B05B55"/>
    <w:rsid w:val="00B13D6A"/>
    <w:rsid w:val="00B16C33"/>
    <w:rsid w:val="00B17358"/>
    <w:rsid w:val="00B173D7"/>
    <w:rsid w:val="00B20872"/>
    <w:rsid w:val="00B30456"/>
    <w:rsid w:val="00B36907"/>
    <w:rsid w:val="00B40419"/>
    <w:rsid w:val="00B42551"/>
    <w:rsid w:val="00B4326A"/>
    <w:rsid w:val="00B5155A"/>
    <w:rsid w:val="00B56287"/>
    <w:rsid w:val="00B57D1B"/>
    <w:rsid w:val="00B636AD"/>
    <w:rsid w:val="00B70D54"/>
    <w:rsid w:val="00B74A3C"/>
    <w:rsid w:val="00B808BC"/>
    <w:rsid w:val="00B82222"/>
    <w:rsid w:val="00B85563"/>
    <w:rsid w:val="00B860DA"/>
    <w:rsid w:val="00B86122"/>
    <w:rsid w:val="00B86B6C"/>
    <w:rsid w:val="00B87158"/>
    <w:rsid w:val="00B9099D"/>
    <w:rsid w:val="00B90CC3"/>
    <w:rsid w:val="00B963A8"/>
    <w:rsid w:val="00B973E0"/>
    <w:rsid w:val="00BB54C3"/>
    <w:rsid w:val="00BB7A07"/>
    <w:rsid w:val="00BC1090"/>
    <w:rsid w:val="00BC2D4C"/>
    <w:rsid w:val="00BC50D2"/>
    <w:rsid w:val="00BC6558"/>
    <w:rsid w:val="00BC7910"/>
    <w:rsid w:val="00BC7D2D"/>
    <w:rsid w:val="00BC7FB4"/>
    <w:rsid w:val="00BD34DC"/>
    <w:rsid w:val="00BD4D27"/>
    <w:rsid w:val="00BE05EC"/>
    <w:rsid w:val="00BE6E8B"/>
    <w:rsid w:val="00BF1A48"/>
    <w:rsid w:val="00BF4216"/>
    <w:rsid w:val="00BF649B"/>
    <w:rsid w:val="00BF7274"/>
    <w:rsid w:val="00C01CD0"/>
    <w:rsid w:val="00C04341"/>
    <w:rsid w:val="00C046C5"/>
    <w:rsid w:val="00C05282"/>
    <w:rsid w:val="00C06082"/>
    <w:rsid w:val="00C10534"/>
    <w:rsid w:val="00C10A06"/>
    <w:rsid w:val="00C10FD8"/>
    <w:rsid w:val="00C117B1"/>
    <w:rsid w:val="00C11C48"/>
    <w:rsid w:val="00C132E6"/>
    <w:rsid w:val="00C14CF5"/>
    <w:rsid w:val="00C20F69"/>
    <w:rsid w:val="00C21A0F"/>
    <w:rsid w:val="00C23780"/>
    <w:rsid w:val="00C2449D"/>
    <w:rsid w:val="00C24899"/>
    <w:rsid w:val="00C315D1"/>
    <w:rsid w:val="00C317FB"/>
    <w:rsid w:val="00C31BF1"/>
    <w:rsid w:val="00C32407"/>
    <w:rsid w:val="00C32ABC"/>
    <w:rsid w:val="00C34115"/>
    <w:rsid w:val="00C35090"/>
    <w:rsid w:val="00C44BE3"/>
    <w:rsid w:val="00C467AB"/>
    <w:rsid w:val="00C47C6E"/>
    <w:rsid w:val="00C50C1C"/>
    <w:rsid w:val="00C527DE"/>
    <w:rsid w:val="00C56186"/>
    <w:rsid w:val="00C62943"/>
    <w:rsid w:val="00C635B6"/>
    <w:rsid w:val="00C644F6"/>
    <w:rsid w:val="00C66221"/>
    <w:rsid w:val="00C66B03"/>
    <w:rsid w:val="00C6759E"/>
    <w:rsid w:val="00C70B5D"/>
    <w:rsid w:val="00C72743"/>
    <w:rsid w:val="00C8076C"/>
    <w:rsid w:val="00C81E61"/>
    <w:rsid w:val="00C8229F"/>
    <w:rsid w:val="00C83238"/>
    <w:rsid w:val="00C8579E"/>
    <w:rsid w:val="00C8583E"/>
    <w:rsid w:val="00C85895"/>
    <w:rsid w:val="00C949B0"/>
    <w:rsid w:val="00C961A4"/>
    <w:rsid w:val="00C97B3D"/>
    <w:rsid w:val="00CA163F"/>
    <w:rsid w:val="00CA72F7"/>
    <w:rsid w:val="00CB0D85"/>
    <w:rsid w:val="00CB1758"/>
    <w:rsid w:val="00CB3C2A"/>
    <w:rsid w:val="00CB63A2"/>
    <w:rsid w:val="00CB7BDC"/>
    <w:rsid w:val="00CC0AAF"/>
    <w:rsid w:val="00CC2000"/>
    <w:rsid w:val="00CC3AE4"/>
    <w:rsid w:val="00CC618D"/>
    <w:rsid w:val="00CC7E76"/>
    <w:rsid w:val="00CD1DFF"/>
    <w:rsid w:val="00CD3F5F"/>
    <w:rsid w:val="00CD41B6"/>
    <w:rsid w:val="00CD46C0"/>
    <w:rsid w:val="00CD4ADF"/>
    <w:rsid w:val="00CD7DC3"/>
    <w:rsid w:val="00CD7E90"/>
    <w:rsid w:val="00CE5A20"/>
    <w:rsid w:val="00CE5E85"/>
    <w:rsid w:val="00CE6C32"/>
    <w:rsid w:val="00CF1A11"/>
    <w:rsid w:val="00CF39F5"/>
    <w:rsid w:val="00CF45F8"/>
    <w:rsid w:val="00CF47C7"/>
    <w:rsid w:val="00CF7790"/>
    <w:rsid w:val="00D02F22"/>
    <w:rsid w:val="00D04778"/>
    <w:rsid w:val="00D04B73"/>
    <w:rsid w:val="00D04D60"/>
    <w:rsid w:val="00D05E63"/>
    <w:rsid w:val="00D078DD"/>
    <w:rsid w:val="00D07C50"/>
    <w:rsid w:val="00D120DE"/>
    <w:rsid w:val="00D12C81"/>
    <w:rsid w:val="00D23D4A"/>
    <w:rsid w:val="00D23D4F"/>
    <w:rsid w:val="00D24FAB"/>
    <w:rsid w:val="00D26203"/>
    <w:rsid w:val="00D311CE"/>
    <w:rsid w:val="00D31C0E"/>
    <w:rsid w:val="00D35A03"/>
    <w:rsid w:val="00D443D9"/>
    <w:rsid w:val="00D45E1A"/>
    <w:rsid w:val="00D4623C"/>
    <w:rsid w:val="00D478F9"/>
    <w:rsid w:val="00D54298"/>
    <w:rsid w:val="00D56E66"/>
    <w:rsid w:val="00D5748A"/>
    <w:rsid w:val="00D574A8"/>
    <w:rsid w:val="00D652A1"/>
    <w:rsid w:val="00D65EE9"/>
    <w:rsid w:val="00D6712C"/>
    <w:rsid w:val="00D67280"/>
    <w:rsid w:val="00D702A8"/>
    <w:rsid w:val="00D7034B"/>
    <w:rsid w:val="00D75036"/>
    <w:rsid w:val="00D8052E"/>
    <w:rsid w:val="00D8158C"/>
    <w:rsid w:val="00D85999"/>
    <w:rsid w:val="00D92A0E"/>
    <w:rsid w:val="00DA2335"/>
    <w:rsid w:val="00DA47B8"/>
    <w:rsid w:val="00DA7997"/>
    <w:rsid w:val="00DB16CA"/>
    <w:rsid w:val="00DB511E"/>
    <w:rsid w:val="00DB5BD5"/>
    <w:rsid w:val="00DB5FA5"/>
    <w:rsid w:val="00DC0995"/>
    <w:rsid w:val="00DC36C9"/>
    <w:rsid w:val="00DE14F1"/>
    <w:rsid w:val="00DE22E0"/>
    <w:rsid w:val="00DE419E"/>
    <w:rsid w:val="00DF6D15"/>
    <w:rsid w:val="00E00AF5"/>
    <w:rsid w:val="00E2143E"/>
    <w:rsid w:val="00E219FB"/>
    <w:rsid w:val="00E2598E"/>
    <w:rsid w:val="00E26958"/>
    <w:rsid w:val="00E31A1B"/>
    <w:rsid w:val="00E3288A"/>
    <w:rsid w:val="00E33677"/>
    <w:rsid w:val="00E34339"/>
    <w:rsid w:val="00E43442"/>
    <w:rsid w:val="00E44172"/>
    <w:rsid w:val="00E443AC"/>
    <w:rsid w:val="00E460D2"/>
    <w:rsid w:val="00E52160"/>
    <w:rsid w:val="00E54F1F"/>
    <w:rsid w:val="00E56F88"/>
    <w:rsid w:val="00E571B8"/>
    <w:rsid w:val="00E57D2C"/>
    <w:rsid w:val="00E62652"/>
    <w:rsid w:val="00E66A01"/>
    <w:rsid w:val="00E66E34"/>
    <w:rsid w:val="00E67A18"/>
    <w:rsid w:val="00E70CB0"/>
    <w:rsid w:val="00E74563"/>
    <w:rsid w:val="00E7579E"/>
    <w:rsid w:val="00E75B21"/>
    <w:rsid w:val="00E76859"/>
    <w:rsid w:val="00E7724E"/>
    <w:rsid w:val="00E803B3"/>
    <w:rsid w:val="00E80CA0"/>
    <w:rsid w:val="00E8177F"/>
    <w:rsid w:val="00E840FD"/>
    <w:rsid w:val="00E84270"/>
    <w:rsid w:val="00E84E3E"/>
    <w:rsid w:val="00E851B8"/>
    <w:rsid w:val="00E85683"/>
    <w:rsid w:val="00E856CF"/>
    <w:rsid w:val="00E85F07"/>
    <w:rsid w:val="00E86D7D"/>
    <w:rsid w:val="00E911AA"/>
    <w:rsid w:val="00E91A16"/>
    <w:rsid w:val="00E92378"/>
    <w:rsid w:val="00E92566"/>
    <w:rsid w:val="00E93CEB"/>
    <w:rsid w:val="00EA0B0F"/>
    <w:rsid w:val="00EA212C"/>
    <w:rsid w:val="00EA282B"/>
    <w:rsid w:val="00EA3833"/>
    <w:rsid w:val="00EA3A9E"/>
    <w:rsid w:val="00EA3C45"/>
    <w:rsid w:val="00EA7571"/>
    <w:rsid w:val="00EB4A91"/>
    <w:rsid w:val="00EC2012"/>
    <w:rsid w:val="00EC61DE"/>
    <w:rsid w:val="00ED2E65"/>
    <w:rsid w:val="00ED3225"/>
    <w:rsid w:val="00ED6E51"/>
    <w:rsid w:val="00EE2191"/>
    <w:rsid w:val="00EE266D"/>
    <w:rsid w:val="00EF06B6"/>
    <w:rsid w:val="00EF4636"/>
    <w:rsid w:val="00EF584E"/>
    <w:rsid w:val="00EF69B9"/>
    <w:rsid w:val="00EF7DD2"/>
    <w:rsid w:val="00EF7DF0"/>
    <w:rsid w:val="00F00871"/>
    <w:rsid w:val="00F010EF"/>
    <w:rsid w:val="00F01766"/>
    <w:rsid w:val="00F045DF"/>
    <w:rsid w:val="00F05E67"/>
    <w:rsid w:val="00F0738F"/>
    <w:rsid w:val="00F07956"/>
    <w:rsid w:val="00F07C42"/>
    <w:rsid w:val="00F07FD0"/>
    <w:rsid w:val="00F15249"/>
    <w:rsid w:val="00F201AE"/>
    <w:rsid w:val="00F20FC0"/>
    <w:rsid w:val="00F236AD"/>
    <w:rsid w:val="00F245E9"/>
    <w:rsid w:val="00F24897"/>
    <w:rsid w:val="00F251B5"/>
    <w:rsid w:val="00F3092A"/>
    <w:rsid w:val="00F3242F"/>
    <w:rsid w:val="00F35D6E"/>
    <w:rsid w:val="00F433BD"/>
    <w:rsid w:val="00F43750"/>
    <w:rsid w:val="00F45138"/>
    <w:rsid w:val="00F45B60"/>
    <w:rsid w:val="00F45DD3"/>
    <w:rsid w:val="00F46740"/>
    <w:rsid w:val="00F53E75"/>
    <w:rsid w:val="00F54C3F"/>
    <w:rsid w:val="00F554B2"/>
    <w:rsid w:val="00F556B8"/>
    <w:rsid w:val="00F60835"/>
    <w:rsid w:val="00F61B95"/>
    <w:rsid w:val="00F62C36"/>
    <w:rsid w:val="00F70A27"/>
    <w:rsid w:val="00F736F5"/>
    <w:rsid w:val="00F74D38"/>
    <w:rsid w:val="00F762BA"/>
    <w:rsid w:val="00F801CC"/>
    <w:rsid w:val="00F82094"/>
    <w:rsid w:val="00F8329D"/>
    <w:rsid w:val="00F83649"/>
    <w:rsid w:val="00F84012"/>
    <w:rsid w:val="00F916CD"/>
    <w:rsid w:val="00F94ABF"/>
    <w:rsid w:val="00FA0E5A"/>
    <w:rsid w:val="00FA3007"/>
    <w:rsid w:val="00FA725D"/>
    <w:rsid w:val="00FA7EFA"/>
    <w:rsid w:val="00FB004E"/>
    <w:rsid w:val="00FB2E6F"/>
    <w:rsid w:val="00FC059C"/>
    <w:rsid w:val="00FC1F4E"/>
    <w:rsid w:val="00FC498E"/>
    <w:rsid w:val="00FC4F09"/>
    <w:rsid w:val="00FC5ECC"/>
    <w:rsid w:val="00FC7400"/>
    <w:rsid w:val="00FE00AE"/>
    <w:rsid w:val="00FE1ECE"/>
    <w:rsid w:val="00FE2020"/>
    <w:rsid w:val="00FE2F00"/>
    <w:rsid w:val="00FE3305"/>
    <w:rsid w:val="00FE3A96"/>
    <w:rsid w:val="00FE4F32"/>
    <w:rsid w:val="00FE742B"/>
    <w:rsid w:val="00FF0323"/>
    <w:rsid w:val="00FF0E10"/>
    <w:rsid w:val="00FF19C5"/>
    <w:rsid w:val="00FF401D"/>
    <w:rsid w:val="00FF6D10"/>
    <w:rsid w:val="00FF7745"/>
    <w:rsid w:val="01611F49"/>
    <w:rsid w:val="0862535A"/>
    <w:rsid w:val="08886AA6"/>
    <w:rsid w:val="08BD243D"/>
    <w:rsid w:val="0CFB0D06"/>
    <w:rsid w:val="0F914BA2"/>
    <w:rsid w:val="12D821EF"/>
    <w:rsid w:val="15D56922"/>
    <w:rsid w:val="15FC3373"/>
    <w:rsid w:val="1A692CFB"/>
    <w:rsid w:val="1EE75824"/>
    <w:rsid w:val="218D724E"/>
    <w:rsid w:val="229912E4"/>
    <w:rsid w:val="229E0C31"/>
    <w:rsid w:val="23196119"/>
    <w:rsid w:val="246E1FF6"/>
    <w:rsid w:val="26AF41BE"/>
    <w:rsid w:val="27FD2E15"/>
    <w:rsid w:val="2A3C2DC5"/>
    <w:rsid w:val="2C2A25DC"/>
    <w:rsid w:val="2C693A44"/>
    <w:rsid w:val="2F0E311F"/>
    <w:rsid w:val="332F17EE"/>
    <w:rsid w:val="33E86A8D"/>
    <w:rsid w:val="35E94BC2"/>
    <w:rsid w:val="39537B52"/>
    <w:rsid w:val="3DF03983"/>
    <w:rsid w:val="401424E4"/>
    <w:rsid w:val="42264013"/>
    <w:rsid w:val="443A3475"/>
    <w:rsid w:val="443F7D08"/>
    <w:rsid w:val="44A902EC"/>
    <w:rsid w:val="46E54363"/>
    <w:rsid w:val="47427A4D"/>
    <w:rsid w:val="4B0C07A1"/>
    <w:rsid w:val="4B6B665E"/>
    <w:rsid w:val="4BE73969"/>
    <w:rsid w:val="4E167DB6"/>
    <w:rsid w:val="4F6B433C"/>
    <w:rsid w:val="522A0277"/>
    <w:rsid w:val="52B47C77"/>
    <w:rsid w:val="55FF5D52"/>
    <w:rsid w:val="562E70CC"/>
    <w:rsid w:val="56DD5AEA"/>
    <w:rsid w:val="594069F9"/>
    <w:rsid w:val="59A7719F"/>
    <w:rsid w:val="5B573A4A"/>
    <w:rsid w:val="5C323DFE"/>
    <w:rsid w:val="5DDD0CAA"/>
    <w:rsid w:val="5ECB723E"/>
    <w:rsid w:val="5ED563BB"/>
    <w:rsid w:val="5F17271D"/>
    <w:rsid w:val="5F406F9D"/>
    <w:rsid w:val="605E0760"/>
    <w:rsid w:val="62520CA9"/>
    <w:rsid w:val="62E25A94"/>
    <w:rsid w:val="63095921"/>
    <w:rsid w:val="659729A4"/>
    <w:rsid w:val="659A5F77"/>
    <w:rsid w:val="66065F27"/>
    <w:rsid w:val="6CE667A3"/>
    <w:rsid w:val="6D942EB5"/>
    <w:rsid w:val="770611BC"/>
    <w:rsid w:val="78632E19"/>
    <w:rsid w:val="79780101"/>
    <w:rsid w:val="7B4C4BB1"/>
    <w:rsid w:val="7BB8114F"/>
    <w:rsid w:val="7FF91125"/>
    <w:rsid w:val="A3BBACDE"/>
    <w:rsid w:val="F73F14CF"/>
    <w:rsid w:val="F77F19C0"/>
    <w:rsid w:val="FC7BE036"/>
    <w:rsid w:val="FDFA33F0"/>
    <w:rsid w:val="FFFF8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outlineLvl w:val="1"/>
    </w:pPr>
    <w:rPr>
      <w:rFonts w:ascii="Cambria" w:hAnsi="Cambria" w:eastAsia="方正黑体_GBK"/>
      <w:bCs/>
      <w:szCs w:val="32"/>
    </w:rPr>
  </w:style>
  <w:style w:type="paragraph" w:styleId="4">
    <w:name w:val="heading 3"/>
    <w:basedOn w:val="1"/>
    <w:next w:val="1"/>
    <w:qFormat/>
    <w:uiPriority w:val="0"/>
    <w:pPr>
      <w:keepNext/>
      <w:keepLines/>
      <w:spacing w:before="260" w:after="260" w:line="413" w:lineRule="auto"/>
      <w:outlineLvl w:val="2"/>
    </w:pPr>
    <w:rPr>
      <w:rFonts w:eastAsia="宋体"/>
      <w:b/>
      <w:szCs w:val="24"/>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1"/>
    <w:pPr>
      <w:ind w:firstLine="420" w:firstLineChars="200"/>
    </w:pPr>
    <w:rPr>
      <w:rFonts w:eastAsia="仿宋"/>
    </w:rPr>
  </w:style>
  <w:style w:type="paragraph" w:styleId="6">
    <w:name w:val="Body Text"/>
    <w:basedOn w:val="1"/>
    <w:next w:val="1"/>
    <w:link w:val="31"/>
    <w:qFormat/>
    <w:uiPriority w:val="0"/>
    <w:pPr>
      <w:spacing w:after="120"/>
    </w:pPr>
  </w:style>
  <w:style w:type="paragraph" w:styleId="7">
    <w:name w:val="Body Text Indent"/>
    <w:basedOn w:val="1"/>
    <w:qFormat/>
    <w:uiPriority w:val="0"/>
    <w:pPr>
      <w:ind w:firstLine="560" w:firstLineChars="200"/>
    </w:pPr>
    <w:rPr>
      <w:rFonts w:eastAsia="宋体"/>
      <w:sz w:val="28"/>
      <w:szCs w:val="24"/>
    </w:rPr>
  </w:style>
  <w:style w:type="paragraph" w:styleId="8">
    <w:name w:val="Date"/>
    <w:basedOn w:val="1"/>
    <w:next w:val="1"/>
    <w:link w:val="33"/>
    <w:qFormat/>
    <w:uiPriority w:val="0"/>
    <w:pPr>
      <w:ind w:left="100" w:leftChars="25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rPr>
  </w:style>
  <w:style w:type="paragraph" w:styleId="12">
    <w:name w:val="toc 1"/>
    <w:basedOn w:val="1"/>
    <w:next w:val="1"/>
    <w:qFormat/>
    <w:uiPriority w:val="39"/>
  </w:style>
  <w:style w:type="paragraph" w:styleId="13">
    <w:name w:val="footnote text"/>
    <w:basedOn w:val="1"/>
    <w:qFormat/>
    <w:uiPriority w:val="0"/>
    <w:pPr>
      <w:snapToGrid w:val="0"/>
      <w:jc w:val="left"/>
    </w:pPr>
    <w:rPr>
      <w:sz w:val="18"/>
      <w:szCs w:val="18"/>
    </w:rPr>
  </w:style>
  <w:style w:type="paragraph" w:styleId="14">
    <w:name w:val="toc 2"/>
    <w:basedOn w:val="1"/>
    <w:next w:val="1"/>
    <w:qFormat/>
    <w:uiPriority w:val="39"/>
    <w:pPr>
      <w:ind w:left="420" w:leftChars="200"/>
    </w:pPr>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Body Text First Indent"/>
    <w:basedOn w:val="6"/>
    <w:link w:val="32"/>
    <w:qFormat/>
    <w:uiPriority w:val="0"/>
    <w:pPr>
      <w:ind w:firstLine="420" w:firstLineChars="100"/>
    </w:pPr>
  </w:style>
  <w:style w:type="paragraph" w:styleId="18">
    <w:name w:val="Body Text First Indent 2"/>
    <w:basedOn w:val="7"/>
    <w:qFormat/>
    <w:uiPriority w:val="0"/>
    <w:pPr>
      <w:ind w:firstLine="420"/>
    </w:pPr>
  </w:style>
  <w:style w:type="character" w:styleId="21">
    <w:name w:val="page number"/>
    <w:basedOn w:val="20"/>
    <w:qFormat/>
    <w:uiPriority w:val="0"/>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footnote reference"/>
    <w:basedOn w:val="20"/>
    <w:qFormat/>
    <w:uiPriority w:val="99"/>
    <w:rPr>
      <w:vertAlign w:val="superscript"/>
    </w:rPr>
  </w:style>
  <w:style w:type="paragraph" w:customStyle="1" w:styleId="24">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eastAsia="方正仿宋"/>
      <w:szCs w:val="24"/>
    </w:rPr>
  </w:style>
  <w:style w:type="paragraph" w:customStyle="1" w:styleId="25">
    <w:name w:val="列出段落1"/>
    <w:basedOn w:val="1"/>
    <w:qFormat/>
    <w:uiPriority w:val="0"/>
    <w:pPr>
      <w:ind w:firstLine="420" w:firstLineChars="200"/>
    </w:pPr>
    <w:rPr>
      <w:rFonts w:eastAsia="宋体"/>
      <w:sz w:val="21"/>
      <w:szCs w:val="24"/>
    </w:rPr>
  </w:style>
  <w:style w:type="paragraph" w:customStyle="1" w:styleId="26">
    <w:name w:val="_Style 8"/>
    <w:basedOn w:val="1"/>
    <w:qFormat/>
    <w:uiPriority w:val="0"/>
    <w:pPr>
      <w:widowControl/>
      <w:spacing w:after="160" w:line="240" w:lineRule="exact"/>
      <w:jc w:val="left"/>
    </w:pPr>
    <w:rPr>
      <w:rFonts w:eastAsia="宋体"/>
      <w:sz w:val="21"/>
      <w:szCs w:val="24"/>
    </w:rPr>
  </w:style>
  <w:style w:type="paragraph" w:customStyle="1" w:styleId="27">
    <w:name w:val="Char Char Char Char"/>
    <w:basedOn w:val="1"/>
    <w:qFormat/>
    <w:uiPriority w:val="0"/>
    <w:pPr>
      <w:widowControl/>
      <w:spacing w:after="160" w:line="240" w:lineRule="exact"/>
      <w:jc w:val="left"/>
    </w:pPr>
  </w:style>
  <w:style w:type="paragraph" w:customStyle="1" w:styleId="28">
    <w:name w:val="Char"/>
    <w:basedOn w:val="1"/>
    <w:qFormat/>
    <w:uiPriority w:val="0"/>
    <w:pPr>
      <w:tabs>
        <w:tab w:val="left" w:pos="360"/>
      </w:tabs>
    </w:pPr>
    <w:rPr>
      <w:rFonts w:eastAsia="方正仿宋"/>
      <w:szCs w:val="24"/>
    </w:rPr>
  </w:style>
  <w:style w:type="paragraph" w:customStyle="1" w:styleId="29">
    <w:name w:val="Char1"/>
    <w:basedOn w:val="1"/>
    <w:qFormat/>
    <w:uiPriority w:val="0"/>
    <w:pPr>
      <w:tabs>
        <w:tab w:val="left" w:pos="360"/>
      </w:tabs>
    </w:pPr>
    <w:rPr>
      <w:rFonts w:eastAsia="宋体"/>
      <w:sz w:val="21"/>
      <w:szCs w:val="24"/>
    </w:rPr>
  </w:style>
  <w:style w:type="paragraph" w:customStyle="1" w:styleId="30">
    <w:name w:val="列出段落11"/>
    <w:basedOn w:val="1"/>
    <w:qFormat/>
    <w:uiPriority w:val="0"/>
    <w:pPr>
      <w:ind w:firstLine="420" w:firstLineChars="200"/>
    </w:pPr>
    <w:rPr>
      <w:rFonts w:ascii="Calibri" w:hAnsi="Calibri"/>
      <w:szCs w:val="22"/>
    </w:rPr>
  </w:style>
  <w:style w:type="character" w:customStyle="1" w:styleId="31">
    <w:name w:val="正文文本 字符"/>
    <w:basedOn w:val="20"/>
    <w:link w:val="6"/>
    <w:qFormat/>
    <w:uiPriority w:val="0"/>
    <w:rPr>
      <w:rFonts w:eastAsia="方正仿宋_GBK"/>
      <w:kern w:val="2"/>
      <w:sz w:val="32"/>
    </w:rPr>
  </w:style>
  <w:style w:type="character" w:customStyle="1" w:styleId="32">
    <w:name w:val="正文文本首行缩进 字符"/>
    <w:basedOn w:val="31"/>
    <w:link w:val="17"/>
    <w:qFormat/>
    <w:uiPriority w:val="0"/>
    <w:rPr>
      <w:rFonts w:eastAsia="方正仿宋_GBK"/>
      <w:kern w:val="2"/>
      <w:sz w:val="32"/>
    </w:rPr>
  </w:style>
  <w:style w:type="character" w:customStyle="1" w:styleId="33">
    <w:name w:val="日期 字符"/>
    <w:basedOn w:val="20"/>
    <w:link w:val="8"/>
    <w:qFormat/>
    <w:uiPriority w:val="0"/>
    <w:rPr>
      <w:rFonts w:eastAsia="方正仿宋_GBK"/>
      <w:kern w:val="2"/>
      <w:sz w:val="32"/>
    </w:rPr>
  </w:style>
  <w:style w:type="character" w:customStyle="1" w:styleId="34">
    <w:name w:val="标题 1 字符"/>
    <w:basedOn w:val="20"/>
    <w:link w:val="2"/>
    <w:qFormat/>
    <w:uiPriority w:val="0"/>
    <w:rPr>
      <w:rFonts w:eastAsia="方正仿宋_GBK"/>
      <w:b/>
      <w:bCs/>
      <w:kern w:val="44"/>
      <w:sz w:val="44"/>
      <w:szCs w:val="44"/>
    </w:rPr>
  </w:style>
  <w:style w:type="paragraph" w:customStyle="1" w:styleId="35">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16</Pages>
  <Words>951</Words>
  <Characters>5422</Characters>
  <Lines>45</Lines>
  <Paragraphs>12</Paragraphs>
  <TotalTime>81</TotalTime>
  <ScaleCrop>false</ScaleCrop>
  <LinksUpToDate>false</LinksUpToDate>
  <CharactersWithSpaces>6361</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2024-08-22T23:54:00Z</dcterms:created>
  <dc:creator>微软中国</dc:creator>
  <cp:lastModifiedBy>guest</cp:lastModifiedBy>
  <cp:lastPrinted>2026-05-27T16:51:00Z</cp:lastPrinted>
  <dcterms:modified xsi:type="dcterms:W3CDTF">2026-06-10T15:58:23Z</dcterms:modified>
  <dc:title>（来文单位：□□□□）</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KSOTemplateDocerSaveRecord">
    <vt:lpwstr>eyJoZGlkIjoiOGJkOGE1ZmY3YzgxZWYwNmJjYjM0YjBmZDE3N2U1OTciLCJ1c2VySWQiOiI0MDg1NDk0NjMifQ==</vt:lpwstr>
  </property>
  <property fmtid="{D5CDD505-2E9C-101B-9397-08002B2CF9AE}" pid="4" name="ICV">
    <vt:lpwstr>1ABBAB43C10F4C75B519B12CD99F8C12_12</vt:lpwstr>
  </property>
</Properties>
</file>