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default"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 xml:space="preserve">       </w:t>
      </w:r>
    </w:p>
    <w:p>
      <w:pPr>
        <w:pStyle w:val="3"/>
        <w:rPr>
          <w:rFonts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两江复兴“</w:t>
      </w:r>
      <w:r>
        <w:rPr>
          <w:rFonts w:hint="eastAsia" w:ascii="Times New Roman" w:hAnsi="Times New Roman" w:eastAsia="方正仿宋_GBK" w:cs="方正仿宋_GBK"/>
          <w:color w:val="000000"/>
          <w:kern w:val="2"/>
          <w:sz w:val="44"/>
          <w:szCs w:val="44"/>
          <w:lang w:val="en-US" w:eastAsia="zh-CN" w:bidi="ar-SA"/>
        </w:rPr>
        <w:t>4·6</w:t>
      </w:r>
      <w:r>
        <w:rPr>
          <w:rFonts w:hint="eastAsia" w:ascii="方正小标宋简体" w:hAnsi="方正小标宋简体" w:eastAsia="方正小标宋简体" w:cs="方正小标宋简体"/>
          <w:sz w:val="44"/>
          <w:szCs w:val="44"/>
          <w:lang w:val="en-US" w:eastAsia="zh-CN"/>
        </w:rPr>
        <w:t>”一般道路交通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spacing w:line="600" w:lineRule="exact"/>
        <w:jc w:val="center"/>
        <w:rPr>
          <w:rFonts w:ascii="方正仿宋_GBK" w:hAnsi="方正仿宋_GBK" w:eastAsia="方正仿宋_GBK" w:cs="方正仿宋_GBK"/>
          <w:sz w:val="44"/>
          <w:szCs w:val="44"/>
        </w:rPr>
      </w:pPr>
      <w:r>
        <w:rPr>
          <w:rFonts w:hint="eastAsia" w:ascii="仿宋_GB2312" w:eastAsia="仿宋_GB2312"/>
          <w:sz w:val="32"/>
          <w:szCs w:val="32"/>
          <w:lang w:val="en-US" w:eastAsia="zh-CN"/>
        </w:rPr>
        <w:t xml:space="preserve"> </w:t>
      </w:r>
      <w:r>
        <w:rPr>
          <w:rFonts w:hint="eastAsia" w:ascii="方正仿宋_GBK" w:hAnsi="方正仿宋_GBK" w:eastAsia="方正仿宋_GBK" w:cs="方正仿宋_GBK"/>
          <w:sz w:val="44"/>
          <w:szCs w:val="44"/>
        </w:rPr>
        <w:t xml:space="preserve">  </w:t>
      </w:r>
    </w:p>
    <w:p>
      <w:pPr>
        <w:spacing w:line="600" w:lineRule="exact"/>
        <w:jc w:val="center"/>
        <w:rPr>
          <w:rFonts w:ascii="方正小标宋_GBK" w:hAnsi="方正小标宋_GBK" w:eastAsia="方正小标宋_GBK" w:cs="方正小标宋_GBK"/>
          <w:sz w:val="44"/>
          <w:szCs w:val="44"/>
        </w:rPr>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  </w:t>
      </w: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pStyle w:val="3"/>
        <w:rPr>
          <w:rFonts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360" w:firstLineChars="100"/>
        <w:jc w:val="center"/>
        <w:textAlignment w:val="auto"/>
        <w:rPr>
          <w:rFonts w:hint="eastAsia" w:ascii="方正小标宋简体" w:hAnsi="方正小标宋简体" w:eastAsia="方正小标宋简体" w:cs="方正小标宋简体"/>
          <w:sz w:val="36"/>
          <w:szCs w:val="36"/>
          <w:lang w:val="en-US" w:eastAsia="zh-CN"/>
        </w:rPr>
      </w:pPr>
    </w:p>
    <w:p>
      <w:pPr>
        <w:spacing w:line="600" w:lineRule="exact"/>
        <w:ind w:firstLine="1440" w:firstLineChars="400"/>
        <w:rPr>
          <w:rFonts w:hint="eastAsia" w:ascii="方正小标宋_GBK" w:hAnsi="方正小标宋_GBK" w:eastAsia="方正小标宋_GBK" w:cs="方正小标宋_GBK"/>
          <w:sz w:val="36"/>
          <w:szCs w:val="36"/>
        </w:rPr>
      </w:pPr>
    </w:p>
    <w:p>
      <w:pPr>
        <w:spacing w:line="600" w:lineRule="exact"/>
        <w:ind w:firstLine="1440" w:firstLineChars="400"/>
        <w:rPr>
          <w:rFonts w:ascii="方正小标宋_GBK" w:hAnsi="黑体" w:eastAsia="方正小标宋_GBK" w:cs="Times New Roman"/>
          <w:sz w:val="36"/>
          <w:szCs w:val="36"/>
        </w:rPr>
      </w:pPr>
      <w:r>
        <w:rPr>
          <w:rFonts w:hint="eastAsia" w:ascii="方正小标宋_GBK" w:hAnsi="方正小标宋_GBK" w:eastAsia="方正小标宋_GBK" w:cs="方正小标宋_GBK"/>
          <w:sz w:val="36"/>
          <w:szCs w:val="36"/>
        </w:rPr>
        <w:t>编制单位：</w:t>
      </w:r>
      <w:r>
        <w:rPr>
          <w:rFonts w:hint="eastAsia" w:ascii="方正小标宋_GBK" w:hAnsi="方正小标宋_GBK" w:eastAsia="方正小标宋_GBK" w:cs="方正小标宋_GBK"/>
          <w:sz w:val="36"/>
          <w:szCs w:val="36"/>
          <w:lang w:eastAsia="zh-CN"/>
        </w:rPr>
        <w:t>两江新区人民政府</w:t>
      </w:r>
      <w:r>
        <w:rPr>
          <w:rFonts w:hint="eastAsia" w:ascii="方正小标宋_GBK" w:hAnsi="方正小标宋_GBK" w:eastAsia="方正小标宋_GBK" w:cs="方正小标宋_GBK"/>
          <w:sz w:val="36"/>
          <w:szCs w:val="36"/>
        </w:rPr>
        <w:t>事故</w:t>
      </w:r>
      <w:r>
        <w:rPr>
          <w:rFonts w:hint="eastAsia" w:ascii="方正小标宋_GBK" w:hAnsi="黑体" w:eastAsia="方正小标宋_GBK" w:cs="Times New Roman"/>
          <w:sz w:val="36"/>
          <w:szCs w:val="36"/>
        </w:rPr>
        <w:t>调查组</w:t>
      </w:r>
    </w:p>
    <w:p>
      <w:pPr>
        <w:pStyle w:val="3"/>
      </w:pPr>
    </w:p>
    <w:p>
      <w:pPr>
        <w:spacing w:line="600" w:lineRule="exact"/>
        <w:ind w:firstLine="1440" w:firstLineChars="400"/>
        <w:jc w:val="both"/>
        <w:rPr>
          <w:rFonts w:ascii="方正小标宋_GBK" w:hAnsi="方正小标宋_GBK" w:eastAsia="方正小标宋_GBK" w:cs="方正小标宋_GBK"/>
          <w:sz w:val="44"/>
          <w:szCs w:val="44"/>
        </w:rPr>
      </w:pPr>
      <w:r>
        <w:rPr>
          <w:rFonts w:hint="eastAsia" w:ascii="方正小标宋_GBK" w:hAnsi="黑体" w:eastAsia="方正小标宋_GBK" w:cs="Times New Roman"/>
          <w:sz w:val="36"/>
          <w:szCs w:val="36"/>
        </w:rPr>
        <w:t>编制时间：</w:t>
      </w:r>
      <w:r>
        <w:rPr>
          <w:rFonts w:hint="eastAsia" w:ascii="Times New Roman" w:hAnsi="Times New Roman" w:eastAsia="方正仿宋_GBK" w:cs="方正仿宋_GBK"/>
          <w:color w:val="000000"/>
          <w:kern w:val="2"/>
          <w:sz w:val="36"/>
          <w:szCs w:val="36"/>
          <w:lang w:val="en-US" w:eastAsia="zh-CN" w:bidi="ar-SA"/>
        </w:rPr>
        <w:t>2026</w:t>
      </w:r>
      <w:r>
        <w:rPr>
          <w:rFonts w:hint="eastAsia" w:ascii="方正小标宋_GBK" w:hAnsi="黑体" w:eastAsia="方正小标宋_GBK" w:cs="Times New Roman"/>
          <w:sz w:val="36"/>
          <w:szCs w:val="36"/>
        </w:rPr>
        <w:t>年</w:t>
      </w:r>
      <w:r>
        <w:rPr>
          <w:rFonts w:hint="eastAsia" w:ascii="Times New Roman" w:hAnsi="Times New Roman" w:eastAsia="方正仿宋_GBK" w:cs="方正仿宋_GBK"/>
          <w:color w:val="000000"/>
          <w:kern w:val="2"/>
          <w:sz w:val="36"/>
          <w:szCs w:val="36"/>
          <w:lang w:val="en-US" w:eastAsia="zh-CN" w:bidi="ar-SA"/>
        </w:rPr>
        <w:t>8</w:t>
      </w:r>
      <w:r>
        <w:rPr>
          <w:rFonts w:hint="eastAsia" w:ascii="方正小标宋_GBK" w:hAnsi="黑体" w:eastAsia="方正小标宋_GBK" w:cs="Times New Roman"/>
          <w:sz w:val="36"/>
          <w:szCs w:val="36"/>
        </w:rPr>
        <w:t>月</w:t>
      </w:r>
      <w:r>
        <w:rPr>
          <w:rFonts w:hint="eastAsia" w:ascii="Times New Roman" w:hAnsi="Times New Roman" w:eastAsia="方正仿宋_GBK" w:cs="方正仿宋_GBK"/>
          <w:color w:val="000000"/>
          <w:kern w:val="2"/>
          <w:sz w:val="36"/>
          <w:szCs w:val="36"/>
          <w:lang w:val="en-US" w:eastAsia="zh-CN" w:bidi="ar-SA"/>
        </w:rPr>
        <w:t>27</w:t>
      </w:r>
      <w:r>
        <w:rPr>
          <w:rFonts w:hint="eastAsia" w:ascii="方正小标宋_GBK" w:hAnsi="黑体" w:eastAsia="方正小标宋_GBK" w:cs="Times New Roman"/>
          <w:sz w:val="36"/>
          <w:szCs w:val="36"/>
        </w:rPr>
        <w:t>日</w:t>
      </w:r>
    </w:p>
    <w:p>
      <w:pPr>
        <w:spacing w:line="360" w:lineRule="auto"/>
        <w:jc w:val="center"/>
        <w:rPr>
          <w:rFonts w:hint="eastAsia" w:asciiTheme="majorEastAsia" w:hAnsiTheme="majorEastAsia" w:eastAsiaTheme="majorEastAsia" w:cstheme="majorEastAsia"/>
          <w:b/>
          <w:bCs/>
          <w:sz w:val="32"/>
          <w:szCs w:val="32"/>
        </w:rPr>
      </w:pPr>
    </w:p>
    <w:p>
      <w:pPr>
        <w:spacing w:line="360" w:lineRule="auto"/>
        <w:jc w:val="both"/>
        <w:rPr>
          <w:rFonts w:hint="eastAsia" w:asciiTheme="majorEastAsia" w:hAnsiTheme="majorEastAsia" w:eastAsiaTheme="majorEastAsia" w:cstheme="majorEastAsia"/>
          <w:b/>
          <w:bCs/>
          <w:sz w:val="32"/>
          <w:szCs w:val="32"/>
        </w:rPr>
      </w:pPr>
    </w:p>
    <w:p>
      <w:pPr>
        <w:spacing w:line="360" w:lineRule="auto"/>
        <w:jc w:val="center"/>
        <w:rPr>
          <w:rFonts w:asciiTheme="majorEastAsia" w:hAnsiTheme="majorEastAsia" w:eastAsiaTheme="majorEastAsia" w:cstheme="majorEastAsia"/>
          <w:b/>
          <w:bCs/>
          <w:sz w:val="32"/>
          <w:szCs w:val="32"/>
        </w:rPr>
      </w:pPr>
      <w:r>
        <w:rPr>
          <w:rFonts w:hint="eastAsia" w:ascii="宋体" w:hAnsi="宋体" w:eastAsia="宋体" w:cs="宋体"/>
          <w:b/>
          <w:bCs/>
          <w:sz w:val="32"/>
          <w:szCs w:val="32"/>
        </w:rPr>
        <w:t>目 录</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一、事故基本情况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（一）车辆情况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（二）驾驶员情况</w:t>
      </w:r>
    </w:p>
    <w:p>
      <w:pPr>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（三）事故发生单位概况</w:t>
      </w:r>
    </w:p>
    <w:p>
      <w:pPr>
        <w:adjustRightInd w:val="0"/>
        <w:spacing w:line="360" w:lineRule="auto"/>
        <w:rPr>
          <w:rFonts w:hint="eastAsia" w:ascii="宋体" w:hAnsi="宋体" w:eastAsia="宋体" w:cs="宋体"/>
          <w:sz w:val="24"/>
          <w:szCs w:val="24"/>
          <w:highlight w:val="none"/>
        </w:rPr>
      </w:pPr>
      <w:r>
        <w:rPr>
          <w:rFonts w:hint="eastAsia" w:ascii="宋体" w:hAnsi="宋体" w:eastAsia="宋体" w:cs="宋体"/>
          <w:sz w:val="24"/>
          <w:szCs w:val="24"/>
          <w:highlight w:val="none"/>
        </w:rPr>
        <w:t>（四）事故发生单位安全管理情况</w:t>
      </w:r>
    </w:p>
    <w:p>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（五）事故发生经过</w:t>
      </w:r>
    </w:p>
    <w:p>
      <w:pPr>
        <w:pStyle w:val="3"/>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（六）事故现场情况</w:t>
      </w:r>
    </w:p>
    <w:p>
      <w:pPr>
        <w:widowControl/>
        <w:spacing w:line="360" w:lineRule="auto"/>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rPr>
        <w:t>（七）事故造成的人员伤亡</w:t>
      </w:r>
      <w:r>
        <w:rPr>
          <w:rFonts w:hint="eastAsia" w:ascii="宋体" w:hAnsi="宋体" w:eastAsia="宋体" w:cs="宋体"/>
          <w:sz w:val="24"/>
          <w:szCs w:val="24"/>
          <w:highlight w:val="none"/>
          <w:lang w:eastAsia="zh-CN"/>
        </w:rPr>
        <w:t>情况和直接经济损失</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二、事故应急处置及评估情况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三、事故原因分析</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rPr>
        <w:t>四、监管履职情况</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lang w:eastAsia="zh-CN"/>
        </w:rPr>
        <w:t>五、</w:t>
      </w:r>
      <w:r>
        <w:rPr>
          <w:rFonts w:hint="eastAsia" w:ascii="黑体" w:hAnsi="黑体" w:eastAsia="黑体" w:cs="黑体"/>
          <w:sz w:val="24"/>
          <w:szCs w:val="24"/>
          <w:highlight w:val="none"/>
        </w:rPr>
        <w:t>对事故责任分析及处理意见</w:t>
      </w:r>
    </w:p>
    <w:p>
      <w:pPr>
        <w:pStyle w:val="3"/>
        <w:spacing w:line="360" w:lineRule="auto"/>
        <w:rPr>
          <w:rFonts w:hint="eastAsia" w:ascii="宋体" w:hAnsi="宋体" w:eastAsia="宋体" w:cs="宋体"/>
          <w:kern w:val="2"/>
          <w:sz w:val="24"/>
          <w:szCs w:val="24"/>
          <w:highlight w:val="none"/>
          <w:lang w:val="en-US" w:eastAsia="zh-CN" w:bidi="ar-SA"/>
        </w:rPr>
      </w:pPr>
      <w:bookmarkStart w:id="0" w:name="_GoBack"/>
      <w:bookmarkEnd w:id="0"/>
      <w:r>
        <w:rPr>
          <w:rFonts w:hint="eastAsia" w:ascii="宋体" w:hAnsi="宋体" w:eastAsia="宋体" w:cs="宋体"/>
          <w:sz w:val="24"/>
          <w:szCs w:val="24"/>
          <w:highlight w:val="none"/>
        </w:rPr>
        <w:t>（一）</w:t>
      </w:r>
      <w:r>
        <w:rPr>
          <w:rFonts w:hint="eastAsia" w:ascii="宋体" w:hAnsi="宋体" w:eastAsia="宋体" w:cs="宋体"/>
          <w:kern w:val="2"/>
          <w:sz w:val="24"/>
          <w:szCs w:val="24"/>
          <w:highlight w:val="none"/>
          <w:lang w:val="en-US" w:eastAsia="zh-CN" w:bidi="ar-SA"/>
        </w:rPr>
        <w:t>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p>
    <w:p>
      <w:pPr>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rPr>
        <w:t>（二</w:t>
      </w:r>
      <w:r>
        <w:rPr>
          <w:rFonts w:hint="eastAsia" w:ascii="宋体" w:hAnsi="宋体" w:eastAsia="宋体" w:cs="宋体"/>
          <w:kern w:val="2"/>
          <w:sz w:val="24"/>
          <w:szCs w:val="24"/>
          <w:highlight w:val="none"/>
          <w:lang w:val="en-US" w:eastAsia="zh-CN" w:bidi="ar-SA"/>
        </w:rPr>
        <w:t>）胡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p>
    <w:p>
      <w:pPr>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（三）重庆凯飞货物运输有限公司</w:t>
      </w:r>
    </w:p>
    <w:p>
      <w:pPr>
        <w:spacing w:line="360" w:lineRule="auto"/>
        <w:rPr>
          <w:rFonts w:hint="eastAsia" w:ascii="黑体" w:hAnsi="黑体" w:eastAsia="黑体" w:cs="黑体"/>
          <w:sz w:val="24"/>
          <w:szCs w:val="24"/>
          <w:highlight w:val="none"/>
        </w:rPr>
      </w:pPr>
      <w:r>
        <w:rPr>
          <w:rFonts w:hint="eastAsia" w:ascii="黑体" w:hAnsi="黑体" w:eastAsia="黑体" w:cs="黑体"/>
          <w:sz w:val="24"/>
          <w:szCs w:val="24"/>
          <w:highlight w:val="none"/>
          <w:lang w:eastAsia="zh-CN"/>
        </w:rPr>
        <w:t>六</w:t>
      </w:r>
      <w:r>
        <w:rPr>
          <w:rFonts w:hint="eastAsia" w:ascii="黑体" w:hAnsi="黑体" w:eastAsia="黑体" w:cs="黑体"/>
          <w:sz w:val="24"/>
          <w:szCs w:val="24"/>
          <w:highlight w:val="none"/>
        </w:rPr>
        <w:t>、事故防范措施意见</w:t>
      </w:r>
    </w:p>
    <w:p>
      <w:pPr>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（一）重庆凯飞货物运输有限公司</w:t>
      </w:r>
    </w:p>
    <w:p>
      <w:pPr>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（二）北碚区交通运输委</w:t>
      </w:r>
    </w:p>
    <w:p>
      <w:pPr>
        <w:spacing w:line="360" w:lineRule="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（三）北碚区公安分局交通管理支队</w:t>
      </w:r>
    </w:p>
    <w:p>
      <w:pPr>
        <w:spacing w:line="560" w:lineRule="atLeast"/>
        <w:rPr>
          <w:rFonts w:ascii="方正小标宋_GBK" w:hAnsi="方正小标宋_GBK" w:eastAsia="方正小标宋_GBK" w:cs="方正小标宋_GBK"/>
          <w:sz w:val="44"/>
          <w:szCs w:val="44"/>
          <w:highlight w:val="yellow"/>
        </w:rPr>
        <w:sectPr>
          <w:footerReference r:id="rId4" w:type="default"/>
          <w:footerReference r:id="rId5" w:type="even"/>
          <w:pgSz w:w="11906" w:h="16838"/>
          <w:pgMar w:top="2098" w:right="1474" w:bottom="1985" w:left="1588" w:header="851" w:footer="1474" w:gutter="0"/>
          <w:pgNumType w:fmt="numberInDash" w:start="1"/>
          <w:cols w:space="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两江复兴“</w:t>
      </w:r>
      <w:r>
        <w:rPr>
          <w:rFonts w:hint="eastAsia" w:ascii="Times New Roman" w:hAnsi="Times New Roman" w:eastAsia="方正仿宋_GBK" w:cs="方正仿宋_GBK"/>
          <w:color w:val="000000"/>
          <w:kern w:val="2"/>
          <w:sz w:val="44"/>
          <w:szCs w:val="44"/>
          <w:lang w:val="en-US" w:eastAsia="zh-CN" w:bidi="ar-SA"/>
        </w:rPr>
        <w:t>4·6</w:t>
      </w:r>
      <w:r>
        <w:rPr>
          <w:rFonts w:hint="eastAsia" w:ascii="方正小标宋简体" w:hAnsi="方正小标宋简体" w:eastAsia="方正小标宋简体" w:cs="方正小标宋简体"/>
          <w:sz w:val="44"/>
          <w:szCs w:val="44"/>
          <w:lang w:val="en-US" w:eastAsia="zh-CN"/>
        </w:rPr>
        <w:t>”一般道路交通</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事故调查报告</w:t>
      </w:r>
    </w:p>
    <w:p>
      <w:pPr>
        <w:keepNext w:val="0"/>
        <w:keepLines w:val="0"/>
        <w:pageBreakBefore w:val="0"/>
        <w:widowControl w:val="0"/>
        <w:kinsoku/>
        <w:wordWrap/>
        <w:overflowPunct/>
        <w:topLinePunct w:val="0"/>
        <w:autoSpaceDE/>
        <w:autoSpaceDN/>
        <w:bidi w:val="0"/>
        <w:adjustRightInd/>
        <w:snapToGrid w:val="0"/>
        <w:spacing w:line="560" w:lineRule="exact"/>
        <w:ind w:right="-6" w:firstLine="640" w:firstLineChars="200"/>
        <w:jc w:val="left"/>
        <w:textAlignment w:val="auto"/>
        <w:rPr>
          <w:rFonts w:hint="eastAsia" w:ascii="仿宋_GB2312" w:eastAsia="仿宋_GB2312"/>
          <w:sz w:val="32"/>
          <w:szCs w:val="32"/>
          <w:highlight w:val="yellow"/>
          <w:lang w:val="en-US" w:eastAsia="zh-CN"/>
        </w:rPr>
      </w:pPr>
    </w:p>
    <w:p>
      <w:pPr>
        <w:keepNext w:val="0"/>
        <w:keepLines w:val="0"/>
        <w:pageBreakBefore w:val="0"/>
        <w:widowControl w:val="0"/>
        <w:kinsoku/>
        <w:overflowPunct/>
        <w:topLinePunct w:val="0"/>
        <w:autoSpaceDE/>
        <w:autoSpaceDN/>
        <w:bidi w:val="0"/>
        <w:adjustRightInd/>
        <w:snapToGrid/>
        <w:spacing w:line="560" w:lineRule="exact"/>
        <w:ind w:firstLine="644"/>
        <w:textAlignment w:val="auto"/>
        <w:rPr>
          <w:rFonts w:hint="eastAsia" w:ascii="仿宋_GB2312" w:hAnsi="仿宋_GB2312" w:eastAsia="仿宋_GB2312" w:cs="仿宋_GB2312"/>
          <w:sz w:val="32"/>
          <w:szCs w:val="32"/>
        </w:rPr>
      </w:pPr>
      <w:r>
        <w:rPr>
          <w:rFonts w:hint="eastAsia" w:ascii="宋体" w:hAnsi="宋体" w:eastAsia="宋体" w:cs="宋体"/>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宋体" w:hAnsi="宋体" w:eastAsia="宋体" w:cs="宋体"/>
          <w:sz w:val="32"/>
          <w:szCs w:val="32"/>
          <w:lang w:val="en-US" w:eastAsia="zh-CN"/>
        </w:rPr>
        <w:t>4</w:t>
      </w:r>
      <w:r>
        <w:rPr>
          <w:rFonts w:hint="eastAsia" w:ascii="仿宋_GB2312" w:hAnsi="仿宋_GB2312" w:eastAsia="仿宋_GB2312" w:cs="仿宋_GB2312"/>
          <w:sz w:val="32"/>
          <w:szCs w:val="32"/>
          <w:lang w:val="en-US" w:eastAsia="zh-CN"/>
        </w:rPr>
        <w:t>月</w:t>
      </w:r>
      <w:r>
        <w:rPr>
          <w:rFonts w:hint="eastAsia" w:ascii="宋体" w:hAnsi="宋体" w:eastAsia="宋体" w:cs="宋体"/>
          <w:sz w:val="32"/>
          <w:szCs w:val="32"/>
          <w:lang w:val="en-US" w:eastAsia="zh-CN"/>
        </w:rPr>
        <w:t>6</w:t>
      </w:r>
      <w:r>
        <w:rPr>
          <w:rFonts w:hint="eastAsia" w:ascii="仿宋_GB2312" w:hAnsi="仿宋_GB2312" w:eastAsia="仿宋_GB2312" w:cs="仿宋_GB2312"/>
          <w:sz w:val="32"/>
          <w:szCs w:val="32"/>
          <w:lang w:val="en-US" w:eastAsia="zh-CN"/>
        </w:rPr>
        <w:t>日</w:t>
      </w:r>
      <w:r>
        <w:rPr>
          <w:rFonts w:hint="eastAsia" w:ascii="宋体" w:hAnsi="宋体" w:eastAsia="宋体" w:cs="宋体"/>
          <w:sz w:val="32"/>
          <w:szCs w:val="32"/>
          <w:lang w:val="en-US" w:eastAsia="zh-CN"/>
        </w:rPr>
        <w:t>4</w:t>
      </w:r>
      <w:r>
        <w:rPr>
          <w:rFonts w:hint="eastAsia" w:ascii="仿宋_GB2312" w:hAnsi="仿宋_GB2312" w:eastAsia="仿宋_GB2312" w:cs="仿宋_GB2312"/>
          <w:sz w:val="32"/>
          <w:szCs w:val="32"/>
          <w:lang w:val="en-US" w:eastAsia="zh-CN"/>
        </w:rPr>
        <w:t>时</w:t>
      </w:r>
      <w:r>
        <w:rPr>
          <w:rFonts w:hint="eastAsia" w:ascii="宋体" w:hAnsi="宋体" w:eastAsia="宋体" w:cs="宋体"/>
          <w:sz w:val="32"/>
          <w:szCs w:val="32"/>
          <w:lang w:val="en-US" w:eastAsia="zh-CN"/>
        </w:rPr>
        <w:t>48</w:t>
      </w:r>
      <w:r>
        <w:rPr>
          <w:rFonts w:hint="eastAsia" w:ascii="仿宋_GB2312" w:hAnsi="仿宋_GB2312" w:eastAsia="仿宋_GB2312" w:cs="仿宋_GB2312"/>
          <w:sz w:val="32"/>
          <w:szCs w:val="32"/>
          <w:lang w:val="en-US" w:eastAsia="zh-CN"/>
        </w:rPr>
        <w:t>分许，在两江新区方正大道润之康医院路段，发生一起道路交通事故，造成</w:t>
      </w:r>
      <w:r>
        <w:rPr>
          <w:rFonts w:hint="eastAsia" w:ascii="宋体" w:hAnsi="宋体" w:eastAsia="宋体" w:cs="宋体"/>
          <w:sz w:val="32"/>
          <w:szCs w:val="32"/>
          <w:lang w:val="en-US" w:eastAsia="zh-CN"/>
        </w:rPr>
        <w:t>1</w:t>
      </w:r>
      <w:r>
        <w:rPr>
          <w:rFonts w:hint="eastAsia" w:ascii="仿宋_GB2312" w:hAnsi="仿宋_GB2312" w:eastAsia="仿宋_GB2312" w:cs="仿宋_GB2312"/>
          <w:sz w:val="32"/>
          <w:szCs w:val="32"/>
          <w:lang w:val="en-US" w:eastAsia="zh-CN"/>
        </w:rPr>
        <w:t>人死亡。</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sz w:val="32"/>
          <w:szCs w:val="32"/>
          <w:lang w:val="en-US" w:eastAsia="zh-CN"/>
        </w:rPr>
        <w:t>事故发生后，重庆市公安局北碚区分局交通管理支队开展了前期调查，划分了事故责任，出具了《道路交通事故认定书》（第</w:t>
      </w:r>
      <w:r>
        <w:rPr>
          <w:rFonts w:hint="eastAsia" w:ascii="宋体" w:hAnsi="宋体" w:eastAsia="宋体" w:cs="宋体"/>
          <w:sz w:val="32"/>
          <w:szCs w:val="32"/>
          <w:lang w:val="en-US" w:eastAsia="zh-CN"/>
        </w:rPr>
        <w:t>500900120260000061</w:t>
      </w:r>
      <w:r>
        <w:rPr>
          <w:rFonts w:hint="eastAsia" w:ascii="仿宋_GB2312" w:hAnsi="仿宋_GB2312" w:eastAsia="仿宋_GB2312" w:cs="仿宋_GB2312"/>
          <w:sz w:val="32"/>
          <w:szCs w:val="32"/>
          <w:lang w:val="en-US" w:eastAsia="zh-CN"/>
        </w:rPr>
        <w:t>号</w:t>
      </w:r>
      <w:r>
        <w:rPr>
          <w:rFonts w:hint="eastAsia" w:ascii="Times New Roman" w:hAnsi="Times New Roman" w:eastAsia="方正仿宋_GBK" w:cs="方正仿宋_GBK"/>
          <w:color w:val="000000"/>
          <w:sz w:val="32"/>
          <w:szCs w:val="32"/>
          <w:highlight w:val="none"/>
          <w:lang w:val="en-US" w:eastAsia="zh-CN"/>
        </w:rPr>
        <w:t>），</w:t>
      </w:r>
      <w:r>
        <w:rPr>
          <w:rFonts w:hint="eastAsia" w:ascii="仿宋_GB2312" w:hAnsi="仿宋_GB2312" w:eastAsia="仿宋_GB2312" w:cs="仿宋_GB2312"/>
          <w:sz w:val="32"/>
          <w:szCs w:val="32"/>
          <w:lang w:val="en-US" w:eastAsia="zh-CN"/>
        </w:rPr>
        <w:t>并于</w:t>
      </w:r>
      <w:r>
        <w:rPr>
          <w:rFonts w:hint="eastAsia" w:ascii="宋体" w:hAnsi="宋体" w:eastAsia="宋体" w:cs="宋体"/>
          <w:sz w:val="32"/>
          <w:szCs w:val="32"/>
          <w:lang w:val="en-US" w:eastAsia="zh-CN"/>
        </w:rPr>
        <w:t>2026</w:t>
      </w:r>
      <w:r>
        <w:rPr>
          <w:rFonts w:hint="eastAsia" w:ascii="仿宋_GB2312" w:hAnsi="仿宋_GB2312" w:eastAsia="仿宋_GB2312" w:cs="仿宋_GB2312"/>
          <w:sz w:val="32"/>
          <w:szCs w:val="32"/>
          <w:lang w:val="en-US" w:eastAsia="zh-CN"/>
        </w:rPr>
        <w:t>年</w:t>
      </w:r>
      <w:r>
        <w:rPr>
          <w:rFonts w:hint="eastAsia" w:ascii="宋体" w:hAnsi="宋体" w:eastAsia="宋体" w:cs="宋体"/>
          <w:sz w:val="32"/>
          <w:szCs w:val="32"/>
          <w:lang w:val="en-US" w:eastAsia="zh-CN"/>
        </w:rPr>
        <w:t>7</w:t>
      </w:r>
      <w:r>
        <w:rPr>
          <w:rFonts w:hint="eastAsia" w:ascii="仿宋_GB2312" w:hAnsi="仿宋_GB2312" w:eastAsia="仿宋_GB2312" w:cs="仿宋_GB2312"/>
          <w:sz w:val="32"/>
          <w:szCs w:val="32"/>
          <w:lang w:val="en-US" w:eastAsia="zh-CN"/>
        </w:rPr>
        <w:t>月</w:t>
      </w:r>
      <w:r>
        <w:rPr>
          <w:rFonts w:hint="eastAsia" w:ascii="宋体" w:hAnsi="宋体" w:eastAsia="宋体" w:cs="宋体"/>
          <w:sz w:val="32"/>
          <w:szCs w:val="32"/>
          <w:lang w:val="en-US" w:eastAsia="zh-CN"/>
        </w:rPr>
        <w:t>10</w:t>
      </w:r>
      <w:r>
        <w:rPr>
          <w:rFonts w:hint="eastAsia" w:ascii="仿宋_GB2312" w:hAnsi="仿宋_GB2312" w:eastAsia="仿宋_GB2312" w:cs="仿宋_GB2312"/>
          <w:sz w:val="32"/>
          <w:szCs w:val="32"/>
          <w:lang w:val="en-US" w:eastAsia="zh-CN"/>
        </w:rPr>
        <w:t>日向两江新区应急管理局移交了该事故资料。根据相关规定，</w:t>
      </w:r>
      <w:r>
        <w:rPr>
          <w:rFonts w:hint="eastAsia" w:ascii="仿宋_GB2312" w:hAnsi="仿宋_GB2312" w:eastAsia="仿宋_GB2312" w:cs="仿宋_GB2312"/>
          <w:color w:val="000000"/>
          <w:sz w:val="32"/>
          <w:szCs w:val="32"/>
          <w:highlight w:val="none"/>
          <w:lang w:val="en-US" w:eastAsia="zh-CN"/>
        </w:rPr>
        <w:t>两江新区人民政府成立了由两江新区应急管理局牵头，区政府办公室、北碚区公安分局</w:t>
      </w:r>
      <w:r>
        <w:rPr>
          <w:rFonts w:hint="eastAsia" w:ascii="仿宋_GB2312" w:hAnsi="仿宋_GB2312" w:eastAsia="仿宋_GB2312" w:cs="仿宋_GB2312"/>
          <w:sz w:val="32"/>
          <w:szCs w:val="32"/>
          <w:lang w:val="en-US" w:eastAsia="zh-CN"/>
        </w:rPr>
        <w:t>交通管理</w:t>
      </w:r>
      <w:r>
        <w:rPr>
          <w:rFonts w:hint="eastAsia" w:ascii="仿宋_GB2312" w:hAnsi="仿宋_GB2312" w:eastAsia="仿宋_GB2312" w:cs="仿宋_GB2312"/>
          <w:color w:val="000000"/>
          <w:sz w:val="32"/>
          <w:szCs w:val="32"/>
          <w:highlight w:val="none"/>
          <w:lang w:val="en-US" w:eastAsia="zh-CN"/>
        </w:rPr>
        <w:t>支队、区交通运输委、区总工会等单位为成员的两江复兴“</w:t>
      </w:r>
      <w:r>
        <w:rPr>
          <w:rFonts w:hint="eastAsia" w:ascii="宋体" w:hAnsi="宋体" w:eastAsia="宋体" w:cs="宋体"/>
          <w:sz w:val="32"/>
          <w:szCs w:val="32"/>
          <w:lang w:val="en-US" w:eastAsia="zh-CN"/>
        </w:rPr>
        <w:t>4·6</w:t>
      </w:r>
      <w:r>
        <w:rPr>
          <w:rFonts w:hint="eastAsia" w:ascii="仿宋_GB2312" w:hAnsi="仿宋_GB2312" w:eastAsia="仿宋_GB2312" w:cs="仿宋_GB2312"/>
          <w:color w:val="000000"/>
          <w:sz w:val="32"/>
          <w:szCs w:val="32"/>
          <w:highlight w:val="none"/>
          <w:lang w:val="en-US" w:eastAsia="zh-CN"/>
        </w:rPr>
        <w:t>”一般道路交通事故调查组（以下简称调查组），并邀请</w:t>
      </w:r>
      <w:r>
        <w:rPr>
          <w:rFonts w:hint="eastAsia" w:ascii="仿宋_GB2312" w:hAnsi="仿宋_GB2312" w:eastAsia="仿宋_GB2312" w:cs="仿宋_GB2312"/>
          <w:sz w:val="32"/>
          <w:szCs w:val="32"/>
          <w:highlight w:val="none"/>
        </w:rPr>
        <w:t>区纪委监委机关</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区检察院、北碚区交通运输委派员参与事故调查工作。按照“科学严谨、依法依规、实事求是、注重实效”和“四不放过”的原则，调查组经过现场勘查、调查取证、综合分析，现已查明了事故发生的经过、原因、应急处置、人员伤亡和直接经济损失情况，认定了事故性质及责任，并提出了处理意见及防范事故再次发生的措施建议。</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经调查认定，两江复兴“</w:t>
      </w:r>
      <w:r>
        <w:rPr>
          <w:rFonts w:hint="eastAsia" w:ascii="宋体" w:hAnsi="宋体" w:eastAsia="宋体" w:cs="宋体"/>
          <w:sz w:val="32"/>
          <w:szCs w:val="32"/>
          <w:lang w:val="en-US" w:eastAsia="zh-CN"/>
        </w:rPr>
        <w:t>4·6</w:t>
      </w:r>
      <w:r>
        <w:rPr>
          <w:rFonts w:hint="eastAsia" w:ascii="仿宋_GB2312" w:hAnsi="仿宋_GB2312" w:eastAsia="仿宋_GB2312" w:cs="仿宋_GB2312"/>
          <w:color w:val="000000"/>
          <w:sz w:val="32"/>
          <w:szCs w:val="32"/>
          <w:highlight w:val="none"/>
          <w:lang w:val="en-US" w:eastAsia="zh-CN"/>
        </w:rPr>
        <w:t>”一般道路交通事故是一起因行人杜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在设置有人行道的道路上在车行道内行走的行为，以及驾驶员胡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驾驶机动车疏于观察道路情况，未能及时发现在道路上行走的行人的行为，造成的一般生产安全责任事故。现将有关情况报告如下：</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一、事故基本情况</w:t>
      </w:r>
    </w:p>
    <w:p>
      <w:pPr>
        <w:pStyle w:val="22"/>
        <w:keepNext w:val="0"/>
        <w:keepLines w:val="0"/>
        <w:pageBreakBefore w:val="0"/>
        <w:widowControl w:val="0"/>
        <w:kinsoku/>
        <w:wordWrap/>
        <w:overflowPunct/>
        <w:topLinePunct w:val="0"/>
        <w:autoSpaceDE/>
        <w:autoSpaceDN/>
        <w:bidi w:val="0"/>
        <w:adjustRightInd/>
        <w:snapToGrid w:val="0"/>
        <w:spacing w:line="560" w:lineRule="atLeast"/>
        <w:ind w:left="161" w:firstLine="321" w:firstLineChars="100"/>
        <w:textAlignment w:val="auto"/>
        <w:rPr>
          <w:rFonts w:hint="eastAsia" w:ascii="楷体_GB2312" w:hAnsi="楷体_GB2312" w:eastAsia="楷体_GB2312" w:cs="楷体_GB2312"/>
          <w:b/>
          <w:bCs w:val="0"/>
          <w:kern w:val="2"/>
          <w:sz w:val="32"/>
          <w:szCs w:val="32"/>
          <w:highlight w:val="none"/>
          <w:lang w:val="en-US" w:eastAsia="zh-CN" w:bidi="ar-SA"/>
        </w:rPr>
      </w:pPr>
      <w:r>
        <w:rPr>
          <w:rFonts w:hint="eastAsia" w:ascii="楷体_GB2312" w:hAnsi="楷体_GB2312" w:eastAsia="楷体_GB2312" w:cs="楷体_GB2312"/>
          <w:b/>
          <w:bCs w:val="0"/>
          <w:kern w:val="2"/>
          <w:sz w:val="32"/>
          <w:szCs w:val="32"/>
          <w:highlight w:val="none"/>
          <w:lang w:val="en-US" w:eastAsia="zh-CN" w:bidi="ar-SA"/>
        </w:rPr>
        <w:t>（一）车辆情况</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渝</w:t>
      </w:r>
      <w:r>
        <w:rPr>
          <w:rFonts w:hint="eastAsia" w:ascii="Times New Roman" w:hAnsi="Times New Roman" w:eastAsia="方正仿宋_GBK" w:cs="方正仿宋_GBK"/>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方正仿宋_GBK"/>
          <w:color w:val="000000"/>
          <w:sz w:val="32"/>
          <w:szCs w:val="32"/>
          <w:highlight w:val="none"/>
          <w:lang w:val="en-US" w:eastAsia="zh-CN"/>
        </w:rPr>
        <w:t>D，</w:t>
      </w:r>
      <w:r>
        <w:rPr>
          <w:rFonts w:hint="eastAsia" w:ascii="仿宋_GB2312" w:hAnsi="仿宋_GB2312" w:eastAsia="仿宋_GB2312" w:cs="仿宋_GB2312"/>
          <w:color w:val="000000"/>
          <w:sz w:val="32"/>
          <w:szCs w:val="32"/>
          <w:highlight w:val="none"/>
          <w:lang w:val="en-US" w:eastAsia="zh-CN"/>
        </w:rPr>
        <w:t>车辆品牌型号：三一牌</w:t>
      </w:r>
      <w:r>
        <w:rPr>
          <w:rFonts w:hint="eastAsia" w:ascii="Times New Roman" w:hAnsi="Times New Roman" w:eastAsia="方正仿宋_GBK" w:cs="方正仿宋_GBK"/>
          <w:color w:val="000000"/>
          <w:sz w:val="32"/>
          <w:szCs w:val="32"/>
          <w:highlight w:val="none"/>
          <w:lang w:val="en-US" w:eastAsia="zh-CN"/>
        </w:rPr>
        <w:t>SYM</w:t>
      </w:r>
      <w:r>
        <w:rPr>
          <w:rFonts w:hint="eastAsia" w:ascii="宋体" w:hAnsi="宋体" w:eastAsia="宋体" w:cs="宋体"/>
          <w:color w:val="000000"/>
          <w:sz w:val="32"/>
          <w:szCs w:val="32"/>
          <w:highlight w:val="none"/>
          <w:lang w:val="en-US" w:eastAsia="zh-CN"/>
        </w:rPr>
        <w:t>5318</w:t>
      </w:r>
      <w:r>
        <w:rPr>
          <w:rFonts w:hint="eastAsia" w:ascii="Times New Roman" w:hAnsi="Times New Roman" w:eastAsia="方正仿宋_GBK" w:cs="方正仿宋_GBK"/>
          <w:color w:val="000000"/>
          <w:sz w:val="32"/>
          <w:szCs w:val="32"/>
          <w:highlight w:val="none"/>
          <w:lang w:val="en-US" w:eastAsia="zh-CN"/>
        </w:rPr>
        <w:t>GJB</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方正仿宋_GBK"/>
          <w:color w:val="000000"/>
          <w:sz w:val="32"/>
          <w:szCs w:val="32"/>
          <w:highlight w:val="none"/>
          <w:lang w:val="en-US" w:eastAsia="zh-CN"/>
        </w:rPr>
        <w:t>BEV，</w:t>
      </w:r>
      <w:r>
        <w:rPr>
          <w:rFonts w:hint="eastAsia" w:ascii="仿宋_GB2312" w:hAnsi="仿宋_GB2312" w:eastAsia="仿宋_GB2312" w:cs="仿宋_GB2312"/>
          <w:color w:val="000000"/>
          <w:sz w:val="32"/>
          <w:szCs w:val="32"/>
          <w:highlight w:val="none"/>
          <w:lang w:val="en-US" w:eastAsia="zh-CN"/>
        </w:rPr>
        <w:t>车辆类型：重型特殊结构货车，车辆识别代码：</w:t>
      </w:r>
      <w:r>
        <w:rPr>
          <w:rFonts w:hint="eastAsia" w:ascii="Times New Roman" w:hAnsi="Times New Roman" w:eastAsia="方正仿宋_GBK" w:cs="方正仿宋_GBK"/>
          <w:color w:val="000000"/>
          <w:sz w:val="32"/>
          <w:szCs w:val="32"/>
          <w:highlight w:val="none"/>
          <w:lang w:val="en-US" w:eastAsia="zh-CN"/>
        </w:rPr>
        <w:t>LFCDKF</w:t>
      </w:r>
      <w:r>
        <w:rPr>
          <w:rFonts w:hint="eastAsia" w:ascii="宋体" w:hAnsi="宋体" w:eastAsia="宋体" w:cs="宋体"/>
          <w:color w:val="000000"/>
          <w:sz w:val="32"/>
          <w:szCs w:val="32"/>
          <w:highlight w:val="none"/>
          <w:lang w:val="en-US" w:eastAsia="zh-CN"/>
        </w:rPr>
        <w:t>6</w:t>
      </w:r>
      <w:r>
        <w:rPr>
          <w:rFonts w:hint="eastAsia" w:ascii="Times New Roman" w:hAnsi="Times New Roman" w:eastAsia="方正仿宋_GBK" w:cs="方正仿宋_GBK"/>
          <w:color w:val="000000"/>
          <w:sz w:val="32"/>
          <w:szCs w:val="32"/>
          <w:highlight w:val="none"/>
          <w:lang w:val="en-US" w:eastAsia="zh-CN"/>
        </w:rPr>
        <w:t>P</w:t>
      </w:r>
      <w:r>
        <w:rPr>
          <w:rFonts w:hint="eastAsia" w:ascii="宋体" w:hAnsi="宋体" w:eastAsia="宋体" w:cs="宋体"/>
          <w:color w:val="000000"/>
          <w:sz w:val="32"/>
          <w:szCs w:val="32"/>
          <w:highlight w:val="none"/>
          <w:lang w:val="en-US" w:eastAsia="zh-CN"/>
        </w:rPr>
        <w:t>4</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16</w:t>
      </w:r>
      <w:r>
        <w:rPr>
          <w:rFonts w:hint="eastAsia" w:ascii="Times New Roman" w:hAnsi="Times New Roman" w:eastAsia="方正仿宋_GBK" w:cs="方正仿宋_GBK"/>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发动机号：</w:t>
      </w:r>
      <w:r>
        <w:rPr>
          <w:rFonts w:hint="eastAsia" w:ascii="Times New Roman" w:hAnsi="Times New Roman" w:eastAsia="方正仿宋_GBK" w:cs="方正仿宋_GBK"/>
          <w:color w:val="000000"/>
          <w:sz w:val="32"/>
          <w:szCs w:val="32"/>
          <w:highlight w:val="none"/>
          <w:lang w:val="en-US" w:eastAsia="zh-CN"/>
        </w:rPr>
        <w:t>M</w:t>
      </w:r>
      <w:r>
        <w:rPr>
          <w:rFonts w:hint="eastAsia" w:ascii="宋体" w:hAnsi="宋体" w:eastAsia="宋体" w:cs="宋体"/>
          <w:color w:val="000000"/>
          <w:sz w:val="32"/>
          <w:szCs w:val="32"/>
          <w:highlight w:val="none"/>
          <w:lang w:val="en-US" w:eastAsia="zh-CN"/>
        </w:rPr>
        <w:t>41025</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62</w:t>
      </w:r>
      <w:r>
        <w:rPr>
          <w:rFonts w:hint="eastAsia" w:ascii="Times New Roman" w:hAnsi="Times New Roman" w:eastAsia="方正仿宋_GBK" w:cs="方正仿宋_GBK"/>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车辆所有人：重庆凯飞货物运输有限公司，登记住址：重庆市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单元负</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，使用性质：货运。保险公司：中国太平洋财产保险股份有限公司，保险单号：</w:t>
      </w:r>
      <w:r>
        <w:rPr>
          <w:rFonts w:hint="eastAsia" w:ascii="Times New Roman" w:hAnsi="Times New Roman" w:eastAsia="方正仿宋_GBK" w:cs="方正仿宋_GBK"/>
          <w:color w:val="000000"/>
          <w:sz w:val="32"/>
          <w:szCs w:val="32"/>
          <w:highlight w:val="none"/>
          <w:lang w:val="en-US" w:eastAsia="zh-CN"/>
        </w:rPr>
        <w:t>ACHQ</w:t>
      </w:r>
      <w:r>
        <w:rPr>
          <w:rFonts w:hint="eastAsia" w:ascii="宋体" w:hAnsi="宋体" w:eastAsia="宋体" w:cs="宋体"/>
          <w:color w:val="000000"/>
          <w:sz w:val="32"/>
          <w:szCs w:val="32"/>
          <w:highlight w:val="none"/>
          <w:lang w:val="en-US" w:eastAsia="zh-CN"/>
        </w:rPr>
        <w:t>801</w:t>
      </w:r>
      <w:r>
        <w:rPr>
          <w:rFonts w:hint="eastAsia" w:ascii="Times New Roman" w:hAnsi="Times New Roman" w:eastAsia="方正仿宋_GBK" w:cs="方正仿宋_GBK"/>
          <w:color w:val="000000"/>
          <w:sz w:val="32"/>
          <w:szCs w:val="32"/>
          <w:highlight w:val="none"/>
          <w:lang w:val="en-US" w:eastAsia="zh-CN"/>
        </w:rPr>
        <w:t>CTP</w:t>
      </w:r>
      <w:r>
        <w:rPr>
          <w:rFonts w:hint="eastAsia" w:ascii="宋体" w:hAnsi="宋体" w:eastAsia="宋体" w:cs="宋体"/>
          <w:color w:val="000000"/>
          <w:sz w:val="32"/>
          <w:szCs w:val="32"/>
          <w:highlight w:val="none"/>
          <w:lang w:val="en-US" w:eastAsia="zh-CN"/>
        </w:rPr>
        <w:t>25</w:t>
      </w:r>
      <w:r>
        <w:rPr>
          <w:rFonts w:hint="eastAsia" w:ascii="Times New Roman" w:hAnsi="Times New Roman" w:eastAsia="方正仿宋_GBK" w:cs="方正仿宋_GBK"/>
          <w:color w:val="000000"/>
          <w:sz w:val="32"/>
          <w:szCs w:val="32"/>
          <w:highlight w:val="none"/>
          <w:lang w:val="en-US" w:eastAsia="zh-CN"/>
        </w:rPr>
        <w:t>B</w:t>
      </w:r>
      <w:r>
        <w:rPr>
          <w:rFonts w:hint="eastAsia" w:ascii="宋体" w:hAnsi="宋体" w:eastAsia="宋体" w:cs="宋体"/>
          <w:color w:val="000000"/>
          <w:sz w:val="32"/>
          <w:szCs w:val="32"/>
          <w:highlight w:val="none"/>
          <w:lang w:val="en-US" w:eastAsia="zh-CN"/>
        </w:rPr>
        <w:t>020534</w:t>
      </w:r>
      <w:r>
        <w:rPr>
          <w:rFonts w:hint="eastAsia" w:ascii="Times New Roman" w:hAnsi="Times New Roman" w:eastAsia="方正仿宋_GBK" w:cs="方正仿宋_GBK"/>
          <w:color w:val="000000"/>
          <w:sz w:val="32"/>
          <w:szCs w:val="32"/>
          <w:highlight w:val="none"/>
          <w:lang w:val="en-US" w:eastAsia="zh-CN"/>
        </w:rPr>
        <w:t>T，</w:t>
      </w:r>
      <w:r>
        <w:rPr>
          <w:rFonts w:hint="eastAsia" w:ascii="仿宋_GB2312" w:hAnsi="仿宋_GB2312" w:eastAsia="仿宋_GB2312" w:cs="仿宋_GB2312"/>
          <w:color w:val="000000"/>
          <w:sz w:val="32"/>
          <w:szCs w:val="32"/>
          <w:highlight w:val="none"/>
          <w:lang w:val="en-US" w:eastAsia="zh-CN"/>
        </w:rPr>
        <w:t>保险终止日期：</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5</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16</w:t>
      </w:r>
      <w:r>
        <w:rPr>
          <w:rFonts w:hint="eastAsia" w:ascii="仿宋_GB2312" w:hAnsi="仿宋_GB2312" w:eastAsia="仿宋_GB2312" w:cs="仿宋_GB2312"/>
          <w:color w:val="000000"/>
          <w:sz w:val="32"/>
          <w:szCs w:val="32"/>
          <w:highlight w:val="none"/>
          <w:lang w:val="en-US" w:eastAsia="zh-CN"/>
        </w:rPr>
        <w:t>日</w:t>
      </w:r>
      <w:r>
        <w:rPr>
          <w:rFonts w:hint="eastAsia" w:ascii="宋体" w:hAnsi="宋体" w:eastAsia="宋体" w:cs="宋体"/>
          <w:color w:val="000000"/>
          <w:sz w:val="32"/>
          <w:szCs w:val="32"/>
          <w:highlight w:val="none"/>
          <w:lang w:val="en-US" w:eastAsia="zh-CN"/>
        </w:rPr>
        <w:t>11</w:t>
      </w:r>
      <w:r>
        <w:rPr>
          <w:rFonts w:hint="eastAsia" w:ascii="仿宋_GB2312" w:hAnsi="仿宋_GB2312" w:eastAsia="仿宋_GB2312" w:cs="仿宋_GB2312"/>
          <w:color w:val="000000"/>
          <w:sz w:val="32"/>
          <w:szCs w:val="32"/>
          <w:highlight w:val="none"/>
          <w:lang w:val="en-US" w:eastAsia="zh-CN"/>
        </w:rPr>
        <w:t>时。经查，该车无被盗抢记录。</w:t>
      </w:r>
    </w:p>
    <w:p>
      <w:pPr>
        <w:keepNext w:val="0"/>
        <w:keepLines w:val="0"/>
        <w:pageBreakBefore w:val="0"/>
        <w:widowControl w:val="0"/>
        <w:kinsoku/>
        <w:wordWrap/>
        <w:overflowPunct/>
        <w:topLinePunct w:val="0"/>
        <w:autoSpaceDE/>
        <w:autoSpaceDN/>
        <w:bidi w:val="0"/>
        <w:snapToGrid w:val="0"/>
        <w:spacing w:line="560" w:lineRule="exact"/>
        <w:ind w:firstLine="643"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（二）驾驶员情况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岁，驾驶证号：</w:t>
      </w:r>
      <w:r>
        <w:rPr>
          <w:rFonts w:hint="eastAsia" w:ascii="宋体" w:hAnsi="宋体" w:eastAsia="宋体" w:cs="宋体"/>
          <w:color w:val="000000"/>
          <w:sz w:val="32"/>
          <w:szCs w:val="32"/>
          <w:highlight w:val="none"/>
          <w:lang w:val="en-US" w:eastAsia="zh-CN"/>
        </w:rPr>
        <w:t>510224</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13</w:t>
      </w:r>
      <w:r>
        <w:rPr>
          <w:rFonts w:hint="eastAsia" w:ascii="仿宋_GB2312" w:hAnsi="仿宋_GB2312" w:eastAsia="仿宋_GB2312" w:cs="仿宋_GB2312"/>
          <w:color w:val="000000"/>
          <w:sz w:val="32"/>
          <w:szCs w:val="32"/>
          <w:highlight w:val="none"/>
          <w:lang w:val="en-US" w:eastAsia="zh-CN"/>
        </w:rPr>
        <w:t>，档案编号：</w:t>
      </w:r>
      <w:r>
        <w:rPr>
          <w:rFonts w:hint="eastAsia" w:ascii="宋体" w:hAnsi="宋体" w:eastAsia="宋体" w:cs="宋体"/>
          <w:color w:val="000000"/>
          <w:sz w:val="32"/>
          <w:szCs w:val="32"/>
          <w:highlight w:val="none"/>
          <w:lang w:val="en-US" w:eastAsia="zh-CN"/>
        </w:rPr>
        <w:t>510</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986</w:t>
      </w:r>
      <w:r>
        <w:rPr>
          <w:rFonts w:hint="eastAsia" w:ascii="仿宋_GB2312" w:hAnsi="仿宋_GB2312" w:eastAsia="仿宋_GB2312" w:cs="仿宋_GB2312"/>
          <w:color w:val="000000"/>
          <w:sz w:val="32"/>
          <w:szCs w:val="32"/>
          <w:highlight w:val="none"/>
          <w:lang w:val="en-US" w:eastAsia="zh-CN"/>
        </w:rPr>
        <w:t>，户籍地址：重庆市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单元</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，准驾车型：</w:t>
      </w:r>
      <w:r>
        <w:rPr>
          <w:rFonts w:hint="eastAsia" w:ascii="Times New Roman" w:hAnsi="Times New Roman" w:eastAsia="方正仿宋_GBK" w:cs="方正仿宋_GBK"/>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，初次领证日期：</w:t>
      </w:r>
      <w:r>
        <w:rPr>
          <w:rFonts w:hint="eastAsia" w:ascii="宋体" w:hAnsi="宋体" w:eastAsia="宋体" w:cs="宋体"/>
          <w:color w:val="000000"/>
          <w:sz w:val="32"/>
          <w:szCs w:val="32"/>
          <w:highlight w:val="none"/>
          <w:lang w:val="en-US" w:eastAsia="zh-CN"/>
        </w:rPr>
        <w:t>1994</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日，有限期止：</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日。</w:t>
      </w:r>
    </w:p>
    <w:p>
      <w:pPr>
        <w:keepNext w:val="0"/>
        <w:keepLines w:val="0"/>
        <w:pageBreakBefore w:val="0"/>
        <w:widowControl w:val="0"/>
        <w:kinsoku/>
        <w:wordWrap/>
        <w:overflowPunct/>
        <w:topLinePunct w:val="0"/>
        <w:autoSpaceDE/>
        <w:autoSpaceDN/>
        <w:bidi w:val="0"/>
        <w:snapToGrid w:val="0"/>
        <w:spacing w:line="560" w:lineRule="exact"/>
        <w:ind w:firstLine="643"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（三）事故发生单位概况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重庆凯飞货物运输有限公司，类型：有限责任公司（自然人投资或控股），统一社会信用代码：</w:t>
      </w:r>
      <w:r>
        <w:rPr>
          <w:rFonts w:hint="eastAsia" w:ascii="宋体" w:hAnsi="宋体" w:eastAsia="宋体" w:cs="宋体"/>
          <w:color w:val="000000"/>
          <w:sz w:val="32"/>
          <w:szCs w:val="32"/>
          <w:highlight w:val="none"/>
          <w:lang w:val="en-US" w:eastAsia="zh-CN"/>
        </w:rPr>
        <w:t>9150010909</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4</w:t>
      </w:r>
      <w:r>
        <w:rPr>
          <w:rFonts w:hint="eastAsia" w:ascii="Times New Roman" w:hAnsi="Times New Roman" w:eastAsia="方正仿宋_GBK" w:cs="方正仿宋_GBK"/>
          <w:color w:val="000000"/>
          <w:sz w:val="32"/>
          <w:szCs w:val="32"/>
          <w:highlight w:val="none"/>
          <w:lang w:val="en-US" w:eastAsia="zh-CN"/>
        </w:rPr>
        <w:t>B</w:t>
      </w:r>
      <w:r>
        <w:rPr>
          <w:rFonts w:hint="eastAsia" w:ascii="仿宋_GB2312" w:hAnsi="仿宋_GB2312" w:eastAsia="仿宋_GB2312" w:cs="仿宋_GB2312"/>
          <w:color w:val="000000"/>
          <w:sz w:val="32"/>
          <w:szCs w:val="32"/>
          <w:highlight w:val="none"/>
          <w:lang w:val="en-US" w:eastAsia="zh-CN"/>
        </w:rPr>
        <w:t>，住所：重庆市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街道</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幢</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，法定代表人：刘</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，注册资本：叁佰万元整，成立日期：</w:t>
      </w:r>
      <w:r>
        <w:rPr>
          <w:rFonts w:hint="eastAsia" w:ascii="宋体" w:hAnsi="宋体" w:eastAsia="宋体" w:cs="宋体"/>
          <w:color w:val="000000"/>
          <w:sz w:val="32"/>
          <w:szCs w:val="32"/>
          <w:highlight w:val="none"/>
          <w:lang w:val="en-US" w:eastAsia="zh-CN"/>
        </w:rPr>
        <w:t>2014</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2</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17</w:t>
      </w:r>
      <w:r>
        <w:rPr>
          <w:rFonts w:hint="eastAsia" w:ascii="仿宋_GB2312" w:hAnsi="仿宋_GB2312" w:eastAsia="仿宋_GB2312" w:cs="仿宋_GB2312"/>
          <w:color w:val="000000"/>
          <w:sz w:val="32"/>
          <w:szCs w:val="32"/>
          <w:highlight w:val="none"/>
          <w:lang w:val="en-US" w:eastAsia="zh-CN"/>
        </w:rPr>
        <w:t>日，经营范围：普通货运。（按许可证核定的范围和期限从事经营）</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该单位持有《中华人民共和国道路运输经营许可证》，证号：渝交运管许可渝字</w:t>
      </w:r>
      <w:r>
        <w:rPr>
          <w:rFonts w:hint="eastAsia" w:ascii="宋体" w:hAnsi="宋体" w:eastAsia="宋体" w:cs="宋体"/>
          <w:color w:val="000000"/>
          <w:sz w:val="32"/>
          <w:szCs w:val="32"/>
          <w:highlight w:val="none"/>
          <w:lang w:val="en-US" w:eastAsia="zh-CN"/>
        </w:rPr>
        <w:t>5001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86</w:t>
      </w:r>
      <w:r>
        <w:rPr>
          <w:rFonts w:hint="eastAsia" w:ascii="仿宋_GB2312" w:hAnsi="仿宋_GB2312" w:eastAsia="仿宋_GB2312" w:cs="仿宋_GB2312"/>
          <w:color w:val="000000"/>
          <w:sz w:val="32"/>
          <w:szCs w:val="32"/>
          <w:highlight w:val="none"/>
          <w:lang w:val="en-US" w:eastAsia="zh-CN"/>
        </w:rPr>
        <w:t>号，证件有效期：</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日至</w:t>
      </w:r>
      <w:r>
        <w:rPr>
          <w:rFonts w:hint="eastAsia" w:ascii="宋体" w:hAnsi="宋体" w:eastAsia="宋体" w:cs="宋体"/>
          <w:color w:val="000000"/>
          <w:sz w:val="32"/>
          <w:szCs w:val="32"/>
          <w:highlight w:val="none"/>
          <w:lang w:val="en-US" w:eastAsia="zh-CN"/>
        </w:rPr>
        <w:t>2030</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日，经营范围：货物专用运输（罐式容器），道路普通货物运输。</w:t>
      </w:r>
    </w:p>
    <w:p>
      <w:pPr>
        <w:keepNext w:val="0"/>
        <w:keepLines w:val="0"/>
        <w:pageBreakBefore w:val="0"/>
        <w:widowControl w:val="0"/>
        <w:kinsoku/>
        <w:wordWrap/>
        <w:overflowPunct/>
        <w:topLinePunct w:val="0"/>
        <w:autoSpaceDE/>
        <w:autoSpaceDN/>
        <w:bidi w:val="0"/>
        <w:snapToGrid w:val="0"/>
        <w:spacing w:line="560" w:lineRule="exact"/>
        <w:ind w:firstLine="643" w:firstLineChars="200"/>
        <w:jc w:val="both"/>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（四）事故发生单位安全管理情况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重庆凯飞货物运输有限公司，建立了由总经理刘</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负总责的安全生产领导小组，并由其担任该公司的专职安全生产管理人员，其取得了《道路运输企业主要负责人和安全生产管理人员安全考核合格证明》。公司制定了《安全生产责任制》、《安全工作会议制度》、《安全生产培训制度》、《车辆</w:t>
      </w:r>
      <w:r>
        <w:rPr>
          <w:rFonts w:hint="eastAsia" w:ascii="Times New Roman" w:hAnsi="Times New Roman" w:eastAsia="方正仿宋_GBK" w:cs="方正仿宋_GBK"/>
          <w:color w:val="000000"/>
          <w:sz w:val="32"/>
          <w:szCs w:val="32"/>
          <w:highlight w:val="none"/>
          <w:lang w:val="en-US" w:eastAsia="zh-CN"/>
        </w:rPr>
        <w:t>GPS</w:t>
      </w:r>
      <w:r>
        <w:rPr>
          <w:rFonts w:hint="eastAsia" w:ascii="仿宋_GB2312" w:hAnsi="仿宋_GB2312" w:eastAsia="仿宋_GB2312" w:cs="仿宋_GB2312"/>
          <w:color w:val="000000"/>
          <w:sz w:val="32"/>
          <w:szCs w:val="32"/>
          <w:highlight w:val="none"/>
          <w:lang w:val="en-US" w:eastAsia="zh-CN"/>
        </w:rPr>
        <w:t>安装使用管理制度》、《车辆日、周、月安全检查制度》、《车辆安全管理制度》、《驾驶员安全管理制度》、《驾驶员岗位安全操作规程》等制度。该公司制定了安全教育培训计划，对驾驶员进行了安全教育培训，公司每月组织</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次安全例会，由总经理刘</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组织，安全管理人员和所有驾驶员参加；公司通过培训机构利用优</w:t>
      </w:r>
      <w:r>
        <w:rPr>
          <w:rFonts w:hint="eastAsia" w:ascii="Times New Roman" w:hAnsi="Times New Roman" w:eastAsia="方正仿宋_GBK" w:cs="方正仿宋_GBK"/>
          <w:color w:val="000000"/>
          <w:sz w:val="32"/>
          <w:szCs w:val="32"/>
          <w:highlight w:val="none"/>
          <w:lang w:val="en-US" w:eastAsia="zh-CN"/>
        </w:rPr>
        <w:t>e</w:t>
      </w:r>
      <w:r>
        <w:rPr>
          <w:rFonts w:hint="eastAsia" w:ascii="仿宋_GB2312" w:hAnsi="仿宋_GB2312" w:eastAsia="仿宋_GB2312" w:cs="仿宋_GB2312"/>
          <w:color w:val="000000"/>
          <w:sz w:val="32"/>
          <w:szCs w:val="32"/>
          <w:highlight w:val="none"/>
          <w:lang w:val="en-US" w:eastAsia="zh-CN"/>
        </w:rPr>
        <w:t>师平台对驾驶员进行线上培训。</w:t>
      </w:r>
    </w:p>
    <w:p>
      <w:pPr>
        <w:keepNext w:val="0"/>
        <w:keepLines w:val="0"/>
        <w:pageBreakBefore w:val="0"/>
        <w:widowControl w:val="0"/>
        <w:kinsoku/>
        <w:wordWrap/>
        <w:overflowPunct/>
        <w:topLinePunct w:val="0"/>
        <w:autoSpaceDE/>
        <w:autoSpaceDN/>
        <w:bidi w:val="0"/>
        <w:snapToGrid w:val="0"/>
        <w:spacing w:line="560" w:lineRule="exact"/>
        <w:ind w:firstLine="643"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（五）事故发生经过</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default" w:ascii="Times New Roman" w:hAnsi="Times New Roman" w:eastAsia="方正仿宋_GBK" w:cs="方正仿宋_GBK"/>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6</w:t>
      </w:r>
      <w:r>
        <w:rPr>
          <w:rFonts w:hint="eastAsia" w:ascii="仿宋_GB2312" w:hAnsi="仿宋_GB2312" w:eastAsia="仿宋_GB2312" w:cs="仿宋_GB2312"/>
          <w:color w:val="000000"/>
          <w:sz w:val="32"/>
          <w:szCs w:val="32"/>
          <w:highlight w:val="none"/>
          <w:lang w:val="en-US" w:eastAsia="zh-CN"/>
        </w:rPr>
        <w:t>日，胡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驾驶渝</w:t>
      </w:r>
      <w:r>
        <w:rPr>
          <w:rFonts w:hint="eastAsia" w:ascii="Times New Roman" w:hAnsi="Times New Roman" w:eastAsia="方正仿宋_GBK" w:cs="方正仿宋_GBK"/>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方正仿宋_GBK"/>
          <w:color w:val="000000"/>
          <w:sz w:val="32"/>
          <w:szCs w:val="32"/>
          <w:highlight w:val="none"/>
          <w:lang w:val="en-US" w:eastAsia="zh-CN"/>
        </w:rPr>
        <w:t>D</w:t>
      </w:r>
      <w:r>
        <w:rPr>
          <w:rFonts w:hint="eastAsia" w:ascii="仿宋_GB2312" w:hAnsi="仿宋_GB2312" w:eastAsia="仿宋_GB2312" w:cs="仿宋_GB2312"/>
          <w:color w:val="000000"/>
          <w:sz w:val="32"/>
          <w:szCs w:val="32"/>
          <w:highlight w:val="none"/>
          <w:lang w:val="en-US" w:eastAsia="zh-CN"/>
        </w:rPr>
        <w:t>号重型特殊结构货车沿方正大道从悦复大道方向往水土方向行驶，</w:t>
      </w:r>
      <w:r>
        <w:rPr>
          <w:rFonts w:hint="eastAsia" w:ascii="宋体" w:hAnsi="宋体" w:eastAsia="宋体" w:cs="宋体"/>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时</w:t>
      </w:r>
      <w:r>
        <w:rPr>
          <w:rFonts w:hint="eastAsia" w:ascii="宋体" w:hAnsi="宋体" w:eastAsia="宋体" w:cs="宋体"/>
          <w:color w:val="000000"/>
          <w:sz w:val="32"/>
          <w:szCs w:val="32"/>
          <w:highlight w:val="none"/>
          <w:lang w:val="en-US" w:eastAsia="zh-CN"/>
        </w:rPr>
        <w:t>48</w:t>
      </w:r>
      <w:r>
        <w:rPr>
          <w:rFonts w:hint="eastAsia" w:ascii="仿宋_GB2312" w:hAnsi="仿宋_GB2312" w:eastAsia="仿宋_GB2312" w:cs="仿宋_GB2312"/>
          <w:color w:val="000000"/>
          <w:sz w:val="32"/>
          <w:szCs w:val="32"/>
          <w:highlight w:val="none"/>
          <w:lang w:val="en-US" w:eastAsia="zh-CN"/>
        </w:rPr>
        <w:t>分许，当车行至重庆市两江新区方正大道润之康医院路段时，遇行人杜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拉着菜篓滚轴车在车行方向前方车行道内行走，重型特殊结构货车车头左侧与杜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相撞并将杜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碾压，造成杜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当场死亡、车辆受损的道路交通事故。</w:t>
      </w:r>
    </w:p>
    <w:p>
      <w:pPr>
        <w:keepNext w:val="0"/>
        <w:keepLines w:val="0"/>
        <w:pageBreakBefore w:val="0"/>
        <w:widowControl w:val="0"/>
        <w:kinsoku/>
        <w:wordWrap/>
        <w:overflowPunct/>
        <w:topLinePunct w:val="0"/>
        <w:autoSpaceDE/>
        <w:autoSpaceDN/>
        <w:bidi w:val="0"/>
        <w:snapToGrid w:val="0"/>
        <w:spacing w:line="560" w:lineRule="exact"/>
        <w:ind w:firstLine="643" w:firstLineChars="200"/>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（六）事故现场情况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b/>
          <w:bCs/>
          <w:sz w:val="32"/>
          <w:szCs w:val="32"/>
          <w:highlight w:val="yellow"/>
        </w:rPr>
      </w:pPr>
      <w:r>
        <w:rPr>
          <w:rFonts w:hint="eastAsia" w:ascii="仿宋_GB2312" w:hAnsi="仿宋_GB2312" w:eastAsia="仿宋_GB2312" w:cs="仿宋_GB2312"/>
          <w:color w:val="000000"/>
          <w:sz w:val="32"/>
          <w:szCs w:val="32"/>
          <w:highlight w:val="none"/>
          <w:lang w:val="en-US" w:eastAsia="zh-CN"/>
        </w:rPr>
        <w:t>事故现场位于重庆市两江新区方正大道润之康医院路段，道路方向为悦复大道方向往水土方向，该方向为四车道，沥青路面，路面完好，潮湿，道路中间及两侧设有绿化隔离带，道路两侧设有人行道，夜间有路灯照明。</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方正楷体_GBK" w:hAnsi="方正楷体_GBK" w:eastAsia="楷体_GB2312" w:cs="方正楷体_GBK"/>
          <w:b/>
          <w:bCs/>
          <w:sz w:val="32"/>
          <w:szCs w:val="32"/>
          <w:highlight w:val="none"/>
          <w:lang w:eastAsia="zh-CN"/>
        </w:rPr>
      </w:pPr>
      <w:r>
        <w:rPr>
          <w:rFonts w:hint="eastAsia" w:ascii="楷体_GB2312" w:hAnsi="楷体_GB2312" w:eastAsia="楷体_GB2312" w:cs="楷体_GB2312"/>
          <w:b/>
          <w:bCs/>
          <w:sz w:val="32"/>
          <w:szCs w:val="32"/>
          <w:highlight w:val="none"/>
        </w:rPr>
        <w:t>（七）事故造成的人员伤亡</w:t>
      </w:r>
      <w:r>
        <w:rPr>
          <w:rFonts w:hint="eastAsia" w:ascii="楷体_GB2312" w:hAnsi="楷体_GB2312" w:eastAsia="楷体_GB2312" w:cs="楷体_GB2312"/>
          <w:b/>
          <w:bCs/>
          <w:sz w:val="32"/>
          <w:szCs w:val="32"/>
          <w:highlight w:val="none"/>
          <w:lang w:eastAsia="zh-CN"/>
        </w:rPr>
        <w:t>情况和直接经济损失</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1. 人员伤亡情况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死者杜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，女，</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岁，身份证号：</w:t>
      </w:r>
      <w:r>
        <w:rPr>
          <w:rFonts w:hint="eastAsia" w:ascii="宋体" w:hAnsi="宋体" w:eastAsia="宋体" w:cs="宋体"/>
          <w:color w:val="000000"/>
          <w:sz w:val="32"/>
          <w:szCs w:val="32"/>
          <w:highlight w:val="none"/>
          <w:lang w:val="en-US" w:eastAsia="zh-CN"/>
        </w:rPr>
        <w:t>510224</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81</w:t>
      </w:r>
      <w:r>
        <w:rPr>
          <w:rFonts w:hint="eastAsia" w:ascii="仿宋_GB2312" w:hAnsi="仿宋_GB2312" w:eastAsia="仿宋_GB2312" w:cs="仿宋_GB2312"/>
          <w:color w:val="000000"/>
          <w:sz w:val="32"/>
          <w:szCs w:val="32"/>
          <w:highlight w:val="none"/>
          <w:lang w:val="en-US" w:eastAsia="zh-CN"/>
        </w:rPr>
        <w:t>，户籍地址：重庆市</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区</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路</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号</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宋体" w:hAnsi="宋体" w:eastAsia="宋体" w:cs="宋体"/>
          <w:color w:val="000000"/>
          <w:sz w:val="32"/>
          <w:szCs w:val="32"/>
          <w:highlight w:val="none"/>
          <w:lang w:val="en-US" w:eastAsia="zh-CN"/>
        </w:rPr>
        <w:t>-</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CESI宋体-GB2312" w:eastAsia="方正仿宋_GBK" w:cs="Times New Roman"/>
          <w:b/>
          <w:sz w:val="32"/>
          <w:szCs w:val="32"/>
          <w:highlight w:val="none"/>
          <w:lang w:eastAsia="zh-CN"/>
        </w:rPr>
      </w:pPr>
      <w:r>
        <w:rPr>
          <w:rFonts w:hint="eastAsia" w:ascii="仿宋_GB2312" w:hAnsi="仿宋_GB2312" w:eastAsia="仿宋_GB2312" w:cs="仿宋_GB2312"/>
          <w:b/>
          <w:sz w:val="32"/>
          <w:szCs w:val="32"/>
          <w:highlight w:val="none"/>
          <w:lang w:val="en-US" w:eastAsia="zh-CN"/>
        </w:rPr>
        <w:t>2.</w:t>
      </w:r>
      <w:r>
        <w:rPr>
          <w:rFonts w:hint="eastAsia" w:ascii="仿宋_GB2312" w:hAnsi="仿宋_GB2312" w:eastAsia="仿宋_GB2312" w:cs="仿宋_GB2312"/>
          <w:b/>
          <w:sz w:val="32"/>
          <w:szCs w:val="32"/>
          <w:highlight w:val="none"/>
          <w:lang w:eastAsia="zh-CN"/>
        </w:rPr>
        <w:t>直接经济损失情况</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yellow"/>
        </w:rPr>
      </w:pPr>
      <w:r>
        <w:rPr>
          <w:rFonts w:hint="eastAsia" w:ascii="仿宋_GB2312" w:hAnsi="仿宋_GB2312" w:eastAsia="仿宋_GB2312" w:cs="仿宋_GB2312"/>
          <w:sz w:val="32"/>
          <w:szCs w:val="32"/>
          <w:highlight w:val="none"/>
        </w:rPr>
        <w:t>事故发生后，</w:t>
      </w:r>
      <w:r>
        <w:rPr>
          <w:rFonts w:hint="eastAsia" w:ascii="仿宋_GB2312" w:hAnsi="仿宋_GB2312" w:eastAsia="仿宋_GB2312" w:cs="仿宋_GB2312"/>
          <w:sz w:val="32"/>
          <w:szCs w:val="32"/>
          <w:highlight w:val="none"/>
          <w:lang w:val="en-US" w:eastAsia="zh-CN"/>
        </w:rPr>
        <w:t>保险公司</w:t>
      </w:r>
      <w:r>
        <w:rPr>
          <w:rFonts w:hint="eastAsia" w:ascii="仿宋_GB2312" w:hAnsi="仿宋_GB2312" w:eastAsia="仿宋_GB2312" w:cs="仿宋_GB2312"/>
          <w:sz w:val="32"/>
          <w:szCs w:val="32"/>
          <w:highlight w:val="none"/>
        </w:rPr>
        <w:t>与死者家属</w:t>
      </w:r>
      <w:r>
        <w:rPr>
          <w:rFonts w:hint="eastAsia" w:ascii="仿宋_GB2312" w:hAnsi="仿宋_GB2312" w:eastAsia="仿宋_GB2312" w:cs="仿宋_GB2312"/>
          <w:sz w:val="32"/>
          <w:szCs w:val="32"/>
          <w:highlight w:val="none"/>
          <w:lang w:eastAsia="zh-CN"/>
        </w:rPr>
        <w:t>达成善后协议</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合计</w:t>
      </w:r>
      <w:r>
        <w:rPr>
          <w:rFonts w:hint="eastAsia" w:ascii="仿宋_GB2312" w:hAnsi="仿宋_GB2312" w:eastAsia="仿宋_GB2312" w:cs="仿宋_GB2312"/>
          <w:sz w:val="32"/>
          <w:szCs w:val="32"/>
          <w:highlight w:val="none"/>
        </w:rPr>
        <w:t>赔付给死者家属方</w:t>
      </w:r>
      <w:r>
        <w:rPr>
          <w:rFonts w:hint="eastAsia" w:ascii="宋体" w:hAnsi="宋体" w:eastAsia="宋体" w:cs="宋体"/>
          <w:color w:val="000000"/>
          <w:sz w:val="32"/>
          <w:szCs w:val="32"/>
          <w:highlight w:val="none"/>
          <w:lang w:val="en-US" w:eastAsia="zh-CN"/>
        </w:rPr>
        <w:t>30.10554</w:t>
      </w:r>
      <w:r>
        <w:rPr>
          <w:rFonts w:hint="eastAsia" w:ascii="仿宋_GB2312" w:hAnsi="仿宋_GB2312" w:eastAsia="仿宋_GB2312" w:cs="仿宋_GB2312"/>
          <w:sz w:val="32"/>
          <w:szCs w:val="32"/>
          <w:highlight w:val="none"/>
        </w:rPr>
        <w:t>万元。</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二、事故应急处置及评估情况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北碚区公安分局交通管理支队接报后到达事故现场进行应急处置，组织指挥开展现场秩序维护、现场救援等工作。“</w:t>
      </w:r>
      <w:r>
        <w:rPr>
          <w:rFonts w:hint="eastAsia" w:ascii="宋体" w:hAnsi="宋体" w:eastAsia="宋体" w:cs="宋体"/>
          <w:color w:val="000000"/>
          <w:sz w:val="32"/>
          <w:szCs w:val="32"/>
          <w:highlight w:val="none"/>
          <w:lang w:val="en-US" w:eastAsia="zh-CN"/>
        </w:rPr>
        <w:t>120</w:t>
      </w:r>
      <w:r>
        <w:rPr>
          <w:rFonts w:hint="eastAsia" w:ascii="仿宋_GB2312" w:hAnsi="仿宋_GB2312" w:eastAsia="仿宋_GB2312" w:cs="仿宋_GB2312"/>
          <w:color w:val="000000"/>
          <w:sz w:val="32"/>
          <w:szCs w:val="32"/>
          <w:highlight w:val="none"/>
          <w:lang w:val="en-US" w:eastAsia="zh-CN"/>
        </w:rPr>
        <w:t>”接报后也及时赶到现场对死者进行处置。事故现场勘查处置完毕，现场撤除，恢复交通。</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北碚区公安分局交通管理支队和“</w:t>
      </w:r>
      <w:r>
        <w:rPr>
          <w:rFonts w:hint="eastAsia" w:ascii="宋体" w:hAnsi="宋体" w:eastAsia="宋体" w:cs="宋体"/>
          <w:color w:val="000000"/>
          <w:sz w:val="32"/>
          <w:szCs w:val="32"/>
          <w:highlight w:val="none"/>
          <w:lang w:val="en-US" w:eastAsia="zh-CN"/>
        </w:rPr>
        <w:t>120</w:t>
      </w:r>
      <w:r>
        <w:rPr>
          <w:rFonts w:hint="eastAsia" w:ascii="仿宋_GB2312" w:hAnsi="仿宋_GB2312" w:eastAsia="仿宋_GB2312" w:cs="仿宋_GB2312"/>
          <w:color w:val="000000"/>
          <w:sz w:val="32"/>
          <w:szCs w:val="32"/>
          <w:highlight w:val="none"/>
          <w:lang w:val="en-US" w:eastAsia="zh-CN"/>
        </w:rPr>
        <w:t>”接到事故信息后及时响应，应急处置工作有序开展，责任落实到位。</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rPr>
        <w:t>三、事故原因分析</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事故发生后，北碚区公安分局交通管理支队对该事故展开了前期调查，并委托相关司法鉴定所对车辆安全技术状况和行驶速度进行了检验鉴定。重庆市嘉禾交通事故司法鉴定所【</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】痕鉴字第</w:t>
      </w:r>
      <w:r>
        <w:rPr>
          <w:rFonts w:hint="eastAsia" w:ascii="宋体" w:hAnsi="宋体" w:eastAsia="宋体" w:cs="宋体"/>
          <w:color w:val="000000"/>
          <w:sz w:val="32"/>
          <w:szCs w:val="32"/>
          <w:highlight w:val="none"/>
          <w:lang w:val="en-US" w:eastAsia="zh-CN"/>
        </w:rPr>
        <w:t>375</w:t>
      </w:r>
      <w:r>
        <w:rPr>
          <w:rFonts w:hint="eastAsia" w:ascii="仿宋_GB2312" w:hAnsi="仿宋_GB2312" w:eastAsia="仿宋_GB2312" w:cs="仿宋_GB2312"/>
          <w:color w:val="000000"/>
          <w:sz w:val="32"/>
          <w:szCs w:val="32"/>
          <w:highlight w:val="none"/>
          <w:lang w:val="en-US" w:eastAsia="zh-CN"/>
        </w:rPr>
        <w:t>号《司法鉴定意见书》的鉴定意见：渝</w:t>
      </w:r>
      <w:r>
        <w:rPr>
          <w:rFonts w:hint="eastAsia" w:ascii="Times New Roman" w:hAnsi="Times New Roman" w:eastAsia="方正仿宋_GBK" w:cs="方正仿宋_GBK"/>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方正仿宋_GBK"/>
          <w:color w:val="000000"/>
          <w:sz w:val="32"/>
          <w:szCs w:val="32"/>
          <w:highlight w:val="none"/>
          <w:lang w:val="en-US" w:eastAsia="zh-CN"/>
        </w:rPr>
        <w:t>D</w:t>
      </w:r>
      <w:r>
        <w:rPr>
          <w:rFonts w:hint="eastAsia" w:ascii="仿宋_GB2312" w:hAnsi="仿宋_GB2312" w:eastAsia="仿宋_GB2312" w:cs="仿宋_GB2312"/>
          <w:color w:val="000000"/>
          <w:sz w:val="32"/>
          <w:szCs w:val="32"/>
          <w:highlight w:val="none"/>
          <w:lang w:val="en-US" w:eastAsia="zh-CN"/>
        </w:rPr>
        <w:t>三一牌重型特殊结构货车轮胎未见异常、转向系统、制动系统及照明装置（前照灯）性能有效。重庆市嘉禾交通事故司法鉴定所【</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】痕鉴字第</w:t>
      </w:r>
      <w:r>
        <w:rPr>
          <w:rFonts w:hint="eastAsia" w:ascii="宋体" w:hAnsi="宋体" w:eastAsia="宋体" w:cs="宋体"/>
          <w:color w:val="000000"/>
          <w:sz w:val="32"/>
          <w:szCs w:val="32"/>
          <w:highlight w:val="none"/>
          <w:lang w:val="en-US" w:eastAsia="zh-CN"/>
        </w:rPr>
        <w:t>441</w:t>
      </w:r>
      <w:r>
        <w:rPr>
          <w:rFonts w:hint="eastAsia" w:ascii="仿宋_GB2312" w:hAnsi="仿宋_GB2312" w:eastAsia="仿宋_GB2312" w:cs="仿宋_GB2312"/>
          <w:color w:val="000000"/>
          <w:sz w:val="32"/>
          <w:szCs w:val="32"/>
          <w:highlight w:val="none"/>
          <w:lang w:val="en-US" w:eastAsia="zh-CN"/>
        </w:rPr>
        <w:t>号《司法鉴定意见书》的鉴定意见：渝</w:t>
      </w:r>
      <w:r>
        <w:rPr>
          <w:rFonts w:hint="eastAsia" w:ascii="Times New Roman" w:hAnsi="Times New Roman" w:eastAsia="方正仿宋_GBK" w:cs="方正仿宋_GBK"/>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方正仿宋_GBK" w:cs="方正仿宋_GBK"/>
          <w:color w:val="000000"/>
          <w:sz w:val="32"/>
          <w:szCs w:val="32"/>
          <w:highlight w:val="none"/>
          <w:lang w:val="en-US" w:eastAsia="zh-CN"/>
        </w:rPr>
        <w:t>D</w:t>
      </w:r>
      <w:r>
        <w:rPr>
          <w:rFonts w:hint="eastAsia" w:ascii="仿宋_GB2312" w:hAnsi="仿宋_GB2312" w:eastAsia="仿宋_GB2312" w:cs="仿宋_GB2312"/>
          <w:color w:val="000000"/>
          <w:sz w:val="32"/>
          <w:szCs w:val="32"/>
          <w:highlight w:val="none"/>
          <w:lang w:val="en-US" w:eastAsia="zh-CN"/>
        </w:rPr>
        <w:t>三一牌重型特殊结构货车事发时（制动时）的行驶速度为</w:t>
      </w:r>
      <w:r>
        <w:rPr>
          <w:rFonts w:hint="eastAsia" w:ascii="宋体" w:hAnsi="宋体" w:eastAsia="宋体" w:cs="宋体"/>
          <w:color w:val="000000"/>
          <w:sz w:val="32"/>
          <w:szCs w:val="32"/>
          <w:highlight w:val="none"/>
          <w:lang w:val="en-US" w:eastAsia="zh-CN"/>
        </w:rPr>
        <w:t>47</w:t>
      </w:r>
      <w:r>
        <w:rPr>
          <w:rFonts w:hint="eastAsia" w:ascii="Times New Roman" w:hAnsi="Times New Roman" w:eastAsia="方正仿宋_GBK" w:cs="方正仿宋_GBK"/>
          <w:color w:val="000000"/>
          <w:sz w:val="32"/>
          <w:szCs w:val="32"/>
          <w:highlight w:val="none"/>
          <w:lang w:val="en-US" w:eastAsia="zh-CN"/>
        </w:rPr>
        <w:t>km/h</w:t>
      </w:r>
      <w:r>
        <w:rPr>
          <w:rFonts w:hint="eastAsia" w:ascii="仿宋_GB2312" w:hAnsi="仿宋_GB2312" w:eastAsia="仿宋_GB2312" w:cs="仿宋_GB2312"/>
          <w:color w:val="00000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北碚区公安分局交通管理支队依据现场勘查情况、检验鉴定情况、调查访问，当事人询问材料等，查清了此次事故的直接原因，确定了事故责任，并作出了《道路交通事故认定书》：</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该事故中，胡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驾驶机动车疏于观察道路情况，未能及时发现在道路上行走的行人的行为，以及杜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在设置有人行道的道路上在车行道内行走的行为均是造成该事故发生的原因，双方违法行为对发生道路交通事故所起的作用及过错程度相当。</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Times New Roman" w:hAnsi="Times New Roman" w:eastAsia="方正仿宋_GBK" w:cs="方正仿宋_GBK"/>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的行为违反了《中华人民共和国道路交通安全法》第二十二条第一款</w:t>
      </w:r>
      <w:r>
        <w:rPr>
          <w:rStyle w:val="15"/>
          <w:rFonts w:hint="eastAsia" w:ascii="仿宋_GB2312" w:hAnsi="仿宋_GB2312" w:eastAsia="仿宋_GB2312" w:cs="仿宋_GB2312"/>
          <w:color w:val="000000"/>
          <w:sz w:val="32"/>
          <w:szCs w:val="32"/>
          <w:highlight w:val="none"/>
          <w:lang w:val="en-US" w:eastAsia="zh-CN"/>
        </w:rPr>
        <w:t>[</w:t>
      </w:r>
      <w:r>
        <w:rPr>
          <w:rStyle w:val="15"/>
          <w:rFonts w:hint="eastAsia" w:ascii="仿宋_GB2312" w:hAnsi="仿宋_GB2312" w:eastAsia="仿宋_GB2312" w:cs="仿宋_GB2312"/>
          <w:color w:val="000000"/>
          <w:sz w:val="32"/>
          <w:szCs w:val="32"/>
          <w:highlight w:val="none"/>
          <w:lang w:val="en-US" w:eastAsia="zh-CN"/>
        </w:rPr>
        <w:footnoteReference w:id="0"/>
      </w:r>
      <w:r>
        <w:rPr>
          <w:rStyle w:val="15"/>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之规定，承担此事故的同等责任。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的行为违反了《中华人民共和国道路交通安全法》第</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color w:val="00000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jc w:val="left"/>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六十一条</w:t>
      </w:r>
      <w:r>
        <w:rPr>
          <w:rStyle w:val="15"/>
          <w:rFonts w:hint="eastAsia" w:ascii="仿宋_GB2312" w:hAnsi="仿宋_GB2312" w:eastAsia="仿宋_GB2312" w:cs="仿宋_GB2312"/>
          <w:color w:val="000000"/>
          <w:sz w:val="32"/>
          <w:szCs w:val="32"/>
          <w:highlight w:val="none"/>
          <w:lang w:val="en-US" w:eastAsia="zh-CN"/>
        </w:rPr>
        <w:t>[</w:t>
      </w:r>
      <w:r>
        <w:rPr>
          <w:rStyle w:val="15"/>
          <w:rFonts w:hint="eastAsia" w:ascii="仿宋_GB2312" w:hAnsi="仿宋_GB2312" w:eastAsia="仿宋_GB2312" w:cs="仿宋_GB2312"/>
          <w:color w:val="000000"/>
          <w:sz w:val="32"/>
          <w:szCs w:val="32"/>
          <w:highlight w:val="none"/>
          <w:lang w:val="en-US" w:eastAsia="zh-CN"/>
        </w:rPr>
        <w:footnoteReference w:id="1"/>
      </w:r>
      <w:r>
        <w:rPr>
          <w:rStyle w:val="15"/>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eastAsia="zh-CN"/>
        </w:rPr>
        <w:t>之规定，承担此事故的同等责任。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调查组通过对该事故相关当事人的询问调查，查看现场照片，结合《道路交通事故认定书》的结论意见，认为该事故是由于杜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在设置有人行道的道路上在车行道内行走的行为和胡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驾驶机动车疏于观察道路情况，未能及时发现在道路上行走的行人，导致事故发生。</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highlight w:val="none"/>
          <w:lang w:eastAsia="zh-CN"/>
        </w:rPr>
      </w:pPr>
      <w:r>
        <w:rPr>
          <w:rFonts w:hint="eastAsia" w:ascii="黑体" w:hAnsi="Times New Roman" w:eastAsia="黑体" w:cs="Times New Roman"/>
          <w:b w:val="0"/>
          <w:bCs/>
          <w:sz w:val="32"/>
          <w:szCs w:val="32"/>
          <w:highlight w:val="none"/>
          <w:lang w:eastAsia="zh-CN"/>
        </w:rPr>
        <w:t>四、</w:t>
      </w:r>
      <w:r>
        <w:rPr>
          <w:rFonts w:hint="eastAsia" w:ascii="黑体" w:hAnsi="Times New Roman" w:eastAsia="黑体" w:cs="Times New Roman"/>
          <w:b w:val="0"/>
          <w:bCs/>
          <w:sz w:val="32"/>
          <w:szCs w:val="32"/>
          <w:highlight w:val="none"/>
        </w:rPr>
        <w:t>监管履职情况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经查，北碚区交通运输委，一是落实了领导分层督查、日常常态监管和事故约谈警示监管体系，开展了安全监管工作。二是定期组织企业负责人和安全管理人员参加了月度安全例会。三是常态化督促辖区运输企业落实主要负责人和安全管理人员安全考核取证制度。四是组织重庆凯飞货物运输有限公司法定代表人和专职安全管理人员进行了安全生产培训。未发现相关监管人员监管履职不到位的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经查，北碚区公安分局交通管理支队，一是每月组织召开了“支队道路交通安全源头管理工作例会”。二是建立了源头管理工作责任清单、提醒计划和工作制度机制。三是定期组织开展了源头管理专项工作培训会。四是</w:t>
      </w:r>
      <w:r>
        <w:rPr>
          <w:rFonts w:hint="eastAsia" w:ascii="宋体" w:hAnsi="宋体" w:eastAsia="宋体" w:cs="宋体"/>
          <w:color w:val="000000"/>
          <w:sz w:val="32"/>
          <w:szCs w:val="32"/>
          <w:highlight w:val="none"/>
          <w:lang w:val="en-US" w:eastAsia="zh-CN"/>
        </w:rPr>
        <w:t>2025</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21</w:t>
      </w:r>
      <w:r>
        <w:rPr>
          <w:rFonts w:hint="eastAsia" w:ascii="仿宋_GB2312" w:hAnsi="仿宋_GB2312" w:eastAsia="仿宋_GB2312" w:cs="仿宋_GB2312"/>
          <w:color w:val="000000"/>
          <w:sz w:val="32"/>
          <w:szCs w:val="32"/>
          <w:highlight w:val="none"/>
          <w:lang w:val="en-US" w:eastAsia="zh-CN"/>
        </w:rPr>
        <w:t>日、</w:t>
      </w:r>
      <w:r>
        <w:rPr>
          <w:rFonts w:hint="eastAsia" w:ascii="宋体" w:hAnsi="宋体" w:eastAsia="宋体" w:cs="宋体"/>
          <w:color w:val="000000"/>
          <w:sz w:val="32"/>
          <w:szCs w:val="32"/>
          <w:highlight w:val="none"/>
          <w:lang w:val="en-US" w:eastAsia="zh-CN"/>
        </w:rPr>
        <w:t>2025</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12</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11</w:t>
      </w:r>
      <w:r>
        <w:rPr>
          <w:rFonts w:hint="eastAsia" w:ascii="仿宋_GB2312" w:hAnsi="仿宋_GB2312" w:eastAsia="仿宋_GB2312" w:cs="仿宋_GB2312"/>
          <w:color w:val="000000"/>
          <w:sz w:val="32"/>
          <w:szCs w:val="32"/>
          <w:highlight w:val="none"/>
          <w:lang w:val="en-US" w:eastAsia="zh-CN"/>
        </w:rPr>
        <w:t>日、</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27</w:t>
      </w:r>
      <w:r>
        <w:rPr>
          <w:rFonts w:hint="eastAsia" w:ascii="仿宋_GB2312" w:hAnsi="仿宋_GB2312" w:eastAsia="仿宋_GB2312" w:cs="仿宋_GB2312"/>
          <w:color w:val="000000"/>
          <w:sz w:val="32"/>
          <w:szCs w:val="32"/>
          <w:highlight w:val="none"/>
          <w:lang w:val="en-US" w:eastAsia="zh-CN"/>
        </w:rPr>
        <w:t>日，民警对重庆凯飞货物运输有限公司开展了督导帮扶工作，对发现的问题及时督促整改。五是组织发生事故的企业开展了警示约谈工作。未发现相关监管人员监管履职不到位的情况。</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lang w:eastAsia="zh-CN"/>
        </w:rPr>
        <w:t>五</w:t>
      </w:r>
      <w:r>
        <w:rPr>
          <w:rFonts w:hint="eastAsia" w:ascii="黑体" w:hAnsi="Times New Roman" w:eastAsia="黑体" w:cs="Times New Roman"/>
          <w:b w:val="0"/>
          <w:bCs/>
          <w:sz w:val="32"/>
          <w:szCs w:val="32"/>
          <w:highlight w:val="none"/>
        </w:rPr>
        <w:t>、对事故责任分析及处理意见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Times New Roman" w:hAnsi="Times New Roman" w:eastAsia="方正仿宋_GBK" w:cs="方正仿宋_GBK"/>
          <w:color w:val="000000"/>
          <w:sz w:val="32"/>
          <w:szCs w:val="32"/>
          <w:highlight w:val="none"/>
          <w:lang w:val="en-US" w:eastAsia="zh-CN"/>
        </w:rPr>
        <w:t>（</w:t>
      </w:r>
      <w:r>
        <w:rPr>
          <w:rFonts w:hint="eastAsia" w:ascii="楷体_GB2312" w:hAnsi="楷体_GB2312" w:eastAsia="楷体_GB2312" w:cs="楷体_GB2312"/>
          <w:b/>
          <w:bCs w:val="0"/>
          <w:kern w:val="2"/>
          <w:sz w:val="32"/>
          <w:szCs w:val="32"/>
          <w:highlight w:val="none"/>
          <w:u w:val="none"/>
          <w:lang w:val="en-US" w:eastAsia="zh-CN" w:bidi="ar-SA"/>
        </w:rPr>
        <w:t>一）杜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在设置有人行道的道路上在车行道内行走，违反了《中华人民共和国道路交通安全法》第六十一条的规定。对本次事故负有同等责任。</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鉴于杜</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在本次事故中已经死亡，建议免于追究其责任。</w:t>
      </w:r>
    </w:p>
    <w:p>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（二）胡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胡</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仿宋_GB2312" w:hAnsi="仿宋_GB2312" w:eastAsia="仿宋_GB2312" w:cs="仿宋_GB2312"/>
          <w:color w:val="000000"/>
          <w:sz w:val="32"/>
          <w:szCs w:val="32"/>
          <w:highlight w:val="none"/>
          <w:lang w:val="en-US" w:eastAsia="zh-CN"/>
        </w:rPr>
        <w:t>驾驶机动车疏于观察道路情况，未能及时发现在道路上行走的行人，违反了《中华人民共和国道路交通安全法》第二十二条第一款的规定。对本次事故负有同等责任。</w:t>
      </w:r>
    </w:p>
    <w:p>
      <w:pPr>
        <w:keepNext w:val="0"/>
        <w:keepLines w:val="0"/>
        <w:pageBreakBefore w:val="0"/>
        <w:widowControl/>
        <w:kinsoku/>
        <w:wordWrap/>
        <w:overflowPunct/>
        <w:topLinePunct w:val="0"/>
        <w:autoSpaceDE/>
        <w:autoSpaceDN/>
        <w:bidi w:val="0"/>
        <w:adjustRightInd/>
        <w:snapToGrid w:val="0"/>
        <w:spacing w:line="560" w:lineRule="atLeast"/>
        <w:ind w:firstLine="640" w:firstLineChars="200"/>
        <w:jc w:val="left"/>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color w:val="000000"/>
          <w:kern w:val="2"/>
          <w:sz w:val="32"/>
          <w:szCs w:val="32"/>
          <w:highlight w:val="none"/>
          <w:lang w:val="en-US" w:eastAsia="zh-CN" w:bidi="ar-SA"/>
        </w:rPr>
        <w:t>建议由</w:t>
      </w:r>
      <w:r>
        <w:rPr>
          <w:rFonts w:hint="eastAsia" w:ascii="仿宋_GB2312" w:hAnsi="仿宋_GB2312" w:eastAsia="仿宋_GB2312" w:cs="仿宋_GB2312"/>
          <w:color w:val="000000"/>
          <w:sz w:val="32"/>
          <w:szCs w:val="32"/>
          <w:highlight w:val="none"/>
          <w:lang w:val="en-US" w:eastAsia="zh-CN"/>
        </w:rPr>
        <w:t>北碚区公安分局交通管理支队</w:t>
      </w:r>
      <w:r>
        <w:rPr>
          <w:rFonts w:hint="eastAsia" w:ascii="仿宋_GB2312" w:hAnsi="仿宋_GB2312" w:eastAsia="仿宋_GB2312" w:cs="仿宋_GB2312"/>
          <w:color w:val="000000"/>
          <w:kern w:val="2"/>
          <w:sz w:val="32"/>
          <w:szCs w:val="32"/>
          <w:highlight w:val="none"/>
          <w:lang w:val="en-US" w:eastAsia="zh-CN" w:bidi="ar-SA"/>
        </w:rPr>
        <w:t>按相关规定处理。</w:t>
      </w:r>
    </w:p>
    <w:p>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left"/>
        <w:textAlignment w:val="auto"/>
        <w:rPr>
          <w:rFonts w:hint="eastAsia" w:ascii="楷体_GB2312" w:hAnsi="楷体_GB2312" w:eastAsia="楷体_GB2312" w:cs="楷体_GB2312"/>
          <w:b/>
          <w:bCs w:val="0"/>
          <w:kern w:val="2"/>
          <w:sz w:val="32"/>
          <w:szCs w:val="32"/>
          <w:highlight w:val="none"/>
          <w:u w:val="none"/>
          <w:lang w:val="en-US" w:eastAsia="zh-CN" w:bidi="ar-SA"/>
        </w:rPr>
      </w:pPr>
      <w:r>
        <w:rPr>
          <w:rFonts w:hint="eastAsia" w:ascii="楷体_GB2312" w:hAnsi="楷体_GB2312" w:eastAsia="楷体_GB2312" w:cs="楷体_GB2312"/>
          <w:b/>
          <w:bCs w:val="0"/>
          <w:kern w:val="2"/>
          <w:sz w:val="32"/>
          <w:szCs w:val="32"/>
          <w:highlight w:val="none"/>
          <w:u w:val="none"/>
          <w:lang w:val="en-US" w:eastAsia="zh-CN" w:bidi="ar-SA"/>
        </w:rPr>
        <w:t>（三）重庆凯飞货物运输有限公司</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b w:val="0"/>
          <w:bCs/>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建立了安全生产领导小组，制定了《安全生产责任制》、《安全工作会议制度》、《安全生产培训制度》、《车辆</w:t>
      </w:r>
      <w:r>
        <w:rPr>
          <w:rFonts w:hint="default" w:ascii="Times New Roman" w:hAnsi="Times New Roman" w:eastAsia="仿宋_GB2312" w:cs="Times New Roman"/>
          <w:color w:val="000000"/>
          <w:sz w:val="32"/>
          <w:szCs w:val="32"/>
          <w:highlight w:val="none"/>
          <w:lang w:val="en-US" w:eastAsia="zh-CN"/>
        </w:rPr>
        <w:t>GPS</w:t>
      </w:r>
      <w:r>
        <w:rPr>
          <w:rFonts w:hint="eastAsia" w:ascii="仿宋_GB2312" w:hAnsi="仿宋_GB2312" w:eastAsia="仿宋_GB2312" w:cs="仿宋_GB2312"/>
          <w:color w:val="000000"/>
          <w:sz w:val="32"/>
          <w:szCs w:val="32"/>
          <w:highlight w:val="none"/>
          <w:lang w:val="en-US" w:eastAsia="zh-CN"/>
        </w:rPr>
        <w:t>安装使用管理制度》、《车辆日、周、月安全检查制度》、《车辆安全管理制度》、《驾驶员安全管理制度》、《驾驶员岗位安全操作规程》等制度。制定了安全教育培训计划，对驾驶员进行了安全教育培训，公司每月组织</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次安全例会，安全管理人员和所有驾驶员参加；公司通过培训机构利用优</w:t>
      </w:r>
      <w:r>
        <w:rPr>
          <w:rFonts w:hint="eastAsia" w:ascii="Times New Roman" w:hAnsi="Times New Roman" w:eastAsia="仿宋_GB2312" w:cs="Times New Roman"/>
          <w:color w:val="000000"/>
          <w:sz w:val="32"/>
          <w:szCs w:val="32"/>
          <w:highlight w:val="none"/>
          <w:lang w:val="en-US" w:eastAsia="zh-CN"/>
        </w:rPr>
        <w:t>e</w:t>
      </w:r>
      <w:r>
        <w:rPr>
          <w:rFonts w:hint="eastAsia" w:ascii="仿宋_GB2312" w:hAnsi="仿宋_GB2312" w:eastAsia="仿宋_GB2312" w:cs="仿宋_GB2312"/>
          <w:color w:val="000000"/>
          <w:sz w:val="32"/>
          <w:szCs w:val="32"/>
          <w:highlight w:val="none"/>
          <w:lang w:val="en-US" w:eastAsia="zh-CN"/>
        </w:rPr>
        <w:t>师平台对驾驶员进行线上培训。公司制定了《车辆日、周、月安全检查制度》，由驾驶员负责车辆的日检查，安全管理人员负责车辆的周检查和月检查。该公司车辆定期在重庆富车航汽车维修有限公司进行二级维护，事故车辆渝</w:t>
      </w:r>
      <w:r>
        <w:rPr>
          <w:rFonts w:hint="eastAsia" w:ascii="Times New Roman" w:hAnsi="Times New Roman" w:eastAsia="仿宋_GB2312" w:cs="Times New Roman"/>
          <w:color w:val="000000"/>
          <w:sz w:val="32"/>
          <w:szCs w:val="32"/>
          <w:highlight w:val="none"/>
          <w:lang w:val="en-US" w:eastAsia="zh-CN"/>
        </w:rPr>
        <w:t>A</w:t>
      </w:r>
      <w:r>
        <w:rPr>
          <w:rFonts w:hint="eastAsia" w:ascii="宋体" w:hAnsi="宋体" w:eastAsia="宋体" w:cs="宋体"/>
          <w:color w:val="000000"/>
          <w:sz w:val="32"/>
          <w:szCs w:val="32"/>
          <w:highlight w:val="none"/>
          <w:lang w:val="en-US" w:eastAsia="zh-CN"/>
        </w:rPr>
        <w:t>1</w:t>
      </w:r>
      <w:r>
        <w:rPr>
          <w:rFonts w:hint="eastAsia" w:ascii="Times New Roman" w:hAnsi="Times New Roman" w:eastAsia="方正仿宋_GBK" w:cs="宋体"/>
          <w:snapToGrid/>
          <w:color w:val="auto"/>
          <w:spacing w:val="0"/>
          <w:w w:val="100"/>
          <w:kern w:val="2"/>
          <w:position w:val="0"/>
          <w:sz w:val="32"/>
          <w:szCs w:val="24"/>
          <w:u w:val="none" w:color="auto"/>
          <w:vertAlign w:val="baseline"/>
          <w:lang w:val="en-US" w:eastAsia="zh-CN" w:bidi="ar-SA"/>
        </w:rPr>
        <w:t>****</w:t>
      </w:r>
      <w:r>
        <w:rPr>
          <w:rFonts w:hint="eastAsia" w:ascii="Times New Roman" w:hAnsi="Times New Roman" w:eastAsia="仿宋_GB2312" w:cs="Times New Roman"/>
          <w:color w:val="000000"/>
          <w:sz w:val="32"/>
          <w:szCs w:val="32"/>
          <w:highlight w:val="none"/>
          <w:lang w:val="en-US" w:eastAsia="zh-CN"/>
        </w:rPr>
        <w:t>D</w:t>
      </w:r>
      <w:r>
        <w:rPr>
          <w:rFonts w:hint="eastAsia" w:ascii="仿宋_GB2312" w:hAnsi="仿宋_GB2312" w:eastAsia="仿宋_GB2312" w:cs="仿宋_GB2312"/>
          <w:color w:val="000000"/>
          <w:sz w:val="32"/>
          <w:szCs w:val="32"/>
          <w:highlight w:val="none"/>
          <w:lang w:val="en-US" w:eastAsia="zh-CN"/>
        </w:rPr>
        <w:t>在</w:t>
      </w:r>
      <w:r>
        <w:rPr>
          <w:rFonts w:hint="eastAsia" w:ascii="宋体" w:hAnsi="宋体" w:eastAsia="宋体" w:cs="宋体"/>
          <w:color w:val="000000"/>
          <w:sz w:val="32"/>
          <w:szCs w:val="32"/>
          <w:highlight w:val="none"/>
          <w:lang w:val="en-US" w:eastAsia="zh-CN"/>
        </w:rPr>
        <w:t>2026</w:t>
      </w:r>
      <w:r>
        <w:rPr>
          <w:rFonts w:hint="eastAsia" w:ascii="仿宋_GB2312" w:hAnsi="仿宋_GB2312" w:eastAsia="仿宋_GB2312" w:cs="仿宋_GB2312"/>
          <w:color w:val="000000"/>
          <w:sz w:val="32"/>
          <w:szCs w:val="32"/>
          <w:highlight w:val="none"/>
          <w:lang w:val="en-US" w:eastAsia="zh-CN"/>
        </w:rPr>
        <w:t>年</w:t>
      </w:r>
      <w:r>
        <w:rPr>
          <w:rFonts w:hint="eastAsia" w:ascii="宋体" w:hAnsi="宋体" w:eastAsia="宋体" w:cs="宋体"/>
          <w:color w:val="000000"/>
          <w:sz w:val="32"/>
          <w:szCs w:val="32"/>
          <w:highlight w:val="none"/>
          <w:lang w:val="en-US" w:eastAsia="zh-CN"/>
        </w:rPr>
        <w:t>3</w:t>
      </w:r>
      <w:r>
        <w:rPr>
          <w:rFonts w:hint="eastAsia" w:ascii="仿宋_GB2312" w:hAnsi="仿宋_GB2312" w:eastAsia="仿宋_GB2312" w:cs="仿宋_GB2312"/>
          <w:color w:val="000000"/>
          <w:sz w:val="32"/>
          <w:szCs w:val="32"/>
          <w:highlight w:val="none"/>
          <w:lang w:val="en-US" w:eastAsia="zh-CN"/>
        </w:rPr>
        <w:t>月</w:t>
      </w:r>
      <w:r>
        <w:rPr>
          <w:rFonts w:hint="eastAsia" w:ascii="宋体" w:hAnsi="宋体" w:eastAsia="宋体" w:cs="宋体"/>
          <w:color w:val="000000"/>
          <w:sz w:val="32"/>
          <w:szCs w:val="32"/>
          <w:highlight w:val="none"/>
          <w:lang w:val="en-US" w:eastAsia="zh-CN"/>
        </w:rPr>
        <w:t>1</w:t>
      </w:r>
      <w:r>
        <w:rPr>
          <w:rFonts w:hint="eastAsia" w:ascii="仿宋_GB2312" w:hAnsi="仿宋_GB2312" w:eastAsia="仿宋_GB2312" w:cs="仿宋_GB2312"/>
          <w:color w:val="000000"/>
          <w:sz w:val="32"/>
          <w:szCs w:val="32"/>
          <w:highlight w:val="none"/>
          <w:lang w:val="en-US" w:eastAsia="zh-CN"/>
        </w:rPr>
        <w:t>日进行了二级维护，检验合格。未发现重庆凯飞货物运输有限公司存在违法行为。</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jc w:val="both"/>
        <w:textAlignment w:val="auto"/>
        <w:rPr>
          <w:rFonts w:hint="eastAsia" w:ascii="黑体" w:hAnsi="Times New Roman" w:eastAsia="黑体" w:cs="Times New Roman"/>
          <w:b w:val="0"/>
          <w:bCs/>
          <w:sz w:val="32"/>
          <w:szCs w:val="32"/>
          <w:highlight w:val="none"/>
        </w:rPr>
      </w:pPr>
      <w:r>
        <w:rPr>
          <w:rFonts w:hint="eastAsia" w:ascii="黑体" w:hAnsi="Times New Roman" w:eastAsia="黑体" w:cs="Times New Roman"/>
          <w:b w:val="0"/>
          <w:bCs/>
          <w:sz w:val="32"/>
          <w:szCs w:val="32"/>
          <w:highlight w:val="none"/>
          <w:lang w:eastAsia="zh-CN"/>
        </w:rPr>
        <w:t>六</w:t>
      </w:r>
      <w:r>
        <w:rPr>
          <w:rFonts w:hint="eastAsia" w:ascii="黑体" w:hAnsi="Times New Roman" w:eastAsia="黑体" w:cs="Times New Roman"/>
          <w:b w:val="0"/>
          <w:bCs/>
          <w:sz w:val="32"/>
          <w:szCs w:val="32"/>
          <w:highlight w:val="none"/>
        </w:rPr>
        <w:t>、事故防范措施意见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both"/>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为了避免和预防类似事故再次发生，在以后的工作中，上述事故相关单位应从以下方面采取预防措施：</w:t>
      </w:r>
    </w:p>
    <w:p>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left"/>
        <w:textAlignment w:val="auto"/>
        <w:rPr>
          <w:rFonts w:hint="eastAsia" w:ascii="仿宋_GB2312" w:hAnsi="仿宋_GB2312" w:eastAsia="仿宋_GB2312" w:cs="仿宋_GB2312"/>
          <w:color w:val="000000"/>
          <w:sz w:val="32"/>
          <w:szCs w:val="32"/>
          <w:highlight w:val="yellow"/>
          <w:lang w:val="en-US" w:eastAsia="zh-CN"/>
        </w:rPr>
      </w:pPr>
      <w:r>
        <w:rPr>
          <w:rFonts w:hint="eastAsia" w:ascii="楷体_GB2312" w:hAnsi="楷体_GB2312" w:eastAsia="楷体_GB2312" w:cs="楷体_GB2312"/>
          <w:b/>
          <w:bCs/>
          <w:kern w:val="2"/>
          <w:sz w:val="32"/>
          <w:szCs w:val="32"/>
          <w:highlight w:val="none"/>
          <w:lang w:val="en-US" w:eastAsia="zh-CN" w:bidi="ar-SA"/>
        </w:rPr>
        <w:t>（一）重庆凯飞货物运输有限公司，</w:t>
      </w:r>
      <w:r>
        <w:rPr>
          <w:rFonts w:hint="eastAsia" w:ascii="仿宋_GB2312" w:hAnsi="仿宋_GB2312" w:eastAsia="仿宋_GB2312" w:cs="仿宋_GB2312"/>
          <w:color w:val="000000"/>
          <w:sz w:val="32"/>
          <w:szCs w:val="32"/>
          <w:highlight w:val="none"/>
          <w:lang w:val="en-US" w:eastAsia="zh-CN"/>
        </w:rPr>
        <w:t>一是要严格按照《中华人民共和国道路交通安全法》等相关法律法规，进一步完善安全生产管理制度，切实加强驾驶人员的安全教育培训。二是要加大安全管理工作力度，加强隐患排查，及时发现和纠正驾驶员的各类违法、违规行为，确保安全营运。</w:t>
      </w:r>
    </w:p>
    <w:p>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left"/>
        <w:textAlignment w:val="auto"/>
        <w:rPr>
          <w:rFonts w:hint="eastAsia" w:ascii="Times New Roman" w:hAnsi="Times New Roman" w:eastAsia="方正仿宋_GBK" w:cs="方正仿宋_GBK"/>
          <w:color w:val="000000"/>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（二）北碚区交通运输委，</w:t>
      </w:r>
      <w:r>
        <w:rPr>
          <w:rFonts w:hint="eastAsia" w:ascii="仿宋_GB2312" w:hAnsi="仿宋_GB2312" w:eastAsia="仿宋_GB2312" w:cs="仿宋_GB2312"/>
          <w:color w:val="000000"/>
          <w:sz w:val="32"/>
          <w:szCs w:val="32"/>
          <w:highlight w:val="none"/>
          <w:lang w:val="en-US" w:eastAsia="zh-CN"/>
        </w:rPr>
        <w:t>要进一步强化源头监管力度，督促相关企业认真落实安全生产主体责任，避免事故发生。</w:t>
      </w:r>
    </w:p>
    <w:p>
      <w:pPr>
        <w:keepNext w:val="0"/>
        <w:keepLines w:val="0"/>
        <w:pageBreakBefore w:val="0"/>
        <w:widowControl w:val="0"/>
        <w:kinsoku/>
        <w:wordWrap/>
        <w:overflowPunct/>
        <w:topLinePunct w:val="0"/>
        <w:autoSpaceDE/>
        <w:autoSpaceDN/>
        <w:bidi w:val="0"/>
        <w:adjustRightInd/>
        <w:snapToGrid w:val="0"/>
        <w:spacing w:line="560" w:lineRule="atLeast"/>
        <w:ind w:firstLine="643" w:firstLine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楷体_GB2312" w:hAnsi="楷体_GB2312" w:eastAsia="楷体_GB2312" w:cs="楷体_GB2312"/>
          <w:b/>
          <w:bCs/>
          <w:kern w:val="2"/>
          <w:sz w:val="32"/>
          <w:szCs w:val="32"/>
          <w:highlight w:val="none"/>
          <w:lang w:val="en-US" w:eastAsia="zh-CN" w:bidi="ar-SA"/>
        </w:rPr>
        <w:t>（三）北碚区公安分局交通管理支队，</w:t>
      </w:r>
      <w:r>
        <w:rPr>
          <w:rFonts w:hint="eastAsia" w:ascii="仿宋_GB2312" w:hAnsi="仿宋_GB2312" w:eastAsia="仿宋_GB2312" w:cs="仿宋_GB2312"/>
          <w:color w:val="000000"/>
          <w:kern w:val="2"/>
          <w:sz w:val="32"/>
          <w:szCs w:val="32"/>
          <w:highlight w:val="none"/>
          <w:lang w:val="en-US" w:eastAsia="zh-CN" w:bidi="ar-SA"/>
        </w:rPr>
        <w:t>要进一步加强监督检查，及时发现和纠正各类交通安全违法、违规行为，避免事故发生。</w:t>
      </w:r>
    </w:p>
    <w:p>
      <w:pPr>
        <w:keepNext w:val="0"/>
        <w:keepLines w:val="0"/>
        <w:pageBreakBefore w:val="0"/>
        <w:widowControl w:val="0"/>
        <w:kinsoku/>
        <w:wordWrap/>
        <w:overflowPunct/>
        <w:topLinePunct w:val="0"/>
        <w:autoSpaceDE/>
        <w:autoSpaceDN/>
        <w:bidi w:val="0"/>
        <w:adjustRightInd/>
        <w:snapToGrid w:val="0"/>
        <w:spacing w:line="560" w:lineRule="atLeast"/>
        <w:jc w:val="left"/>
        <w:textAlignment w:val="auto"/>
        <w:rPr>
          <w:rFonts w:hint="eastAsia" w:ascii="Times New Roman" w:hAnsi="Times New Roman" w:eastAsia="方正仿宋_GBK" w:cs="方正仿宋_GBK"/>
          <w:color w:val="000000"/>
          <w:sz w:val="32"/>
          <w:szCs w:val="32"/>
          <w:highlight w:val="yellow"/>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jc w:val="left"/>
        <w:textAlignment w:val="auto"/>
        <w:rPr>
          <w:rFonts w:hint="eastAsia" w:ascii="Times New Roman" w:hAnsi="Times New Roman" w:eastAsia="方正仿宋_GBK" w:cs="方正仿宋_GBK"/>
          <w:color w:val="000000"/>
          <w:sz w:val="32"/>
          <w:szCs w:val="32"/>
          <w:highlight w:val="yellow"/>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left="5749" w:leftChars="2128" w:hanging="1280" w:hangingChars="4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两江复兴“4·6”一般道路</w:t>
      </w:r>
    </w:p>
    <w:p>
      <w:pPr>
        <w:keepNext w:val="0"/>
        <w:keepLines w:val="0"/>
        <w:pageBreakBefore w:val="0"/>
        <w:widowControl w:val="0"/>
        <w:kinsoku/>
        <w:wordWrap/>
        <w:overflowPunct/>
        <w:topLinePunct w:val="0"/>
        <w:autoSpaceDE/>
        <w:autoSpaceDN/>
        <w:bidi w:val="0"/>
        <w:adjustRightInd/>
        <w:snapToGrid w:val="0"/>
        <w:spacing w:line="560" w:lineRule="atLeast"/>
        <w:ind w:left="5747" w:leftChars="2432" w:hanging="640" w:hangingChars="200"/>
        <w:jc w:val="left"/>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交通事故调查组</w:t>
      </w:r>
    </w:p>
    <w:p>
      <w:pPr>
        <w:keepNext w:val="0"/>
        <w:keepLines w:val="0"/>
        <w:pageBreakBefore w:val="0"/>
        <w:widowControl w:val="0"/>
        <w:kinsoku/>
        <w:wordWrap/>
        <w:overflowPunct/>
        <w:topLinePunct w:val="0"/>
        <w:autoSpaceDE/>
        <w:autoSpaceDN/>
        <w:bidi w:val="0"/>
        <w:adjustRightInd/>
        <w:snapToGrid w:val="0"/>
        <w:spacing w:line="560" w:lineRule="atLeast"/>
        <w:ind w:firstLine="5120" w:firstLineChars="1600"/>
        <w:jc w:val="left"/>
        <w:textAlignment w:val="auto"/>
        <w:rPr>
          <w:rFonts w:hint="eastAsia" w:ascii="仿宋_GB2312" w:hAnsi="仿宋_GB2312" w:eastAsia="仿宋_GB2312" w:cs="仿宋_GB2312"/>
          <w:sz w:val="44"/>
          <w:szCs w:val="44"/>
          <w:highlight w:val="none"/>
          <w:lang w:val="en-US" w:eastAsia="zh-CN"/>
        </w:rPr>
      </w:pPr>
      <w:r>
        <w:rPr>
          <w:rFonts w:hint="eastAsia" w:ascii="仿宋_GB2312" w:hAnsi="仿宋_GB2312" w:eastAsia="仿宋_GB2312" w:cs="仿宋_GB2312"/>
          <w:color w:val="000000"/>
          <w:sz w:val="32"/>
          <w:szCs w:val="32"/>
          <w:highlight w:val="none"/>
          <w:lang w:val="en-US" w:eastAsia="zh-CN"/>
        </w:rPr>
        <w:t>2026年8月27日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sectPr>
      <w:footerReference r:id="rId6" w:type="default"/>
      <w:footnotePr>
        <w:numFmt w:val="decimal"/>
      </w:footnotePr>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ESI宋体-GB2312">
    <w:panose1 w:val="02000500000000000000"/>
    <w:charset w:val="86"/>
    <w:family w:val="auto"/>
    <w:pitch w:val="default"/>
    <w:sig w:usb0="800002AF" w:usb1="08476CF8" w:usb2="00000010" w:usb3="00000000" w:csb0="0004000F"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t23LAIAAFU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L0O3bcsAgAAVQQAAA4AAAAAAAAAAQAgAAAANQEAAGRy&#10;cy9lMm9Eb2MueG1sUEsFBgAAAAAGAAYAWQEAANMFA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4 -</w:t>
    </w:r>
    <w:r>
      <w:rPr>
        <w:rFonts w:ascii="宋体" w:hAns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25" w:afterAutospacing="0" w:line="240" w:lineRule="auto"/>
        <w:ind w:right="0"/>
        <w:rPr>
          <w:rFonts w:hint="eastAsia" w:ascii="宋体" w:hAnsi="宋体" w:eastAsia="宋体" w:cs="宋体"/>
          <w:sz w:val="18"/>
          <w:szCs w:val="18"/>
          <w:vertAlign w:val="baseline"/>
        </w:rPr>
      </w:pPr>
      <w:r>
        <w:rPr>
          <w:rStyle w:val="15"/>
          <w:rFonts w:hint="eastAsia" w:ascii="宋体" w:hAnsi="宋体" w:eastAsia="宋体" w:cs="宋体"/>
          <w:sz w:val="18"/>
          <w:szCs w:val="18"/>
          <w:vertAlign w:val="baseline"/>
          <w:lang w:val="en-US" w:eastAsia="zh-CN"/>
        </w:rPr>
        <w:t>[</w:t>
      </w:r>
      <w:r>
        <w:rPr>
          <w:rStyle w:val="15"/>
          <w:rFonts w:hint="eastAsia" w:ascii="宋体" w:hAnsi="宋体" w:eastAsia="宋体" w:cs="宋体"/>
          <w:sz w:val="18"/>
          <w:szCs w:val="18"/>
          <w:vertAlign w:val="baseline"/>
          <w:lang w:val="en-US" w:eastAsia="zh-CN"/>
        </w:rPr>
        <w:footnoteRef/>
      </w:r>
      <w:r>
        <w:rPr>
          <w:rStyle w:val="15"/>
          <w:rFonts w:hint="eastAsia" w:ascii="宋体" w:hAnsi="宋体" w:eastAsia="宋体" w:cs="宋体"/>
          <w:sz w:val="18"/>
          <w:szCs w:val="18"/>
          <w:vertAlign w:val="baseline"/>
          <w:lang w:val="en-US" w:eastAsia="zh-CN"/>
        </w:rPr>
        <w:t>]《中华人民共和国道路交通安全法》第二十二条第一款：机动车驾驶人应当遵守道路交通安全法律、法规的规定，按照操作规范安全驾驶、文明驾驶。</w:t>
      </w:r>
    </w:p>
  </w:footnote>
  <w:footnote w:id="1">
    <w:p>
      <w:pPr>
        <w:keepNext w:val="0"/>
        <w:keepLines w:val="0"/>
        <w:widowControl/>
        <w:suppressLineNumbers w:val="0"/>
        <w:spacing w:line="240" w:lineRule="auto"/>
        <w:jc w:val="left"/>
        <w:rPr>
          <w:rFonts w:hint="eastAsia" w:ascii="宋体" w:hAnsi="宋体" w:eastAsia="宋体" w:cs="宋体"/>
          <w:sz w:val="18"/>
          <w:szCs w:val="18"/>
        </w:rPr>
      </w:pPr>
      <w:r>
        <w:rPr>
          <w:rStyle w:val="15"/>
          <w:rFonts w:hint="eastAsia" w:ascii="宋体" w:hAnsi="宋体" w:eastAsia="宋体" w:cs="宋体"/>
          <w:kern w:val="0"/>
          <w:sz w:val="18"/>
          <w:szCs w:val="18"/>
          <w:vertAlign w:val="baseline"/>
          <w:lang w:val="en-US" w:eastAsia="zh-CN" w:bidi="ar"/>
        </w:rPr>
        <w:t>[</w:t>
      </w:r>
      <w:r>
        <w:rPr>
          <w:rStyle w:val="15"/>
          <w:rFonts w:hint="eastAsia" w:ascii="宋体" w:hAnsi="宋体" w:eastAsia="宋体" w:cs="宋体"/>
          <w:kern w:val="0"/>
          <w:sz w:val="18"/>
          <w:szCs w:val="18"/>
          <w:vertAlign w:val="baseline"/>
          <w:lang w:val="en-US" w:eastAsia="zh-CN" w:bidi="ar"/>
        </w:rPr>
        <w:footnoteRef/>
      </w:r>
      <w:r>
        <w:rPr>
          <w:rStyle w:val="15"/>
          <w:rFonts w:hint="eastAsia" w:ascii="宋体" w:hAnsi="宋体" w:eastAsia="宋体" w:cs="宋体"/>
          <w:kern w:val="0"/>
          <w:sz w:val="18"/>
          <w:szCs w:val="18"/>
          <w:vertAlign w:val="baseline"/>
          <w:lang w:val="en-US" w:eastAsia="zh-CN" w:bidi="ar"/>
        </w:rPr>
        <w:t>]《中华</w:t>
      </w:r>
      <w:r>
        <w:rPr>
          <w:rStyle w:val="15"/>
          <w:rFonts w:hint="eastAsia" w:ascii="宋体" w:hAnsi="宋体" w:eastAsia="宋体" w:cs="宋体"/>
          <w:sz w:val="18"/>
          <w:szCs w:val="18"/>
          <w:vertAlign w:val="baseline"/>
          <w:lang w:val="en-US" w:eastAsia="zh-CN"/>
        </w:rPr>
        <w:t>人民共和国道路交通安全法》第六十一条：行人应当在人行道内行走，没有人行道的靠路边行走。</w:t>
      </w:r>
    </w:p>
    <w:p>
      <w:pPr>
        <w:pStyle w:val="7"/>
        <w:snapToGrid w:val="0"/>
        <w:rPr>
          <w:rFonts w:hint="eastAsia" w:ascii="方正仿宋_GBK" w:hAnsi="方正仿宋_GBK" w:eastAsia="方正仿宋_GBK" w:cs="方正仿宋_GBK"/>
          <w:color w:val="0000FF"/>
          <w:vertAlign w:val="baseline"/>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4057C6"/>
    <w:rsid w:val="008A3665"/>
    <w:rsid w:val="008B1362"/>
    <w:rsid w:val="00B551F2"/>
    <w:rsid w:val="00CF7912"/>
    <w:rsid w:val="00E4500B"/>
    <w:rsid w:val="00EE3376"/>
    <w:rsid w:val="00F6392B"/>
    <w:rsid w:val="00F64DF4"/>
    <w:rsid w:val="02727BA6"/>
    <w:rsid w:val="03DB4E5F"/>
    <w:rsid w:val="047D34C5"/>
    <w:rsid w:val="05E000FC"/>
    <w:rsid w:val="06844721"/>
    <w:rsid w:val="077211C3"/>
    <w:rsid w:val="07EC0192"/>
    <w:rsid w:val="098D32EE"/>
    <w:rsid w:val="09A80FE4"/>
    <w:rsid w:val="0A0F60CA"/>
    <w:rsid w:val="0B8F0C83"/>
    <w:rsid w:val="0D0236EB"/>
    <w:rsid w:val="0D5B4A77"/>
    <w:rsid w:val="0FA774C1"/>
    <w:rsid w:val="0FFA5660"/>
    <w:rsid w:val="114217E4"/>
    <w:rsid w:val="11BF5835"/>
    <w:rsid w:val="1288610B"/>
    <w:rsid w:val="14622FC1"/>
    <w:rsid w:val="15973DF7"/>
    <w:rsid w:val="15FC658E"/>
    <w:rsid w:val="160B7230"/>
    <w:rsid w:val="1740037B"/>
    <w:rsid w:val="175F10C5"/>
    <w:rsid w:val="176945E2"/>
    <w:rsid w:val="1788491D"/>
    <w:rsid w:val="17FD6CA6"/>
    <w:rsid w:val="18495EC1"/>
    <w:rsid w:val="190D119D"/>
    <w:rsid w:val="19827DE5"/>
    <w:rsid w:val="1A6B2FA1"/>
    <w:rsid w:val="1A9A08B1"/>
    <w:rsid w:val="1D52388F"/>
    <w:rsid w:val="1DF66715"/>
    <w:rsid w:val="1DFF9684"/>
    <w:rsid w:val="1EBF67A7"/>
    <w:rsid w:val="1EF2FEC6"/>
    <w:rsid w:val="1F2C5185"/>
    <w:rsid w:val="1F7B4C97"/>
    <w:rsid w:val="1F7E4521"/>
    <w:rsid w:val="208A35F3"/>
    <w:rsid w:val="223A6CD2"/>
    <w:rsid w:val="239375E1"/>
    <w:rsid w:val="26BB353B"/>
    <w:rsid w:val="289C5AAF"/>
    <w:rsid w:val="2A8F3401"/>
    <w:rsid w:val="2B1D3A7A"/>
    <w:rsid w:val="2BB792FE"/>
    <w:rsid w:val="2BFD0909"/>
    <w:rsid w:val="2C1A4C9F"/>
    <w:rsid w:val="2D170A86"/>
    <w:rsid w:val="2D2D0CAE"/>
    <w:rsid w:val="2E215073"/>
    <w:rsid w:val="2E37C721"/>
    <w:rsid w:val="2E521500"/>
    <w:rsid w:val="2EDB1F9F"/>
    <w:rsid w:val="2EE8E6E2"/>
    <w:rsid w:val="2F314DE1"/>
    <w:rsid w:val="2FBF8693"/>
    <w:rsid w:val="2FEF9DFD"/>
    <w:rsid w:val="327B7B22"/>
    <w:rsid w:val="32E34D98"/>
    <w:rsid w:val="32EA3BB0"/>
    <w:rsid w:val="33C9325C"/>
    <w:rsid w:val="34063B13"/>
    <w:rsid w:val="34F7D915"/>
    <w:rsid w:val="353765BE"/>
    <w:rsid w:val="356C45C3"/>
    <w:rsid w:val="368D5FC2"/>
    <w:rsid w:val="37166ADF"/>
    <w:rsid w:val="377E0AA8"/>
    <w:rsid w:val="37B86C4F"/>
    <w:rsid w:val="37D3CBAB"/>
    <w:rsid w:val="37DE22F7"/>
    <w:rsid w:val="393BB54C"/>
    <w:rsid w:val="39BB098B"/>
    <w:rsid w:val="3A6EDADC"/>
    <w:rsid w:val="3ABF1F3A"/>
    <w:rsid w:val="3AD76819"/>
    <w:rsid w:val="3AF671DB"/>
    <w:rsid w:val="3B543BE4"/>
    <w:rsid w:val="3B6554B5"/>
    <w:rsid w:val="3B710987"/>
    <w:rsid w:val="3BCF734C"/>
    <w:rsid w:val="3BCFE9D9"/>
    <w:rsid w:val="3BFF0DB4"/>
    <w:rsid w:val="3C7262ED"/>
    <w:rsid w:val="3CFF4E95"/>
    <w:rsid w:val="3DFD56D7"/>
    <w:rsid w:val="3DFD8430"/>
    <w:rsid w:val="3EBF42D5"/>
    <w:rsid w:val="3EDB0437"/>
    <w:rsid w:val="3EF5BBD6"/>
    <w:rsid w:val="3EF92C5D"/>
    <w:rsid w:val="3F3CB50C"/>
    <w:rsid w:val="3F5FAFB2"/>
    <w:rsid w:val="3FAD1D9A"/>
    <w:rsid w:val="3FBE5035"/>
    <w:rsid w:val="3FBF0532"/>
    <w:rsid w:val="3FDF2DC5"/>
    <w:rsid w:val="3FE6BB8F"/>
    <w:rsid w:val="3FEB1CAD"/>
    <w:rsid w:val="3FF72C17"/>
    <w:rsid w:val="402B7E4E"/>
    <w:rsid w:val="405922D7"/>
    <w:rsid w:val="415610EC"/>
    <w:rsid w:val="41EB0337"/>
    <w:rsid w:val="43BFC81F"/>
    <w:rsid w:val="45A55D4D"/>
    <w:rsid w:val="46532F68"/>
    <w:rsid w:val="46696398"/>
    <w:rsid w:val="46712740"/>
    <w:rsid w:val="46C73B51"/>
    <w:rsid w:val="4B725B1E"/>
    <w:rsid w:val="4B8F9FD9"/>
    <w:rsid w:val="4D181EB3"/>
    <w:rsid w:val="4EDFAF9C"/>
    <w:rsid w:val="4F7761F7"/>
    <w:rsid w:val="4FB1EBEB"/>
    <w:rsid w:val="4FFF6492"/>
    <w:rsid w:val="50640BF4"/>
    <w:rsid w:val="50FDF204"/>
    <w:rsid w:val="53634DA2"/>
    <w:rsid w:val="557F4B25"/>
    <w:rsid w:val="56D50752"/>
    <w:rsid w:val="57804E91"/>
    <w:rsid w:val="57FD76D0"/>
    <w:rsid w:val="5875677A"/>
    <w:rsid w:val="58A000AB"/>
    <w:rsid w:val="58C70199"/>
    <w:rsid w:val="59FCCB49"/>
    <w:rsid w:val="59FFA70A"/>
    <w:rsid w:val="5B2FD98C"/>
    <w:rsid w:val="5B571896"/>
    <w:rsid w:val="5B8646B4"/>
    <w:rsid w:val="5BDB102A"/>
    <w:rsid w:val="5BDB5653"/>
    <w:rsid w:val="5BF56412"/>
    <w:rsid w:val="5BFFE21B"/>
    <w:rsid w:val="5C0D5892"/>
    <w:rsid w:val="5D3F419E"/>
    <w:rsid w:val="5D7FB8DE"/>
    <w:rsid w:val="5DA424B0"/>
    <w:rsid w:val="5DDB7188"/>
    <w:rsid w:val="5E390325"/>
    <w:rsid w:val="5E953F02"/>
    <w:rsid w:val="5EBD046F"/>
    <w:rsid w:val="5F7C8195"/>
    <w:rsid w:val="5F8F661B"/>
    <w:rsid w:val="5F9A1346"/>
    <w:rsid w:val="5FB738AD"/>
    <w:rsid w:val="5FBDD13D"/>
    <w:rsid w:val="5FBF909E"/>
    <w:rsid w:val="5FF607B4"/>
    <w:rsid w:val="5FF7C8BE"/>
    <w:rsid w:val="5FFFC5BF"/>
    <w:rsid w:val="60924A0D"/>
    <w:rsid w:val="617B3D7A"/>
    <w:rsid w:val="619306EF"/>
    <w:rsid w:val="6437290E"/>
    <w:rsid w:val="64A02A30"/>
    <w:rsid w:val="64AD4EF5"/>
    <w:rsid w:val="65CE0600"/>
    <w:rsid w:val="65FFF504"/>
    <w:rsid w:val="673FCC31"/>
    <w:rsid w:val="678F8125"/>
    <w:rsid w:val="67BD44B3"/>
    <w:rsid w:val="687D1F4A"/>
    <w:rsid w:val="68C90287"/>
    <w:rsid w:val="69791297"/>
    <w:rsid w:val="6A27402F"/>
    <w:rsid w:val="6A6FDB9A"/>
    <w:rsid w:val="6A7A76F4"/>
    <w:rsid w:val="6ABA5CB7"/>
    <w:rsid w:val="6ABC577D"/>
    <w:rsid w:val="6B233BC7"/>
    <w:rsid w:val="6BA042A4"/>
    <w:rsid w:val="6BFCC17E"/>
    <w:rsid w:val="6C6973EC"/>
    <w:rsid w:val="6C931138"/>
    <w:rsid w:val="6CB24900"/>
    <w:rsid w:val="6CDF3869"/>
    <w:rsid w:val="6CE6E2DB"/>
    <w:rsid w:val="6DF896CE"/>
    <w:rsid w:val="6ECF0694"/>
    <w:rsid w:val="6EE71536"/>
    <w:rsid w:val="6EFDA185"/>
    <w:rsid w:val="6F5FB218"/>
    <w:rsid w:val="6F7FCE5C"/>
    <w:rsid w:val="6FBB9C73"/>
    <w:rsid w:val="6FBCAAC2"/>
    <w:rsid w:val="6FBFF7FA"/>
    <w:rsid w:val="6FCF411E"/>
    <w:rsid w:val="6FEF1991"/>
    <w:rsid w:val="6FFD302B"/>
    <w:rsid w:val="7393582A"/>
    <w:rsid w:val="741A54B2"/>
    <w:rsid w:val="757F0A77"/>
    <w:rsid w:val="75EB296E"/>
    <w:rsid w:val="75FF75E9"/>
    <w:rsid w:val="767D39F0"/>
    <w:rsid w:val="773F2EBE"/>
    <w:rsid w:val="77713ED2"/>
    <w:rsid w:val="77DE0F2D"/>
    <w:rsid w:val="77EFFD82"/>
    <w:rsid w:val="77FFBA54"/>
    <w:rsid w:val="78B13B2D"/>
    <w:rsid w:val="78EF5000"/>
    <w:rsid w:val="794C7704"/>
    <w:rsid w:val="79CF5442"/>
    <w:rsid w:val="79F91187"/>
    <w:rsid w:val="7A2318A1"/>
    <w:rsid w:val="7A5DA12B"/>
    <w:rsid w:val="7A69DE41"/>
    <w:rsid w:val="7A7FB313"/>
    <w:rsid w:val="7AD634FD"/>
    <w:rsid w:val="7AD8E2BC"/>
    <w:rsid w:val="7B1B04E0"/>
    <w:rsid w:val="7BB2A70F"/>
    <w:rsid w:val="7BBBE78B"/>
    <w:rsid w:val="7BCFC12E"/>
    <w:rsid w:val="7BDD314E"/>
    <w:rsid w:val="7BEC708C"/>
    <w:rsid w:val="7BEF2E51"/>
    <w:rsid w:val="7BEF950D"/>
    <w:rsid w:val="7BF9C3B9"/>
    <w:rsid w:val="7BFE218B"/>
    <w:rsid w:val="7BFF7CD1"/>
    <w:rsid w:val="7BFF8FBF"/>
    <w:rsid w:val="7BFFC8D6"/>
    <w:rsid w:val="7CA42236"/>
    <w:rsid w:val="7CDF29E4"/>
    <w:rsid w:val="7CFF2A22"/>
    <w:rsid w:val="7D570D7D"/>
    <w:rsid w:val="7DB7A1B9"/>
    <w:rsid w:val="7DBDD377"/>
    <w:rsid w:val="7DBF926D"/>
    <w:rsid w:val="7DC63096"/>
    <w:rsid w:val="7DD8D7FF"/>
    <w:rsid w:val="7DDF9C84"/>
    <w:rsid w:val="7DE622CF"/>
    <w:rsid w:val="7DEE2776"/>
    <w:rsid w:val="7DEF461A"/>
    <w:rsid w:val="7DF6300F"/>
    <w:rsid w:val="7DFBEE1F"/>
    <w:rsid w:val="7DFEA972"/>
    <w:rsid w:val="7DFFC30B"/>
    <w:rsid w:val="7E2A6EE4"/>
    <w:rsid w:val="7E57705D"/>
    <w:rsid w:val="7E6C7C3A"/>
    <w:rsid w:val="7ED48FE0"/>
    <w:rsid w:val="7EDFF4CE"/>
    <w:rsid w:val="7EDFF555"/>
    <w:rsid w:val="7EE7D1DA"/>
    <w:rsid w:val="7EE931A7"/>
    <w:rsid w:val="7EF6E982"/>
    <w:rsid w:val="7EF9CA75"/>
    <w:rsid w:val="7EFF0599"/>
    <w:rsid w:val="7F3B7863"/>
    <w:rsid w:val="7F4EFCB3"/>
    <w:rsid w:val="7F6D02FE"/>
    <w:rsid w:val="7F8F7834"/>
    <w:rsid w:val="7F9E3867"/>
    <w:rsid w:val="7FBEEC21"/>
    <w:rsid w:val="7FBF1EA1"/>
    <w:rsid w:val="7FCFBD93"/>
    <w:rsid w:val="7FD2D131"/>
    <w:rsid w:val="7FD7090B"/>
    <w:rsid w:val="7FF70F6F"/>
    <w:rsid w:val="7FF76C68"/>
    <w:rsid w:val="7FFB392F"/>
    <w:rsid w:val="7FFCA0F4"/>
    <w:rsid w:val="7FFFF40F"/>
    <w:rsid w:val="86B71DB8"/>
    <w:rsid w:val="8DDF01F5"/>
    <w:rsid w:val="9BF1764E"/>
    <w:rsid w:val="9D94F75A"/>
    <w:rsid w:val="9FDDA6A0"/>
    <w:rsid w:val="9FE69099"/>
    <w:rsid w:val="9FF9F2A8"/>
    <w:rsid w:val="A4B6C682"/>
    <w:rsid w:val="A66BDF89"/>
    <w:rsid w:val="A6BE71DA"/>
    <w:rsid w:val="A95B49BA"/>
    <w:rsid w:val="A9F73C15"/>
    <w:rsid w:val="AB679922"/>
    <w:rsid w:val="ADEF3E0A"/>
    <w:rsid w:val="ADFB4BB6"/>
    <w:rsid w:val="AE8FE8CA"/>
    <w:rsid w:val="AF6F11C3"/>
    <w:rsid w:val="AF7F4CC8"/>
    <w:rsid w:val="AFDF47D8"/>
    <w:rsid w:val="B1C66193"/>
    <w:rsid w:val="B2FB7320"/>
    <w:rsid w:val="B4B363EA"/>
    <w:rsid w:val="B4C59755"/>
    <w:rsid w:val="B5BDE11B"/>
    <w:rsid w:val="B5E3EB95"/>
    <w:rsid w:val="B5FE6E10"/>
    <w:rsid w:val="B7E57C78"/>
    <w:rsid w:val="B7EECBC1"/>
    <w:rsid w:val="B9DBD127"/>
    <w:rsid w:val="BAE71C64"/>
    <w:rsid w:val="BBF934EA"/>
    <w:rsid w:val="BBFF7D25"/>
    <w:rsid w:val="BBFFE243"/>
    <w:rsid w:val="BCBFA214"/>
    <w:rsid w:val="BD9F59EE"/>
    <w:rsid w:val="BDA582D9"/>
    <w:rsid w:val="BDDAA296"/>
    <w:rsid w:val="BDE7B809"/>
    <w:rsid w:val="BDF7AFA8"/>
    <w:rsid w:val="BDFC9803"/>
    <w:rsid w:val="BE6D60DD"/>
    <w:rsid w:val="BE75804D"/>
    <w:rsid w:val="BE95D947"/>
    <w:rsid w:val="BEFB3009"/>
    <w:rsid w:val="BEFF3F62"/>
    <w:rsid w:val="BF3E4C46"/>
    <w:rsid w:val="BF7B5D39"/>
    <w:rsid w:val="BFBFABEF"/>
    <w:rsid w:val="BFEF6066"/>
    <w:rsid w:val="BFF9BAAD"/>
    <w:rsid w:val="BFF9C298"/>
    <w:rsid w:val="BFFAE227"/>
    <w:rsid w:val="BFFBD7D8"/>
    <w:rsid w:val="BFFE0B08"/>
    <w:rsid w:val="C33AB0F2"/>
    <w:rsid w:val="C75E5427"/>
    <w:rsid w:val="C7FF7F4E"/>
    <w:rsid w:val="CB9A3723"/>
    <w:rsid w:val="CCE57097"/>
    <w:rsid w:val="CF6386CB"/>
    <w:rsid w:val="CF7F95CE"/>
    <w:rsid w:val="CFDFBE5A"/>
    <w:rsid w:val="CFE31AEC"/>
    <w:rsid w:val="D16FDBCB"/>
    <w:rsid w:val="D1D7F1D6"/>
    <w:rsid w:val="D35E4D6C"/>
    <w:rsid w:val="D5E7C874"/>
    <w:rsid w:val="D6EA213A"/>
    <w:rsid w:val="D77D6386"/>
    <w:rsid w:val="D77F2F2C"/>
    <w:rsid w:val="D7DDAE0D"/>
    <w:rsid w:val="D7F60B74"/>
    <w:rsid w:val="D7FE26BB"/>
    <w:rsid w:val="DADF16A0"/>
    <w:rsid w:val="DAFAB70D"/>
    <w:rsid w:val="DBEA49CB"/>
    <w:rsid w:val="DCFE0D02"/>
    <w:rsid w:val="DCFF38B6"/>
    <w:rsid w:val="DDDE83A5"/>
    <w:rsid w:val="DE73D214"/>
    <w:rsid w:val="DE77B9B6"/>
    <w:rsid w:val="DE7FB0B1"/>
    <w:rsid w:val="DEBF05B9"/>
    <w:rsid w:val="DEEF219C"/>
    <w:rsid w:val="DEF58D99"/>
    <w:rsid w:val="DF0E9C6B"/>
    <w:rsid w:val="DF37CB55"/>
    <w:rsid w:val="DF766036"/>
    <w:rsid w:val="DF7F1AD9"/>
    <w:rsid w:val="DF9F3478"/>
    <w:rsid w:val="DFC751EF"/>
    <w:rsid w:val="DFDDEA50"/>
    <w:rsid w:val="DFDE76B0"/>
    <w:rsid w:val="DFE7ED3A"/>
    <w:rsid w:val="DFF35EDC"/>
    <w:rsid w:val="DFFE8201"/>
    <w:rsid w:val="E1DB985B"/>
    <w:rsid w:val="E37EF51F"/>
    <w:rsid w:val="E3FEBE98"/>
    <w:rsid w:val="E6B596D5"/>
    <w:rsid w:val="E798F14C"/>
    <w:rsid w:val="E7D09051"/>
    <w:rsid w:val="E8F5C356"/>
    <w:rsid w:val="EA72F645"/>
    <w:rsid w:val="EBBD702B"/>
    <w:rsid w:val="EBD7A704"/>
    <w:rsid w:val="EBEF79DD"/>
    <w:rsid w:val="EBFFF692"/>
    <w:rsid w:val="ECCFA18E"/>
    <w:rsid w:val="ED7C3492"/>
    <w:rsid w:val="EDBB72B1"/>
    <w:rsid w:val="EDCB93F6"/>
    <w:rsid w:val="EDE70709"/>
    <w:rsid w:val="EDFB45AB"/>
    <w:rsid w:val="EDFF5F4C"/>
    <w:rsid w:val="EE033A19"/>
    <w:rsid w:val="EED69210"/>
    <w:rsid w:val="EEF3EA90"/>
    <w:rsid w:val="EF3F0EC0"/>
    <w:rsid w:val="EF4709D3"/>
    <w:rsid w:val="EF77BCAD"/>
    <w:rsid w:val="EF9DF50F"/>
    <w:rsid w:val="EFAB8E3A"/>
    <w:rsid w:val="EFB6333B"/>
    <w:rsid w:val="EFDE3BA3"/>
    <w:rsid w:val="EFF7D911"/>
    <w:rsid w:val="EFFBB9C3"/>
    <w:rsid w:val="EFFF7E30"/>
    <w:rsid w:val="F2BE5E8B"/>
    <w:rsid w:val="F3770B1B"/>
    <w:rsid w:val="F3A54F77"/>
    <w:rsid w:val="F3B7708C"/>
    <w:rsid w:val="F5FD70C1"/>
    <w:rsid w:val="F5FE341B"/>
    <w:rsid w:val="F6AF993B"/>
    <w:rsid w:val="F6BE3EA4"/>
    <w:rsid w:val="F6D69417"/>
    <w:rsid w:val="F6E75849"/>
    <w:rsid w:val="F6EFB091"/>
    <w:rsid w:val="F6F93DE9"/>
    <w:rsid w:val="F6FE7D46"/>
    <w:rsid w:val="F6FFF94A"/>
    <w:rsid w:val="F74CBE33"/>
    <w:rsid w:val="F7A3EA86"/>
    <w:rsid w:val="F7BB4B55"/>
    <w:rsid w:val="F7FBD0DB"/>
    <w:rsid w:val="F7FDCE77"/>
    <w:rsid w:val="F7FF99AB"/>
    <w:rsid w:val="F89E3C80"/>
    <w:rsid w:val="F9DE3FC5"/>
    <w:rsid w:val="F9E915C6"/>
    <w:rsid w:val="FAEDE507"/>
    <w:rsid w:val="FB5F91CB"/>
    <w:rsid w:val="FB9B3CD5"/>
    <w:rsid w:val="FBB4750B"/>
    <w:rsid w:val="FBE7EA35"/>
    <w:rsid w:val="FBEFD8CB"/>
    <w:rsid w:val="FBFCBCEF"/>
    <w:rsid w:val="FBFDC7CC"/>
    <w:rsid w:val="FC794D68"/>
    <w:rsid w:val="FCEF6C4E"/>
    <w:rsid w:val="FCF7D970"/>
    <w:rsid w:val="FCFF3F5E"/>
    <w:rsid w:val="FD7ECCC1"/>
    <w:rsid w:val="FD9C6522"/>
    <w:rsid w:val="FDBF3F07"/>
    <w:rsid w:val="FDFE6443"/>
    <w:rsid w:val="FDFF3284"/>
    <w:rsid w:val="FE5DC077"/>
    <w:rsid w:val="FE7751A2"/>
    <w:rsid w:val="FE8FF217"/>
    <w:rsid w:val="FEDA9509"/>
    <w:rsid w:val="FEDF911A"/>
    <w:rsid w:val="FEE2E227"/>
    <w:rsid w:val="FEFF6597"/>
    <w:rsid w:val="FF0D3E79"/>
    <w:rsid w:val="FF1E2F91"/>
    <w:rsid w:val="FF2952EA"/>
    <w:rsid w:val="FF4B7891"/>
    <w:rsid w:val="FF7B7D18"/>
    <w:rsid w:val="FF7BD1E0"/>
    <w:rsid w:val="FF931DE5"/>
    <w:rsid w:val="FF9488A8"/>
    <w:rsid w:val="FF97222A"/>
    <w:rsid w:val="FF9796F8"/>
    <w:rsid w:val="FF9A2DE6"/>
    <w:rsid w:val="FF9F454F"/>
    <w:rsid w:val="FF9FEAEA"/>
    <w:rsid w:val="FFB5BCF9"/>
    <w:rsid w:val="FFBBB267"/>
    <w:rsid w:val="FFBCD4D2"/>
    <w:rsid w:val="FFBF2E9A"/>
    <w:rsid w:val="FFC7FBD3"/>
    <w:rsid w:val="FFDE5E2C"/>
    <w:rsid w:val="FFDF051E"/>
    <w:rsid w:val="FFDF9141"/>
    <w:rsid w:val="FFE76824"/>
    <w:rsid w:val="FFF60F26"/>
    <w:rsid w:val="FFF731BC"/>
    <w:rsid w:val="FFF73DEF"/>
    <w:rsid w:val="FFFB63F7"/>
    <w:rsid w:val="FFFE5D42"/>
    <w:rsid w:val="FFFFA530"/>
    <w:rsid w:val="FFFFC0C2"/>
    <w:rsid w:val="FFFFDD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next w:val="1"/>
    <w:link w:val="21"/>
    <w:qFormat/>
    <w:uiPriority w:val="99"/>
  </w:style>
  <w:style w:type="paragraph" w:styleId="4">
    <w:name w:val="Body Text Indent"/>
    <w:basedOn w:val="1"/>
    <w:link w:val="19"/>
    <w:semiHidden/>
    <w:unhideWhenUsed/>
    <w:qFormat/>
    <w:uiPriority w:val="99"/>
    <w:pPr>
      <w:spacing w:after="120"/>
      <w:ind w:left="420" w:leftChars="200"/>
    </w:p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semiHidden/>
    <w:unhideWhenUsed/>
    <w:qFormat/>
    <w:uiPriority w:val="99"/>
    <w:pPr>
      <w:snapToGrid w:val="0"/>
      <w:jc w:val="left"/>
    </w:pPr>
    <w:rPr>
      <w:sz w:val="18"/>
    </w:rPr>
  </w:style>
  <w:style w:type="paragraph" w:styleId="8">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9">
    <w:name w:val="HTML Preformatted"/>
    <w:basedOn w:val="1"/>
    <w:link w:val="23"/>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Body Text First Indent 2"/>
    <w:basedOn w:val="4"/>
    <w:link w:val="20"/>
    <w:qFormat/>
    <w:uiPriority w:val="0"/>
    <w:pPr>
      <w:spacing w:after="0"/>
      <w:ind w:firstLine="420" w:firstLineChars="200"/>
    </w:pPr>
  </w:style>
  <w:style w:type="character" w:styleId="14">
    <w:name w:val="Strong"/>
    <w:basedOn w:val="13"/>
    <w:qFormat/>
    <w:uiPriority w:val="22"/>
    <w:rPr>
      <w:b/>
    </w:rPr>
  </w:style>
  <w:style w:type="character" w:styleId="15">
    <w:name w:val="footnote reference"/>
    <w:basedOn w:val="13"/>
    <w:semiHidden/>
    <w:unhideWhenUsed/>
    <w:qFormat/>
    <w:uiPriority w:val="99"/>
    <w:rPr>
      <w:vertAlign w:val="superscript"/>
    </w:rPr>
  </w:style>
  <w:style w:type="paragraph" w:customStyle="1" w:styleId="16">
    <w:name w:val="正文-公1"/>
    <w:basedOn w:val="1"/>
    <w:next w:val="1"/>
    <w:qFormat/>
    <w:uiPriority w:val="0"/>
    <w:pPr>
      <w:ind w:firstLine="200" w:firstLineChars="200"/>
      <w:jc w:val="left"/>
    </w:pPr>
    <w:rPr>
      <w:rFonts w:eastAsia="仿宋_GB2312"/>
    </w:rPr>
  </w:style>
  <w:style w:type="character" w:customStyle="1" w:styleId="17">
    <w:name w:val="页眉 字符"/>
    <w:basedOn w:val="13"/>
    <w:link w:val="6"/>
    <w:qFormat/>
    <w:uiPriority w:val="99"/>
    <w:rPr>
      <w:sz w:val="18"/>
      <w:szCs w:val="18"/>
    </w:rPr>
  </w:style>
  <w:style w:type="character" w:customStyle="1" w:styleId="18">
    <w:name w:val="页脚 字符"/>
    <w:basedOn w:val="13"/>
    <w:link w:val="5"/>
    <w:qFormat/>
    <w:uiPriority w:val="99"/>
    <w:rPr>
      <w:sz w:val="18"/>
      <w:szCs w:val="18"/>
    </w:rPr>
  </w:style>
  <w:style w:type="character" w:customStyle="1" w:styleId="19">
    <w:name w:val="正文文本缩进 字符"/>
    <w:basedOn w:val="13"/>
    <w:link w:val="4"/>
    <w:semiHidden/>
    <w:qFormat/>
    <w:uiPriority w:val="99"/>
  </w:style>
  <w:style w:type="character" w:customStyle="1" w:styleId="20">
    <w:name w:val="正文首行缩进 2 字符"/>
    <w:basedOn w:val="19"/>
    <w:link w:val="11"/>
    <w:qFormat/>
    <w:uiPriority w:val="0"/>
  </w:style>
  <w:style w:type="character" w:customStyle="1" w:styleId="21">
    <w:name w:val="正文文本 字符"/>
    <w:basedOn w:val="13"/>
    <w:link w:val="3"/>
    <w:qFormat/>
    <w:uiPriority w:val="99"/>
  </w:style>
  <w:style w:type="paragraph" w:styleId="22">
    <w:name w:val="List Paragraph"/>
    <w:basedOn w:val="1"/>
    <w:qFormat/>
    <w:uiPriority w:val="99"/>
    <w:pPr>
      <w:ind w:firstLine="420" w:firstLineChars="200"/>
    </w:pPr>
  </w:style>
  <w:style w:type="character" w:customStyle="1" w:styleId="23">
    <w:name w:val="HTML 预设格式 字符"/>
    <w:basedOn w:val="13"/>
    <w:link w:val="9"/>
    <w:semiHidden/>
    <w:qFormat/>
    <w:uiPriority w:val="99"/>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704</Words>
  <Characters>4017</Characters>
  <Lines>33</Lines>
  <Paragraphs>9</Paragraphs>
  <TotalTime>1</TotalTime>
  <ScaleCrop>false</ScaleCrop>
  <LinksUpToDate>false</LinksUpToDate>
  <CharactersWithSpaces>4712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2024-08-03T18:18:00Z</dcterms:created>
  <dc:creator>CQ</dc:creator>
  <cp:lastModifiedBy>kaitian</cp:lastModifiedBy>
  <cp:lastPrinted>2026-08-27T19:34:00Z</cp:lastPrinted>
  <dcterms:modified xsi:type="dcterms:W3CDTF">2026-09-09T09:00:36Z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899C27AC5FA84D77A66533D5B2BECA9A</vt:lpwstr>
  </property>
</Properties>
</file>