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A510B">
      <w:pPr>
        <w:pStyle w:val="2"/>
        <w:keepNext w:val="0"/>
        <w:keepLines w:val="0"/>
        <w:pageBreakBefore w:val="0"/>
        <w:widowControl w:val="0"/>
        <w:kinsoku/>
        <w:wordWrap/>
        <w:overflowPunct/>
        <w:topLinePunct w:val="0"/>
        <w:autoSpaceDE/>
        <w:autoSpaceDN/>
        <w:bidi w:val="0"/>
        <w:adjustRightInd/>
        <w:snapToGrid/>
        <w:spacing w:before="313" w:beforeLines="100" w:after="313" w:afterLines="100" w:line="1000" w:lineRule="exact"/>
        <w:ind w:firstLine="880" w:firstLineChars="200"/>
        <w:textAlignment w:val="auto"/>
        <w:rPr>
          <w:rFonts w:hint="eastAsia"/>
          <w:highlight w:val="none"/>
          <w:u w:val="none"/>
        </w:rPr>
      </w:pPr>
    </w:p>
    <w:p w14:paraId="2B0EB15D">
      <w:pPr>
        <w:pStyle w:val="2"/>
        <w:keepNext w:val="0"/>
        <w:keepLines w:val="0"/>
        <w:pageBreakBefore w:val="0"/>
        <w:widowControl w:val="0"/>
        <w:kinsoku/>
        <w:wordWrap/>
        <w:overflowPunct/>
        <w:topLinePunct w:val="0"/>
        <w:autoSpaceDE/>
        <w:autoSpaceDN/>
        <w:bidi w:val="0"/>
        <w:adjustRightInd/>
        <w:snapToGrid/>
        <w:spacing w:before="313" w:beforeLines="100" w:after="313" w:afterLines="100" w:line="1000" w:lineRule="exact"/>
        <w:ind w:firstLine="880" w:firstLineChars="200"/>
        <w:textAlignment w:val="auto"/>
        <w:rPr>
          <w:rFonts w:hint="eastAsia"/>
          <w:highlight w:val="none"/>
          <w:u w:val="none"/>
        </w:rPr>
      </w:pPr>
    </w:p>
    <w:p w14:paraId="4031970A">
      <w:pPr>
        <w:pStyle w:val="2"/>
        <w:keepNext w:val="0"/>
        <w:keepLines w:val="0"/>
        <w:pageBreakBefore w:val="0"/>
        <w:widowControl w:val="0"/>
        <w:kinsoku/>
        <w:wordWrap/>
        <w:overflowPunct/>
        <w:topLinePunct w:val="0"/>
        <w:autoSpaceDE/>
        <w:autoSpaceDN/>
        <w:bidi w:val="0"/>
        <w:adjustRightInd/>
        <w:snapToGrid/>
        <w:spacing w:before="313" w:beforeLines="100" w:after="313" w:afterLines="100" w:line="1000" w:lineRule="exact"/>
        <w:ind w:firstLine="880" w:firstLineChars="200"/>
        <w:textAlignment w:val="auto"/>
        <w:rPr>
          <w:rFonts w:hint="eastAsia"/>
          <w:highlight w:val="none"/>
          <w:u w:val="none"/>
        </w:rPr>
      </w:pPr>
    </w:p>
    <w:p w14:paraId="2C4CCF6F">
      <w:pPr>
        <w:pStyle w:val="2"/>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highlight w:val="none"/>
          <w:u w:val="none"/>
        </w:rPr>
      </w:pPr>
      <w:bookmarkStart w:id="0" w:name="_Toc26221"/>
      <w:bookmarkStart w:id="1" w:name="_Toc13901"/>
      <w:r>
        <w:rPr>
          <w:rFonts w:hint="eastAsia"/>
          <w:highlight w:val="none"/>
          <w:u w:val="none"/>
          <w:lang w:val="en-US" w:eastAsia="zh-CN"/>
        </w:rPr>
        <w:t>乐昌</w:t>
      </w:r>
      <w:r>
        <w:rPr>
          <w:rFonts w:hint="eastAsia"/>
          <w:highlight w:val="none"/>
          <w:u w:val="none"/>
        </w:rPr>
        <w:t>云岩</w:t>
      </w:r>
      <w:r>
        <w:rPr>
          <w:rFonts w:hint="eastAsia"/>
          <w:highlight w:val="none"/>
          <w:u w:val="none"/>
          <w:lang w:val="en-US" w:eastAsia="zh-CN"/>
        </w:rPr>
        <w:t>广州发展乐昌云岩</w:t>
      </w:r>
      <w:r>
        <w:rPr>
          <w:rFonts w:hint="eastAsia"/>
          <w:highlight w:val="none"/>
          <w:u w:val="none"/>
        </w:rPr>
        <w:t>100MW农光互补光伏</w:t>
      </w:r>
      <w:r>
        <w:rPr>
          <w:rFonts w:hint="default"/>
          <w:highlight w:val="none"/>
          <w:u w:val="none"/>
        </w:rPr>
        <w:t>发电</w:t>
      </w:r>
      <w:r>
        <w:rPr>
          <w:rFonts w:hint="eastAsia"/>
          <w:highlight w:val="none"/>
          <w:u w:val="none"/>
        </w:rPr>
        <w:t>项目“10·2”</w:t>
      </w:r>
      <w:bookmarkEnd w:id="0"/>
      <w:bookmarkEnd w:id="1"/>
      <w:bookmarkStart w:id="2" w:name="_Toc10820"/>
      <w:bookmarkStart w:id="3" w:name="_Toc21862"/>
      <w:r>
        <w:rPr>
          <w:rFonts w:hint="eastAsia"/>
          <w:highlight w:val="none"/>
          <w:u w:val="none"/>
        </w:rPr>
        <w:t>一般物体打击</w:t>
      </w:r>
    </w:p>
    <w:p w14:paraId="6F893D76">
      <w:pPr>
        <w:pStyle w:val="2"/>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default" w:eastAsia="方正小标宋简体"/>
          <w:highlight w:val="none"/>
          <w:u w:val="none"/>
          <w:lang w:val="en-US" w:eastAsia="zh-CN"/>
        </w:rPr>
      </w:pPr>
      <w:r>
        <w:rPr>
          <w:rFonts w:hint="default"/>
          <w:highlight w:val="none"/>
          <w:u w:val="none"/>
          <w:lang w:eastAsia="zh-CN"/>
        </w:rPr>
        <w:t>事故</w:t>
      </w:r>
      <w:r>
        <w:rPr>
          <w:rFonts w:hint="eastAsia"/>
          <w:highlight w:val="none"/>
          <w:u w:val="none"/>
          <w:lang w:val="en-US" w:eastAsia="zh-CN"/>
        </w:rPr>
        <w:t>调查报告</w:t>
      </w:r>
      <w:bookmarkEnd w:id="2"/>
      <w:bookmarkEnd w:id="3"/>
    </w:p>
    <w:p w14:paraId="038FFD60">
      <w:pPr>
        <w:pStyle w:val="2"/>
        <w:keepNext w:val="0"/>
        <w:keepLines w:val="0"/>
        <w:pageBreakBefore w:val="0"/>
        <w:widowControl w:val="0"/>
        <w:kinsoku/>
        <w:wordWrap/>
        <w:overflowPunct/>
        <w:topLinePunct w:val="0"/>
        <w:autoSpaceDE/>
        <w:autoSpaceDN/>
        <w:bidi w:val="0"/>
        <w:adjustRightInd/>
        <w:snapToGrid/>
        <w:spacing w:before="313" w:beforeLines="100" w:after="313" w:afterLines="100" w:line="1000" w:lineRule="exact"/>
        <w:ind w:firstLine="880" w:firstLineChars="200"/>
        <w:textAlignment w:val="auto"/>
        <w:rPr>
          <w:rFonts w:hint="eastAsia"/>
          <w:highlight w:val="none"/>
          <w:u w:val="none"/>
        </w:rPr>
      </w:pPr>
    </w:p>
    <w:p w14:paraId="38BA41BD">
      <w:pPr>
        <w:rPr>
          <w:rFonts w:hint="eastAsia"/>
          <w:highlight w:val="none"/>
          <w:u w:val="none"/>
        </w:rPr>
      </w:pPr>
    </w:p>
    <w:p w14:paraId="6B343313">
      <w:pPr>
        <w:pStyle w:val="6"/>
        <w:rPr>
          <w:rFonts w:hint="eastAsia"/>
          <w:highlight w:val="none"/>
          <w:u w:val="none"/>
        </w:rPr>
      </w:pPr>
    </w:p>
    <w:p w14:paraId="786F4561">
      <w:pPr>
        <w:pStyle w:val="6"/>
        <w:rPr>
          <w:rFonts w:hint="eastAsia"/>
          <w:highlight w:val="none"/>
          <w:u w:val="none"/>
        </w:rPr>
      </w:pPr>
    </w:p>
    <w:p w14:paraId="11612690">
      <w:pPr>
        <w:pStyle w:val="6"/>
        <w:rPr>
          <w:rFonts w:hint="default"/>
          <w:highlight w:val="none"/>
          <w:u w:val="none"/>
        </w:rPr>
      </w:pPr>
    </w:p>
    <w:p w14:paraId="0CD116F9">
      <w:pPr>
        <w:pStyle w:val="6"/>
        <w:jc w:val="center"/>
        <w:rPr>
          <w:rFonts w:hint="default" w:eastAsia="仿宋_GB2312"/>
          <w:highlight w:val="none"/>
          <w:u w:val="none"/>
          <w:lang w:val="en-US" w:eastAsia="zh-CN"/>
        </w:rPr>
        <w:sectPr>
          <w:footerReference r:id="rId5" w:type="default"/>
          <w:pgSz w:w="11906" w:h="16838"/>
          <w:pgMar w:top="1304" w:right="1474" w:bottom="130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highlight w:val="none"/>
          <w:u w:val="none"/>
          <w:lang w:val="en-US" w:eastAsia="zh-CN"/>
        </w:rPr>
        <w:t>乐昌市政府事故调查组</w:t>
      </w:r>
    </w:p>
    <w:sdt>
      <w:sdtPr>
        <w:rPr>
          <w:rFonts w:ascii="宋体" w:hAnsi="宋体" w:eastAsia="宋体"/>
          <w:sz w:val="32"/>
          <w:szCs w:val="32"/>
          <w:highlight w:val="none"/>
          <w:u w:val="none"/>
          <w:lang w:val="en-US" w:eastAsia="zh-CN"/>
        </w:rPr>
        <w:id w:val="147463240"/>
        <w15:color w:val="DBDBDB"/>
        <w:docPartObj>
          <w:docPartGallery w:val="Table of Contents"/>
          <w:docPartUnique/>
        </w:docPartObj>
      </w:sdtPr>
      <w:sdtEndPr>
        <w:rPr>
          <w:rFonts w:ascii="宋体" w:hAnsi="宋体" w:eastAsia="宋体" w:cstheme="minorBidi"/>
          <w:kern w:val="2"/>
          <w:sz w:val="21"/>
          <w:szCs w:val="22"/>
          <w:highlight w:val="none"/>
          <w:u w:val="none"/>
          <w:lang w:val="en-US" w:eastAsia="zh-CN" w:bidi="ar-SA"/>
        </w:rPr>
      </w:sdtEndPr>
      <w:sdtContent>
        <w:p w14:paraId="0AC4DFB8">
          <w:pPr>
            <w:keepNext w:val="0"/>
            <w:keepLines w:val="0"/>
            <w:pageBreakBefore w:val="0"/>
            <w:widowControl w:val="0"/>
            <w:kinsoku/>
            <w:wordWrap/>
            <w:overflowPunct/>
            <w:topLinePunct w:val="0"/>
            <w:autoSpaceDE/>
            <w:autoSpaceDN/>
            <w:bidi w:val="0"/>
            <w:adjustRightInd/>
            <w:snapToGrid/>
            <w:spacing w:before="0" w:beforeLines="0" w:after="0" w:afterLines="0" w:line="360" w:lineRule="auto"/>
            <w:jc w:val="center"/>
            <w:textAlignment w:val="auto"/>
            <w:rPr>
              <w:highlight w:val="none"/>
              <w:u w:val="none"/>
            </w:rPr>
          </w:pPr>
          <w:r>
            <w:rPr>
              <w:rFonts w:ascii="宋体" w:hAnsi="宋体" w:eastAsia="宋体"/>
              <w:sz w:val="32"/>
              <w:szCs w:val="32"/>
              <w:highlight w:val="none"/>
              <w:u w:val="none"/>
            </w:rPr>
            <w:t>目</w:t>
          </w:r>
          <w:r>
            <w:rPr>
              <w:rFonts w:hint="eastAsia" w:ascii="宋体" w:hAnsi="宋体" w:eastAsia="宋体"/>
              <w:sz w:val="32"/>
              <w:szCs w:val="32"/>
              <w:highlight w:val="none"/>
              <w:u w:val="none"/>
              <w:lang w:val="en-US" w:eastAsia="zh-CN"/>
            </w:rPr>
            <w:t xml:space="preserve"> </w:t>
          </w:r>
          <w:r>
            <w:rPr>
              <w:rFonts w:ascii="宋体" w:hAnsi="宋体" w:eastAsia="宋体"/>
              <w:sz w:val="32"/>
              <w:szCs w:val="32"/>
              <w:highlight w:val="none"/>
              <w:u w:val="none"/>
            </w:rPr>
            <w:t>录</w:t>
          </w:r>
          <w:r>
            <w:rPr>
              <w:highlight w:val="none"/>
              <w:u w:val="none"/>
            </w:rPr>
            <w:fldChar w:fldCharType="begin"/>
          </w:r>
          <w:r>
            <w:rPr>
              <w:highlight w:val="none"/>
              <w:u w:val="none"/>
            </w:rPr>
            <w:instrText xml:space="preserve">TOC \o "1-3" \h \u </w:instrText>
          </w:r>
          <w:r>
            <w:rPr>
              <w:highlight w:val="none"/>
              <w:u w:val="none"/>
            </w:rPr>
            <w:fldChar w:fldCharType="separate"/>
          </w:r>
        </w:p>
        <w:p w14:paraId="73A7418E">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黑体" w:hAnsi="黑体" w:eastAsia="黑体" w:cs="黑体"/>
              <w:sz w:val="24"/>
              <w:szCs w:val="20"/>
              <w:highlight w:val="none"/>
              <w:u w:val="none"/>
              <w:lang w:val="en-US" w:eastAsia="zh-CN"/>
            </w:rPr>
          </w:pP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HYPERLINK \l _Toc8540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一、 事故基本情况</w:t>
          </w:r>
          <w:r>
            <w:rPr>
              <w:rFonts w:hint="eastAsia" w:ascii="黑体" w:hAnsi="黑体" w:eastAsia="黑体" w:cs="黑体"/>
              <w:sz w:val="24"/>
              <w:szCs w:val="20"/>
              <w:highlight w:val="none"/>
              <w:u w:val="none"/>
              <w:lang w:val="en-US" w:eastAsia="zh-CN"/>
            </w:rPr>
            <w:tab/>
          </w: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PAGEREF _Toc8540 \h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2</w:t>
          </w:r>
          <w:r>
            <w:rPr>
              <w:rFonts w:hint="eastAsia" w:ascii="黑体" w:hAnsi="黑体" w:eastAsia="黑体" w:cs="黑体"/>
              <w:sz w:val="24"/>
              <w:szCs w:val="20"/>
              <w:highlight w:val="none"/>
              <w:u w:val="none"/>
              <w:lang w:val="en-US" w:eastAsia="zh-CN"/>
            </w:rPr>
            <w:fldChar w:fldCharType="end"/>
          </w:r>
          <w:r>
            <w:rPr>
              <w:rFonts w:hint="eastAsia" w:ascii="黑体" w:hAnsi="黑体" w:eastAsia="黑体" w:cs="黑体"/>
              <w:sz w:val="24"/>
              <w:szCs w:val="20"/>
              <w:highlight w:val="none"/>
              <w:u w:val="none"/>
              <w:lang w:val="en-US" w:eastAsia="zh-CN"/>
            </w:rPr>
            <w:fldChar w:fldCharType="end"/>
          </w:r>
        </w:p>
        <w:p w14:paraId="3C5FF944">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_Toc15185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（一）涉事工程基本信息</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_Toc15185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2</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0CEFA125">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_Toc25919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（二）工程项目参建单位基本情况</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_Toc25919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3</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595CC447">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_Toc4288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（三）相关人员基本情况</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_Toc4288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8</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75EE52F1">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_Toc8269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（四）事故发生经过</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_Toc8269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10</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2BB24EF8">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_Toc20902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（五）事故现场情况</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_Toc20902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11</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55FBB18D">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_Toc6923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（六）人员伤亡情况和直接经济损失</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_Toc6923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14</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6D5B1968">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highlight w:val="none"/>
              <w:u w:val="none"/>
            </w:rPr>
          </w:pP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HYPERLINK \l _Toc28225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二、事故应急处置及评估情况</w:t>
          </w:r>
          <w:r>
            <w:rPr>
              <w:rFonts w:hint="eastAsia" w:ascii="黑体" w:hAnsi="黑体" w:eastAsia="黑体" w:cs="黑体"/>
              <w:sz w:val="24"/>
              <w:szCs w:val="20"/>
              <w:highlight w:val="none"/>
              <w:u w:val="none"/>
              <w:lang w:val="en-US" w:eastAsia="zh-CN"/>
            </w:rPr>
            <w:tab/>
          </w: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PAGEREF _Toc28225 \h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14</w:t>
          </w:r>
          <w:r>
            <w:rPr>
              <w:rFonts w:hint="eastAsia" w:ascii="黑体" w:hAnsi="黑体" w:eastAsia="黑体" w:cs="黑体"/>
              <w:sz w:val="24"/>
              <w:szCs w:val="20"/>
              <w:highlight w:val="none"/>
              <w:u w:val="none"/>
              <w:lang w:val="en-US" w:eastAsia="zh-CN"/>
            </w:rPr>
            <w:fldChar w:fldCharType="end"/>
          </w:r>
          <w:r>
            <w:rPr>
              <w:rFonts w:hint="eastAsia" w:ascii="黑体" w:hAnsi="黑体" w:eastAsia="黑体" w:cs="黑体"/>
              <w:sz w:val="24"/>
              <w:szCs w:val="20"/>
              <w:highlight w:val="none"/>
              <w:u w:val="none"/>
              <w:lang w:val="en-US" w:eastAsia="zh-CN"/>
            </w:rPr>
            <w:fldChar w:fldCharType="end"/>
          </w:r>
        </w:p>
        <w:p w14:paraId="40C94F0E">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_Toc20319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（一）事故现场应急处置情况</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_Toc20319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14</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275CBEA1">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_Toc8437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（二）事故信息接报及响应情况</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_Toc8437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14</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7FADC202">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_Toc32207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（二）相关单位接报和应急处置情况</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_Toc32207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15</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7EA74F1D">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_Toc8478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（三）医疗救治和善后情况</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_Toc8478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16</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40BBE981">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黑体" w:hAnsi="黑体" w:eastAsia="黑体" w:cs="黑体"/>
              <w:sz w:val="24"/>
              <w:szCs w:val="20"/>
              <w:highlight w:val="none"/>
              <w:u w:val="none"/>
              <w:lang w:val="en-US" w:eastAsia="zh-CN"/>
            </w:rPr>
          </w:pP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HYPERLINK \l _Toc15758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三、事故原因分析</w:t>
          </w:r>
          <w:r>
            <w:rPr>
              <w:rFonts w:hint="eastAsia" w:ascii="黑体" w:hAnsi="黑体" w:eastAsia="黑体" w:cs="黑体"/>
              <w:sz w:val="24"/>
              <w:szCs w:val="20"/>
              <w:highlight w:val="none"/>
              <w:u w:val="none"/>
              <w:lang w:val="en-US" w:eastAsia="zh-CN"/>
            </w:rPr>
            <w:tab/>
          </w: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PAGEREF _Toc15758 \h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16</w:t>
          </w:r>
          <w:r>
            <w:rPr>
              <w:rFonts w:hint="eastAsia" w:ascii="黑体" w:hAnsi="黑体" w:eastAsia="黑体" w:cs="黑体"/>
              <w:sz w:val="24"/>
              <w:szCs w:val="20"/>
              <w:highlight w:val="none"/>
              <w:u w:val="none"/>
              <w:lang w:val="en-US" w:eastAsia="zh-CN"/>
            </w:rPr>
            <w:fldChar w:fldCharType="end"/>
          </w:r>
          <w:r>
            <w:rPr>
              <w:rFonts w:hint="eastAsia" w:ascii="黑体" w:hAnsi="黑体" w:eastAsia="黑体" w:cs="黑体"/>
              <w:sz w:val="24"/>
              <w:szCs w:val="20"/>
              <w:highlight w:val="none"/>
              <w:u w:val="none"/>
              <w:lang w:val="en-US" w:eastAsia="zh-CN"/>
            </w:rPr>
            <w:fldChar w:fldCharType="end"/>
          </w:r>
        </w:p>
        <w:p w14:paraId="415EE7C6">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_Toc31067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（一）直接原因分析</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_Toc31067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16</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051DE6D7">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_Toc26120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（二）事故间接原因</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_Toc26120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17</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2885127E">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黑体" w:hAnsi="黑体" w:eastAsia="黑体" w:cs="黑体"/>
              <w:sz w:val="24"/>
              <w:szCs w:val="20"/>
              <w:highlight w:val="none"/>
              <w:u w:val="none"/>
              <w:lang w:val="en-US" w:eastAsia="zh-CN"/>
            </w:rPr>
          </w:pP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HYPERLINK \l _Toc1394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四、相关部门履职情况</w:t>
          </w:r>
          <w:r>
            <w:rPr>
              <w:rFonts w:hint="eastAsia" w:ascii="黑体" w:hAnsi="黑体" w:eastAsia="黑体" w:cs="黑体"/>
              <w:sz w:val="24"/>
              <w:szCs w:val="20"/>
              <w:highlight w:val="none"/>
              <w:u w:val="none"/>
              <w:lang w:val="en-US" w:eastAsia="zh-CN"/>
            </w:rPr>
            <w:tab/>
          </w: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PAGEREF _Toc1394 \h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17</w:t>
          </w:r>
          <w:r>
            <w:rPr>
              <w:rFonts w:hint="eastAsia" w:ascii="黑体" w:hAnsi="黑体" w:eastAsia="黑体" w:cs="黑体"/>
              <w:sz w:val="24"/>
              <w:szCs w:val="20"/>
              <w:highlight w:val="none"/>
              <w:u w:val="none"/>
              <w:lang w:val="en-US" w:eastAsia="zh-CN"/>
            </w:rPr>
            <w:fldChar w:fldCharType="end"/>
          </w:r>
          <w:r>
            <w:rPr>
              <w:rFonts w:hint="eastAsia" w:ascii="黑体" w:hAnsi="黑体" w:eastAsia="黑体" w:cs="黑体"/>
              <w:sz w:val="24"/>
              <w:szCs w:val="20"/>
              <w:highlight w:val="none"/>
              <w:u w:val="none"/>
              <w:lang w:val="en-US" w:eastAsia="zh-CN"/>
            </w:rPr>
            <w:fldChar w:fldCharType="end"/>
          </w:r>
        </w:p>
        <w:p w14:paraId="79A98D31">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_Toc26070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（一）乐昌市云岩镇人民政府</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_Toc26070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17</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6157666E">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default"/>
              <w:lang w:val="en-US" w:eastAsia="zh-CN"/>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_Toc31729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（二）乐昌市发展和改革局</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_Toc31729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18</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5665E7E4">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黑体" w:hAnsi="黑体" w:eastAsia="黑体" w:cs="黑体"/>
              <w:sz w:val="24"/>
              <w:szCs w:val="20"/>
              <w:highlight w:val="none"/>
              <w:u w:val="none"/>
              <w:lang w:val="en-US" w:eastAsia="zh-CN"/>
            </w:rPr>
          </w:pP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HYPERLINK \l _Toc31292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五、 事故责任认定及处理建议</w:t>
          </w:r>
          <w:r>
            <w:rPr>
              <w:rFonts w:hint="eastAsia" w:ascii="黑体" w:hAnsi="黑体" w:eastAsia="黑体" w:cs="黑体"/>
              <w:sz w:val="24"/>
              <w:szCs w:val="20"/>
              <w:highlight w:val="none"/>
              <w:u w:val="none"/>
              <w:lang w:val="en-US" w:eastAsia="zh-CN"/>
            </w:rPr>
            <w:tab/>
          </w: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PAGEREF _Toc31292 \h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20</w:t>
          </w:r>
          <w:r>
            <w:rPr>
              <w:rFonts w:hint="eastAsia" w:ascii="黑体" w:hAnsi="黑体" w:eastAsia="黑体" w:cs="黑体"/>
              <w:sz w:val="24"/>
              <w:szCs w:val="20"/>
              <w:highlight w:val="none"/>
              <w:u w:val="none"/>
              <w:lang w:val="en-US" w:eastAsia="zh-CN"/>
            </w:rPr>
            <w:fldChar w:fldCharType="end"/>
          </w:r>
          <w:r>
            <w:rPr>
              <w:rFonts w:hint="eastAsia" w:ascii="黑体" w:hAnsi="黑体" w:eastAsia="黑体" w:cs="黑体"/>
              <w:sz w:val="24"/>
              <w:szCs w:val="20"/>
              <w:highlight w:val="none"/>
              <w:u w:val="none"/>
              <w:lang w:val="en-US" w:eastAsia="zh-CN"/>
            </w:rPr>
            <w:fldChar w:fldCharType="end"/>
          </w:r>
        </w:p>
        <w:p w14:paraId="55845089">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_Toc19000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（一）因在事故中死亡不予追究责任人员</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_Toc19000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20</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3443ABD7">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_Toc5019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（二）对事故有关责任人员和责任单位的</w:t>
          </w:r>
          <w:r>
            <w:rPr>
              <w:rFonts w:hint="default" w:asciiTheme="minorEastAsia" w:hAnsiTheme="minorEastAsia" w:eastAsiaTheme="minorEastAsia" w:cstheme="minorEastAsia"/>
              <w:sz w:val="24"/>
              <w:szCs w:val="20"/>
              <w:highlight w:val="none"/>
              <w:u w:val="none"/>
              <w:lang w:eastAsia="zh-CN"/>
            </w:rPr>
            <w:t>处理</w:t>
          </w:r>
          <w:r>
            <w:rPr>
              <w:rFonts w:hint="eastAsia" w:asciiTheme="minorEastAsia" w:hAnsiTheme="minorEastAsia" w:eastAsiaTheme="minorEastAsia" w:cstheme="minorEastAsia"/>
              <w:sz w:val="24"/>
              <w:szCs w:val="20"/>
              <w:highlight w:val="none"/>
              <w:u w:val="none"/>
              <w:lang w:val="en-US" w:eastAsia="zh-CN"/>
            </w:rPr>
            <w:t>建议</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_Toc5019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20</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097F95C4">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default" w:asciiTheme="minorEastAsia" w:hAnsiTheme="minorEastAsia" w:eastAsiaTheme="minorEastAsia" w:cstheme="minorEastAsia"/>
              <w:sz w:val="24"/>
              <w:szCs w:val="20"/>
              <w:highlight w:val="none"/>
              <w:u w:val="none"/>
              <w:lang w:val="en-US" w:eastAsia="zh-CN"/>
            </w:rPr>
          </w:pPr>
          <w:r>
            <w:rPr>
              <w:rFonts w:hint="eastAsia" w:asciiTheme="minorEastAsia" w:hAnsiTheme="minorEastAsia" w:eastAsiaTheme="minorEastAsia" w:cstheme="minorEastAsia"/>
              <w:sz w:val="24"/>
              <w:szCs w:val="20"/>
              <w:highlight w:val="none"/>
              <w:u w:val="none"/>
              <w:lang w:eastAsia="zh-CN"/>
            </w:rPr>
            <w:t>（</w:t>
          </w:r>
          <w:r>
            <w:rPr>
              <w:rFonts w:hint="eastAsia" w:asciiTheme="minorEastAsia" w:hAnsiTheme="minorEastAsia" w:eastAsiaTheme="minorEastAsia" w:cstheme="minorEastAsia"/>
              <w:sz w:val="24"/>
              <w:szCs w:val="20"/>
              <w:highlight w:val="none"/>
              <w:u w:val="none"/>
              <w:lang w:val="en-US" w:eastAsia="zh-CN"/>
            </w:rPr>
            <w:t>三</w:t>
          </w:r>
          <w:r>
            <w:rPr>
              <w:rFonts w:hint="eastAsia" w:asciiTheme="minorEastAsia" w:hAnsiTheme="minorEastAsia" w:eastAsiaTheme="minorEastAsia" w:cstheme="minorEastAsia"/>
              <w:sz w:val="24"/>
              <w:szCs w:val="20"/>
              <w:highlight w:val="none"/>
              <w:u w:val="none"/>
              <w:lang w:eastAsia="zh-CN"/>
            </w:rPr>
            <w:t>）</w:t>
          </w:r>
          <w:r>
            <w:rPr>
              <w:rFonts w:hint="eastAsia" w:asciiTheme="minorEastAsia" w:hAnsiTheme="minorEastAsia" w:eastAsiaTheme="minorEastAsia" w:cstheme="minorEastAsia"/>
              <w:sz w:val="24"/>
              <w:szCs w:val="20"/>
              <w:highlight w:val="none"/>
              <w:u w:val="none"/>
              <w:lang w:val="en-US" w:eastAsia="zh-CN"/>
            </w:rPr>
            <w:t>相关单位和人员处理意见............................................25</w:t>
          </w:r>
        </w:p>
        <w:p w14:paraId="65D84479">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黑体" w:hAnsi="黑体" w:eastAsia="黑体" w:cs="黑体"/>
              <w:sz w:val="24"/>
              <w:szCs w:val="20"/>
              <w:highlight w:val="none"/>
              <w:u w:val="none"/>
              <w:lang w:val="en-US" w:eastAsia="zh-CN"/>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_Toc22147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fldChar w:fldCharType="end"/>
          </w: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HYPERLINK \l _Toc2748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六、事故教训及事故防范措施建议</w:t>
          </w:r>
          <w:r>
            <w:rPr>
              <w:rFonts w:hint="eastAsia" w:ascii="黑体" w:hAnsi="黑体" w:eastAsia="黑体" w:cs="黑体"/>
              <w:sz w:val="24"/>
              <w:szCs w:val="20"/>
              <w:highlight w:val="none"/>
              <w:u w:val="none"/>
              <w:lang w:val="en-US" w:eastAsia="zh-CN"/>
            </w:rPr>
            <w:tab/>
          </w:r>
          <w:r>
            <w:rPr>
              <w:rFonts w:hint="eastAsia" w:ascii="黑体" w:hAnsi="黑体" w:eastAsia="黑体" w:cs="黑体"/>
              <w:sz w:val="24"/>
              <w:szCs w:val="20"/>
              <w:highlight w:val="none"/>
              <w:u w:val="none"/>
              <w:lang w:val="en-US" w:eastAsia="zh-CN"/>
            </w:rPr>
            <w:fldChar w:fldCharType="begin"/>
          </w:r>
          <w:r>
            <w:rPr>
              <w:rFonts w:hint="eastAsia" w:ascii="黑体" w:hAnsi="黑体" w:eastAsia="黑体" w:cs="黑体"/>
              <w:sz w:val="24"/>
              <w:szCs w:val="20"/>
              <w:highlight w:val="none"/>
              <w:u w:val="none"/>
              <w:lang w:val="en-US" w:eastAsia="zh-CN"/>
            </w:rPr>
            <w:instrText xml:space="preserve"> PAGEREF _Toc2748 \h </w:instrText>
          </w:r>
          <w:r>
            <w:rPr>
              <w:rFonts w:hint="eastAsia" w:ascii="黑体" w:hAnsi="黑体" w:eastAsia="黑体" w:cs="黑体"/>
              <w:sz w:val="24"/>
              <w:szCs w:val="20"/>
              <w:highlight w:val="none"/>
              <w:u w:val="none"/>
              <w:lang w:val="en-US" w:eastAsia="zh-CN"/>
            </w:rPr>
            <w:fldChar w:fldCharType="separate"/>
          </w:r>
          <w:r>
            <w:rPr>
              <w:rFonts w:hint="eastAsia" w:ascii="黑体" w:hAnsi="黑体" w:eastAsia="黑体" w:cs="黑体"/>
              <w:sz w:val="24"/>
              <w:szCs w:val="20"/>
              <w:highlight w:val="none"/>
              <w:u w:val="none"/>
              <w:lang w:val="en-US" w:eastAsia="zh-CN"/>
            </w:rPr>
            <w:t>27</w:t>
          </w:r>
          <w:r>
            <w:rPr>
              <w:rFonts w:hint="eastAsia" w:ascii="黑体" w:hAnsi="黑体" w:eastAsia="黑体" w:cs="黑体"/>
              <w:sz w:val="24"/>
              <w:szCs w:val="20"/>
              <w:highlight w:val="none"/>
              <w:u w:val="none"/>
              <w:lang w:val="en-US" w:eastAsia="zh-CN"/>
            </w:rPr>
            <w:fldChar w:fldCharType="end"/>
          </w:r>
          <w:r>
            <w:rPr>
              <w:rFonts w:hint="eastAsia" w:ascii="黑体" w:hAnsi="黑体" w:eastAsia="黑体" w:cs="黑体"/>
              <w:sz w:val="24"/>
              <w:szCs w:val="20"/>
              <w:highlight w:val="none"/>
              <w:u w:val="none"/>
              <w:lang w:val="en-US" w:eastAsia="zh-CN"/>
            </w:rPr>
            <w:fldChar w:fldCharType="end"/>
          </w:r>
        </w:p>
        <w:p w14:paraId="54ED5972">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4"/>
              <w:szCs w:val="20"/>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_Toc26184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（一） 事故教训</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_Toc26184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27</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3A327843">
          <w:pPr>
            <w:pStyle w:val="7"/>
            <w:keepNext w:val="0"/>
            <w:keepLines w:val="0"/>
            <w:pageBreakBefore w:val="0"/>
            <w:widowControl w:val="0"/>
            <w:tabs>
              <w:tab w:val="right" w:leader="dot" w:pos="8845"/>
            </w:tabs>
            <w:kinsoku/>
            <w:wordWrap/>
            <w:overflowPunct/>
            <w:topLinePunct w:val="0"/>
            <w:autoSpaceDE/>
            <w:autoSpaceDN/>
            <w:bidi w:val="0"/>
            <w:adjustRightInd/>
            <w:snapToGrid/>
            <w:spacing w:line="360" w:lineRule="auto"/>
            <w:ind w:left="0" w:leftChars="0" w:firstLine="0" w:firstLineChars="0"/>
            <w:textAlignment w:val="auto"/>
            <w:rPr>
              <w:highlight w:val="none"/>
              <w:u w:val="none"/>
            </w:rPr>
          </w:pP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HYPERLINK \l _Toc3119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lang w:val="en-US" w:eastAsia="zh-CN"/>
            </w:rPr>
            <w:t>（二） 事故防范措施建议</w:t>
          </w:r>
          <w:r>
            <w:rPr>
              <w:rFonts w:hint="eastAsia" w:asciiTheme="minorEastAsia" w:hAnsiTheme="minorEastAsia" w:eastAsiaTheme="minorEastAsia" w:cstheme="minorEastAsia"/>
              <w:sz w:val="24"/>
              <w:szCs w:val="20"/>
              <w:highlight w:val="none"/>
              <w:u w:val="none"/>
            </w:rPr>
            <w:tab/>
          </w:r>
          <w:r>
            <w:rPr>
              <w:rFonts w:hint="eastAsia" w:asciiTheme="minorEastAsia" w:hAnsiTheme="minorEastAsia" w:eastAsiaTheme="minorEastAsia" w:cstheme="minorEastAsia"/>
              <w:sz w:val="24"/>
              <w:szCs w:val="20"/>
              <w:highlight w:val="none"/>
              <w:u w:val="none"/>
            </w:rPr>
            <w:fldChar w:fldCharType="begin"/>
          </w:r>
          <w:r>
            <w:rPr>
              <w:rFonts w:hint="eastAsia" w:asciiTheme="minorEastAsia" w:hAnsiTheme="minorEastAsia" w:eastAsiaTheme="minorEastAsia" w:cstheme="minorEastAsia"/>
              <w:sz w:val="24"/>
              <w:szCs w:val="20"/>
              <w:highlight w:val="none"/>
              <w:u w:val="none"/>
            </w:rPr>
            <w:instrText xml:space="preserve"> PAGEREF _Toc3119 \h </w:instrText>
          </w:r>
          <w:r>
            <w:rPr>
              <w:rFonts w:hint="eastAsia" w:asciiTheme="minorEastAsia" w:hAnsiTheme="minorEastAsia" w:eastAsiaTheme="minorEastAsia" w:cstheme="minorEastAsia"/>
              <w:sz w:val="24"/>
              <w:szCs w:val="20"/>
              <w:highlight w:val="none"/>
              <w:u w:val="none"/>
            </w:rPr>
            <w:fldChar w:fldCharType="separate"/>
          </w:r>
          <w:r>
            <w:rPr>
              <w:rFonts w:hint="eastAsia" w:asciiTheme="minorEastAsia" w:hAnsiTheme="minorEastAsia" w:eastAsiaTheme="minorEastAsia" w:cstheme="minorEastAsia"/>
              <w:sz w:val="24"/>
              <w:szCs w:val="20"/>
              <w:highlight w:val="none"/>
              <w:u w:val="none"/>
            </w:rPr>
            <w:t>28</w:t>
          </w:r>
          <w:r>
            <w:rPr>
              <w:rFonts w:hint="eastAsia" w:asciiTheme="minorEastAsia" w:hAnsiTheme="minorEastAsia" w:eastAsiaTheme="minorEastAsia" w:cstheme="minorEastAsia"/>
              <w:sz w:val="24"/>
              <w:szCs w:val="20"/>
              <w:highlight w:val="none"/>
              <w:u w:val="none"/>
            </w:rPr>
            <w:fldChar w:fldCharType="end"/>
          </w:r>
          <w:r>
            <w:rPr>
              <w:rFonts w:hint="eastAsia" w:asciiTheme="minorEastAsia" w:hAnsiTheme="minorEastAsia" w:eastAsiaTheme="minorEastAsia" w:cstheme="minorEastAsia"/>
              <w:sz w:val="24"/>
              <w:szCs w:val="20"/>
              <w:highlight w:val="none"/>
              <w:u w:val="none"/>
            </w:rPr>
            <w:fldChar w:fldCharType="end"/>
          </w:r>
        </w:p>
        <w:p w14:paraId="6F62352D">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both"/>
            <w:textAlignment w:val="auto"/>
            <w:rPr>
              <w:highlight w:val="none"/>
              <w:u w:val="none"/>
            </w:rPr>
          </w:pPr>
          <w:r>
            <w:rPr>
              <w:highlight w:val="none"/>
              <w:u w:val="none"/>
            </w:rPr>
            <w:fldChar w:fldCharType="end"/>
          </w:r>
        </w:p>
      </w:sdtContent>
    </w:sdt>
    <w:p w14:paraId="21302F60">
      <w:pPr>
        <w:rPr>
          <w:highlight w:val="none"/>
          <w:u w:val="none"/>
        </w:rPr>
      </w:pPr>
    </w:p>
    <w:p w14:paraId="32212E14">
      <w:pPr>
        <w:pStyle w:val="2"/>
        <w:pageBreakBefore w:val="0"/>
        <w:kinsoku/>
        <w:overflowPunct/>
        <w:topLinePunct w:val="0"/>
        <w:autoSpaceDE/>
        <w:autoSpaceDN/>
        <w:bidi w:val="0"/>
        <w:adjustRightInd/>
        <w:snapToGrid/>
        <w:spacing w:line="600" w:lineRule="exact"/>
        <w:jc w:val="center"/>
        <w:rPr>
          <w:rFonts w:hint="eastAsia"/>
          <w:highlight w:val="none"/>
          <w:u w:val="none"/>
        </w:rPr>
        <w:sectPr>
          <w:footerReference r:id="rId6" w:type="default"/>
          <w:pgSz w:w="11906" w:h="16838"/>
          <w:pgMar w:top="1304" w:right="1474" w:bottom="1304" w:left="158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4" w:name="_Toc8119"/>
      <w:bookmarkStart w:id="5" w:name="_Toc3292"/>
    </w:p>
    <w:p w14:paraId="1C0BCE53">
      <w:pPr>
        <w:pStyle w:val="2"/>
        <w:pageBreakBefore w:val="0"/>
        <w:kinsoku/>
        <w:overflowPunct/>
        <w:topLinePunct w:val="0"/>
        <w:autoSpaceDE/>
        <w:autoSpaceDN/>
        <w:bidi w:val="0"/>
        <w:adjustRightInd/>
        <w:snapToGrid/>
        <w:spacing w:line="600" w:lineRule="exact"/>
        <w:jc w:val="center"/>
        <w:rPr>
          <w:rFonts w:hint="eastAsia"/>
          <w:highlight w:val="none"/>
          <w:u w:val="none"/>
        </w:rPr>
      </w:pPr>
      <w:r>
        <w:rPr>
          <w:rFonts w:hint="eastAsia"/>
          <w:highlight w:val="none"/>
          <w:u w:val="none"/>
          <w:lang w:val="en-US" w:eastAsia="zh-CN"/>
        </w:rPr>
        <w:t>乐昌</w:t>
      </w:r>
      <w:r>
        <w:rPr>
          <w:rFonts w:hint="eastAsia"/>
          <w:highlight w:val="none"/>
          <w:u w:val="none"/>
        </w:rPr>
        <w:t>云岩</w:t>
      </w:r>
      <w:r>
        <w:rPr>
          <w:rFonts w:hint="eastAsia"/>
          <w:highlight w:val="none"/>
          <w:u w:val="none"/>
          <w:lang w:val="en-US" w:eastAsia="zh-CN"/>
        </w:rPr>
        <w:t>广州发展乐昌云岩</w:t>
      </w:r>
      <w:r>
        <w:rPr>
          <w:rFonts w:hint="eastAsia"/>
          <w:highlight w:val="none"/>
          <w:u w:val="none"/>
        </w:rPr>
        <w:t>100MW农光互补</w:t>
      </w:r>
      <w:r>
        <w:rPr>
          <w:rFonts w:hint="eastAsia"/>
          <w:highlight w:val="none"/>
          <w:u w:val="none"/>
          <w:lang w:val="en-US" w:eastAsia="zh-CN"/>
        </w:rPr>
        <w:t>光伏发电</w:t>
      </w:r>
      <w:r>
        <w:rPr>
          <w:rFonts w:hint="eastAsia"/>
          <w:highlight w:val="none"/>
          <w:u w:val="none"/>
        </w:rPr>
        <w:t>项目“10·2”</w:t>
      </w:r>
      <w:bookmarkEnd w:id="4"/>
      <w:bookmarkEnd w:id="5"/>
      <w:bookmarkStart w:id="6" w:name="_Toc1578"/>
      <w:bookmarkStart w:id="7" w:name="_Toc30377"/>
      <w:r>
        <w:rPr>
          <w:rFonts w:hint="eastAsia"/>
          <w:highlight w:val="none"/>
          <w:u w:val="none"/>
        </w:rPr>
        <w:t>一般物体打击事故</w:t>
      </w:r>
    </w:p>
    <w:p w14:paraId="1BE339FF">
      <w:pPr>
        <w:pStyle w:val="2"/>
        <w:pageBreakBefore w:val="0"/>
        <w:kinsoku/>
        <w:overflowPunct/>
        <w:topLinePunct w:val="0"/>
        <w:autoSpaceDE/>
        <w:autoSpaceDN/>
        <w:bidi w:val="0"/>
        <w:adjustRightInd/>
        <w:snapToGrid/>
        <w:spacing w:line="600" w:lineRule="exact"/>
        <w:jc w:val="center"/>
        <w:rPr>
          <w:rFonts w:hint="default" w:eastAsia="方正小标宋简体"/>
          <w:highlight w:val="none"/>
          <w:u w:val="none"/>
          <w:lang w:val="en-US" w:eastAsia="zh-CN"/>
        </w:rPr>
      </w:pPr>
      <w:r>
        <w:rPr>
          <w:rFonts w:hint="eastAsia"/>
          <w:highlight w:val="none"/>
          <w:u w:val="none"/>
          <w:lang w:val="en-US" w:eastAsia="zh-CN"/>
        </w:rPr>
        <w:t>调查报告</w:t>
      </w:r>
      <w:bookmarkEnd w:id="6"/>
      <w:bookmarkEnd w:id="7"/>
    </w:p>
    <w:p w14:paraId="00230B97">
      <w:pPr>
        <w:pageBreakBefore w:val="0"/>
        <w:kinsoku/>
        <w:overflowPunct/>
        <w:topLinePunct w:val="0"/>
        <w:autoSpaceDE/>
        <w:autoSpaceDN/>
        <w:bidi w:val="0"/>
        <w:adjustRightInd/>
        <w:snapToGrid/>
        <w:spacing w:line="600" w:lineRule="exact"/>
        <w:ind w:firstLine="640" w:firstLineChars="200"/>
        <w:rPr>
          <w:rFonts w:hint="eastAsia"/>
          <w:highlight w:val="none"/>
          <w:u w:val="none"/>
          <w:lang w:val="en-US" w:eastAsia="zh-CN"/>
        </w:rPr>
      </w:pPr>
    </w:p>
    <w:p w14:paraId="3727515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2024年10月2日，</w:t>
      </w:r>
      <w:r>
        <w:rPr>
          <w:rFonts w:hint="eastAsia"/>
          <w:sz w:val="32"/>
          <w:szCs w:val="32"/>
          <w:highlight w:val="none"/>
          <w:u w:val="none"/>
          <w:lang w:val="en-US" w:eastAsia="zh-CN"/>
        </w:rPr>
        <w:t>广州发展乐昌云岩</w:t>
      </w:r>
      <w:r>
        <w:rPr>
          <w:rFonts w:hint="eastAsia" w:ascii="仿宋_GB2312" w:hAnsi="仿宋_GB2312" w:eastAsia="仿宋_GB2312" w:cs="仿宋_GB2312"/>
          <w:sz w:val="32"/>
          <w:szCs w:val="32"/>
          <w:highlight w:val="none"/>
          <w:u w:val="none"/>
          <w:lang w:val="en-US" w:eastAsia="zh-CN"/>
        </w:rPr>
        <w:t>100MW农光互补</w:t>
      </w:r>
      <w:r>
        <w:rPr>
          <w:rFonts w:hint="eastAsia" w:ascii="仿宋_GB2312" w:hAnsi="仿宋_GB2312" w:cs="仿宋_GB2312"/>
          <w:sz w:val="32"/>
          <w:szCs w:val="32"/>
          <w:highlight w:val="none"/>
          <w:u w:val="none"/>
          <w:lang w:val="en-US" w:eastAsia="zh-CN"/>
        </w:rPr>
        <w:t>光伏发电</w:t>
      </w:r>
      <w:r>
        <w:rPr>
          <w:rFonts w:hint="eastAsia" w:ascii="仿宋_GB2312" w:hAnsi="仿宋_GB2312" w:eastAsia="仿宋_GB2312" w:cs="仿宋_GB2312"/>
          <w:sz w:val="32"/>
          <w:szCs w:val="32"/>
          <w:highlight w:val="none"/>
          <w:u w:val="none"/>
          <w:lang w:val="en-US" w:eastAsia="zh-CN"/>
        </w:rPr>
        <w:t>项目的乐昌市云岩镇</w:t>
      </w:r>
      <w:r>
        <w:rPr>
          <w:rFonts w:hint="eastAsia" w:ascii="仿宋_GB2312" w:hAnsi="仿宋_GB2312" w:cs="仿宋_GB2312"/>
          <w:sz w:val="32"/>
          <w:szCs w:val="32"/>
          <w:highlight w:val="none"/>
          <w:u w:val="none"/>
          <w:lang w:val="en-US" w:eastAsia="zh-CN"/>
        </w:rPr>
        <w:t>xxx</w:t>
      </w:r>
      <w:r>
        <w:rPr>
          <w:rFonts w:hint="eastAsia" w:ascii="仿宋_GB2312" w:hAnsi="仿宋_GB2312" w:eastAsia="仿宋_GB2312" w:cs="仿宋_GB2312"/>
          <w:sz w:val="32"/>
          <w:szCs w:val="32"/>
          <w:highlight w:val="none"/>
          <w:u w:val="none"/>
          <w:lang w:val="en-US" w:eastAsia="zh-CN"/>
        </w:rPr>
        <w:t>村</w:t>
      </w:r>
      <w:r>
        <w:rPr>
          <w:rFonts w:hint="eastAsia" w:ascii="仿宋_GB2312" w:hAnsi="仿宋_GB2312" w:cs="仿宋_GB2312"/>
          <w:sz w:val="32"/>
          <w:szCs w:val="32"/>
          <w:highlight w:val="none"/>
          <w:u w:val="none"/>
          <w:lang w:val="en-US" w:eastAsia="zh-CN"/>
        </w:rPr>
        <w:t>xx</w:t>
      </w:r>
      <w:r>
        <w:rPr>
          <w:rFonts w:hint="eastAsia" w:ascii="仿宋_GB2312" w:hAnsi="仿宋_GB2312" w:eastAsia="仿宋_GB2312" w:cs="仿宋_GB2312"/>
          <w:sz w:val="32"/>
          <w:szCs w:val="32"/>
          <w:highlight w:val="none"/>
          <w:u w:val="none"/>
          <w:lang w:val="en-US" w:eastAsia="zh-CN"/>
        </w:rPr>
        <w:t>岭组光伏片区工地发生一起物体打击事故，造成一死一伤</w:t>
      </w:r>
      <w:r>
        <w:rPr>
          <w:rFonts w:hint="eastAsia" w:ascii="仿宋_GB2312" w:hAnsi="仿宋_GB2312" w:cs="仿宋_GB2312"/>
          <w:sz w:val="32"/>
          <w:szCs w:val="32"/>
          <w:highlight w:val="none"/>
          <w:u w:val="none"/>
          <w:lang w:val="en-US" w:eastAsia="zh-CN"/>
        </w:rPr>
        <w:t>，直接经济损失约</w:t>
      </w:r>
      <w:r>
        <w:rPr>
          <w:rFonts w:hint="eastAsia" w:ascii="仿宋_GB2312" w:hAnsi="宋体" w:cs="仿宋_GB2312"/>
          <w:color w:val="000000"/>
          <w:kern w:val="0"/>
          <w:sz w:val="32"/>
          <w:szCs w:val="32"/>
          <w:highlight w:val="none"/>
          <w:u w:val="none"/>
          <w:lang w:val="en-US" w:eastAsia="zh-CN" w:bidi="ar"/>
        </w:rPr>
        <w:t>143.5622万元。</w:t>
      </w:r>
      <w:r>
        <w:rPr>
          <w:rFonts w:hint="eastAsia" w:ascii="仿宋_GB2312" w:hAnsi="仿宋_GB2312" w:cs="仿宋_GB2312"/>
          <w:sz w:val="32"/>
          <w:szCs w:val="32"/>
          <w:highlight w:val="none"/>
          <w:u w:val="none"/>
          <w:lang w:val="en-US" w:eastAsia="zh-CN"/>
        </w:rPr>
        <w:t>死者王x武，男，系</w:t>
      </w:r>
      <w:r>
        <w:rPr>
          <w:rFonts w:hint="eastAsia" w:ascii="仿宋_GB2312" w:hAnsi="仿宋_GB2312" w:eastAsia="仿宋_GB2312" w:cs="仿宋_GB2312"/>
          <w:i w:val="0"/>
          <w:iCs w:val="0"/>
          <w:color w:val="000000"/>
          <w:kern w:val="0"/>
          <w:sz w:val="32"/>
          <w:szCs w:val="32"/>
          <w:highlight w:val="none"/>
          <w:u w:val="none"/>
          <w:lang w:val="en-US" w:eastAsia="zh-CN" w:bidi="ar"/>
        </w:rPr>
        <w:t>赤峰市</w:t>
      </w:r>
      <w:r>
        <w:rPr>
          <w:rFonts w:hint="eastAsia" w:ascii="仿宋_GB2312" w:hAnsi="仿宋_GB2312" w:cs="仿宋_GB2312"/>
          <w:i w:val="0"/>
          <w:iCs w:val="0"/>
          <w:color w:val="000000"/>
          <w:kern w:val="0"/>
          <w:sz w:val="32"/>
          <w:szCs w:val="32"/>
          <w:highlight w:val="none"/>
          <w:u w:val="none"/>
          <w:lang w:val="en-US" w:eastAsia="zh-CN" w:bidi="ar"/>
        </w:rPr>
        <w:t>x速</w:t>
      </w:r>
      <w:r>
        <w:rPr>
          <w:rFonts w:hint="eastAsia" w:ascii="仿宋_GB2312" w:hAnsi="仿宋_GB2312" w:eastAsia="仿宋_GB2312" w:cs="仿宋_GB2312"/>
          <w:i w:val="0"/>
          <w:iCs w:val="0"/>
          <w:color w:val="000000"/>
          <w:kern w:val="0"/>
          <w:sz w:val="32"/>
          <w:szCs w:val="32"/>
          <w:highlight w:val="none"/>
          <w:u w:val="none"/>
          <w:lang w:val="en-US" w:eastAsia="zh-CN" w:bidi="ar"/>
        </w:rPr>
        <w:t>电力工程安装有限公司</w:t>
      </w:r>
      <w:r>
        <w:rPr>
          <w:rFonts w:hint="eastAsia"/>
          <w:sz w:val="32"/>
          <w:szCs w:val="32"/>
          <w:highlight w:val="none"/>
          <w:u w:val="none"/>
          <w:lang w:val="en-US" w:eastAsia="zh-CN"/>
        </w:rPr>
        <w:t>广州发展乐昌云岩</w:t>
      </w:r>
      <w:r>
        <w:rPr>
          <w:rFonts w:hint="eastAsia" w:ascii="仿宋_GB2312" w:hAnsi="仿宋_GB2312" w:eastAsia="仿宋_GB2312" w:cs="仿宋_GB2312"/>
          <w:sz w:val="32"/>
          <w:szCs w:val="32"/>
          <w:highlight w:val="none"/>
          <w:u w:val="none"/>
          <w:lang w:val="en-US" w:eastAsia="zh-CN"/>
        </w:rPr>
        <w:t>100MW农光互补光伏</w:t>
      </w:r>
      <w:r>
        <w:rPr>
          <w:rFonts w:hint="eastAsia" w:ascii="仿宋_GB2312" w:hAnsi="仿宋_GB2312" w:cs="仿宋_GB2312"/>
          <w:sz w:val="32"/>
          <w:szCs w:val="32"/>
          <w:highlight w:val="none"/>
          <w:u w:val="none"/>
          <w:lang w:val="en-US" w:eastAsia="zh-CN"/>
        </w:rPr>
        <w:t>发电</w:t>
      </w:r>
      <w:r>
        <w:rPr>
          <w:rFonts w:hint="eastAsia" w:ascii="仿宋_GB2312" w:hAnsi="仿宋_GB2312" w:eastAsia="仿宋_GB2312" w:cs="仿宋_GB2312"/>
          <w:sz w:val="32"/>
          <w:szCs w:val="32"/>
          <w:highlight w:val="none"/>
          <w:u w:val="none"/>
          <w:lang w:val="en-US" w:eastAsia="zh-CN"/>
        </w:rPr>
        <w:t>项目</w:t>
      </w:r>
      <w:r>
        <w:rPr>
          <w:rFonts w:hint="eastAsia" w:ascii="仿宋_GB2312" w:hAnsi="仿宋_GB2312" w:cs="仿宋_GB2312"/>
          <w:sz w:val="32"/>
          <w:szCs w:val="32"/>
          <w:highlight w:val="none"/>
          <w:u w:val="none"/>
          <w:lang w:val="en-US" w:eastAsia="zh-CN"/>
        </w:rPr>
        <w:t>工人。伤者邹x丽，女，系</w:t>
      </w:r>
      <w:r>
        <w:rPr>
          <w:rFonts w:hint="eastAsia" w:ascii="仿宋_GB2312" w:hAnsi="仿宋_GB2312" w:eastAsia="仿宋_GB2312" w:cs="仿宋_GB2312"/>
          <w:i w:val="0"/>
          <w:iCs w:val="0"/>
          <w:color w:val="000000"/>
          <w:kern w:val="0"/>
          <w:sz w:val="32"/>
          <w:szCs w:val="32"/>
          <w:highlight w:val="none"/>
          <w:u w:val="none"/>
          <w:lang w:val="en-US" w:eastAsia="zh-CN" w:bidi="ar"/>
        </w:rPr>
        <w:t>赤峰市</w:t>
      </w:r>
      <w:r>
        <w:rPr>
          <w:rFonts w:hint="eastAsia" w:ascii="仿宋_GB2312" w:hAnsi="仿宋_GB2312" w:cs="仿宋_GB2312"/>
          <w:i w:val="0"/>
          <w:iCs w:val="0"/>
          <w:color w:val="000000"/>
          <w:kern w:val="0"/>
          <w:sz w:val="32"/>
          <w:szCs w:val="32"/>
          <w:highlight w:val="none"/>
          <w:u w:val="none"/>
          <w:lang w:val="en-US" w:eastAsia="zh-CN" w:bidi="ar"/>
        </w:rPr>
        <w:t>x速</w:t>
      </w:r>
      <w:r>
        <w:rPr>
          <w:rFonts w:hint="eastAsia" w:ascii="仿宋_GB2312" w:hAnsi="仿宋_GB2312" w:eastAsia="仿宋_GB2312" w:cs="仿宋_GB2312"/>
          <w:i w:val="0"/>
          <w:iCs w:val="0"/>
          <w:color w:val="000000"/>
          <w:kern w:val="0"/>
          <w:sz w:val="32"/>
          <w:szCs w:val="32"/>
          <w:highlight w:val="none"/>
          <w:u w:val="none"/>
          <w:lang w:val="en-US" w:eastAsia="zh-CN" w:bidi="ar"/>
        </w:rPr>
        <w:t>电力工程安装有限公司</w:t>
      </w:r>
      <w:r>
        <w:rPr>
          <w:rFonts w:hint="eastAsia"/>
          <w:sz w:val="32"/>
          <w:szCs w:val="32"/>
          <w:highlight w:val="none"/>
          <w:u w:val="none"/>
          <w:lang w:val="en-US" w:eastAsia="zh-CN"/>
        </w:rPr>
        <w:t>广州发展乐昌云岩</w:t>
      </w:r>
      <w:r>
        <w:rPr>
          <w:rFonts w:hint="eastAsia" w:ascii="仿宋_GB2312" w:hAnsi="仿宋_GB2312" w:eastAsia="仿宋_GB2312" w:cs="仿宋_GB2312"/>
          <w:sz w:val="32"/>
          <w:szCs w:val="32"/>
          <w:highlight w:val="none"/>
          <w:u w:val="none"/>
          <w:lang w:val="en-US" w:eastAsia="zh-CN"/>
        </w:rPr>
        <w:t>100MW农光互补光伏</w:t>
      </w:r>
      <w:r>
        <w:rPr>
          <w:rFonts w:hint="eastAsia" w:ascii="仿宋_GB2312" w:hAnsi="仿宋_GB2312" w:cs="仿宋_GB2312"/>
          <w:sz w:val="32"/>
          <w:szCs w:val="32"/>
          <w:highlight w:val="none"/>
          <w:u w:val="none"/>
          <w:lang w:val="en-US" w:eastAsia="zh-CN"/>
        </w:rPr>
        <w:t>发电</w:t>
      </w:r>
      <w:r>
        <w:rPr>
          <w:rFonts w:hint="eastAsia" w:ascii="仿宋_GB2312" w:hAnsi="仿宋_GB2312" w:eastAsia="仿宋_GB2312" w:cs="仿宋_GB2312"/>
          <w:sz w:val="32"/>
          <w:szCs w:val="32"/>
          <w:highlight w:val="none"/>
          <w:u w:val="none"/>
          <w:lang w:val="en-US" w:eastAsia="zh-CN"/>
        </w:rPr>
        <w:t>项目</w:t>
      </w:r>
      <w:r>
        <w:rPr>
          <w:rFonts w:hint="eastAsia" w:ascii="仿宋_GB2312" w:hAnsi="仿宋_GB2312" w:cs="仿宋_GB2312"/>
          <w:sz w:val="32"/>
          <w:szCs w:val="32"/>
          <w:highlight w:val="none"/>
          <w:u w:val="none"/>
          <w:lang w:val="en-US" w:eastAsia="zh-CN"/>
        </w:rPr>
        <w:t>工人。</w:t>
      </w:r>
    </w:p>
    <w:p w14:paraId="307AE9E6">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事故发生后</w:t>
      </w:r>
      <w:r>
        <w:rPr>
          <w:rFonts w:hint="eastAsia" w:ascii="仿宋_GB2312" w:hAnsi="仿宋_GB2312" w:eastAsia="仿宋_GB2312" w:cs="仿宋_GB2312"/>
          <w:sz w:val="32"/>
          <w:szCs w:val="32"/>
          <w:highlight w:val="none"/>
          <w:u w:val="none"/>
        </w:rPr>
        <w:t>，</w:t>
      </w:r>
      <w:r>
        <w:rPr>
          <w:rFonts w:hint="eastAsia" w:ascii="仿宋_GB2312" w:hAnsi="仿宋_GB2312" w:cs="仿宋_GB2312"/>
          <w:sz w:val="32"/>
          <w:szCs w:val="32"/>
          <w:highlight w:val="none"/>
          <w:u w:val="none"/>
          <w:lang w:eastAsia="zh-CN"/>
        </w:rPr>
        <w:t>乐昌</w:t>
      </w:r>
      <w:r>
        <w:rPr>
          <w:rFonts w:hint="eastAsia" w:ascii="仿宋_GB2312" w:hAnsi="仿宋_GB2312" w:eastAsia="仿宋_GB2312" w:cs="仿宋_GB2312"/>
          <w:sz w:val="32"/>
          <w:szCs w:val="32"/>
          <w:highlight w:val="none"/>
          <w:u w:val="none"/>
        </w:rPr>
        <w:t>市委、市政府高度重视，</w:t>
      </w:r>
      <w:r>
        <w:rPr>
          <w:rFonts w:hint="default" w:ascii="仿宋_GB2312" w:hAnsi="仿宋_GB2312" w:eastAsia="仿宋_GB2312" w:cs="仿宋_GB2312"/>
          <w:sz w:val="32"/>
          <w:szCs w:val="32"/>
          <w:highlight w:val="none"/>
          <w:u w:val="none"/>
          <w:lang w:val="en-US" w:eastAsia="zh-CN"/>
        </w:rPr>
        <w:t>市委书记钟曦第一时间指示</w:t>
      </w:r>
      <w:r>
        <w:rPr>
          <w:rFonts w:hint="eastAsia" w:ascii="仿宋_GB2312" w:hAnsi="仿宋_GB2312" w:eastAsia="仿宋_GB2312" w:cs="仿宋_GB2312"/>
          <w:sz w:val="32"/>
          <w:szCs w:val="32"/>
          <w:highlight w:val="none"/>
          <w:u w:val="none"/>
          <w:lang w:val="en-US" w:eastAsia="zh-CN"/>
        </w:rPr>
        <w:t>：全力救治伤员，妥善做好善后工作，并举一反三，坚决杜绝类似事件发生。</w:t>
      </w:r>
      <w:r>
        <w:rPr>
          <w:rFonts w:hint="eastAsia" w:ascii="仿宋_GB2312" w:hAnsi="仿宋_GB2312" w:cs="仿宋_GB2312"/>
          <w:sz w:val="32"/>
          <w:szCs w:val="32"/>
          <w:highlight w:val="none"/>
          <w:u w:val="none"/>
          <w:lang w:eastAsia="zh-CN"/>
        </w:rPr>
        <w:t>乐昌</w:t>
      </w:r>
      <w:r>
        <w:rPr>
          <w:rFonts w:hint="eastAsia" w:ascii="仿宋_GB2312" w:hAnsi="仿宋_GB2312" w:eastAsia="仿宋_GB2312" w:cs="仿宋_GB2312"/>
          <w:sz w:val="32"/>
          <w:szCs w:val="32"/>
          <w:highlight w:val="none"/>
          <w:u w:val="none"/>
          <w:lang w:eastAsia="zh-CN"/>
        </w:rPr>
        <w:t>市委副书记、市长刘华益</w:t>
      </w:r>
      <w:r>
        <w:rPr>
          <w:rFonts w:hint="eastAsia" w:ascii="仿宋_GB2312" w:hAnsi="仿宋_GB2312" w:cs="仿宋_GB2312"/>
          <w:sz w:val="32"/>
          <w:szCs w:val="32"/>
          <w:highlight w:val="none"/>
          <w:u w:val="none"/>
          <w:lang w:eastAsia="zh-CN"/>
        </w:rPr>
        <w:t>，乐昌</w:t>
      </w:r>
      <w:r>
        <w:rPr>
          <w:rFonts w:hint="eastAsia" w:ascii="仿宋_GB2312" w:hAnsi="仿宋_GB2312" w:eastAsia="仿宋_GB2312" w:cs="仿宋_GB2312"/>
          <w:sz w:val="32"/>
          <w:szCs w:val="32"/>
          <w:highlight w:val="none"/>
          <w:u w:val="none"/>
          <w:lang w:eastAsia="zh-CN"/>
        </w:rPr>
        <w:t>市委常委、常务副市长张英宏</w:t>
      </w:r>
      <w:r>
        <w:rPr>
          <w:rFonts w:hint="eastAsia" w:ascii="仿宋_GB2312" w:hAnsi="仿宋_GB2312" w:cs="仿宋_GB2312"/>
          <w:sz w:val="32"/>
          <w:szCs w:val="32"/>
          <w:highlight w:val="none"/>
          <w:u w:val="none"/>
          <w:lang w:eastAsia="zh-CN"/>
        </w:rPr>
        <w:t>，乐昌</w:t>
      </w:r>
      <w:r>
        <w:rPr>
          <w:rFonts w:hint="eastAsia" w:ascii="仿宋_GB2312" w:hAnsi="仿宋_GB2312" w:eastAsia="仿宋_GB2312" w:cs="仿宋_GB2312"/>
          <w:sz w:val="32"/>
          <w:szCs w:val="32"/>
          <w:highlight w:val="none"/>
          <w:u w:val="none"/>
          <w:lang w:eastAsia="zh-CN"/>
        </w:rPr>
        <w:t>市委常委、政法委书记欧伟强</w:t>
      </w:r>
      <w:r>
        <w:rPr>
          <w:rFonts w:hint="eastAsia" w:ascii="仿宋_GB2312" w:hAnsi="仿宋_GB2312" w:eastAsia="仿宋_GB2312" w:cs="仿宋_GB2312"/>
          <w:sz w:val="32"/>
          <w:szCs w:val="32"/>
          <w:highlight w:val="none"/>
          <w:u w:val="none"/>
        </w:rPr>
        <w:t>立即</w:t>
      </w:r>
      <w:r>
        <w:rPr>
          <w:rFonts w:hint="eastAsia" w:ascii="仿宋_GB2312" w:hAnsi="仿宋_GB2312" w:eastAsia="仿宋_GB2312" w:cs="仿宋_GB2312"/>
          <w:sz w:val="32"/>
          <w:szCs w:val="32"/>
          <w:highlight w:val="none"/>
          <w:u w:val="none"/>
          <w:lang w:eastAsia="zh-CN"/>
        </w:rPr>
        <w:t>率发改、公安、应急等相关部门</w:t>
      </w:r>
      <w:r>
        <w:rPr>
          <w:rFonts w:hint="eastAsia" w:ascii="仿宋_GB2312" w:hAnsi="仿宋_GB2312" w:eastAsia="仿宋_GB2312" w:cs="仿宋_GB2312"/>
          <w:sz w:val="32"/>
          <w:szCs w:val="32"/>
          <w:highlight w:val="none"/>
          <w:u w:val="none"/>
          <w:lang w:val="en-US" w:eastAsia="zh-CN"/>
        </w:rPr>
        <w:t>前往现场处置。</w:t>
      </w:r>
    </w:p>
    <w:p w14:paraId="2F7B820F">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根据《中华人民共和国安全生产法》《生产安全事故报告和调查处理条例》（</w:t>
      </w:r>
      <w:r>
        <w:rPr>
          <w:rFonts w:hint="eastAsia" w:ascii="仿宋_GB2312" w:hAnsi="仿宋_GB2312" w:cs="仿宋_GB2312"/>
          <w:sz w:val="32"/>
          <w:szCs w:val="32"/>
          <w:highlight w:val="none"/>
          <w:u w:val="none"/>
          <w:lang w:val="en-US" w:eastAsia="zh-CN"/>
        </w:rPr>
        <w:t>国务院令第493号）</w:t>
      </w:r>
      <w:r>
        <w:rPr>
          <w:rFonts w:hint="eastAsia" w:ascii="仿宋_GB2312" w:hAnsi="仿宋_GB2312" w:eastAsia="仿宋_GB2312" w:cs="仿宋_GB2312"/>
          <w:sz w:val="32"/>
          <w:szCs w:val="32"/>
          <w:highlight w:val="none"/>
          <w:u w:val="none"/>
          <w:lang w:val="en-US" w:eastAsia="zh-CN"/>
        </w:rPr>
        <w:t>等有关法律规定，2024年</w:t>
      </w:r>
      <w:r>
        <w:rPr>
          <w:rFonts w:hint="eastAsia" w:ascii="仿宋_GB2312" w:hAnsi="仿宋_GB2312" w:cs="仿宋_GB2312"/>
          <w:sz w:val="32"/>
          <w:szCs w:val="32"/>
          <w:highlight w:val="none"/>
          <w:u w:val="none"/>
          <w:lang w:val="en-US" w:eastAsia="zh-CN"/>
        </w:rPr>
        <w:t>10月3日乐昌市人民政府成立广州发展乐昌云岩100MW农光互补光伏项目“10·2”一般物体打击事故调查组，并</w:t>
      </w:r>
      <w:r>
        <w:rPr>
          <w:rFonts w:hint="eastAsia" w:ascii="仿宋_GB2312" w:hAnsi="仿宋_GB2312" w:eastAsia="仿宋_GB2312" w:cs="仿宋_GB2312"/>
          <w:color w:val="000000"/>
          <w:sz w:val="32"/>
          <w:szCs w:val="32"/>
          <w:highlight w:val="none"/>
          <w:u w:val="none"/>
        </w:rPr>
        <w:t>聘请二位相关专业技术人员组成事故技术鉴定专家组</w:t>
      </w:r>
      <w:r>
        <w:rPr>
          <w:rFonts w:hint="eastAsia" w:ascii="仿宋_GB2312" w:hAnsi="仿宋_GB2312" w:cs="仿宋_GB2312"/>
          <w:color w:val="000000"/>
          <w:sz w:val="32"/>
          <w:szCs w:val="32"/>
          <w:highlight w:val="none"/>
          <w:u w:val="none"/>
          <w:lang w:val="en-US" w:eastAsia="zh-CN"/>
        </w:rPr>
        <w:t>参与调查。</w:t>
      </w:r>
    </w:p>
    <w:p w14:paraId="1E1ADD97">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事故调查组坚持“科学严谨、依法依规、实事求是、注重实效”的原则，通过查阅资料、询问谈话、现场勘验、专家论证等，查清了事故发生的经过、原因，认定了事故性质和责任，提出了对有关责任单位、人员的处理建议，并针对事故原因及暴露出的问题，提出了事故防范措施建议。</w:t>
      </w:r>
    </w:p>
    <w:p w14:paraId="01520C86">
      <w:pPr>
        <w:keepNext w:val="0"/>
        <w:keepLines w:val="0"/>
        <w:pageBreakBefore w:val="0"/>
        <w:widowControl/>
        <w:numPr>
          <w:ilvl w:val="0"/>
          <w:numId w:val="0"/>
        </w:numPr>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经调查认定，广州发展乐昌云岩100MW农光互补光伏发电项目“10·2”一般物体打击事故是一起因工人安全意识淡薄、违规操作以及事故责任单位安全监管不到位、安全培训不到位导致的一般生产安全责任事故。</w:t>
      </w:r>
    </w:p>
    <w:p w14:paraId="57359FF0">
      <w:pPr>
        <w:pStyle w:val="3"/>
        <w:pageBreakBefore w:val="0"/>
        <w:numPr>
          <w:ilvl w:val="0"/>
          <w:numId w:val="1"/>
        </w:numPr>
        <w:kinsoku/>
        <w:overflowPunct/>
        <w:topLinePunct w:val="0"/>
        <w:autoSpaceDE/>
        <w:autoSpaceDN/>
        <w:bidi w:val="0"/>
        <w:adjustRightInd/>
        <w:snapToGrid/>
        <w:spacing w:line="600" w:lineRule="exact"/>
        <w:ind w:firstLine="640" w:firstLineChars="200"/>
        <w:rPr>
          <w:rFonts w:hint="eastAsia"/>
          <w:highlight w:val="none"/>
          <w:u w:val="none"/>
          <w:lang w:val="en-US" w:eastAsia="zh-CN"/>
        </w:rPr>
      </w:pPr>
      <w:bookmarkStart w:id="8" w:name="_Toc8540"/>
      <w:r>
        <w:rPr>
          <w:rFonts w:hint="eastAsia"/>
          <w:highlight w:val="none"/>
          <w:u w:val="none"/>
          <w:lang w:val="en-US" w:eastAsia="zh-CN"/>
        </w:rPr>
        <w:t>事故基本情况</w:t>
      </w:r>
      <w:bookmarkEnd w:id="8"/>
    </w:p>
    <w:p w14:paraId="6B66B894">
      <w:pPr>
        <w:pStyle w:val="4"/>
        <w:numPr>
          <w:ilvl w:val="0"/>
          <w:numId w:val="2"/>
        </w:numPr>
        <w:bidi w:val="0"/>
        <w:rPr>
          <w:rFonts w:hint="eastAsia"/>
          <w:highlight w:val="none"/>
          <w:u w:val="none"/>
          <w:lang w:val="en-US" w:eastAsia="zh-CN"/>
        </w:rPr>
      </w:pPr>
      <w:bookmarkStart w:id="9" w:name="_Toc15185"/>
      <w:r>
        <w:rPr>
          <w:rFonts w:hint="eastAsia"/>
          <w:highlight w:val="none"/>
          <w:u w:val="none"/>
          <w:lang w:val="en-US" w:eastAsia="zh-CN"/>
        </w:rPr>
        <w:t>涉事工程基本信息</w:t>
      </w:r>
      <w:bookmarkEnd w:id="9"/>
    </w:p>
    <w:p w14:paraId="7D3463D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1.</w:t>
      </w:r>
      <w:r>
        <w:rPr>
          <w:rFonts w:hint="eastAsia" w:ascii="仿宋_GB2312" w:hAnsi="仿宋_GB2312" w:eastAsia="仿宋_GB2312" w:cs="仿宋_GB2312"/>
          <w:i w:val="0"/>
          <w:iCs w:val="0"/>
          <w:color w:val="000000"/>
          <w:kern w:val="0"/>
          <w:sz w:val="32"/>
          <w:szCs w:val="32"/>
          <w:highlight w:val="none"/>
          <w:u w:val="none"/>
          <w:lang w:val="en-US" w:eastAsia="zh-CN" w:bidi="ar"/>
        </w:rPr>
        <w:t>工程名称</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i w:val="0"/>
          <w:iCs w:val="0"/>
          <w:color w:val="000000"/>
          <w:kern w:val="0"/>
          <w:sz w:val="32"/>
          <w:szCs w:val="32"/>
          <w:highlight w:val="none"/>
          <w:u w:val="none"/>
          <w:lang w:val="en-US" w:eastAsia="zh-CN" w:bidi="ar"/>
        </w:rPr>
        <w:t>广州发展乐昌云岩100MW农光互补光伏</w:t>
      </w:r>
      <w:r>
        <w:rPr>
          <w:rFonts w:hint="eastAsia" w:ascii="仿宋_GB2312" w:hAnsi="仿宋_GB2312" w:cs="仿宋_GB2312"/>
          <w:i w:val="0"/>
          <w:iCs w:val="0"/>
          <w:color w:val="000000"/>
          <w:kern w:val="0"/>
          <w:sz w:val="32"/>
          <w:szCs w:val="32"/>
          <w:highlight w:val="none"/>
          <w:u w:val="none"/>
          <w:lang w:val="en-US" w:eastAsia="zh-CN" w:bidi="ar"/>
        </w:rPr>
        <w:t>发电</w:t>
      </w:r>
      <w:r>
        <w:rPr>
          <w:rFonts w:hint="eastAsia" w:ascii="仿宋_GB2312" w:hAnsi="仿宋_GB2312" w:eastAsia="仿宋_GB2312" w:cs="仿宋_GB2312"/>
          <w:i w:val="0"/>
          <w:iCs w:val="0"/>
          <w:color w:val="000000"/>
          <w:kern w:val="0"/>
          <w:sz w:val="32"/>
          <w:szCs w:val="32"/>
          <w:highlight w:val="none"/>
          <w:u w:val="none"/>
          <w:lang w:val="en-US" w:eastAsia="zh-CN" w:bidi="ar"/>
        </w:rPr>
        <w:t>项目</w:t>
      </w:r>
      <w:r>
        <w:rPr>
          <w:rFonts w:hint="eastAsia" w:ascii="仿宋_GB2312" w:hAnsi="仿宋_GB2312" w:cs="仿宋_GB2312"/>
          <w:i w:val="0"/>
          <w:iCs w:val="0"/>
          <w:color w:val="000000"/>
          <w:kern w:val="0"/>
          <w:sz w:val="32"/>
          <w:szCs w:val="32"/>
          <w:highlight w:val="none"/>
          <w:u w:val="none"/>
          <w:lang w:val="en-US" w:eastAsia="zh-CN" w:bidi="ar"/>
        </w:rPr>
        <w:t>（以下简称“云岩农光互补项目”）；</w:t>
      </w:r>
    </w:p>
    <w:p w14:paraId="4C13FA0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2.</w:t>
      </w:r>
      <w:r>
        <w:rPr>
          <w:rFonts w:hint="eastAsia" w:ascii="仿宋_GB2312" w:hAnsi="仿宋_GB2312" w:eastAsia="仿宋_GB2312" w:cs="仿宋_GB2312"/>
          <w:i w:val="0"/>
          <w:iCs w:val="0"/>
          <w:color w:val="000000"/>
          <w:kern w:val="0"/>
          <w:sz w:val="32"/>
          <w:szCs w:val="32"/>
          <w:highlight w:val="none"/>
          <w:u w:val="none"/>
          <w:lang w:val="en-US" w:eastAsia="zh-CN" w:bidi="ar"/>
        </w:rPr>
        <w:t>建设地址</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i w:val="0"/>
          <w:iCs w:val="0"/>
          <w:color w:val="000000"/>
          <w:kern w:val="0"/>
          <w:sz w:val="32"/>
          <w:szCs w:val="32"/>
          <w:highlight w:val="none"/>
          <w:u w:val="none"/>
          <w:lang w:val="en-US" w:eastAsia="zh-CN" w:bidi="ar"/>
        </w:rPr>
        <w:t>乐昌市云岩镇</w:t>
      </w:r>
      <w:r>
        <w:rPr>
          <w:rFonts w:hint="eastAsia" w:ascii="仿宋_GB2312" w:hAnsi="仿宋_GB2312" w:cs="仿宋_GB2312"/>
          <w:i w:val="0"/>
          <w:iCs w:val="0"/>
          <w:color w:val="000000"/>
          <w:kern w:val="0"/>
          <w:sz w:val="32"/>
          <w:szCs w:val="32"/>
          <w:highlight w:val="none"/>
          <w:u w:val="none"/>
          <w:lang w:val="en-US" w:eastAsia="zh-CN" w:bidi="ar"/>
        </w:rPr>
        <w:t>xxx</w:t>
      </w:r>
      <w:r>
        <w:rPr>
          <w:rFonts w:hint="eastAsia" w:ascii="仿宋_GB2312" w:hAnsi="仿宋_GB2312" w:eastAsia="仿宋_GB2312" w:cs="仿宋_GB2312"/>
          <w:i w:val="0"/>
          <w:iCs w:val="0"/>
          <w:color w:val="000000"/>
          <w:kern w:val="0"/>
          <w:sz w:val="32"/>
          <w:szCs w:val="32"/>
          <w:highlight w:val="none"/>
          <w:u w:val="none"/>
          <w:lang w:val="en-US" w:eastAsia="zh-CN" w:bidi="ar"/>
        </w:rPr>
        <w:t>村委会</w:t>
      </w:r>
      <w:r>
        <w:rPr>
          <w:rFonts w:hint="eastAsia" w:ascii="仿宋_GB2312" w:hAnsi="仿宋_GB2312" w:cs="仿宋_GB2312"/>
          <w:i w:val="0"/>
          <w:iCs w:val="0"/>
          <w:color w:val="000000"/>
          <w:kern w:val="0"/>
          <w:sz w:val="32"/>
          <w:szCs w:val="32"/>
          <w:highlight w:val="none"/>
          <w:u w:val="none"/>
          <w:lang w:val="en-US" w:eastAsia="zh-CN" w:bidi="ar"/>
        </w:rPr>
        <w:t>；</w:t>
      </w:r>
    </w:p>
    <w:p w14:paraId="51F0943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3.</w:t>
      </w:r>
      <w:r>
        <w:rPr>
          <w:rFonts w:hint="eastAsia" w:ascii="仿宋_GB2312" w:hAnsi="仿宋_GB2312" w:eastAsia="仿宋_GB2312" w:cs="仿宋_GB2312"/>
          <w:i w:val="0"/>
          <w:iCs w:val="0"/>
          <w:color w:val="000000"/>
          <w:kern w:val="0"/>
          <w:sz w:val="32"/>
          <w:szCs w:val="32"/>
          <w:highlight w:val="none"/>
          <w:u w:val="none"/>
          <w:lang w:val="en-US" w:eastAsia="zh-CN" w:bidi="ar"/>
        </w:rPr>
        <w:t>建设用地</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i w:val="0"/>
          <w:iCs w:val="0"/>
          <w:color w:val="000000"/>
          <w:kern w:val="0"/>
          <w:sz w:val="32"/>
          <w:szCs w:val="32"/>
          <w:highlight w:val="none"/>
          <w:u w:val="none"/>
          <w:lang w:val="en-US" w:eastAsia="zh-CN" w:bidi="ar"/>
        </w:rPr>
        <w:t>1165673m</w:t>
      </w:r>
      <w:r>
        <w:rPr>
          <w:rFonts w:hint="eastAsia" w:ascii="仿宋_GB2312" w:hAnsi="仿宋_GB2312" w:eastAsia="仿宋_GB2312" w:cs="仿宋_GB2312"/>
          <w:i w:val="0"/>
          <w:iCs w:val="0"/>
          <w:color w:val="000000"/>
          <w:kern w:val="0"/>
          <w:sz w:val="32"/>
          <w:szCs w:val="32"/>
          <w:highlight w:val="none"/>
          <w:u w:val="none"/>
          <w:vertAlign w:val="superscript"/>
          <w:lang w:val="en-US" w:eastAsia="zh-CN" w:bidi="ar"/>
        </w:rPr>
        <w:t>²</w:t>
      </w:r>
      <w:r>
        <w:rPr>
          <w:rFonts w:hint="eastAsia" w:ascii="仿宋_GB2312" w:hAnsi="仿宋_GB2312" w:eastAsia="仿宋_GB2312" w:cs="仿宋_GB2312"/>
          <w:i w:val="0"/>
          <w:iCs w:val="0"/>
          <w:color w:val="000000"/>
          <w:kern w:val="0"/>
          <w:sz w:val="32"/>
          <w:szCs w:val="32"/>
          <w:highlight w:val="none"/>
          <w:u w:val="none"/>
          <w:lang w:val="en-US" w:eastAsia="zh-CN" w:bidi="ar"/>
        </w:rPr>
        <w:t>一般农用地</w:t>
      </w:r>
      <w:r>
        <w:rPr>
          <w:rFonts w:hint="eastAsia" w:ascii="仿宋_GB2312" w:hAnsi="仿宋_GB2312" w:cs="仿宋_GB2312"/>
          <w:i w:val="0"/>
          <w:iCs w:val="0"/>
          <w:color w:val="000000"/>
          <w:kern w:val="0"/>
          <w:sz w:val="32"/>
          <w:szCs w:val="32"/>
          <w:highlight w:val="none"/>
          <w:u w:val="none"/>
          <w:lang w:val="en-US" w:eastAsia="zh-CN" w:bidi="ar"/>
        </w:rPr>
        <w:t>；</w:t>
      </w:r>
    </w:p>
    <w:p w14:paraId="53B0AA8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4.建筑面积：3000m</w:t>
      </w:r>
      <w:r>
        <w:rPr>
          <w:rFonts w:hint="eastAsia" w:ascii="仿宋_GB2312" w:hAnsi="仿宋_GB2312" w:cs="仿宋_GB2312"/>
          <w:i w:val="0"/>
          <w:iCs w:val="0"/>
          <w:color w:val="000000"/>
          <w:kern w:val="0"/>
          <w:sz w:val="32"/>
          <w:szCs w:val="32"/>
          <w:highlight w:val="none"/>
          <w:u w:val="none"/>
          <w:vertAlign w:val="superscript"/>
          <w:lang w:val="en-US" w:eastAsia="zh-CN" w:bidi="ar"/>
        </w:rPr>
        <w:t>2</w:t>
      </w:r>
      <w:r>
        <w:rPr>
          <w:rFonts w:hint="eastAsia" w:ascii="仿宋_GB2312" w:hAnsi="仿宋_GB2312" w:cs="仿宋_GB2312"/>
          <w:i w:val="0"/>
          <w:iCs w:val="0"/>
          <w:color w:val="000000"/>
          <w:kern w:val="0"/>
          <w:sz w:val="32"/>
          <w:szCs w:val="32"/>
          <w:highlight w:val="none"/>
          <w:u w:val="none"/>
          <w:lang w:val="en-US" w:eastAsia="zh-CN" w:bidi="ar"/>
        </w:rPr>
        <w:t>；</w:t>
      </w:r>
    </w:p>
    <w:p w14:paraId="3B25058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5.</w:t>
      </w:r>
      <w:r>
        <w:rPr>
          <w:rFonts w:hint="eastAsia" w:ascii="仿宋_GB2312" w:hAnsi="仿宋_GB2312" w:eastAsia="仿宋_GB2312" w:cs="仿宋_GB2312"/>
          <w:i w:val="0"/>
          <w:iCs w:val="0"/>
          <w:color w:val="000000"/>
          <w:kern w:val="0"/>
          <w:sz w:val="32"/>
          <w:szCs w:val="32"/>
          <w:highlight w:val="none"/>
          <w:u w:val="none"/>
          <w:lang w:val="en-US" w:eastAsia="zh-CN" w:bidi="ar"/>
        </w:rPr>
        <w:t>合同工期</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i w:val="0"/>
          <w:iCs w:val="0"/>
          <w:color w:val="000000"/>
          <w:kern w:val="0"/>
          <w:sz w:val="32"/>
          <w:szCs w:val="32"/>
          <w:highlight w:val="none"/>
          <w:u w:val="none"/>
          <w:lang w:val="en-US" w:eastAsia="zh-CN" w:bidi="ar"/>
        </w:rPr>
        <w:t>2021年12月30日前并网</w:t>
      </w:r>
      <w:r>
        <w:rPr>
          <w:rFonts w:hint="eastAsia" w:ascii="仿宋_GB2312" w:hAnsi="仿宋_GB2312" w:cs="仿宋_GB2312"/>
          <w:i w:val="0"/>
          <w:iCs w:val="0"/>
          <w:color w:val="000000"/>
          <w:kern w:val="0"/>
          <w:sz w:val="32"/>
          <w:szCs w:val="32"/>
          <w:highlight w:val="none"/>
          <w:u w:val="none"/>
          <w:lang w:val="en-US" w:eastAsia="zh-CN" w:bidi="ar"/>
        </w:rPr>
        <w:t>；</w:t>
      </w:r>
    </w:p>
    <w:p w14:paraId="5337D2A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6.</w:t>
      </w:r>
      <w:r>
        <w:rPr>
          <w:rFonts w:hint="eastAsia" w:ascii="仿宋_GB2312" w:hAnsi="仿宋_GB2312" w:eastAsia="仿宋_GB2312" w:cs="仿宋_GB2312"/>
          <w:i w:val="0"/>
          <w:iCs w:val="0"/>
          <w:color w:val="000000"/>
          <w:kern w:val="0"/>
          <w:sz w:val="32"/>
          <w:szCs w:val="32"/>
          <w:highlight w:val="none"/>
          <w:u w:val="none"/>
          <w:lang w:val="en-US" w:eastAsia="zh-CN" w:bidi="ar"/>
        </w:rPr>
        <w:t>合同价格</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i w:val="0"/>
          <w:iCs w:val="0"/>
          <w:color w:val="000000"/>
          <w:kern w:val="0"/>
          <w:sz w:val="32"/>
          <w:szCs w:val="32"/>
          <w:highlight w:val="none"/>
          <w:u w:val="none"/>
          <w:lang w:val="en-US" w:eastAsia="zh-CN" w:bidi="ar"/>
        </w:rPr>
        <w:t>16958.190287万元</w:t>
      </w:r>
      <w:r>
        <w:rPr>
          <w:rFonts w:hint="eastAsia" w:ascii="仿宋_GB2312" w:hAnsi="仿宋_GB2312" w:cs="仿宋_GB2312"/>
          <w:i w:val="0"/>
          <w:iCs w:val="0"/>
          <w:color w:val="000000"/>
          <w:kern w:val="0"/>
          <w:sz w:val="32"/>
          <w:szCs w:val="32"/>
          <w:highlight w:val="none"/>
          <w:u w:val="none"/>
          <w:lang w:val="en-US" w:eastAsia="zh-CN" w:bidi="ar"/>
        </w:rPr>
        <w:t>；</w:t>
      </w:r>
    </w:p>
    <w:p w14:paraId="573F34B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7.</w:t>
      </w:r>
      <w:r>
        <w:rPr>
          <w:rFonts w:hint="eastAsia" w:ascii="仿宋_GB2312" w:hAnsi="仿宋_GB2312" w:eastAsia="仿宋_GB2312" w:cs="仿宋_GB2312"/>
          <w:i w:val="0"/>
          <w:iCs w:val="0"/>
          <w:color w:val="000000"/>
          <w:kern w:val="0"/>
          <w:sz w:val="32"/>
          <w:szCs w:val="32"/>
          <w:highlight w:val="none"/>
          <w:u w:val="none"/>
          <w:lang w:val="en-US" w:eastAsia="zh-CN" w:bidi="ar"/>
        </w:rPr>
        <w:t>建设单位</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i w:val="0"/>
          <w:iCs w:val="0"/>
          <w:color w:val="000000"/>
          <w:kern w:val="0"/>
          <w:sz w:val="32"/>
          <w:szCs w:val="32"/>
          <w:highlight w:val="none"/>
          <w:u w:val="none"/>
          <w:lang w:val="en-US" w:eastAsia="zh-CN" w:bidi="ar"/>
        </w:rPr>
        <w:t>乐昌</w:t>
      </w:r>
      <w:r>
        <w:rPr>
          <w:rFonts w:hint="eastAsia" w:ascii="仿宋_GB2312" w:hAnsi="仿宋_GB2312" w:cs="仿宋_GB2312"/>
          <w:i w:val="0"/>
          <w:iCs w:val="0"/>
          <w:color w:val="000000"/>
          <w:kern w:val="0"/>
          <w:sz w:val="32"/>
          <w:szCs w:val="32"/>
          <w:highlight w:val="none"/>
          <w:u w:val="none"/>
          <w:lang w:val="en-US" w:eastAsia="zh-CN" w:bidi="ar"/>
        </w:rPr>
        <w:t>x发</w:t>
      </w:r>
      <w:r>
        <w:rPr>
          <w:rFonts w:hint="eastAsia" w:ascii="仿宋_GB2312" w:hAnsi="仿宋_GB2312" w:eastAsia="仿宋_GB2312" w:cs="仿宋_GB2312"/>
          <w:i w:val="0"/>
          <w:iCs w:val="0"/>
          <w:color w:val="000000"/>
          <w:kern w:val="0"/>
          <w:sz w:val="32"/>
          <w:szCs w:val="32"/>
          <w:highlight w:val="none"/>
          <w:u w:val="none"/>
          <w:lang w:val="en-US" w:eastAsia="zh-CN" w:bidi="ar"/>
        </w:rPr>
        <w:t>新能源有限公司</w:t>
      </w:r>
      <w:r>
        <w:rPr>
          <w:rFonts w:hint="eastAsia" w:ascii="仿宋_GB2312" w:hAnsi="仿宋_GB2312" w:cs="仿宋_GB2312"/>
          <w:i w:val="0"/>
          <w:iCs w:val="0"/>
          <w:color w:val="000000"/>
          <w:kern w:val="0"/>
          <w:sz w:val="32"/>
          <w:szCs w:val="32"/>
          <w:highlight w:val="none"/>
          <w:u w:val="none"/>
          <w:lang w:val="en-US" w:eastAsia="zh-CN" w:bidi="ar"/>
        </w:rPr>
        <w:t>；</w:t>
      </w:r>
    </w:p>
    <w:p w14:paraId="6516B3D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8.</w:t>
      </w:r>
      <w:r>
        <w:rPr>
          <w:rFonts w:hint="eastAsia" w:ascii="仿宋_GB2312" w:hAnsi="仿宋_GB2312" w:eastAsia="仿宋_GB2312" w:cs="仿宋_GB2312"/>
          <w:i w:val="0"/>
          <w:iCs w:val="0"/>
          <w:color w:val="000000"/>
          <w:kern w:val="0"/>
          <w:sz w:val="32"/>
          <w:szCs w:val="32"/>
          <w:highlight w:val="none"/>
          <w:u w:val="none"/>
          <w:lang w:val="en-US" w:eastAsia="zh-CN" w:bidi="ar"/>
        </w:rPr>
        <w:t>监理单位</w:t>
      </w:r>
      <w:r>
        <w:rPr>
          <w:rFonts w:hint="eastAsia" w:ascii="仿宋_GB2312" w:hAnsi="仿宋_GB2312" w:cs="仿宋_GB2312"/>
          <w:i w:val="0"/>
          <w:iCs w:val="0"/>
          <w:color w:val="000000"/>
          <w:kern w:val="0"/>
          <w:sz w:val="32"/>
          <w:szCs w:val="32"/>
          <w:highlight w:val="none"/>
          <w:u w:val="none"/>
          <w:lang w:val="en-US" w:eastAsia="zh-CN" w:bidi="ar"/>
        </w:rPr>
        <w:t>：xx安</w:t>
      </w:r>
      <w:r>
        <w:rPr>
          <w:rFonts w:hint="eastAsia" w:ascii="仿宋_GB2312" w:hAnsi="仿宋_GB2312" w:eastAsia="仿宋_GB2312" w:cs="仿宋_GB2312"/>
          <w:i w:val="0"/>
          <w:iCs w:val="0"/>
          <w:color w:val="000000"/>
          <w:kern w:val="0"/>
          <w:sz w:val="32"/>
          <w:szCs w:val="32"/>
          <w:highlight w:val="none"/>
          <w:u w:val="none"/>
          <w:lang w:val="en-US" w:eastAsia="zh-CN" w:bidi="ar"/>
        </w:rPr>
        <w:t>股份有限公司</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highlight w:val="none"/>
          <w:u w:val="none"/>
          <w:lang w:val="en-US" w:eastAsia="zh-CN"/>
        </w:rPr>
        <w:t>福建省</w:t>
      </w:r>
      <w:r>
        <w:rPr>
          <w:rFonts w:hint="eastAsia" w:ascii="仿宋_GB2312" w:hAnsi="仿宋_GB2312" w:cs="仿宋_GB2312"/>
          <w:highlight w:val="none"/>
          <w:u w:val="none"/>
          <w:lang w:val="en-US" w:eastAsia="zh-CN"/>
        </w:rPr>
        <w:t>x闽</w:t>
      </w:r>
      <w:r>
        <w:rPr>
          <w:rFonts w:hint="eastAsia" w:ascii="仿宋_GB2312" w:hAnsi="仿宋_GB2312" w:eastAsia="仿宋_GB2312" w:cs="仿宋_GB2312"/>
          <w:highlight w:val="none"/>
          <w:u w:val="none"/>
          <w:lang w:val="en-US" w:eastAsia="zh-CN"/>
        </w:rPr>
        <w:t>电力工程监理有限公司</w:t>
      </w:r>
      <w:r>
        <w:rPr>
          <w:rFonts w:hint="eastAsia" w:ascii="仿宋_GB2312" w:hAnsi="仿宋_GB2312" w:cs="仿宋_GB2312"/>
          <w:i w:val="0"/>
          <w:iCs w:val="0"/>
          <w:color w:val="000000"/>
          <w:kern w:val="0"/>
          <w:sz w:val="32"/>
          <w:szCs w:val="32"/>
          <w:highlight w:val="none"/>
          <w:u w:val="none"/>
          <w:lang w:val="en-US" w:eastAsia="zh-CN" w:bidi="ar"/>
        </w:rPr>
        <w:t>）；</w:t>
      </w:r>
    </w:p>
    <w:p w14:paraId="0A91972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9.</w:t>
      </w:r>
      <w:r>
        <w:rPr>
          <w:rFonts w:hint="eastAsia" w:ascii="仿宋_GB2312" w:hAnsi="仿宋_GB2312" w:eastAsia="仿宋_GB2312" w:cs="仿宋_GB2312"/>
          <w:i w:val="0"/>
          <w:iCs w:val="0"/>
          <w:color w:val="000000"/>
          <w:kern w:val="0"/>
          <w:sz w:val="32"/>
          <w:szCs w:val="32"/>
          <w:highlight w:val="none"/>
          <w:u w:val="none"/>
          <w:lang w:val="en-US" w:eastAsia="zh-CN" w:bidi="ar"/>
        </w:rPr>
        <w:t>EPC总承包单位</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i w:val="0"/>
          <w:iCs w:val="0"/>
          <w:color w:val="000000"/>
          <w:kern w:val="0"/>
          <w:sz w:val="32"/>
          <w:szCs w:val="32"/>
          <w:highlight w:val="none"/>
          <w:u w:val="none"/>
          <w:lang w:val="en-US" w:eastAsia="zh-CN" w:bidi="ar"/>
        </w:rPr>
        <w:t>广州</w:t>
      </w:r>
      <w:r>
        <w:rPr>
          <w:rFonts w:hint="eastAsia" w:ascii="仿宋_GB2312" w:hAnsi="仿宋_GB2312" w:cs="仿宋_GB2312"/>
          <w:i w:val="0"/>
          <w:iCs w:val="0"/>
          <w:color w:val="000000"/>
          <w:kern w:val="0"/>
          <w:sz w:val="32"/>
          <w:szCs w:val="32"/>
          <w:highlight w:val="none"/>
          <w:u w:val="none"/>
          <w:lang w:val="en-US" w:eastAsia="zh-CN" w:bidi="ar"/>
        </w:rPr>
        <w:t>X</w:t>
      </w:r>
      <w:r>
        <w:rPr>
          <w:rFonts w:hint="eastAsia" w:ascii="仿宋_GB2312" w:hAnsi="仿宋_GB2312" w:eastAsia="仿宋_GB2312" w:cs="仿宋_GB2312"/>
          <w:i w:val="0"/>
          <w:iCs w:val="0"/>
          <w:color w:val="000000"/>
          <w:kern w:val="0"/>
          <w:sz w:val="32"/>
          <w:szCs w:val="32"/>
          <w:highlight w:val="none"/>
          <w:u w:val="none"/>
          <w:lang w:val="en-US" w:eastAsia="zh-CN" w:bidi="ar"/>
        </w:rPr>
        <w:t>跃电力工程设计有限公司</w:t>
      </w:r>
      <w:r>
        <w:rPr>
          <w:rFonts w:hint="eastAsia" w:ascii="仿宋_GB2312" w:hAnsi="仿宋_GB2312" w:cs="仿宋_GB2312"/>
          <w:i w:val="0"/>
          <w:iCs w:val="0"/>
          <w:color w:val="000000"/>
          <w:kern w:val="0"/>
          <w:sz w:val="32"/>
          <w:szCs w:val="32"/>
          <w:highlight w:val="none"/>
          <w:u w:val="none"/>
          <w:lang w:val="en-US" w:eastAsia="zh-CN" w:bidi="ar"/>
        </w:rPr>
        <w:t>；</w:t>
      </w:r>
    </w:p>
    <w:p w14:paraId="73A063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10.</w:t>
      </w:r>
      <w:r>
        <w:rPr>
          <w:rFonts w:hint="eastAsia" w:ascii="仿宋_GB2312" w:hAnsi="仿宋_GB2312" w:eastAsia="仿宋_GB2312" w:cs="仿宋_GB2312"/>
          <w:i w:val="0"/>
          <w:iCs w:val="0"/>
          <w:color w:val="000000"/>
          <w:kern w:val="0"/>
          <w:sz w:val="32"/>
          <w:szCs w:val="32"/>
          <w:highlight w:val="none"/>
          <w:u w:val="none"/>
          <w:lang w:val="en-US" w:eastAsia="zh-CN" w:bidi="ar"/>
        </w:rPr>
        <w:t>专业分包单位</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i w:val="0"/>
          <w:iCs w:val="0"/>
          <w:color w:val="000000"/>
          <w:kern w:val="0"/>
          <w:sz w:val="32"/>
          <w:szCs w:val="32"/>
          <w:highlight w:val="none"/>
          <w:u w:val="none"/>
          <w:lang w:val="en-US" w:eastAsia="zh-CN" w:bidi="ar"/>
        </w:rPr>
        <w:t>广州</w:t>
      </w:r>
      <w:r>
        <w:rPr>
          <w:rFonts w:hint="eastAsia" w:ascii="仿宋_GB2312" w:hAnsi="仿宋_GB2312" w:cs="仿宋_GB2312"/>
          <w:i w:val="0"/>
          <w:iCs w:val="0"/>
          <w:color w:val="000000"/>
          <w:kern w:val="0"/>
          <w:sz w:val="32"/>
          <w:szCs w:val="32"/>
          <w:highlight w:val="none"/>
          <w:u w:val="none"/>
          <w:lang w:val="en-US" w:eastAsia="zh-CN" w:bidi="ar"/>
        </w:rPr>
        <w:t>x</w:t>
      </w:r>
      <w:r>
        <w:rPr>
          <w:rFonts w:hint="eastAsia" w:ascii="仿宋_GB2312" w:hAnsi="仿宋_GB2312" w:eastAsia="仿宋_GB2312" w:cs="仿宋_GB2312"/>
          <w:i w:val="0"/>
          <w:iCs w:val="0"/>
          <w:color w:val="000000"/>
          <w:kern w:val="0"/>
          <w:sz w:val="32"/>
          <w:szCs w:val="32"/>
          <w:highlight w:val="none"/>
          <w:u w:val="none"/>
          <w:lang w:val="en-US" w:eastAsia="zh-CN" w:bidi="ar"/>
        </w:rPr>
        <w:t>光用电服务有限公司</w:t>
      </w:r>
      <w:r>
        <w:rPr>
          <w:rFonts w:hint="eastAsia" w:ascii="仿宋_GB2312" w:hAnsi="仿宋_GB2312" w:cs="仿宋_GB2312"/>
          <w:i w:val="0"/>
          <w:iCs w:val="0"/>
          <w:color w:val="000000"/>
          <w:kern w:val="0"/>
          <w:sz w:val="32"/>
          <w:szCs w:val="32"/>
          <w:highlight w:val="none"/>
          <w:u w:val="none"/>
          <w:lang w:val="en-US" w:eastAsia="zh-CN" w:bidi="ar"/>
        </w:rPr>
        <w:t>；</w:t>
      </w:r>
    </w:p>
    <w:p w14:paraId="71689B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11.</w:t>
      </w:r>
      <w:r>
        <w:rPr>
          <w:rFonts w:hint="eastAsia" w:ascii="仿宋_GB2312" w:hAnsi="仿宋_GB2312" w:eastAsia="仿宋_GB2312" w:cs="仿宋_GB2312"/>
          <w:i w:val="0"/>
          <w:iCs w:val="0"/>
          <w:color w:val="000000"/>
          <w:kern w:val="0"/>
          <w:sz w:val="32"/>
          <w:szCs w:val="32"/>
          <w:highlight w:val="none"/>
          <w:u w:val="none"/>
          <w:lang w:val="en-US" w:eastAsia="zh-CN" w:bidi="ar"/>
        </w:rPr>
        <w:t>劳务分包单位</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i w:val="0"/>
          <w:iCs w:val="0"/>
          <w:color w:val="000000"/>
          <w:kern w:val="0"/>
          <w:sz w:val="32"/>
          <w:szCs w:val="32"/>
          <w:highlight w:val="none"/>
          <w:u w:val="none"/>
          <w:lang w:val="en-US" w:eastAsia="zh-CN" w:bidi="ar"/>
        </w:rPr>
        <w:t>赤峰市</w:t>
      </w:r>
      <w:r>
        <w:rPr>
          <w:rFonts w:hint="eastAsia" w:ascii="仿宋_GB2312" w:hAnsi="仿宋_GB2312" w:cs="仿宋_GB2312"/>
          <w:i w:val="0"/>
          <w:iCs w:val="0"/>
          <w:color w:val="000000"/>
          <w:kern w:val="0"/>
          <w:sz w:val="32"/>
          <w:szCs w:val="32"/>
          <w:highlight w:val="none"/>
          <w:u w:val="none"/>
          <w:lang w:val="en-US" w:eastAsia="zh-CN" w:bidi="ar"/>
        </w:rPr>
        <w:t>x</w:t>
      </w:r>
      <w:r>
        <w:rPr>
          <w:rFonts w:hint="eastAsia" w:ascii="仿宋_GB2312" w:hAnsi="仿宋_GB2312" w:eastAsia="仿宋_GB2312" w:cs="仿宋_GB2312"/>
          <w:i w:val="0"/>
          <w:iCs w:val="0"/>
          <w:color w:val="000000"/>
          <w:kern w:val="0"/>
          <w:sz w:val="32"/>
          <w:szCs w:val="32"/>
          <w:highlight w:val="none"/>
          <w:u w:val="none"/>
          <w:lang w:val="en-US" w:eastAsia="zh-CN" w:bidi="ar"/>
        </w:rPr>
        <w:t>速电力工程安装有限公司</w:t>
      </w:r>
      <w:r>
        <w:rPr>
          <w:rFonts w:hint="eastAsia" w:ascii="仿宋_GB2312" w:hAnsi="仿宋_GB2312" w:cs="仿宋_GB2312"/>
          <w:i w:val="0"/>
          <w:iCs w:val="0"/>
          <w:color w:val="000000"/>
          <w:kern w:val="0"/>
          <w:sz w:val="32"/>
          <w:szCs w:val="32"/>
          <w:highlight w:val="none"/>
          <w:u w:val="none"/>
          <w:lang w:val="en-US" w:eastAsia="zh-CN" w:bidi="ar"/>
        </w:rPr>
        <w:t>；</w:t>
      </w:r>
    </w:p>
    <w:p w14:paraId="55AD809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cs="仿宋_GB2312"/>
          <w:i w:val="0"/>
          <w:iCs w:val="0"/>
          <w:color w:val="000000"/>
          <w:kern w:val="0"/>
          <w:sz w:val="32"/>
          <w:szCs w:val="32"/>
          <w:highlight w:val="none"/>
          <w:u w:val="none"/>
          <w:lang w:val="en-US" w:eastAsia="zh-CN" w:bidi="ar"/>
        </w:rPr>
      </w:pPr>
      <w:r>
        <w:rPr>
          <w:rFonts w:hint="eastAsia" w:ascii="仿宋_GB2312" w:hAnsi="仿宋_GB2312" w:cs="仿宋_GB2312"/>
          <w:i w:val="0"/>
          <w:iCs w:val="0"/>
          <w:color w:val="000000"/>
          <w:kern w:val="0"/>
          <w:sz w:val="32"/>
          <w:szCs w:val="32"/>
          <w:highlight w:val="none"/>
          <w:u w:val="none"/>
          <w:lang w:val="en-US" w:eastAsia="zh-CN" w:bidi="ar"/>
        </w:rPr>
        <w:t>12.</w:t>
      </w:r>
      <w:r>
        <w:rPr>
          <w:rFonts w:hint="eastAsia" w:ascii="仿宋_GB2312" w:hAnsi="仿宋_GB2312" w:eastAsia="仿宋_GB2312" w:cs="仿宋_GB2312"/>
          <w:i w:val="0"/>
          <w:iCs w:val="0"/>
          <w:color w:val="000000"/>
          <w:kern w:val="0"/>
          <w:sz w:val="32"/>
          <w:szCs w:val="32"/>
          <w:highlight w:val="none"/>
          <w:u w:val="none"/>
          <w:lang w:val="en-US" w:eastAsia="zh-CN" w:bidi="ar"/>
        </w:rPr>
        <w:t>发生事故工程概况</w:t>
      </w:r>
      <w:r>
        <w:rPr>
          <w:rFonts w:hint="eastAsia" w:ascii="仿宋_GB2312" w:hAnsi="仿宋_GB2312" w:cs="仿宋_GB2312"/>
          <w:i w:val="0"/>
          <w:iCs w:val="0"/>
          <w:color w:val="000000"/>
          <w:kern w:val="0"/>
          <w:sz w:val="32"/>
          <w:szCs w:val="32"/>
          <w:highlight w:val="none"/>
          <w:u w:val="none"/>
          <w:lang w:val="en-US" w:eastAsia="zh-CN" w:bidi="ar"/>
        </w:rPr>
        <w:t>：</w:t>
      </w:r>
      <w:r>
        <w:rPr>
          <w:rFonts w:hint="eastAsia" w:ascii="仿宋_GB2312" w:hAnsi="仿宋_GB2312" w:eastAsia="仿宋_GB2312" w:cs="仿宋_GB2312"/>
          <w:i w:val="0"/>
          <w:iCs w:val="0"/>
          <w:color w:val="000000"/>
          <w:kern w:val="0"/>
          <w:sz w:val="32"/>
          <w:szCs w:val="32"/>
          <w:highlight w:val="none"/>
          <w:u w:val="none"/>
          <w:lang w:val="en-US" w:eastAsia="zh-CN" w:bidi="ar"/>
        </w:rPr>
        <w:t>本项目为100MWp光伏并网工程(110kV送出线路由供电局建设),EPC总承包含工程勘察设计、地质勘探、设备材料采购供应(不包括光伏组件、逆变器及箱变的采购)、运输及储存、建筑安装工程施工。EPC总承包负责：光伏区及升压站的进场道路征租地，集电线路征占地及青赔；施工临时占用地、施工道路及进场道路的青苗赔偿；施工过程中的租地协调、建(构)筑物和地面附着物拆迁补偿、通信线路拆迁、各类市政管道拆迁、送出线路树木砍伐、施工过程中涉及的坟墓迁移及赔偿；办理砍伐、工程开工许可等相关手续。EPC总承包协助：送出线路(含塔基、施工通道)征占地；塔基及送出线路线行砍伐证办理及林地征占用协调、树木</w:t>
      </w:r>
      <w:r>
        <w:rPr>
          <w:rFonts w:hint="eastAsia" w:ascii="仿宋_GB2312" w:hAnsi="仿宋_GB2312" w:cs="仿宋_GB2312"/>
          <w:i w:val="0"/>
          <w:iCs w:val="0"/>
          <w:color w:val="000000"/>
          <w:kern w:val="0"/>
          <w:sz w:val="32"/>
          <w:szCs w:val="32"/>
          <w:highlight w:val="none"/>
          <w:u w:val="none"/>
          <w:lang w:val="en-US" w:eastAsia="zh-CN" w:bidi="ar"/>
        </w:rPr>
        <w:t>砍</w:t>
      </w:r>
      <w:r>
        <w:rPr>
          <w:rFonts w:hint="eastAsia" w:ascii="仿宋_GB2312" w:hAnsi="仿宋_GB2312" w:eastAsia="仿宋_GB2312" w:cs="仿宋_GB2312"/>
          <w:i w:val="0"/>
          <w:iCs w:val="0"/>
          <w:color w:val="000000"/>
          <w:kern w:val="0"/>
          <w:sz w:val="32"/>
          <w:szCs w:val="32"/>
          <w:highlight w:val="none"/>
          <w:u w:val="none"/>
          <w:lang w:val="en-US" w:eastAsia="zh-CN" w:bidi="ar"/>
        </w:rPr>
        <w:t>伐；本工程租地红线内的光伏支架基础、箱逆变基础、升压站等所涉及征租地工作。</w:t>
      </w:r>
    </w:p>
    <w:p w14:paraId="59A8ED20">
      <w:pPr>
        <w:pStyle w:val="4"/>
        <w:keepNext/>
        <w:keepLines/>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highlight w:val="none"/>
          <w:u w:val="none"/>
          <w:lang w:val="en-US" w:eastAsia="zh-CN"/>
        </w:rPr>
      </w:pPr>
      <w:bookmarkStart w:id="10" w:name="_Toc25919"/>
      <w:r>
        <w:rPr>
          <w:rFonts w:hint="eastAsia" w:ascii="仿宋_GB2312" w:hAnsi="仿宋_GB2312" w:eastAsia="仿宋_GB2312" w:cs="仿宋_GB2312"/>
          <w:highlight w:val="none"/>
          <w:u w:val="none"/>
          <w:lang w:val="en-US" w:eastAsia="zh-CN"/>
        </w:rPr>
        <w:t>广州xx新能源股份有限公司(招标人，项目业主为乐昌xx新能源有限公司)、广州xxxx监理有限公司(招标代理机构)于2021年1月14日发布《广州发展乐昌云岩100MW农光互补项目EPC总承包招标公告》。2021年2月28日公示中标第一候选人:广州x跃电力工程设计有限公司，投标报价16958xxxx.87元,项目负责人姓名及资格证书编号:林x杰CSG102015xxxxxxxx</w:t>
      </w:r>
      <w:r>
        <w:rPr>
          <w:rFonts w:hint="default" w:ascii="仿宋_GB2312" w:hAnsi="仿宋_GB2312" w:eastAsia="仿宋_GB2312" w:cs="仿宋_GB2312"/>
          <w:highlight w:val="none"/>
          <w:u w:val="none"/>
          <w:lang w:eastAsia="zh-CN"/>
        </w:rPr>
        <w:t>，</w:t>
      </w:r>
      <w:r>
        <w:rPr>
          <w:rFonts w:hint="eastAsia" w:ascii="仿宋_GB2312" w:hAnsi="仿宋_GB2312" w:eastAsia="仿宋_GB2312" w:cs="仿宋_GB2312"/>
          <w:highlight w:val="none"/>
          <w:u w:val="none"/>
          <w:lang w:val="en-US" w:eastAsia="zh-CN"/>
        </w:rPr>
        <w:t>工期(交货期):2021年12月30日前完成并网。</w:t>
      </w:r>
    </w:p>
    <w:p w14:paraId="45486364">
      <w:pPr>
        <w:pageBreakBefore w:val="0"/>
        <w:widowControl w:val="0"/>
        <w:kinsoku/>
        <w:wordWrap/>
        <w:overflowPunct/>
        <w:topLinePunct w:val="0"/>
        <w:autoSpaceDE/>
        <w:autoSpaceDN/>
        <w:bidi w:val="0"/>
        <w:adjustRightInd/>
        <w:snapToGrid/>
        <w:ind w:firstLine="640" w:firstLineChars="200"/>
        <w:textAlignment w:val="auto"/>
        <w:rPr>
          <w:rFonts w:hint="eastAsia"/>
          <w:highlight w:val="none"/>
          <w:u w:val="none"/>
          <w:lang w:val="en-US" w:eastAsia="zh-CN"/>
        </w:rPr>
      </w:pPr>
      <w:r>
        <w:rPr>
          <w:rFonts w:hint="eastAsia" w:ascii="仿宋_GB2312" w:hAnsi="仿宋_GB2312" w:eastAsia="仿宋_GB2312" w:cs="仿宋_GB2312"/>
          <w:highlight w:val="none"/>
          <w:u w:val="none"/>
          <w:lang w:val="en-US" w:eastAsia="zh-CN"/>
        </w:rPr>
        <w:t>广州</w:t>
      </w:r>
      <w:r>
        <w:rPr>
          <w:rFonts w:hint="eastAsia" w:ascii="仿宋_GB2312" w:hAnsi="仿宋_GB2312" w:cs="仿宋_GB2312"/>
          <w:highlight w:val="none"/>
          <w:u w:val="none"/>
          <w:lang w:val="en-US" w:eastAsia="zh-CN"/>
        </w:rPr>
        <w:t>xx</w:t>
      </w:r>
      <w:r>
        <w:rPr>
          <w:rFonts w:hint="eastAsia" w:ascii="仿宋_GB2312" w:hAnsi="仿宋_GB2312" w:eastAsia="仿宋_GB2312" w:cs="仿宋_GB2312"/>
          <w:highlight w:val="none"/>
          <w:u w:val="none"/>
          <w:lang w:val="en-US" w:eastAsia="zh-CN"/>
        </w:rPr>
        <w:t>新能源股份有限公司(招标人，项目业主为乐昌</w:t>
      </w:r>
      <w:r>
        <w:rPr>
          <w:rFonts w:hint="eastAsia" w:ascii="仿宋_GB2312" w:hAnsi="仿宋_GB2312" w:cs="仿宋_GB2312"/>
          <w:highlight w:val="none"/>
          <w:u w:val="none"/>
          <w:lang w:val="en-US" w:eastAsia="zh-CN"/>
        </w:rPr>
        <w:t>xx</w:t>
      </w:r>
      <w:r>
        <w:rPr>
          <w:rFonts w:hint="eastAsia" w:ascii="仿宋_GB2312" w:hAnsi="仿宋_GB2312" w:eastAsia="仿宋_GB2312" w:cs="仿宋_GB2312"/>
          <w:highlight w:val="none"/>
          <w:u w:val="none"/>
          <w:lang w:val="en-US" w:eastAsia="zh-CN"/>
        </w:rPr>
        <w:t>新能源有限公司)、广州市</w:t>
      </w:r>
      <w:r>
        <w:rPr>
          <w:rFonts w:hint="eastAsia" w:ascii="仿宋_GB2312" w:hAnsi="仿宋_GB2312" w:cs="仿宋_GB2312"/>
          <w:highlight w:val="none"/>
          <w:u w:val="none"/>
          <w:lang w:val="en-US" w:eastAsia="zh-CN"/>
        </w:rPr>
        <w:t>xxxx</w:t>
      </w:r>
      <w:r>
        <w:rPr>
          <w:rFonts w:hint="eastAsia" w:ascii="仿宋_GB2312" w:hAnsi="仿宋_GB2312" w:eastAsia="仿宋_GB2312" w:cs="仿宋_GB2312"/>
          <w:highlight w:val="none"/>
          <w:u w:val="none"/>
          <w:lang w:val="en-US" w:eastAsia="zh-CN"/>
        </w:rPr>
        <w:t>建设监理有限公司(招标代理单位)于2021年2月6日发布《广州发展乐昌云岩100MW 农光互补发电项目施工监理招标公告》。2021年03月05日公示中标第一候选人:福建省</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闽电力工程监理有限公司，投标价101.008万元，项目负责人姓名及资质证书编号:陈</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明/35000</w:t>
      </w:r>
      <w:r>
        <w:rPr>
          <w:rFonts w:hint="eastAsia" w:ascii="仿宋_GB2312" w:hAnsi="仿宋_GB2312" w:cs="仿宋_GB2312"/>
          <w:highlight w:val="none"/>
          <w:u w:val="none"/>
          <w:lang w:val="en-US" w:eastAsia="zh-CN"/>
        </w:rPr>
        <w:t>xxx</w:t>
      </w:r>
      <w:r>
        <w:rPr>
          <w:rFonts w:hint="eastAsia" w:ascii="仿宋_GB2312" w:hAnsi="仿宋_GB2312" w:eastAsia="仿宋_GB2312" w:cs="仿宋_GB2312"/>
          <w:highlight w:val="none"/>
          <w:u w:val="none"/>
          <w:lang w:val="en-US" w:eastAsia="zh-CN"/>
        </w:rPr>
        <w:t>。</w:t>
      </w:r>
    </w:p>
    <w:p w14:paraId="7D90836E">
      <w:pPr>
        <w:pStyle w:val="4"/>
        <w:numPr>
          <w:ilvl w:val="0"/>
          <w:numId w:val="2"/>
        </w:numPr>
        <w:bidi w:val="0"/>
        <w:rPr>
          <w:rFonts w:hint="eastAsia"/>
          <w:highlight w:val="none"/>
          <w:u w:val="none"/>
          <w:lang w:val="en-US" w:eastAsia="zh-CN"/>
        </w:rPr>
      </w:pPr>
      <w:r>
        <w:rPr>
          <w:rFonts w:hint="eastAsia"/>
          <w:highlight w:val="none"/>
          <w:u w:val="none"/>
          <w:lang w:val="en-US" w:eastAsia="zh-CN"/>
        </w:rPr>
        <w:t>工程项目参建单位基本情况</w:t>
      </w:r>
      <w:bookmarkEnd w:id="10"/>
    </w:p>
    <w:p w14:paraId="6A77CA5A">
      <w:pPr>
        <w:pStyle w:val="5"/>
        <w:bidi w:val="0"/>
        <w:rPr>
          <w:rFonts w:hint="eastAsia" w:ascii="仿宋_GB2312" w:hAnsi="仿宋_GB2312" w:eastAsia="仿宋_GB2312" w:cs="仿宋_GB2312"/>
          <w:b/>
          <w:bCs/>
          <w:highlight w:val="none"/>
          <w:u w:val="none"/>
          <w:lang w:val="en-US" w:eastAsia="zh-CN"/>
        </w:rPr>
      </w:pPr>
      <w:r>
        <w:rPr>
          <w:rFonts w:hint="eastAsia" w:ascii="仿宋_GB2312" w:hAnsi="仿宋_GB2312" w:eastAsia="仿宋_GB2312" w:cs="仿宋_GB2312"/>
          <w:b/>
          <w:bCs/>
          <w:highlight w:val="none"/>
          <w:u w:val="none"/>
          <w:lang w:val="en-US" w:eastAsia="zh-CN"/>
        </w:rPr>
        <w:t>1.建设单位</w:t>
      </w:r>
    </w:p>
    <w:p w14:paraId="5D2465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乐昌x发新能源有限公司（以下简称x发公司）</w:t>
      </w:r>
    </w:p>
    <w:p w14:paraId="40808A8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default" w:ascii="仿宋_GB2312" w:hAnsi="仿宋_GB2312" w:cs="仿宋_GB2312"/>
          <w:sz w:val="32"/>
          <w:szCs w:val="32"/>
          <w:highlight w:val="none"/>
          <w:u w:val="none"/>
          <w:lang w:eastAsia="zh-CN"/>
        </w:rPr>
        <w:t>《营业执照》</w:t>
      </w:r>
      <w:r>
        <w:rPr>
          <w:rFonts w:hint="eastAsia" w:ascii="仿宋_GB2312" w:hAnsi="仿宋_GB2312" w:cs="仿宋_GB2312"/>
          <w:sz w:val="32"/>
          <w:szCs w:val="32"/>
          <w:highlight w:val="none"/>
          <w:u w:val="none"/>
          <w:lang w:val="en-US" w:eastAsia="zh-CN"/>
        </w:rPr>
        <w:t>统一社会信用代码</w:t>
      </w:r>
      <w:r>
        <w:rPr>
          <w:rFonts w:hint="default" w:ascii="仿宋_GB2312" w:hAnsi="仿宋_GB2312" w:cs="仿宋_GB2312"/>
          <w:sz w:val="32"/>
          <w:szCs w:val="32"/>
          <w:highlight w:val="none"/>
          <w:u w:val="none"/>
          <w:lang w:eastAsia="zh-CN"/>
        </w:rPr>
        <w:t>：</w:t>
      </w:r>
      <w:r>
        <w:rPr>
          <w:rFonts w:hint="eastAsia" w:ascii="仿宋_GB2312" w:hAnsi="仿宋_GB2312" w:cs="仿宋_GB2312"/>
          <w:sz w:val="32"/>
          <w:szCs w:val="32"/>
          <w:highlight w:val="none"/>
          <w:u w:val="none"/>
          <w:lang w:val="en-US" w:eastAsia="zh-CN"/>
        </w:rPr>
        <w:t>91440281MAxxxxxxxx，法定代表人李x文，成立日期2020年10月20日，类型</w:t>
      </w:r>
      <w:r>
        <w:rPr>
          <w:rFonts w:hint="default" w:ascii="仿宋_GB2312" w:hAnsi="仿宋_GB2312" w:cs="仿宋_GB2312"/>
          <w:sz w:val="32"/>
          <w:szCs w:val="32"/>
          <w:highlight w:val="none"/>
          <w:u w:val="none"/>
          <w:lang w:eastAsia="zh-CN"/>
        </w:rPr>
        <w:t>：</w:t>
      </w:r>
      <w:r>
        <w:rPr>
          <w:rFonts w:hint="eastAsia" w:ascii="仿宋_GB2312" w:hAnsi="仿宋_GB2312" w:cs="仿宋_GB2312"/>
          <w:sz w:val="32"/>
          <w:szCs w:val="32"/>
          <w:highlight w:val="none"/>
          <w:u w:val="none"/>
          <w:lang w:val="en-US" w:eastAsia="zh-CN"/>
        </w:rPr>
        <w:t>有限责任公司(非自然人投资或控股的法人独资)，注册资本12939万元，住所</w:t>
      </w:r>
      <w:r>
        <w:rPr>
          <w:rFonts w:hint="default" w:ascii="仿宋_GB2312" w:hAnsi="仿宋_GB2312" w:cs="仿宋_GB2312"/>
          <w:sz w:val="32"/>
          <w:szCs w:val="32"/>
          <w:highlight w:val="none"/>
          <w:u w:val="none"/>
          <w:lang w:eastAsia="zh-CN"/>
        </w:rPr>
        <w:t>为</w:t>
      </w:r>
      <w:r>
        <w:rPr>
          <w:rFonts w:hint="eastAsia" w:ascii="仿宋_GB2312" w:hAnsi="仿宋_GB2312" w:cs="仿宋_GB2312"/>
          <w:sz w:val="32"/>
          <w:szCs w:val="32"/>
          <w:highlight w:val="none"/>
          <w:u w:val="none"/>
          <w:lang w:val="en-US" w:eastAsia="zh-CN"/>
        </w:rPr>
        <w:t>乐昌市xxxxxxxxx管委会后座10xx号。经营范围:发电、输电、供电业务(依法须经批准的项目，经相关部门批准后方可开展经营活动，具体经营项目以相关部门批准，文件或许可证件为准)一般项目:蔬菜种植;水果种植;中草药种植(除依法须经批准的项目外，凭营业执照依法自主开展经营活动)。</w:t>
      </w:r>
    </w:p>
    <w:p w14:paraId="0D8C19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highlight w:val="none"/>
          <w:u w:val="none"/>
          <w:lang w:val="en-US" w:eastAsia="zh-CN"/>
        </w:rPr>
      </w:pPr>
      <w:r>
        <w:rPr>
          <w:rFonts w:hint="eastAsia" w:ascii="仿宋_GB2312" w:hAnsi="仿宋_GB2312" w:eastAsia="仿宋_GB2312" w:cs="仿宋_GB2312"/>
          <w:highlight w:val="none"/>
          <w:u w:val="none"/>
          <w:lang w:val="en-US" w:eastAsia="zh-CN"/>
        </w:rPr>
        <w:t>2021年3月15日</w:t>
      </w:r>
      <w:r>
        <w:rPr>
          <w:rFonts w:hint="eastAsia" w:ascii="仿宋_GB2312" w:hAnsi="仿宋_GB2312" w:cs="仿宋_GB2312"/>
          <w:highlight w:val="none"/>
          <w:u w:val="none"/>
          <w:lang w:val="en-US" w:eastAsia="zh-CN"/>
        </w:rPr>
        <w:t>x发公司与</w:t>
      </w:r>
      <w:r>
        <w:rPr>
          <w:rFonts w:hint="eastAsia" w:ascii="仿宋_GB2312" w:hAnsi="仿宋_GB2312" w:cs="仿宋_GB2312"/>
          <w:sz w:val="32"/>
          <w:szCs w:val="32"/>
          <w:highlight w:val="none"/>
          <w:u w:val="none"/>
          <w:lang w:val="en-US" w:eastAsia="zh-CN"/>
        </w:rPr>
        <w:t>广州x跃电力工程设计有限公司</w:t>
      </w:r>
      <w:r>
        <w:rPr>
          <w:rFonts w:hint="eastAsia" w:ascii="仿宋_GB2312" w:hAnsi="仿宋_GB2312" w:eastAsia="仿宋_GB2312" w:cs="仿宋_GB2312"/>
          <w:highlight w:val="none"/>
          <w:u w:val="none"/>
          <w:lang w:val="en-US" w:eastAsia="zh-CN"/>
        </w:rPr>
        <w:t>签署《广州发展乐昌云岩100MW农光互补项目EPC总承包工程合同》(合同编号:乐昌</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发光优合2021-</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w:t>
      </w:r>
      <w:r>
        <w:rPr>
          <w:rFonts w:hint="eastAsia" w:ascii="仿宋_GB2312" w:hAnsi="仿宋_GB2312" w:cs="仿宋_GB2312"/>
          <w:highlight w:val="none"/>
          <w:u w:val="none"/>
          <w:lang w:val="en-US" w:eastAsia="zh-CN"/>
        </w:rPr>
        <w:t>。</w:t>
      </w:r>
    </w:p>
    <w:p w14:paraId="1AA4C184">
      <w:pPr>
        <w:pStyle w:val="5"/>
        <w:bidi w:val="0"/>
        <w:ind w:firstLine="880"/>
        <w:rPr>
          <w:rFonts w:hint="eastAsia" w:ascii="仿宋_GB2312" w:hAnsi="仿宋_GB2312" w:eastAsia="仿宋_GB2312" w:cs="仿宋_GB2312"/>
          <w:b/>
          <w:bCs/>
          <w:highlight w:val="none"/>
          <w:u w:val="none"/>
          <w:lang w:val="en-US" w:eastAsia="zh-CN"/>
        </w:rPr>
      </w:pPr>
      <w:r>
        <w:rPr>
          <w:rFonts w:hint="eastAsia" w:ascii="仿宋_GB2312" w:hAnsi="仿宋_GB2312" w:eastAsia="仿宋_GB2312" w:cs="仿宋_GB2312"/>
          <w:b/>
          <w:bCs/>
          <w:highlight w:val="none"/>
          <w:u w:val="none"/>
          <w:lang w:val="en-US" w:eastAsia="zh-CN"/>
        </w:rPr>
        <w:t>2.EPC总承包单位</w:t>
      </w:r>
    </w:p>
    <w:p w14:paraId="571BA90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广州x跃电力工程设计有限公司（以下简称x跃公司）</w:t>
      </w:r>
    </w:p>
    <w:p w14:paraId="53F5F19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eastAsia="zh-CN"/>
        </w:rPr>
      </w:pPr>
      <w:r>
        <w:rPr>
          <w:rFonts w:hint="eastAsia" w:ascii="仿宋_GB2312" w:hAnsi="仿宋_GB2312" w:cs="仿宋_GB2312"/>
          <w:sz w:val="32"/>
          <w:szCs w:val="32"/>
          <w:highlight w:val="none"/>
          <w:u w:val="none"/>
          <w:lang w:val="en-US" w:eastAsia="zh-CN"/>
        </w:rPr>
        <w:t>《营业执照》(登记日期2018年12月19日)统一社会信用代码</w:t>
      </w:r>
      <w:r>
        <w:rPr>
          <w:rFonts w:hint="default" w:ascii="仿宋_GB2312" w:hAnsi="仿宋_GB2312" w:cs="仿宋_GB2312"/>
          <w:sz w:val="32"/>
          <w:szCs w:val="32"/>
          <w:highlight w:val="none"/>
          <w:u w:val="none"/>
          <w:lang w:eastAsia="zh-CN"/>
        </w:rPr>
        <w:t>：</w:t>
      </w:r>
      <w:r>
        <w:rPr>
          <w:rFonts w:hint="eastAsia" w:ascii="仿宋_GB2312" w:hAnsi="仿宋_GB2312" w:cs="仿宋_GB2312"/>
          <w:sz w:val="32"/>
          <w:szCs w:val="32"/>
          <w:highlight w:val="none"/>
          <w:u w:val="none"/>
          <w:lang w:val="en-US" w:eastAsia="zh-CN"/>
        </w:rPr>
        <w:t>9144010668xxxxxxxx，类型</w:t>
      </w:r>
      <w:r>
        <w:rPr>
          <w:rFonts w:hint="default" w:ascii="仿宋_GB2312" w:hAnsi="仿宋_GB2312" w:cs="仿宋_GB2312"/>
          <w:sz w:val="32"/>
          <w:szCs w:val="32"/>
          <w:highlight w:val="none"/>
          <w:u w:val="none"/>
          <w:lang w:eastAsia="zh-CN"/>
        </w:rPr>
        <w:t>：</w:t>
      </w:r>
      <w:r>
        <w:rPr>
          <w:rFonts w:hint="eastAsia" w:ascii="仿宋_GB2312" w:hAnsi="仿宋_GB2312" w:cs="仿宋_GB2312"/>
          <w:sz w:val="32"/>
          <w:szCs w:val="32"/>
          <w:highlight w:val="none"/>
          <w:u w:val="none"/>
          <w:lang w:val="en-US" w:eastAsia="zh-CN"/>
        </w:rPr>
        <w:t>其他有限责任公司，住所</w:t>
      </w:r>
      <w:r>
        <w:rPr>
          <w:rFonts w:hint="default" w:ascii="仿宋_GB2312" w:hAnsi="仿宋_GB2312" w:cs="仿宋_GB2312"/>
          <w:sz w:val="32"/>
          <w:szCs w:val="32"/>
          <w:highlight w:val="none"/>
          <w:u w:val="none"/>
          <w:lang w:eastAsia="zh-CN"/>
        </w:rPr>
        <w:t>为</w:t>
      </w:r>
      <w:r>
        <w:rPr>
          <w:rFonts w:hint="eastAsia" w:ascii="仿宋_GB2312" w:hAnsi="仿宋_GB2312" w:cs="仿宋_GB2312"/>
          <w:sz w:val="32"/>
          <w:szCs w:val="32"/>
          <w:highlight w:val="none"/>
          <w:u w:val="none"/>
          <w:lang w:val="en-US" w:eastAsia="zh-CN"/>
        </w:rPr>
        <w:t>广州市xx区xx大道西xx号办公楼(部位:附楼10x)，法定代表人黄x成，注册资本5000万人民币，成立日期2009年03月09日，经营范围:专业技术服务业。《营业执照》(登记日期 2024年08月08日)法定代表人张x。(注:其他信息同旧执照)</w:t>
      </w:r>
      <w:r>
        <w:rPr>
          <w:rFonts w:hint="default" w:ascii="仿宋_GB2312" w:hAnsi="仿宋_GB2312" w:cs="仿宋_GB2312"/>
          <w:sz w:val="32"/>
          <w:szCs w:val="32"/>
          <w:highlight w:val="none"/>
          <w:u w:val="none"/>
          <w:lang w:eastAsia="zh-CN"/>
        </w:rPr>
        <w:t>。</w:t>
      </w:r>
    </w:p>
    <w:p w14:paraId="6C41B8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《建筑业企业资质证书》(2019年01月29日发证)证书编号:D34426xxxx，法定代表人黄x成，有效期至2024年01月29日，资质类别及等级:环保工程专业承包叁级、电力工程施工总承包叁级、建筑机电安装工程专业承包叁级</w:t>
      </w:r>
      <w:r>
        <w:rPr>
          <w:rFonts w:hint="default" w:ascii="仿宋_GB2312" w:hAnsi="仿宋_GB2312" w:cs="仿宋_GB2312"/>
          <w:sz w:val="32"/>
          <w:szCs w:val="32"/>
          <w:highlight w:val="none"/>
          <w:u w:val="none"/>
          <w:lang w:eastAsia="zh-CN"/>
        </w:rPr>
        <w:t>。</w:t>
      </w:r>
      <w:r>
        <w:rPr>
          <w:rFonts w:hint="eastAsia" w:ascii="仿宋_GB2312" w:hAnsi="仿宋_GB2312" w:cs="仿宋_GB2312"/>
          <w:sz w:val="32"/>
          <w:szCs w:val="32"/>
          <w:highlight w:val="none"/>
          <w:u w:val="none"/>
          <w:lang w:val="en-US" w:eastAsia="zh-CN"/>
        </w:rPr>
        <w:t>《建筑业企业资质证书》(2024年06月11日发证)证书编号:D24466xxxx,法定代表人:张x，有效期至2028年06月28日，资质等级:电力工程施工总承包二级。</w:t>
      </w:r>
    </w:p>
    <w:p w14:paraId="5441F1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工程设计资质证书》(2024年06月11日发证)证书编号:A24401xxxx，法定代表人张x，有效期至2025年11月16日，资质等级:电力行业送电工程乙级、电力行业新能源发电乙级、电力行业风力发电乙级、电力行业变电工程乙级。</w:t>
      </w:r>
    </w:p>
    <w:p w14:paraId="4123BD2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安全生产许可证》(2019年7月2日发证)编号:(粤)JZ安许证字(2019)0117xx，主要负责人黄x成，许可范围:建筑施工，有效期:2019年7月2日至2022年7月2日。《安全生产许可证》(2024年6月25日发证)编号:(粤)JZ安许证字(2023)0268xx，法定代表人张伟，许可范围:建筑施工，有效期:2022年06月09日至2025年06月09日。</w:t>
      </w:r>
    </w:p>
    <w:p w14:paraId="6C79CA4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《承装(修、试)电力设施许可证》(2024年06月16日发证)许可证编号:6-1-002xx-20xx，法定代表人张x，许可类别和等级:承装类四级、承修类四级、承试类四级，有效期限:自2023年07月06日始至2029年07月05日止。</w:t>
      </w:r>
    </w:p>
    <w:p w14:paraId="7D8316D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highlight w:val="none"/>
          <w:u w:val="none"/>
          <w:lang w:val="en-US" w:eastAsia="zh-CN"/>
        </w:rPr>
      </w:pPr>
      <w:r>
        <w:rPr>
          <w:rFonts w:hint="eastAsia" w:ascii="仿宋_GB2312" w:hAnsi="仿宋_GB2312" w:eastAsia="仿宋_GB2312" w:cs="仿宋_GB2312"/>
          <w:highlight w:val="none"/>
          <w:u w:val="none"/>
          <w:lang w:val="en-US" w:eastAsia="zh-CN"/>
        </w:rPr>
        <w:t>2021年3月15日</w:t>
      </w:r>
      <w:r>
        <w:rPr>
          <w:rFonts w:hint="eastAsia" w:ascii="仿宋_GB2312" w:hAnsi="仿宋_GB2312" w:cs="仿宋_GB2312"/>
          <w:highlight w:val="none"/>
          <w:u w:val="none"/>
          <w:lang w:val="en-US" w:eastAsia="zh-CN"/>
        </w:rPr>
        <w:t>x发公司与x跃公司</w:t>
      </w:r>
      <w:r>
        <w:rPr>
          <w:rFonts w:hint="eastAsia" w:ascii="仿宋_GB2312" w:hAnsi="仿宋_GB2312" w:eastAsia="仿宋_GB2312" w:cs="仿宋_GB2312"/>
          <w:highlight w:val="none"/>
          <w:u w:val="none"/>
          <w:lang w:val="en-US" w:eastAsia="zh-CN"/>
        </w:rPr>
        <w:t>签署《广州发展乐昌云岩100MW农光互补项目EPC总承包工程合同》(合同编号:乐昌</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发光优合2021-</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w:t>
      </w:r>
    </w:p>
    <w:p w14:paraId="0F47899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highlight w:val="none"/>
          <w:u w:val="none"/>
          <w:lang w:val="en-US" w:eastAsia="zh-CN"/>
        </w:rPr>
      </w:pPr>
      <w:r>
        <w:rPr>
          <w:rFonts w:hint="eastAsia" w:ascii="仿宋_GB2312" w:hAnsi="仿宋_GB2312" w:eastAsia="仿宋_GB2312" w:cs="仿宋_GB2312"/>
          <w:highlight w:val="none"/>
          <w:u w:val="none"/>
          <w:lang w:val="en-US" w:eastAsia="zh-CN"/>
        </w:rPr>
        <w:t>2022年12月2日，</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跃公司(甲方)、广州</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光用电服务有限公司(乙方)签订《广州发展乐昌云岩100MW农光互补项目施工分包合同》(以下简称《施工分包合同》)，甲方委托乙方承担本项目光伏区施工的建设工作。</w:t>
      </w:r>
    </w:p>
    <w:p w14:paraId="033FE925">
      <w:pPr>
        <w:pStyle w:val="5"/>
        <w:bidi w:val="0"/>
        <w:ind w:firstLine="880"/>
        <w:rPr>
          <w:rFonts w:hint="eastAsia" w:ascii="仿宋_GB2312" w:hAnsi="仿宋_GB2312" w:eastAsia="仿宋_GB2312" w:cs="仿宋_GB2312"/>
          <w:b/>
          <w:bCs/>
          <w:highlight w:val="none"/>
          <w:u w:val="none"/>
          <w:lang w:val="en-US" w:eastAsia="zh-CN"/>
        </w:rPr>
      </w:pPr>
      <w:r>
        <w:rPr>
          <w:rFonts w:hint="eastAsia" w:ascii="仿宋_GB2312" w:hAnsi="仿宋_GB2312" w:eastAsia="仿宋_GB2312" w:cs="仿宋_GB2312"/>
          <w:b/>
          <w:bCs/>
          <w:highlight w:val="none"/>
          <w:u w:val="none"/>
          <w:lang w:val="en-US" w:eastAsia="zh-CN"/>
        </w:rPr>
        <w:t>3.专业分包单位</w:t>
      </w:r>
    </w:p>
    <w:p w14:paraId="3731565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广州x光用电服务有限公司（以下简称x光公司）</w:t>
      </w:r>
    </w:p>
    <w:p w14:paraId="2DBF32D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《营业执照》(2023年12月13日登记)统一社会信用代码</w:t>
      </w:r>
      <w:r>
        <w:rPr>
          <w:rFonts w:hint="default" w:ascii="仿宋_GB2312" w:hAnsi="仿宋_GB2312" w:cs="仿宋_GB2312"/>
          <w:sz w:val="32"/>
          <w:szCs w:val="32"/>
          <w:highlight w:val="none"/>
          <w:u w:val="none"/>
          <w:lang w:eastAsia="zh-CN"/>
        </w:rPr>
        <w:t>：</w:t>
      </w:r>
      <w:r>
        <w:rPr>
          <w:rFonts w:hint="eastAsia" w:ascii="仿宋_GB2312" w:hAnsi="仿宋_GB2312" w:cs="仿宋_GB2312"/>
          <w:sz w:val="32"/>
          <w:szCs w:val="32"/>
          <w:highlight w:val="none"/>
          <w:u w:val="none"/>
          <w:lang w:val="en-US" w:eastAsia="zh-CN"/>
        </w:rPr>
        <w:t>9144010132xxxxxxxx，类型</w:t>
      </w:r>
      <w:r>
        <w:rPr>
          <w:rFonts w:hint="default" w:ascii="仿宋_GB2312" w:hAnsi="仿宋_GB2312" w:cs="仿宋_GB2312"/>
          <w:sz w:val="32"/>
          <w:szCs w:val="32"/>
          <w:highlight w:val="none"/>
          <w:u w:val="none"/>
          <w:lang w:eastAsia="zh-CN"/>
        </w:rPr>
        <w:t>：</w:t>
      </w:r>
      <w:r>
        <w:rPr>
          <w:rFonts w:hint="eastAsia" w:ascii="仿宋_GB2312" w:hAnsi="仿宋_GB2312" w:cs="仿宋_GB2312"/>
          <w:sz w:val="32"/>
          <w:szCs w:val="32"/>
          <w:highlight w:val="none"/>
          <w:u w:val="none"/>
          <w:lang w:val="en-US" w:eastAsia="zh-CN"/>
        </w:rPr>
        <w:t>其他有限责任公司，法定代表人简x，注册资本4000万人民币，成立日期2014年12月11日，住所</w:t>
      </w:r>
      <w:r>
        <w:rPr>
          <w:rFonts w:hint="default" w:ascii="仿宋_GB2312" w:hAnsi="仿宋_GB2312" w:cs="仿宋_GB2312"/>
          <w:sz w:val="32"/>
          <w:szCs w:val="32"/>
          <w:highlight w:val="none"/>
          <w:u w:val="none"/>
          <w:lang w:eastAsia="zh-CN"/>
        </w:rPr>
        <w:t>为</w:t>
      </w:r>
      <w:r>
        <w:rPr>
          <w:rFonts w:hint="eastAsia" w:ascii="仿宋_GB2312" w:hAnsi="仿宋_GB2312" w:cs="仿宋_GB2312"/>
          <w:sz w:val="32"/>
          <w:szCs w:val="32"/>
          <w:highlight w:val="none"/>
          <w:u w:val="none"/>
          <w:lang w:val="en-US" w:eastAsia="zh-CN"/>
        </w:rPr>
        <w:t>广州市xx区xx镇xx村xx南路3x号之十八20x，经营范围:专业技术服务业。</w:t>
      </w:r>
    </w:p>
    <w:p w14:paraId="47AED3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建筑业企业资质证书》(2020年05月08日发证)证书编号:D34405xxxx，法定代表人黄x成，有效期至2025年05月08日，资质类别及等级:建筑工程施工总承包三级，城市及道路照明工程专业承包三级、施工劳务不分等级，电力工程施工总承包三级。</w:t>
      </w:r>
    </w:p>
    <w:p w14:paraId="41C817D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安全生产许可证》(2022年09月29日发证)编号:(粤)JZ安许证字(2021)0141xx延，法定代表人简x，许可范围:建筑施工，有效期:2021年09月10日至2024年09月10日。《安全生产许可证》(2024年07月24日发证)编号:(粤)JZ安许证字(2023)0261xx，法定代表人简杰，许可范围:建筑施工，有效期:2024年07月24日至2027年07月24日。</w:t>
      </w:r>
    </w:p>
    <w:p w14:paraId="46A7894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《承装(修、试)电力设施许可证》(2021年03月16日发证)许可证编号:6-1-003xx-20xx，法定代表人黄x成，许可类别和等级:承装类三级、承修类三级、承试类三级，有效期限:自2021年04月22日始至2027年04月21日止。</w:t>
      </w:r>
    </w:p>
    <w:p w14:paraId="6FE3676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2024年3月8日，x光公司(甲方)、赤峰市x速电力工程安装有限公司(乙方)签订《广州发展乐昌云岩100M农光互补项目光伏区施工分包合同》(合同编号:GDYD-F-01-202406xxxx）。</w:t>
      </w:r>
    </w:p>
    <w:p w14:paraId="2F643770">
      <w:pPr>
        <w:pStyle w:val="5"/>
        <w:bidi w:val="0"/>
        <w:ind w:firstLine="880"/>
        <w:rPr>
          <w:rFonts w:hint="default" w:ascii="仿宋_GB2312" w:hAnsi="仿宋_GB2312" w:eastAsia="仿宋_GB2312" w:cs="仿宋_GB2312"/>
          <w:b/>
          <w:bCs/>
          <w:highlight w:val="none"/>
          <w:u w:val="none"/>
          <w:lang w:val="en-US" w:eastAsia="zh-CN"/>
        </w:rPr>
      </w:pPr>
      <w:r>
        <w:rPr>
          <w:rFonts w:hint="eastAsia" w:ascii="仿宋_GB2312" w:hAnsi="仿宋_GB2312" w:eastAsia="仿宋_GB2312" w:cs="仿宋_GB2312"/>
          <w:b/>
          <w:bCs/>
          <w:highlight w:val="none"/>
          <w:u w:val="none"/>
          <w:lang w:val="en-US" w:eastAsia="zh-CN"/>
        </w:rPr>
        <w:t>4.劳动分包单位</w:t>
      </w:r>
    </w:p>
    <w:p w14:paraId="511CFF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赤峰市x速电力工程安装有限公司（以下简称x速公司）</w:t>
      </w:r>
    </w:p>
    <w:p w14:paraId="076588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《营业执照》统一社会信用代码：91150425MAxxxxxxxx，成立于2021年8月2日，注册地为内蒙古自治区赤峰市xxxx旗xx镇xx村61号，属于有限责任公司（自然人独资），法定代表人张x锋。</w:t>
      </w:r>
    </w:p>
    <w:p w14:paraId="30F842F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经营范围：太阳能发电技术服务;电气设备修理;技术服务、技术开发、技术咨询、技术交流、技术转让、技术推广;承接总公司工程建设业务;光伏发电设备租赁;风力发电技术服务;(依法须经批准的项目,经相关部门批准后方可开展经营活动)。</w:t>
      </w:r>
    </w:p>
    <w:p w14:paraId="07F09DC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x速公司不具备建筑业企业施工劳务资质、电力建设工程施工资质。</w:t>
      </w:r>
    </w:p>
    <w:p w14:paraId="65F54A7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highlight w:val="none"/>
          <w:u w:val="none"/>
          <w:lang w:val="en-US" w:eastAsia="zh-CN"/>
        </w:rPr>
      </w:pPr>
      <w:r>
        <w:rPr>
          <w:rFonts w:hint="eastAsia" w:ascii="仿宋_GB2312" w:hAnsi="仿宋_GB2312" w:cs="仿宋_GB2312"/>
          <w:sz w:val="32"/>
          <w:szCs w:val="32"/>
          <w:highlight w:val="none"/>
          <w:u w:val="none"/>
          <w:lang w:val="en-US" w:eastAsia="zh-CN"/>
        </w:rPr>
        <w:t>2024年3月8日，x光公司(甲方)、x速公司(乙方)签订《广州发展乐昌云岩100M农光互补项目光伏区施工分包合同》(合同编号:GDYD-F-01-202406xxxx）。</w:t>
      </w:r>
    </w:p>
    <w:p w14:paraId="295522DF">
      <w:pPr>
        <w:pStyle w:val="5"/>
        <w:bidi w:val="0"/>
        <w:ind w:firstLine="880"/>
        <w:rPr>
          <w:rFonts w:hint="eastAsia" w:ascii="仿宋_GB2312" w:hAnsi="仿宋_GB2312" w:eastAsia="仿宋_GB2312" w:cs="仿宋_GB2312"/>
          <w:b/>
          <w:bCs/>
          <w:highlight w:val="none"/>
          <w:u w:val="none"/>
          <w:lang w:val="en-US" w:eastAsia="zh-CN"/>
        </w:rPr>
      </w:pPr>
      <w:r>
        <w:rPr>
          <w:rFonts w:hint="eastAsia" w:ascii="仿宋_GB2312" w:hAnsi="仿宋_GB2312" w:eastAsia="仿宋_GB2312" w:cs="仿宋_GB2312"/>
          <w:b/>
          <w:bCs/>
          <w:highlight w:val="none"/>
          <w:u w:val="none"/>
          <w:lang w:val="en-US" w:eastAsia="zh-CN"/>
        </w:rPr>
        <w:t>5.监理单位</w:t>
      </w:r>
    </w:p>
    <w:p w14:paraId="49EB806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bookmarkStart w:id="11" w:name="_Toc4288"/>
      <w:r>
        <w:rPr>
          <w:rFonts w:hint="eastAsia" w:ascii="仿宋_GB2312" w:hAnsi="仿宋_GB2312" w:cs="仿宋_GB2312"/>
          <w:sz w:val="32"/>
          <w:szCs w:val="32"/>
          <w:highlight w:val="none"/>
          <w:u w:val="none"/>
          <w:lang w:val="en-US" w:eastAsia="zh-CN"/>
        </w:rPr>
        <w:t>（1）</w:t>
      </w:r>
      <w:r>
        <w:rPr>
          <w:rFonts w:hint="default" w:ascii="仿宋_GB2312" w:hAnsi="仿宋_GB2312" w:cs="仿宋_GB2312"/>
          <w:sz w:val="32"/>
          <w:szCs w:val="32"/>
          <w:highlight w:val="none"/>
          <w:u w:val="none"/>
          <w:lang w:val="en-US" w:eastAsia="zh-CN"/>
        </w:rPr>
        <w:t>福建省</w:t>
      </w:r>
      <w:r>
        <w:rPr>
          <w:rFonts w:hint="eastAsia" w:ascii="仿宋_GB2312" w:hAnsi="仿宋_GB2312" w:cs="仿宋_GB2312"/>
          <w:sz w:val="32"/>
          <w:szCs w:val="32"/>
          <w:highlight w:val="none"/>
          <w:u w:val="none"/>
          <w:lang w:val="en-US" w:eastAsia="zh-CN"/>
        </w:rPr>
        <w:t>x</w:t>
      </w:r>
      <w:r>
        <w:rPr>
          <w:rFonts w:hint="default" w:ascii="仿宋_GB2312" w:hAnsi="仿宋_GB2312" w:cs="仿宋_GB2312"/>
          <w:sz w:val="32"/>
          <w:szCs w:val="32"/>
          <w:highlight w:val="none"/>
          <w:u w:val="none"/>
          <w:lang w:val="en-US" w:eastAsia="zh-CN"/>
        </w:rPr>
        <w:t>闽电力工程监理有限公司</w:t>
      </w:r>
      <w:r>
        <w:rPr>
          <w:rFonts w:hint="eastAsia" w:ascii="仿宋_GB2312" w:hAnsi="仿宋_GB2312" w:cs="仿宋_GB2312"/>
          <w:sz w:val="32"/>
          <w:szCs w:val="32"/>
          <w:highlight w:val="none"/>
          <w:u w:val="none"/>
          <w:lang w:val="en-US" w:eastAsia="zh-CN"/>
        </w:rPr>
        <w:t>（以下简称x闽公司）</w:t>
      </w:r>
    </w:p>
    <w:p w14:paraId="2159DB9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default" w:ascii="仿宋_GB2312" w:hAnsi="仿宋_GB2312" w:cs="仿宋_GB2312"/>
          <w:sz w:val="32"/>
          <w:szCs w:val="32"/>
          <w:highlight w:val="none"/>
          <w:u w:val="none"/>
          <w:lang w:val="en-US" w:eastAsia="zh-CN"/>
        </w:rPr>
        <w:t>《营业执照》统一社会信用</w:t>
      </w:r>
      <w:r>
        <w:rPr>
          <w:rFonts w:hint="default" w:ascii="仿宋_GB2312" w:hAnsi="仿宋_GB2312" w:cs="仿宋_GB2312"/>
          <w:sz w:val="32"/>
          <w:szCs w:val="32"/>
          <w:highlight w:val="none"/>
          <w:u w:val="none"/>
          <w:lang w:eastAsia="zh-CN"/>
        </w:rPr>
        <w:t>代码</w:t>
      </w:r>
      <w:r>
        <w:rPr>
          <w:rFonts w:hint="default" w:ascii="仿宋_GB2312" w:hAnsi="仿宋_GB2312" w:cs="仿宋_GB2312"/>
          <w:sz w:val="32"/>
          <w:szCs w:val="32"/>
          <w:highlight w:val="none"/>
          <w:u w:val="none"/>
          <w:lang w:val="en-US" w:eastAsia="zh-CN"/>
        </w:rPr>
        <w:t>9135000071</w:t>
      </w:r>
      <w:r>
        <w:rPr>
          <w:rFonts w:hint="eastAsia" w:ascii="仿宋_GB2312" w:hAnsi="仿宋_GB2312" w:cs="仿宋_GB2312"/>
          <w:sz w:val="32"/>
          <w:szCs w:val="32"/>
          <w:highlight w:val="none"/>
          <w:u w:val="none"/>
          <w:lang w:val="en-US" w:eastAsia="zh-CN"/>
        </w:rPr>
        <w:t>xxxxxxxx</w:t>
      </w:r>
      <w:r>
        <w:rPr>
          <w:rFonts w:hint="default" w:ascii="仿宋_GB2312" w:hAnsi="仿宋_GB2312" w:cs="仿宋_GB2312"/>
          <w:sz w:val="32"/>
          <w:szCs w:val="32"/>
          <w:highlight w:val="none"/>
          <w:u w:val="none"/>
          <w:lang w:val="en-US" w:eastAsia="zh-CN"/>
        </w:rPr>
        <w:t>，法定代表人王开武，成立日期2000年04月25日，注册资本1000万人民币，住所</w:t>
      </w:r>
      <w:r>
        <w:rPr>
          <w:rFonts w:hint="default" w:ascii="仿宋_GB2312" w:hAnsi="仿宋_GB2312" w:cs="仿宋_GB2312"/>
          <w:sz w:val="32"/>
          <w:szCs w:val="32"/>
          <w:highlight w:val="none"/>
          <w:u w:val="none"/>
          <w:lang w:eastAsia="zh-CN"/>
        </w:rPr>
        <w:t>为</w:t>
      </w:r>
      <w:r>
        <w:rPr>
          <w:rFonts w:hint="default" w:ascii="仿宋_GB2312" w:hAnsi="仿宋_GB2312" w:cs="仿宋_GB2312"/>
          <w:sz w:val="32"/>
          <w:szCs w:val="32"/>
          <w:highlight w:val="none"/>
          <w:u w:val="none"/>
          <w:lang w:val="en-US" w:eastAsia="zh-CN"/>
        </w:rPr>
        <w:t>福建省</w:t>
      </w:r>
      <w:r>
        <w:rPr>
          <w:rFonts w:hint="eastAsia" w:ascii="仿宋_GB2312" w:hAnsi="仿宋_GB2312" w:cs="仿宋_GB2312"/>
          <w:sz w:val="32"/>
          <w:szCs w:val="32"/>
          <w:highlight w:val="none"/>
          <w:u w:val="none"/>
          <w:lang w:val="en-US" w:eastAsia="zh-CN"/>
        </w:rPr>
        <w:t>xx</w:t>
      </w:r>
      <w:r>
        <w:rPr>
          <w:rFonts w:hint="default" w:ascii="仿宋_GB2312" w:hAnsi="仿宋_GB2312" w:cs="仿宋_GB2312"/>
          <w:sz w:val="32"/>
          <w:szCs w:val="32"/>
          <w:highlight w:val="none"/>
          <w:u w:val="none"/>
          <w:lang w:val="en-US" w:eastAsia="zh-CN"/>
        </w:rPr>
        <w:t>市</w:t>
      </w:r>
      <w:r>
        <w:rPr>
          <w:rFonts w:hint="eastAsia" w:ascii="仿宋_GB2312" w:hAnsi="仿宋_GB2312" w:cs="仿宋_GB2312"/>
          <w:sz w:val="32"/>
          <w:szCs w:val="32"/>
          <w:highlight w:val="none"/>
          <w:u w:val="none"/>
          <w:lang w:val="en-US" w:eastAsia="zh-CN"/>
        </w:rPr>
        <w:t>xx</w:t>
      </w:r>
      <w:r>
        <w:rPr>
          <w:rFonts w:hint="default" w:ascii="仿宋_GB2312" w:hAnsi="仿宋_GB2312" w:cs="仿宋_GB2312"/>
          <w:sz w:val="32"/>
          <w:szCs w:val="32"/>
          <w:highlight w:val="none"/>
          <w:u w:val="none"/>
          <w:lang w:val="en-US" w:eastAsia="zh-CN"/>
        </w:rPr>
        <w:t>区</w:t>
      </w:r>
      <w:r>
        <w:rPr>
          <w:rFonts w:hint="eastAsia" w:ascii="仿宋_GB2312" w:hAnsi="仿宋_GB2312" w:cs="仿宋_GB2312"/>
          <w:sz w:val="32"/>
          <w:szCs w:val="32"/>
          <w:highlight w:val="none"/>
          <w:u w:val="none"/>
          <w:lang w:val="en-US" w:eastAsia="zh-CN"/>
        </w:rPr>
        <w:t>xx</w:t>
      </w:r>
      <w:r>
        <w:rPr>
          <w:rFonts w:hint="default" w:ascii="仿宋_GB2312" w:hAnsi="仿宋_GB2312" w:cs="仿宋_GB2312"/>
          <w:sz w:val="32"/>
          <w:szCs w:val="32"/>
          <w:highlight w:val="none"/>
          <w:u w:val="none"/>
          <w:lang w:val="en-US" w:eastAsia="zh-CN"/>
        </w:rPr>
        <w:t>路</w:t>
      </w:r>
      <w:r>
        <w:rPr>
          <w:rFonts w:hint="eastAsia" w:ascii="仿宋_GB2312" w:hAnsi="仿宋_GB2312" w:cs="仿宋_GB2312"/>
          <w:sz w:val="32"/>
          <w:szCs w:val="32"/>
          <w:highlight w:val="none"/>
          <w:u w:val="none"/>
          <w:lang w:val="en-US" w:eastAsia="zh-CN"/>
        </w:rPr>
        <w:t>xxx</w:t>
      </w:r>
      <w:r>
        <w:rPr>
          <w:rFonts w:hint="default" w:ascii="仿宋_GB2312" w:hAnsi="仿宋_GB2312" w:cs="仿宋_GB2312"/>
          <w:sz w:val="32"/>
          <w:szCs w:val="32"/>
          <w:highlight w:val="none"/>
          <w:u w:val="none"/>
          <w:lang w:val="en-US" w:eastAsia="zh-CN"/>
        </w:rPr>
        <w:t>号</w:t>
      </w:r>
      <w:r>
        <w:rPr>
          <w:rFonts w:hint="eastAsia" w:ascii="仿宋_GB2312" w:hAnsi="仿宋_GB2312" w:cs="仿宋_GB2312"/>
          <w:sz w:val="32"/>
          <w:szCs w:val="32"/>
          <w:highlight w:val="none"/>
          <w:u w:val="none"/>
          <w:lang w:val="en-US" w:eastAsia="zh-CN"/>
        </w:rPr>
        <w:t>xx</w:t>
      </w:r>
      <w:r>
        <w:rPr>
          <w:rFonts w:hint="default" w:ascii="仿宋_GB2312" w:hAnsi="仿宋_GB2312" w:cs="仿宋_GB2312"/>
          <w:sz w:val="32"/>
          <w:szCs w:val="32"/>
          <w:highlight w:val="none"/>
          <w:u w:val="none"/>
          <w:lang w:val="en-US" w:eastAsia="zh-CN"/>
        </w:rPr>
        <w:t>座。登记状态:注销，注销原因:因公司合并或分立，注销日期2022年05月24日。</w:t>
      </w:r>
    </w:p>
    <w:p w14:paraId="49A4F7D4">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highlight w:val="none"/>
          <w:u w:val="none"/>
          <w:lang w:val="en-US" w:eastAsia="zh-CN"/>
        </w:rPr>
      </w:pPr>
      <w:r>
        <w:rPr>
          <w:rFonts w:hint="eastAsia" w:ascii="仿宋_GB2312" w:hAnsi="仿宋_GB2312" w:eastAsia="仿宋_GB2312" w:cs="仿宋_GB2312"/>
          <w:highlight w:val="none"/>
          <w:u w:val="none"/>
          <w:lang w:val="en-US" w:eastAsia="zh-CN"/>
        </w:rPr>
        <w:t>2021年3月31日</w:t>
      </w:r>
      <w:r>
        <w:rPr>
          <w:rFonts w:hint="eastAsia" w:ascii="仿宋_GB2312" w:hAnsi="仿宋_GB2312" w:cs="仿宋_GB2312"/>
          <w:highlight w:val="none"/>
          <w:u w:val="none"/>
          <w:lang w:val="en-US" w:eastAsia="zh-CN"/>
        </w:rPr>
        <w:t>x发公司与x闽公司</w:t>
      </w:r>
      <w:r>
        <w:rPr>
          <w:rFonts w:hint="eastAsia" w:ascii="仿宋_GB2312" w:hAnsi="仿宋_GB2312" w:eastAsia="仿宋_GB2312" w:cs="仿宋_GB2312"/>
          <w:highlight w:val="none"/>
          <w:u w:val="none"/>
          <w:lang w:val="en-US" w:eastAsia="zh-CN"/>
        </w:rPr>
        <w:t>签署《广州发展乐昌云岩100MW农光互补发电项目施工监理合同》(合同编号:乐昌</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发光优合2021-</w:t>
      </w:r>
      <w:r>
        <w:rPr>
          <w:rFonts w:hint="eastAsia" w:ascii="仿宋_GB2312" w:hAnsi="仿宋_GB2312" w:cs="仿宋_GB2312"/>
          <w:highlight w:val="none"/>
          <w:u w:val="none"/>
          <w:lang w:val="en-US" w:eastAsia="zh-CN"/>
        </w:rPr>
        <w:t>xx</w:t>
      </w:r>
      <w:r>
        <w:rPr>
          <w:rFonts w:hint="eastAsia" w:ascii="仿宋_GB2312" w:hAnsi="仿宋_GB2312" w:eastAsia="仿宋_GB2312" w:cs="仿宋_GB2312"/>
          <w:highlight w:val="none"/>
          <w:u w:val="none"/>
          <w:lang w:val="en-US" w:eastAsia="zh-CN"/>
        </w:rPr>
        <w:t>)</w:t>
      </w:r>
      <w:r>
        <w:rPr>
          <w:rFonts w:hint="eastAsia" w:ascii="仿宋_GB2312" w:hAnsi="仿宋_GB2312" w:cs="仿宋_GB2312"/>
          <w:highlight w:val="none"/>
          <w:u w:val="none"/>
          <w:lang w:val="en-US" w:eastAsia="zh-CN"/>
        </w:rPr>
        <w:t>。</w:t>
      </w:r>
    </w:p>
    <w:p w14:paraId="3D1B943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（2）xx</w:t>
      </w:r>
      <w:r>
        <w:rPr>
          <w:rFonts w:hint="default" w:ascii="仿宋_GB2312" w:hAnsi="仿宋_GB2312" w:cs="仿宋_GB2312"/>
          <w:sz w:val="32"/>
          <w:szCs w:val="32"/>
          <w:highlight w:val="none"/>
          <w:u w:val="none"/>
          <w:lang w:val="en-US" w:eastAsia="zh-CN"/>
        </w:rPr>
        <w:t>安股份有限公司</w:t>
      </w:r>
      <w:r>
        <w:rPr>
          <w:rFonts w:hint="eastAsia" w:ascii="仿宋_GB2312" w:hAnsi="仿宋_GB2312" w:cs="仿宋_GB2312"/>
          <w:sz w:val="32"/>
          <w:szCs w:val="32"/>
          <w:highlight w:val="none"/>
          <w:u w:val="none"/>
          <w:lang w:val="en-US" w:eastAsia="zh-CN"/>
        </w:rPr>
        <w:t>（以下简称xx安公司）</w:t>
      </w:r>
    </w:p>
    <w:p w14:paraId="396A88C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default" w:ascii="仿宋_GB2312" w:hAnsi="仿宋_GB2312" w:cs="仿宋_GB2312"/>
          <w:sz w:val="32"/>
          <w:szCs w:val="32"/>
          <w:highlight w:val="none"/>
          <w:u w:val="none"/>
          <w:lang w:val="en-US" w:eastAsia="zh-CN"/>
        </w:rPr>
        <w:t>《营业执照》统一社会信用代码914400007080735472，法定代表人陈</w:t>
      </w:r>
      <w:r>
        <w:rPr>
          <w:rFonts w:hint="eastAsia" w:ascii="仿宋_GB2312" w:hAnsi="仿宋_GB2312" w:cs="仿宋_GB2312"/>
          <w:sz w:val="32"/>
          <w:szCs w:val="32"/>
          <w:highlight w:val="none"/>
          <w:u w:val="none"/>
          <w:lang w:val="en-US" w:eastAsia="zh-CN"/>
        </w:rPr>
        <w:t>x</w:t>
      </w:r>
      <w:r>
        <w:rPr>
          <w:rFonts w:hint="default" w:ascii="仿宋_GB2312" w:hAnsi="仿宋_GB2312" w:cs="仿宋_GB2312"/>
          <w:sz w:val="32"/>
          <w:szCs w:val="32"/>
          <w:highlight w:val="none"/>
          <w:u w:val="none"/>
          <w:lang w:val="en-US" w:eastAsia="zh-CN"/>
        </w:rPr>
        <w:t>宝，成立日期2000年08月08日，核准日期2023年10月31日，注册资本13632.20万元，住所广州市</w:t>
      </w:r>
      <w:r>
        <w:rPr>
          <w:rFonts w:hint="eastAsia" w:ascii="仿宋_GB2312" w:hAnsi="仿宋_GB2312" w:cs="仿宋_GB2312"/>
          <w:sz w:val="32"/>
          <w:szCs w:val="32"/>
          <w:highlight w:val="none"/>
          <w:u w:val="none"/>
          <w:lang w:val="en-US" w:eastAsia="zh-CN"/>
        </w:rPr>
        <w:t>xx</w:t>
      </w:r>
      <w:r>
        <w:rPr>
          <w:rFonts w:hint="default" w:ascii="仿宋_GB2312" w:hAnsi="仿宋_GB2312" w:cs="仿宋_GB2312"/>
          <w:sz w:val="32"/>
          <w:szCs w:val="32"/>
          <w:highlight w:val="none"/>
          <w:u w:val="none"/>
          <w:lang w:val="en-US" w:eastAsia="zh-CN"/>
        </w:rPr>
        <w:t>区</w:t>
      </w:r>
      <w:r>
        <w:rPr>
          <w:rFonts w:hint="eastAsia" w:ascii="仿宋_GB2312" w:hAnsi="仿宋_GB2312" w:cs="仿宋_GB2312"/>
          <w:sz w:val="32"/>
          <w:szCs w:val="32"/>
          <w:highlight w:val="none"/>
          <w:u w:val="none"/>
          <w:lang w:val="en-US" w:eastAsia="zh-CN"/>
        </w:rPr>
        <w:t>xxx</w:t>
      </w:r>
      <w:r>
        <w:rPr>
          <w:rFonts w:hint="default" w:ascii="仿宋_GB2312" w:hAnsi="仿宋_GB2312" w:cs="仿宋_GB2312"/>
          <w:sz w:val="32"/>
          <w:szCs w:val="32"/>
          <w:highlight w:val="none"/>
          <w:u w:val="none"/>
          <w:lang w:val="en-US" w:eastAsia="zh-CN"/>
        </w:rPr>
        <w:t>路</w:t>
      </w:r>
      <w:r>
        <w:rPr>
          <w:rFonts w:hint="eastAsia" w:ascii="仿宋_GB2312" w:hAnsi="仿宋_GB2312" w:cs="仿宋_GB2312"/>
          <w:sz w:val="32"/>
          <w:szCs w:val="32"/>
          <w:highlight w:val="none"/>
          <w:u w:val="none"/>
          <w:lang w:val="en-US" w:eastAsia="zh-CN"/>
        </w:rPr>
        <w:t>xxx</w:t>
      </w:r>
      <w:r>
        <w:rPr>
          <w:rFonts w:hint="default" w:ascii="仿宋_GB2312" w:hAnsi="仿宋_GB2312" w:cs="仿宋_GB2312"/>
          <w:sz w:val="32"/>
          <w:szCs w:val="32"/>
          <w:highlight w:val="none"/>
          <w:u w:val="none"/>
          <w:lang w:val="en-US" w:eastAsia="zh-CN"/>
        </w:rPr>
        <w:t>号之二901-</w:t>
      </w:r>
      <w:r>
        <w:rPr>
          <w:rFonts w:hint="eastAsia" w:ascii="仿宋_GB2312" w:hAnsi="仿宋_GB2312" w:cs="仿宋_GB2312"/>
          <w:sz w:val="32"/>
          <w:szCs w:val="32"/>
          <w:highlight w:val="none"/>
          <w:u w:val="none"/>
          <w:lang w:val="en-US" w:eastAsia="zh-CN"/>
        </w:rPr>
        <w:t>xxx</w:t>
      </w:r>
      <w:r>
        <w:rPr>
          <w:rFonts w:hint="default" w:ascii="仿宋_GB2312" w:hAnsi="仿宋_GB2312" w:cs="仿宋_GB2312"/>
          <w:sz w:val="32"/>
          <w:szCs w:val="32"/>
          <w:highlight w:val="none"/>
          <w:u w:val="none"/>
          <w:lang w:val="en-US" w:eastAsia="zh-CN"/>
        </w:rPr>
        <w:t>房。</w:t>
      </w:r>
    </w:p>
    <w:p w14:paraId="0DB8B52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default" w:ascii="仿宋_GB2312" w:hAnsi="仿宋_GB2312" w:cs="仿宋_GB2312"/>
          <w:sz w:val="32"/>
          <w:szCs w:val="32"/>
          <w:highlight w:val="none"/>
          <w:u w:val="none"/>
          <w:lang w:val="en-US" w:eastAsia="zh-CN"/>
        </w:rPr>
        <w:t>《工程监理资质证书》(2023年02月27日发证)证书编号:E14400</w:t>
      </w:r>
      <w:r>
        <w:rPr>
          <w:rFonts w:hint="eastAsia" w:ascii="仿宋_GB2312" w:hAnsi="仿宋_GB2312" w:cs="仿宋_GB2312"/>
          <w:sz w:val="32"/>
          <w:szCs w:val="32"/>
          <w:highlight w:val="none"/>
          <w:u w:val="none"/>
          <w:lang w:val="en-US" w:eastAsia="zh-CN"/>
        </w:rPr>
        <w:t>xxxx</w:t>
      </w:r>
      <w:r>
        <w:rPr>
          <w:rFonts w:hint="default" w:ascii="仿宋_GB2312" w:hAnsi="仿宋_GB2312" w:cs="仿宋_GB2312"/>
          <w:sz w:val="32"/>
          <w:szCs w:val="32"/>
          <w:highlight w:val="none"/>
          <w:u w:val="none"/>
          <w:lang w:val="en-US" w:eastAsia="zh-CN"/>
        </w:rPr>
        <w:t>,有效期至2028年02月27日，经济性质:股份有限公司(上市、自然人投资或控股)，资质等级:工程监理综合资质。</w:t>
      </w:r>
    </w:p>
    <w:p w14:paraId="7334C66C">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highlight w:val="none"/>
          <w:u w:val="none"/>
          <w:lang w:val="en-US" w:eastAsia="zh-CN"/>
        </w:rPr>
      </w:pPr>
      <w:r>
        <w:rPr>
          <w:rFonts w:hint="eastAsia" w:ascii="仿宋_GB2312" w:hAnsi="仿宋_GB2312" w:eastAsia="仿宋_GB2312" w:cs="仿宋_GB2312"/>
          <w:highlight w:val="none"/>
          <w:u w:val="none"/>
          <w:lang w:val="en-US" w:eastAsia="zh-CN"/>
        </w:rPr>
        <w:t>2022年3月29日《关于福建省</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闽电力工程监理有限公司与</w:t>
      </w:r>
      <w:r>
        <w:rPr>
          <w:rFonts w:hint="eastAsia" w:ascii="仿宋_GB2312" w:hAnsi="仿宋_GB2312" w:cs="仿宋_GB2312"/>
          <w:highlight w:val="none"/>
          <w:u w:val="none"/>
          <w:lang w:val="en-US" w:eastAsia="zh-CN"/>
        </w:rPr>
        <w:t>xx</w:t>
      </w:r>
      <w:r>
        <w:rPr>
          <w:rFonts w:hint="eastAsia" w:ascii="仿宋_GB2312" w:hAnsi="仿宋_GB2312" w:eastAsia="仿宋_GB2312" w:cs="仿宋_GB2312"/>
          <w:highlight w:val="none"/>
          <w:u w:val="none"/>
          <w:lang w:val="en-US" w:eastAsia="zh-CN"/>
        </w:rPr>
        <w:t>安股份有限公司吸收合并的告知函》，恳请建设单位配合做好合同变更等事宜。2023年11月7日，</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发公司、</w:t>
      </w:r>
      <w:r>
        <w:rPr>
          <w:rFonts w:hint="eastAsia" w:ascii="仿宋_GB2312" w:hAnsi="仿宋_GB2312" w:cs="仿宋_GB2312"/>
          <w:highlight w:val="none"/>
          <w:u w:val="none"/>
          <w:lang w:val="en-US" w:eastAsia="zh-CN"/>
        </w:rPr>
        <w:t>x</w:t>
      </w:r>
      <w:r>
        <w:rPr>
          <w:rFonts w:hint="eastAsia" w:ascii="仿宋_GB2312" w:hAnsi="仿宋_GB2312" w:eastAsia="仿宋_GB2312" w:cs="仿宋_GB2312"/>
          <w:highlight w:val="none"/>
          <w:u w:val="none"/>
          <w:lang w:val="en-US" w:eastAsia="zh-CN"/>
        </w:rPr>
        <w:t>闽公司、</w:t>
      </w:r>
      <w:r>
        <w:rPr>
          <w:rFonts w:hint="eastAsia" w:ascii="仿宋_GB2312" w:hAnsi="仿宋_GB2312" w:cs="仿宋_GB2312"/>
          <w:highlight w:val="none"/>
          <w:u w:val="none"/>
          <w:lang w:val="en-US" w:eastAsia="zh-CN"/>
        </w:rPr>
        <w:t>xx</w:t>
      </w:r>
      <w:r>
        <w:rPr>
          <w:rFonts w:hint="eastAsia" w:ascii="仿宋_GB2312" w:hAnsi="仿宋_GB2312" w:eastAsia="仿宋_GB2312" w:cs="仿宋_GB2312"/>
          <w:highlight w:val="none"/>
          <w:u w:val="none"/>
          <w:lang w:val="en-US" w:eastAsia="zh-CN"/>
        </w:rPr>
        <w:t>安公司签订项目施工监理合同《补充协议》。</w:t>
      </w:r>
    </w:p>
    <w:p w14:paraId="3C2D2689">
      <w:pPr>
        <w:pStyle w:val="4"/>
        <w:numPr>
          <w:ilvl w:val="0"/>
          <w:numId w:val="2"/>
        </w:numPr>
        <w:bidi w:val="0"/>
        <w:rPr>
          <w:rFonts w:hint="eastAsia"/>
          <w:highlight w:val="none"/>
          <w:u w:val="none"/>
          <w:lang w:val="en-US" w:eastAsia="zh-CN"/>
        </w:rPr>
      </w:pPr>
      <w:r>
        <w:rPr>
          <w:rFonts w:hint="eastAsia"/>
          <w:highlight w:val="none"/>
          <w:u w:val="none"/>
          <w:lang w:val="en-US" w:eastAsia="zh-CN"/>
        </w:rPr>
        <w:t>相关人员基本情况</w:t>
      </w:r>
      <w:bookmarkEnd w:id="11"/>
    </w:p>
    <w:p w14:paraId="2E2C938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1.陈x明，男，52岁，福建xx人，身份证号码：3521241971xxxxxxxx，系xx安公司云岩农光互补项目负责人、总监理工程师，持有《注册监理工程师证书》（注册号：3500xxxx）。</w:t>
      </w:r>
    </w:p>
    <w:p w14:paraId="591EB34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2.廖x星，男,36岁，身份证号码：4304221987xxxxxxxx，系xx安公司云岩农光互补项目总监理工程师代理，被授权为农光互补项目土建专业监理工程师，持有专业监理工程师证（证书编号：B1905xxxx）。</w:t>
      </w:r>
    </w:p>
    <w:p w14:paraId="7C0DE95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3.刘x，男，27岁，贵州xx人，身份证号码：5224271997xxxxxxxx，系xx安公司云岩农光互补项目监理员。</w:t>
      </w:r>
    </w:p>
    <w:p w14:paraId="1FCB7ED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4.李x达，男，35岁，广东xx人，身份证号码：4401111989xxxxxxxx，系x光公司云岩农光互补项目的项目经理，持有《建筑施工企业综合类专职安全生产管理人员安全生产考核合格证书》（证书编号：粤建安C3(2019)001xxxx）。</w:t>
      </w:r>
    </w:p>
    <w:p w14:paraId="7A77971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5.郑x全，男，44岁，山东xx人，身份证号码：3729221980xxxxxxxx，系x光公司云岩农光互补项目安全员。持有《建筑施工企业综合类专职安全生产管理人员安全生产考核合格证书》（证书编号：粤建安C3(2022)010xxxx）。</w:t>
      </w:r>
    </w:p>
    <w:p w14:paraId="19644D7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6.吴x辉，男，45岁，广东xx人，身份证号码：4418241979xxxxxxxx，系x光公司云岩农光互补项目电气管理员。</w:t>
      </w:r>
    </w:p>
    <w:p w14:paraId="505A5CE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7.张x锋，男，44岁，内蒙古xx人，身份证号码：1504261980xxxxxxxx，系x速公司法定代表人。</w:t>
      </w:r>
    </w:p>
    <w:p w14:paraId="126E6D2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8.王x华，男，36岁，内蒙古xx人，身份证号码：1504261988xxxxxxxx，系x速公司云岩农光互补项目现场监管人员。</w:t>
      </w:r>
    </w:p>
    <w:p w14:paraId="36B35CD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9.邹x丽（伤者），女，40岁，内蒙古xx人，身份证号码：1504251984xxxxxxxx，系x速公司云岩农光互补项目普工。</w:t>
      </w:r>
    </w:p>
    <w:p w14:paraId="644AFD2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10.王x武（死者），男，58岁，河北xx人，身份证号码：1326281965xxxxxxxx，系x速公司云岩农光互补项目电缆敷设班组长。</w:t>
      </w:r>
    </w:p>
    <w:p w14:paraId="1C4849C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11.邓x华，男，34岁，广东xx人，身份证号码：4402811990xxxxxxxx，系x速公司云岩农光互补项目临聘挖掘机司机。</w:t>
      </w:r>
    </w:p>
    <w:p w14:paraId="726ECE09">
      <w:pPr>
        <w:pStyle w:val="4"/>
        <w:bidi w:val="0"/>
        <w:rPr>
          <w:rFonts w:hint="default"/>
          <w:highlight w:val="none"/>
          <w:u w:val="none"/>
          <w:lang w:val="en-US" w:eastAsia="zh-CN"/>
        </w:rPr>
      </w:pPr>
      <w:bookmarkStart w:id="12" w:name="_Toc8269"/>
      <w:r>
        <w:rPr>
          <w:rFonts w:hint="eastAsia"/>
          <w:highlight w:val="none"/>
          <w:u w:val="none"/>
          <w:lang w:val="en-US" w:eastAsia="zh-CN"/>
        </w:rPr>
        <w:t>（四）事故发生经过</w:t>
      </w:r>
      <w:bookmarkEnd w:id="12"/>
    </w:p>
    <w:p w14:paraId="6DF47B7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2024年10月2日上午10时许，x速公司云岩农光互补项目电缆敷设班组长王x武与邹x丽等工人在乐昌市云岩镇xxxx村xx岭光伏区进行ZC-YJV22-1.8/3KV-3*70mm</w:t>
      </w:r>
      <w:r>
        <w:rPr>
          <w:rFonts w:hint="eastAsia" w:ascii="仿宋_GB2312" w:hAnsi="仿宋_GB2312" w:cs="仿宋_GB2312"/>
          <w:sz w:val="32"/>
          <w:szCs w:val="32"/>
          <w:highlight w:val="none"/>
          <w:u w:val="none"/>
          <w:vertAlign w:val="superscript"/>
          <w:lang w:val="en-US" w:eastAsia="zh-CN"/>
        </w:rPr>
        <w:t>2</w:t>
      </w:r>
      <w:r>
        <w:rPr>
          <w:rFonts w:hint="eastAsia" w:ascii="仿宋_GB2312" w:hAnsi="仿宋_GB2312" w:cs="仿宋_GB2312"/>
          <w:sz w:val="32"/>
          <w:szCs w:val="32"/>
          <w:highlight w:val="none"/>
          <w:u w:val="none"/>
          <w:lang w:val="en-US" w:eastAsia="zh-CN"/>
        </w:rPr>
        <w:t>电缆敷设作业。</w:t>
      </w:r>
    </w:p>
    <w:p w14:paraId="671B2DD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王x武强令挖掘机司机邓x华违章利用挖掘机转运电缆盘至山上安装场地并吊起电缆盘，使电缆盘呈直立悬空离地约1米的状态，以方便电缆牵拉敷设。邓x华拒绝无果只能照办。</w:t>
      </w:r>
    </w:p>
    <w:p w14:paraId="6DCBE84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在电缆拉出约30米(总长1500m)，王x武与邹x丽使用C型钢撬棍对电缆盘转动减速时，因电缆盘质量大、运动惯性大，王x武与邹x丽无法有效控制电缆盘平稳匀速转动，反被电缆盘转动时产生的惯性带动摔倒。且因电缆盘旋转较快及晃动，导致电缆盘从挖掘机吊钩上脱落，电缆盘坠落后压到王x武上半身与邹x丽左脚。</w:t>
      </w:r>
    </w:p>
    <w:p w14:paraId="7A98BE2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上午10时10分许，邹x丽受伤后立即呼救，施工队马上将两人转移至离事故点约100米的山下平地处。10时14分x速公司法人张x锋拨打120，而后王x华等工人立即开车将伤者邹x丽送至乐昌市第二人民医院进行紧急治疗，当日又将邹x丽转至粤北人民医院救治。10时35分许梅花镇中心卫生院120急救车到达事故现场，经约10分钟抢救后，急救医生宣布王x武已无生命体征。</w:t>
      </w:r>
    </w:p>
    <w:p w14:paraId="2F4BF827">
      <w:pPr>
        <w:pStyle w:val="4"/>
        <w:bidi w:val="0"/>
        <w:rPr>
          <w:rFonts w:hint="default"/>
          <w:highlight w:val="none"/>
          <w:u w:val="none"/>
          <w:lang w:val="en-US" w:eastAsia="zh-CN"/>
        </w:rPr>
      </w:pPr>
      <w:bookmarkStart w:id="13" w:name="_Toc20902"/>
      <w:r>
        <w:rPr>
          <w:rFonts w:hint="eastAsia"/>
          <w:highlight w:val="none"/>
          <w:u w:val="none"/>
          <w:lang w:val="en-US" w:eastAsia="zh-CN"/>
        </w:rPr>
        <w:t>（五）事故现场情况</w:t>
      </w:r>
      <w:bookmarkEnd w:id="13"/>
    </w:p>
    <w:p w14:paraId="48AF662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2024年10月12日，事故调查组、技术专家组到达发生事故的云岩农光互补项目</w:t>
      </w:r>
      <w:r>
        <w:rPr>
          <w:rFonts w:hint="default" w:ascii="仿宋_GB2312" w:hAnsi="仿宋_GB2312" w:cs="仿宋_GB2312"/>
          <w:sz w:val="32"/>
          <w:szCs w:val="32"/>
          <w:highlight w:val="none"/>
          <w:u w:val="none"/>
          <w:lang w:eastAsia="zh-CN"/>
        </w:rPr>
        <w:t>云岩镇</w:t>
      </w:r>
      <w:r>
        <w:rPr>
          <w:rFonts w:hint="eastAsia" w:ascii="仿宋_GB2312" w:hAnsi="仿宋_GB2312" w:cs="仿宋_GB2312"/>
          <w:sz w:val="32"/>
          <w:szCs w:val="32"/>
          <w:highlight w:val="none"/>
          <w:u w:val="none"/>
          <w:lang w:val="en-US" w:eastAsia="zh-CN"/>
        </w:rPr>
        <w:t>xxx</w:t>
      </w:r>
      <w:r>
        <w:rPr>
          <w:rFonts w:hint="default" w:ascii="仿宋_GB2312" w:hAnsi="仿宋_GB2312" w:cs="仿宋_GB2312"/>
          <w:sz w:val="32"/>
          <w:szCs w:val="32"/>
          <w:highlight w:val="none"/>
          <w:u w:val="none"/>
          <w:lang w:eastAsia="zh-CN"/>
        </w:rPr>
        <w:t>村</w:t>
      </w:r>
      <w:r>
        <w:rPr>
          <w:rFonts w:hint="eastAsia" w:ascii="仿宋_GB2312" w:hAnsi="仿宋_GB2312" w:cs="仿宋_GB2312"/>
          <w:sz w:val="32"/>
          <w:szCs w:val="32"/>
          <w:highlight w:val="none"/>
          <w:u w:val="none"/>
          <w:lang w:val="en-US" w:eastAsia="zh-CN"/>
        </w:rPr>
        <w:t>xx</w:t>
      </w:r>
      <w:r>
        <w:rPr>
          <w:rFonts w:hint="eastAsia" w:ascii="仿宋_GB2312" w:hAnsi="仿宋_GB2312" w:eastAsia="仿宋_GB2312" w:cs="仿宋_GB2312"/>
          <w:sz w:val="32"/>
          <w:szCs w:val="32"/>
          <w:highlight w:val="none"/>
          <w:u w:val="none"/>
          <w:lang w:val="en-US" w:eastAsia="zh-CN"/>
        </w:rPr>
        <w:t>岭组光伏片区</w:t>
      </w:r>
      <w:r>
        <w:rPr>
          <w:rFonts w:hint="eastAsia" w:ascii="仿宋_GB2312" w:hAnsi="仿宋_GB2312" w:cs="仿宋_GB2312"/>
          <w:sz w:val="32"/>
          <w:szCs w:val="32"/>
          <w:highlight w:val="none"/>
          <w:u w:val="none"/>
          <w:lang w:val="en-US" w:eastAsia="zh-CN"/>
        </w:rPr>
        <w:t>工地时，该工地已呈临时停工状态。事故发生点已采用钢网栅封闭围挡，并张挂“危险勿近、注意安全”等警示牌。</w:t>
      </w:r>
    </w:p>
    <w:p w14:paraId="0F3F5FE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上山施工便道的坡度目测约25-30°，局部较陡，山顶电缆敷设作业场相对较缓。一台铲斗已拆除的履带式液压挖掘机停放在施工便道外侧，型号KOBELCOSK220-8为成都神钢建设机械有限公司2011年5月出厂的“神钢牌”。一个电缆线盘竖直搁置在施工便道内侧，电缆线盘重约5吨多，线盘底部压着一根弯折的长约3.88m 型钢C80*40*15*2.2，线盘旁有一根用作转轴的长约2.3mФ90钢管，钢丝绳吊索穿连一个钢轴，钢轴串联一个自制的螺纹钢吊环。</w:t>
      </w:r>
    </w:p>
    <w:tbl>
      <w:tblPr>
        <w:tblStyle w:val="16"/>
        <w:tblW w:w="90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61"/>
      </w:tblGrid>
      <w:tr w14:paraId="129B7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7" w:hRule="atLeast"/>
        </w:trPr>
        <w:tc>
          <w:tcPr>
            <w:tcW w:w="9061" w:type="dxa"/>
            <w:tcBorders>
              <w:tl2br w:val="nil"/>
              <w:tr2bl w:val="nil"/>
            </w:tcBorders>
            <w:vAlign w:val="center"/>
          </w:tcPr>
          <w:p w14:paraId="39D20955">
            <w:pPr>
              <w:pStyle w:val="6"/>
              <w:spacing w:line="240" w:lineRule="auto"/>
              <w:jc w:val="center"/>
              <w:rPr>
                <w:rFonts w:hint="eastAsia" w:ascii="仿宋_GB2312" w:hAnsi="仿宋_GB2312" w:cs="仿宋_GB2312"/>
                <w:sz w:val="32"/>
                <w:szCs w:val="32"/>
                <w:highlight w:val="none"/>
                <w:u w:val="none"/>
                <w:vertAlign w:val="baseline"/>
                <w:lang w:val="en-US" w:eastAsia="zh-CN"/>
              </w:rPr>
            </w:pPr>
            <w:r>
              <w:rPr>
                <w:sz w:val="32"/>
              </w:rPr>
              <mc:AlternateContent>
                <mc:Choice Requires="wpg">
                  <w:drawing>
                    <wp:anchor distT="0" distB="0" distL="114300" distR="114300" simplePos="0" relativeHeight="251659264" behindDoc="0" locked="0" layoutInCell="1" allowOverlap="1">
                      <wp:simplePos x="0" y="0"/>
                      <wp:positionH relativeFrom="column">
                        <wp:posOffset>-846455</wp:posOffset>
                      </wp:positionH>
                      <wp:positionV relativeFrom="paragraph">
                        <wp:posOffset>1238885</wp:posOffset>
                      </wp:positionV>
                      <wp:extent cx="2529205" cy="1028065"/>
                      <wp:effectExtent l="0" t="0" r="137795" b="635"/>
                      <wp:wrapNone/>
                      <wp:docPr id="12" name="组合 12"/>
                      <wp:cNvGraphicFramePr/>
                      <a:graphic xmlns:a="http://schemas.openxmlformats.org/drawingml/2006/main">
                        <a:graphicData uri="http://schemas.microsoft.com/office/word/2010/wordprocessingGroup">
                          <wpg:wgp>
                            <wpg:cNvGrpSpPr/>
                            <wpg:grpSpPr>
                              <a:xfrm>
                                <a:off x="0" y="0"/>
                                <a:ext cx="2529205" cy="1028065"/>
                                <a:chOff x="3567" y="183907"/>
                                <a:chExt cx="3983" cy="1619"/>
                              </a:xfrm>
                            </wpg:grpSpPr>
                            <wps:wsp>
                              <wps:cNvPr id="7" name="直接箭头连接符 7"/>
                              <wps:cNvCnPr/>
                              <wps:spPr>
                                <a:xfrm>
                                  <a:off x="5472" y="184620"/>
                                  <a:ext cx="2078" cy="32"/>
                                </a:xfrm>
                                <a:prstGeom prst="straightConnector1">
                                  <a:avLst/>
                                </a:prstGeom>
                                <a:ln w="47625" cmpd="sng">
                                  <a:solidFill>
                                    <a:srgbClr val="FF0000"/>
                                  </a:solidFill>
                                  <a:prstDash val="solid"/>
                                  <a:tailEnd type="oval" w="lg" len="lg"/>
                                </a:ln>
                              </wps:spPr>
                              <wps:style>
                                <a:lnRef idx="2">
                                  <a:schemeClr val="accent1"/>
                                </a:lnRef>
                                <a:fillRef idx="0">
                                  <a:srgbClr val="FFFFFF"/>
                                </a:fillRef>
                                <a:effectRef idx="0">
                                  <a:srgbClr val="FFFFFF"/>
                                </a:effectRef>
                                <a:fontRef idx="minor">
                                  <a:schemeClr val="tx1"/>
                                </a:fontRef>
                              </wps:style>
                              <wps:bodyPr/>
                            </wps:wsp>
                            <wps:wsp>
                              <wps:cNvPr id="8" name="文本框 8"/>
                              <wps:cNvSpPr txBox="1"/>
                              <wps:spPr>
                                <a:xfrm>
                                  <a:off x="3567" y="183907"/>
                                  <a:ext cx="1949" cy="161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20BB647">
                                    <w:pPr>
                                      <w:keepNext w:val="0"/>
                                      <w:keepLines w:val="0"/>
                                      <w:pageBreakBefore w:val="0"/>
                                      <w:widowControl w:val="0"/>
                                      <w:kinsoku/>
                                      <w:wordWrap/>
                                      <w:overflowPunct/>
                                      <w:topLinePunct w:val="0"/>
                                      <w:bidi w:val="0"/>
                                      <w:adjustRightInd/>
                                      <w:snapToGrid/>
                                      <w:spacing w:line="240" w:lineRule="auto"/>
                                      <w:textAlignment w:val="auto"/>
                                      <w:rPr>
                                        <w:rFonts w:hint="default" w:eastAsia="仿宋_GB2312"/>
                                        <w:sz w:val="24"/>
                                        <w:szCs w:val="20"/>
                                        <w:lang w:val="en-US" w:eastAsia="zh-CN"/>
                                      </w:rPr>
                                    </w:pPr>
                                    <w:r>
                                      <w:rPr>
                                        <w:rFonts w:hint="eastAsia"/>
                                        <w:sz w:val="24"/>
                                        <w:szCs w:val="20"/>
                                        <w:lang w:val="en-US" w:eastAsia="zh-CN"/>
                                      </w:rPr>
                                      <w:t>推测此处系王x武与邹x丽被电缆线盘压倒时所处位置</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66.65pt;margin-top:97.55pt;height:80.95pt;width:199.15pt;z-index:251659264;mso-width-relative:page;mso-height-relative:page;" coordorigin="3567,183907" coordsize="3983,1619" o:gfxdata="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">
                      <o:lock v:ext="edit" aspectratio="f"/>
                      <v:shape id="_x0000_s1026" o:spid="_x0000_s1026" o:spt="32" type="#_x0000_t32" style="position:absolute;left:5472;top:184620;height:32;width:2078;" filled="f" stroked="t" coordsize="21600,21600" o:gfxdata="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E2mLsAAADa&#10;AAAADwAAAAAAAAABACAAAAAiAAAAZHJzL2Rvd25yZXYueG1sUEsBAhQAFAAAAAgAh07iQDMvBZ47&#10;AAAAOQAAABAAAAAAAAAAAQAgAAAACgEAAGRycy9zaGFwZXhtbC54bWxQSwUGAAAAAAYABgBbAQAA&#10;tAMAAAAA&#10;">
                        <v:fill on="f" focussize="0,0"/>
                        <v:stroke weight="3.75pt" color="#FF0000 [3204]" miterlimit="8" joinstyle="miter" endarrow="oval" endarrowwidth="wide" endarrowlength="long"/>
                        <v:imagedata o:title=""/>
                        <o:lock v:ext="edit" aspectratio="f"/>
                      </v:shape>
                      <v:shape id="_x0000_s1026" o:spid="_x0000_s1026" o:spt="202" type="#_x0000_t202" style="position:absolute;left:3567;top:183907;height:1619;width:1949;" fillcolor="#FFFFFF [3201]" filled="t" stroked="f" coordsize="21600,21600" o:gfxdata="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PgOWGKzAAAA2gAAAA8AAAAA&#10;AAAAAQAgAAAAIgAAAGRycy9kb3ducmV2LnhtbFBLAQIUABQAAAAIAIdO4kAzLwWeOwAAADkAAAAQ&#10;AAAAAAAAAAEAIAAAAAIBAABkcnMvc2hhcGV4bWwueG1sUEsFBgAAAAAGAAYAWwEAAKwDAAAAAA==&#10;">
                        <v:fill on="t" focussize="0,0"/>
                        <v:stroke on="f" weight="0.5pt"/>
                        <v:imagedata o:title=""/>
                        <o:lock v:ext="edit" aspectratio="f"/>
                        <v:textbox>
                          <w:txbxContent>
                            <w:p w14:paraId="420BB647">
                              <w:pPr>
                                <w:keepNext w:val="0"/>
                                <w:keepLines w:val="0"/>
                                <w:pageBreakBefore w:val="0"/>
                                <w:widowControl w:val="0"/>
                                <w:kinsoku/>
                                <w:wordWrap/>
                                <w:overflowPunct/>
                                <w:topLinePunct w:val="0"/>
                                <w:bidi w:val="0"/>
                                <w:adjustRightInd/>
                                <w:snapToGrid/>
                                <w:spacing w:line="240" w:lineRule="auto"/>
                                <w:textAlignment w:val="auto"/>
                                <w:rPr>
                                  <w:rFonts w:hint="default" w:eastAsia="仿宋_GB2312"/>
                                  <w:sz w:val="24"/>
                                  <w:szCs w:val="20"/>
                                  <w:lang w:val="en-US" w:eastAsia="zh-CN"/>
                                </w:rPr>
                              </w:pPr>
                              <w:r>
                                <w:rPr>
                                  <w:rFonts w:hint="eastAsia"/>
                                  <w:sz w:val="24"/>
                                  <w:szCs w:val="20"/>
                                  <w:lang w:val="en-US" w:eastAsia="zh-CN"/>
                                </w:rPr>
                                <w:t>推测此处系王x武与邹x丽被电缆线盘压倒时所处位置</w:t>
                              </w:r>
                            </w:p>
                          </w:txbxContent>
                        </v:textbox>
                      </v:shape>
                    </v:group>
                  </w:pict>
                </mc:Fallback>
              </mc:AlternateContent>
            </w:r>
            <w:r>
              <w:rPr>
                <w:rFonts w:hint="eastAsia" w:ascii="仿宋_GB2312" w:hAnsi="仿宋_GB2312" w:cs="仿宋_GB2312"/>
                <w:sz w:val="32"/>
                <w:szCs w:val="32"/>
                <w:highlight w:val="none"/>
                <w:u w:val="none"/>
                <w:vertAlign w:val="baseline"/>
                <w:lang w:val="en-US" w:eastAsia="zh-CN"/>
              </w:rPr>
              <w:drawing>
                <wp:inline distT="0" distB="0" distL="114300" distR="114300">
                  <wp:extent cx="3028315" cy="4676775"/>
                  <wp:effectExtent l="0" t="0" r="9525" b="635"/>
                  <wp:docPr id="4" name="图片 4" descr="ECC55C48E21F74E98B7DBF8AAF02F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CC55C48E21F74E98B7DBF8AAF02F180"/>
                          <pic:cNvPicPr>
                            <a:picLocks noChangeAspect="1"/>
                          </pic:cNvPicPr>
                        </pic:nvPicPr>
                        <pic:blipFill>
                          <a:blip r:embed="rId9"/>
                          <a:stretch>
                            <a:fillRect/>
                          </a:stretch>
                        </pic:blipFill>
                        <pic:spPr>
                          <a:xfrm rot="16200000">
                            <a:off x="0" y="0"/>
                            <a:ext cx="3028315" cy="4676775"/>
                          </a:xfrm>
                          <a:prstGeom prst="rect">
                            <a:avLst/>
                          </a:prstGeom>
                        </pic:spPr>
                      </pic:pic>
                    </a:graphicData>
                  </a:graphic>
                </wp:inline>
              </w:drawing>
            </w:r>
          </w:p>
          <w:p w14:paraId="5F276F46">
            <w:pPr>
              <w:pStyle w:val="6"/>
              <w:spacing w:line="240" w:lineRule="auto"/>
              <w:jc w:val="center"/>
              <w:rPr>
                <w:rFonts w:hint="default" w:ascii="仿宋_GB2312" w:hAnsi="仿宋_GB2312" w:cs="仿宋_GB2312"/>
                <w:sz w:val="32"/>
                <w:szCs w:val="32"/>
                <w:highlight w:val="none"/>
                <w:u w:val="none"/>
                <w:vertAlign w:val="baseline"/>
                <w:lang w:val="en-US" w:eastAsia="zh-CN"/>
              </w:rPr>
            </w:pPr>
            <w:r>
              <w:rPr>
                <w:rFonts w:hint="eastAsia" w:asciiTheme="minorEastAsia" w:hAnsiTheme="minorEastAsia" w:eastAsiaTheme="minorEastAsia" w:cstheme="minorEastAsia"/>
                <w:sz w:val="28"/>
                <w:szCs w:val="28"/>
                <w:highlight w:val="none"/>
                <w:u w:val="none"/>
                <w:vertAlign w:val="baseline"/>
                <w:lang w:val="en-US" w:eastAsia="zh-CN"/>
              </w:rPr>
              <w:t>图1 事故位置示意图</w:t>
            </w:r>
          </w:p>
        </w:tc>
      </w:tr>
      <w:tr w14:paraId="0D9FF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4" w:hRule="atLeast"/>
        </w:trPr>
        <w:tc>
          <w:tcPr>
            <w:tcW w:w="9061" w:type="dxa"/>
            <w:tcBorders>
              <w:tl2br w:val="nil"/>
              <w:tr2bl w:val="nil"/>
            </w:tcBorders>
            <w:vAlign w:val="center"/>
          </w:tcPr>
          <w:p w14:paraId="537148CA">
            <w:pPr>
              <w:pStyle w:val="6"/>
              <w:spacing w:line="240" w:lineRule="auto"/>
              <w:jc w:val="center"/>
              <w:rPr>
                <w:rFonts w:hint="eastAsia" w:asciiTheme="minorEastAsia" w:hAnsiTheme="minorEastAsia" w:eastAsiaTheme="minorEastAsia" w:cstheme="minorEastAsia"/>
                <w:sz w:val="28"/>
                <w:szCs w:val="28"/>
                <w:highlight w:val="none"/>
                <w:u w:val="none"/>
                <w:vertAlign w:val="baseline"/>
                <w:lang w:val="en-US" w:eastAsia="zh-CN"/>
              </w:rPr>
            </w:pPr>
            <w:r>
              <w:rPr>
                <w:rFonts w:hint="eastAsia" w:asciiTheme="minorEastAsia" w:hAnsiTheme="minorEastAsia" w:eastAsiaTheme="minorEastAsia" w:cstheme="minorEastAsia"/>
                <w:sz w:val="28"/>
                <w:szCs w:val="28"/>
                <w:highlight w:val="none"/>
                <w:u w:val="none"/>
                <w:vertAlign w:val="baseline"/>
                <w:lang w:val="en-US" w:eastAsia="zh-CN"/>
              </w:rPr>
              <w:drawing>
                <wp:inline distT="0" distB="0" distL="114300" distR="114300">
                  <wp:extent cx="4791075" cy="3159125"/>
                  <wp:effectExtent l="0" t="0" r="9525" b="3175"/>
                  <wp:docPr id="11" name="图片 11" descr="9865915b1f98c58e6ee75ee386a7a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9865915b1f98c58e6ee75ee386a7a91"/>
                          <pic:cNvPicPr>
                            <a:picLocks noChangeAspect="1"/>
                          </pic:cNvPicPr>
                        </pic:nvPicPr>
                        <pic:blipFill>
                          <a:blip r:embed="rId10"/>
                          <a:stretch>
                            <a:fillRect/>
                          </a:stretch>
                        </pic:blipFill>
                        <pic:spPr>
                          <a:xfrm>
                            <a:off x="0" y="0"/>
                            <a:ext cx="4791075" cy="3159125"/>
                          </a:xfrm>
                          <a:prstGeom prst="rect">
                            <a:avLst/>
                          </a:prstGeom>
                        </pic:spPr>
                      </pic:pic>
                    </a:graphicData>
                  </a:graphic>
                </wp:inline>
              </w:drawing>
            </w:r>
          </w:p>
          <w:p w14:paraId="1BCBA04E">
            <w:pPr>
              <w:pStyle w:val="6"/>
              <w:spacing w:line="240" w:lineRule="auto"/>
              <w:jc w:val="center"/>
              <w:rPr>
                <w:rFonts w:hint="eastAsia" w:asciiTheme="minorEastAsia" w:hAnsiTheme="minorEastAsia" w:eastAsiaTheme="minorEastAsia" w:cstheme="minorEastAsia"/>
                <w:sz w:val="28"/>
                <w:szCs w:val="28"/>
                <w:highlight w:val="none"/>
                <w:u w:val="none"/>
                <w:vertAlign w:val="baseline"/>
                <w:lang w:val="en-US" w:eastAsia="zh-CN"/>
              </w:rPr>
            </w:pPr>
            <w:r>
              <w:rPr>
                <w:rFonts w:hint="eastAsia" w:asciiTheme="minorEastAsia" w:hAnsiTheme="minorEastAsia" w:eastAsiaTheme="minorEastAsia" w:cstheme="minorEastAsia"/>
                <w:sz w:val="28"/>
                <w:szCs w:val="28"/>
                <w:highlight w:val="none"/>
                <w:u w:val="none"/>
                <w:vertAlign w:val="baseline"/>
                <w:lang w:val="en-US" w:eastAsia="zh-CN"/>
              </w:rPr>
              <w:t>图2 事故位置示意图</w:t>
            </w:r>
          </w:p>
        </w:tc>
      </w:tr>
      <w:tr w14:paraId="6EDDC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61" w:type="dxa"/>
            <w:tcBorders>
              <w:tl2br w:val="nil"/>
              <w:tr2bl w:val="nil"/>
            </w:tcBorders>
            <w:vAlign w:val="top"/>
          </w:tcPr>
          <w:p w14:paraId="1BA78138">
            <w:pPr>
              <w:pStyle w:val="6"/>
              <w:spacing w:line="240" w:lineRule="auto"/>
              <w:jc w:val="center"/>
              <w:rPr>
                <w:rFonts w:hint="eastAsia" w:asciiTheme="minorEastAsia" w:hAnsiTheme="minorEastAsia" w:eastAsiaTheme="minorEastAsia" w:cstheme="minorEastAsia"/>
                <w:sz w:val="28"/>
                <w:szCs w:val="28"/>
                <w:highlight w:val="none"/>
                <w:u w:val="none"/>
                <w:vertAlign w:val="baseline"/>
                <w:lang w:val="en-US" w:eastAsia="zh-CN"/>
              </w:rPr>
            </w:pPr>
            <w:r>
              <w:rPr>
                <w:rFonts w:hint="eastAsia" w:asciiTheme="minorEastAsia" w:hAnsiTheme="minorEastAsia" w:eastAsiaTheme="minorEastAsia" w:cstheme="minorEastAsia"/>
                <w:sz w:val="28"/>
                <w:szCs w:val="28"/>
                <w:highlight w:val="none"/>
                <w:u w:val="none"/>
                <w:vertAlign w:val="baseline"/>
                <w:lang w:val="en-US" w:eastAsia="zh-CN"/>
              </w:rPr>
              <w:drawing>
                <wp:inline distT="0" distB="0" distL="114300" distR="114300">
                  <wp:extent cx="2851150" cy="3667760"/>
                  <wp:effectExtent l="0" t="0" r="0" b="0"/>
                  <wp:docPr id="10" name="图片 10" descr="fd226fbd12d63e0bb01e1162d0a54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d226fbd12d63e0bb01e1162d0a542e"/>
                          <pic:cNvPicPr>
                            <a:picLocks noChangeAspect="1"/>
                          </pic:cNvPicPr>
                        </pic:nvPicPr>
                        <pic:blipFill>
                          <a:blip r:embed="rId11"/>
                          <a:srcRect r="7727"/>
                          <a:stretch>
                            <a:fillRect/>
                          </a:stretch>
                        </pic:blipFill>
                        <pic:spPr>
                          <a:xfrm>
                            <a:off x="0" y="0"/>
                            <a:ext cx="2851150" cy="3667760"/>
                          </a:xfrm>
                          <a:prstGeom prst="rect">
                            <a:avLst/>
                          </a:prstGeom>
                        </pic:spPr>
                      </pic:pic>
                    </a:graphicData>
                  </a:graphic>
                </wp:inline>
              </w:drawing>
            </w:r>
          </w:p>
          <w:p w14:paraId="2C18CB86">
            <w:pPr>
              <w:pStyle w:val="6"/>
              <w:spacing w:line="240" w:lineRule="auto"/>
              <w:jc w:val="center"/>
              <w:rPr>
                <w:rFonts w:hint="eastAsia" w:asciiTheme="minorEastAsia" w:hAnsiTheme="minorEastAsia" w:eastAsiaTheme="minorEastAsia" w:cstheme="minorEastAsia"/>
                <w:sz w:val="28"/>
                <w:szCs w:val="28"/>
                <w:highlight w:val="none"/>
                <w:u w:val="none"/>
                <w:vertAlign w:val="baseline"/>
                <w:lang w:val="en-US" w:eastAsia="zh-CN"/>
              </w:rPr>
            </w:pPr>
            <w:r>
              <w:rPr>
                <w:rFonts w:hint="eastAsia" w:asciiTheme="minorEastAsia" w:hAnsiTheme="minorEastAsia" w:eastAsiaTheme="minorEastAsia" w:cstheme="minorEastAsia"/>
                <w:sz w:val="28"/>
                <w:szCs w:val="28"/>
                <w:highlight w:val="none"/>
                <w:u w:val="none"/>
                <w:vertAlign w:val="baseline"/>
                <w:lang w:val="en-US" w:eastAsia="zh-CN"/>
              </w:rPr>
              <w:t>图3 涉事挖掘机（铲斗已拆除）</w:t>
            </w:r>
          </w:p>
        </w:tc>
      </w:tr>
      <w:tr w14:paraId="4B596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Borders>
              <w:tl2br w:val="nil"/>
              <w:tr2bl w:val="nil"/>
            </w:tcBorders>
            <w:vAlign w:val="top"/>
          </w:tcPr>
          <w:p w14:paraId="19795C39">
            <w:pPr>
              <w:pStyle w:val="6"/>
              <w:spacing w:line="240" w:lineRule="auto"/>
              <w:jc w:val="center"/>
              <w:rPr>
                <w:rFonts w:hint="eastAsia" w:asciiTheme="minorEastAsia" w:hAnsiTheme="minorEastAsia" w:eastAsiaTheme="minorEastAsia" w:cstheme="minorEastAsia"/>
                <w:sz w:val="28"/>
                <w:szCs w:val="28"/>
                <w:highlight w:val="none"/>
                <w:u w:val="none"/>
                <w:vertAlign w:val="baseline"/>
                <w:lang w:val="en-US" w:eastAsia="zh-CN"/>
              </w:rPr>
            </w:pPr>
            <w:r>
              <w:rPr>
                <w:rFonts w:hint="eastAsia" w:asciiTheme="minorEastAsia" w:hAnsiTheme="minorEastAsia" w:eastAsiaTheme="minorEastAsia" w:cstheme="minorEastAsia"/>
                <w:sz w:val="28"/>
                <w:szCs w:val="28"/>
                <w:highlight w:val="none"/>
                <w:u w:val="none"/>
                <w:vertAlign w:val="baseline"/>
                <w:lang w:val="en-US" w:eastAsia="zh-CN"/>
              </w:rPr>
              <w:drawing>
                <wp:inline distT="0" distB="0" distL="114300" distR="114300">
                  <wp:extent cx="2772410" cy="3580130"/>
                  <wp:effectExtent l="0" t="0" r="8890" b="1270"/>
                  <wp:docPr id="9" name="图片 9" descr="442307b9d0a53aacfd782af100dac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42307b9d0a53aacfd782af100dac46"/>
                          <pic:cNvPicPr>
                            <a:picLocks noChangeAspect="1"/>
                          </pic:cNvPicPr>
                        </pic:nvPicPr>
                        <pic:blipFill>
                          <a:blip r:embed="rId12"/>
                          <a:stretch>
                            <a:fillRect/>
                          </a:stretch>
                        </pic:blipFill>
                        <pic:spPr>
                          <a:xfrm>
                            <a:off x="0" y="0"/>
                            <a:ext cx="2772410" cy="3580130"/>
                          </a:xfrm>
                          <a:prstGeom prst="rect">
                            <a:avLst/>
                          </a:prstGeom>
                        </pic:spPr>
                      </pic:pic>
                    </a:graphicData>
                  </a:graphic>
                </wp:inline>
              </w:drawing>
            </w:r>
          </w:p>
          <w:p w14:paraId="76518761">
            <w:pPr>
              <w:pStyle w:val="6"/>
              <w:spacing w:line="240" w:lineRule="auto"/>
              <w:jc w:val="center"/>
              <w:rPr>
                <w:rFonts w:hint="default" w:asciiTheme="minorEastAsia" w:hAnsiTheme="minorEastAsia" w:eastAsiaTheme="minorEastAsia" w:cstheme="minorEastAsia"/>
                <w:sz w:val="28"/>
                <w:szCs w:val="28"/>
                <w:highlight w:val="none"/>
                <w:u w:val="none"/>
                <w:vertAlign w:val="baseline"/>
                <w:lang w:val="en-US" w:eastAsia="zh-CN"/>
              </w:rPr>
            </w:pPr>
            <w:r>
              <w:rPr>
                <w:rFonts w:hint="eastAsia" w:asciiTheme="minorEastAsia" w:hAnsiTheme="minorEastAsia" w:eastAsiaTheme="minorEastAsia" w:cstheme="minorEastAsia"/>
                <w:sz w:val="28"/>
                <w:szCs w:val="28"/>
                <w:highlight w:val="none"/>
                <w:u w:val="none"/>
                <w:vertAlign w:val="baseline"/>
                <w:lang w:val="en-US" w:eastAsia="zh-CN"/>
              </w:rPr>
              <w:t>图4 涉事电缆线盘、型钢、钢管及自制</w:t>
            </w:r>
            <w:r>
              <w:rPr>
                <w:rFonts w:hint="eastAsia" w:ascii="仿宋_GB2312" w:hAnsi="仿宋_GB2312" w:cs="仿宋_GB2312"/>
                <w:sz w:val="32"/>
                <w:szCs w:val="32"/>
                <w:highlight w:val="none"/>
                <w:u w:val="none"/>
                <w:lang w:val="en-US" w:eastAsia="zh-CN"/>
              </w:rPr>
              <w:t>螺纹钢吊环</w:t>
            </w:r>
          </w:p>
        </w:tc>
      </w:tr>
    </w:tbl>
    <w:p w14:paraId="5E6A8FF8">
      <w:pPr>
        <w:pStyle w:val="4"/>
        <w:bidi w:val="0"/>
        <w:rPr>
          <w:rFonts w:hint="default"/>
          <w:highlight w:val="none"/>
          <w:u w:val="none"/>
          <w:lang w:val="en-US" w:eastAsia="zh-CN"/>
        </w:rPr>
      </w:pPr>
      <w:bookmarkStart w:id="14" w:name="_Toc6923"/>
      <w:r>
        <w:rPr>
          <w:rFonts w:hint="eastAsia"/>
          <w:highlight w:val="none"/>
          <w:u w:val="none"/>
          <w:lang w:val="en-US" w:eastAsia="zh-CN"/>
        </w:rPr>
        <w:t>（六）人员伤亡情况和直接经济损失</w:t>
      </w:r>
      <w:bookmarkEnd w:id="14"/>
    </w:p>
    <w:p w14:paraId="2CABA1A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人员伤亡情况：此次事故造成1人死亡、1人受伤。死者王x武，男，身份证号码：132628196511294117，死者已妥善安置。伤者邹x丽，女，身份证号码：150425198410125163，在此事故中左小腿骨折，事故发生后被</w:t>
      </w:r>
      <w:r>
        <w:rPr>
          <w:rFonts w:hint="default" w:ascii="仿宋_GB2312" w:hAnsi="仿宋_GB2312" w:cs="仿宋_GB2312"/>
          <w:sz w:val="32"/>
          <w:szCs w:val="32"/>
          <w:highlight w:val="none"/>
          <w:u w:val="none"/>
          <w:lang w:eastAsia="zh-CN"/>
        </w:rPr>
        <w:t>立即</w:t>
      </w:r>
      <w:r>
        <w:rPr>
          <w:rFonts w:hint="eastAsia" w:ascii="仿宋_GB2312" w:hAnsi="仿宋_GB2312" w:cs="仿宋_GB2312"/>
          <w:sz w:val="32"/>
          <w:szCs w:val="32"/>
          <w:highlight w:val="none"/>
          <w:u w:val="none"/>
          <w:lang w:val="en-US" w:eastAsia="zh-CN"/>
        </w:rPr>
        <w:t>送往乐昌市第二人民医院接受紧急治疗，当天被转至粤北人民医院接受治疗。目前邹x丽仍在粤北人民医院接受治疗观察，病情稳定。</w:t>
      </w:r>
    </w:p>
    <w:p w14:paraId="76AFBC0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经济损失情况：</w:t>
      </w:r>
      <w:r>
        <w:rPr>
          <w:rFonts w:hint="eastAsia" w:ascii="仿宋_GB2312" w:hAnsi="宋体" w:cs="仿宋_GB2312"/>
          <w:color w:val="000000"/>
          <w:kern w:val="0"/>
          <w:sz w:val="32"/>
          <w:szCs w:val="32"/>
          <w:highlight w:val="none"/>
          <w:u w:val="none"/>
          <w:lang w:val="en-US" w:eastAsia="zh-CN" w:bidi="ar"/>
        </w:rPr>
        <w:t>根据《企业职工伤亡事故经济损失统计标准》（GB 6721—1986）有关规定统计，事故造成直接经济损失约143.5622万元。</w:t>
      </w:r>
    </w:p>
    <w:p w14:paraId="39AEB5A5">
      <w:pPr>
        <w:pStyle w:val="3"/>
        <w:bidi w:val="0"/>
        <w:rPr>
          <w:rFonts w:hint="eastAsia"/>
          <w:highlight w:val="none"/>
          <w:u w:val="none"/>
          <w:lang w:val="en-US" w:eastAsia="zh-CN"/>
        </w:rPr>
      </w:pPr>
      <w:bookmarkStart w:id="15" w:name="_Toc28225"/>
      <w:r>
        <w:rPr>
          <w:rFonts w:hint="eastAsia"/>
          <w:highlight w:val="none"/>
          <w:u w:val="none"/>
          <w:lang w:val="en-US" w:eastAsia="zh-CN"/>
        </w:rPr>
        <w:t>二、事故应急处置及评估情况</w:t>
      </w:r>
      <w:bookmarkEnd w:id="15"/>
    </w:p>
    <w:p w14:paraId="08DF5DA2">
      <w:pPr>
        <w:pStyle w:val="4"/>
        <w:bidi w:val="0"/>
        <w:rPr>
          <w:rFonts w:hint="eastAsia"/>
          <w:highlight w:val="none"/>
          <w:u w:val="none"/>
          <w:lang w:val="en-US" w:eastAsia="zh-CN"/>
        </w:rPr>
      </w:pPr>
      <w:bookmarkStart w:id="16" w:name="_Toc20319"/>
      <w:r>
        <w:rPr>
          <w:rFonts w:hint="eastAsia"/>
          <w:highlight w:val="none"/>
          <w:u w:val="none"/>
          <w:lang w:val="en-US" w:eastAsia="zh-CN"/>
        </w:rPr>
        <w:t>（一）事故现场应急处置情况</w:t>
      </w:r>
      <w:bookmarkEnd w:id="16"/>
    </w:p>
    <w:p w14:paraId="33237A3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10月2日上午10点10分许，电缆盘坠落后压到王x武上半身与邹x丽左脚，邹x丽立即大声呼救。张x锋、王x华等施工队工人立即将二人救出并转移至离事故点约100米的山下平地处。10时14分张x锋拨打120，而后王x华等人</w:t>
      </w:r>
      <w:r>
        <w:rPr>
          <w:rFonts w:hint="default" w:ascii="仿宋_GB2312" w:hAnsi="仿宋_GB2312" w:cs="仿宋_GB2312"/>
          <w:sz w:val="32"/>
          <w:szCs w:val="32"/>
          <w:highlight w:val="none"/>
          <w:u w:val="none"/>
          <w:lang w:eastAsia="zh-CN"/>
        </w:rPr>
        <w:t>立即</w:t>
      </w:r>
      <w:r>
        <w:rPr>
          <w:rFonts w:hint="eastAsia" w:ascii="仿宋_GB2312" w:hAnsi="仿宋_GB2312" w:cs="仿宋_GB2312"/>
          <w:sz w:val="32"/>
          <w:szCs w:val="32"/>
          <w:highlight w:val="none"/>
          <w:u w:val="none"/>
          <w:lang w:val="en-US" w:eastAsia="zh-CN"/>
        </w:rPr>
        <w:t>开车将伤者邹x丽送至乐昌市第二人民医院进行紧急治疗，当日又将邹x丽转至粤北人民医院救治。10时35分许梅花镇中心卫生院120急救车到达事故现场，经约10分钟抢救后，急救医生宣布王x武已无生命体征。根据王x武《居民死亡医学证明（推断书）》（证书编号：S442022047493），王x武死亡原因系创伤性休克。</w:t>
      </w:r>
    </w:p>
    <w:p w14:paraId="78CBF820">
      <w:pPr>
        <w:pStyle w:val="4"/>
        <w:bidi w:val="0"/>
        <w:rPr>
          <w:rFonts w:hint="eastAsia"/>
          <w:highlight w:val="none"/>
          <w:u w:val="none"/>
          <w:lang w:val="en-US" w:eastAsia="zh-CN"/>
        </w:rPr>
      </w:pPr>
      <w:bookmarkStart w:id="17" w:name="_Toc8437"/>
      <w:r>
        <w:rPr>
          <w:rFonts w:hint="eastAsia"/>
          <w:highlight w:val="none"/>
          <w:u w:val="none"/>
          <w:lang w:val="en-US" w:eastAsia="zh-CN"/>
        </w:rPr>
        <w:t>（二）事故信息接报及响应情况</w:t>
      </w:r>
      <w:bookmarkEnd w:id="17"/>
    </w:p>
    <w:p w14:paraId="31505A6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color w:val="auto"/>
          <w:sz w:val="32"/>
          <w:szCs w:val="32"/>
          <w:highlight w:val="none"/>
          <w:u w:val="none"/>
          <w:lang w:val="en-US" w:eastAsia="zh-CN"/>
        </w:rPr>
      </w:pPr>
      <w:r>
        <w:rPr>
          <w:rFonts w:hint="eastAsia" w:ascii="仿宋_GB2312" w:hAnsi="仿宋_GB2312" w:cs="仿宋_GB2312"/>
          <w:color w:val="auto"/>
          <w:sz w:val="32"/>
          <w:szCs w:val="32"/>
          <w:highlight w:val="none"/>
          <w:u w:val="none"/>
          <w:lang w:val="en-US" w:eastAsia="zh-CN"/>
        </w:rPr>
        <w:t>1.企业信息报送情况</w:t>
      </w:r>
    </w:p>
    <w:p w14:paraId="1511099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i w:val="0"/>
          <w:iCs w:val="0"/>
          <w:caps w:val="0"/>
          <w:color w:val="auto"/>
          <w:spacing w:val="0"/>
          <w:sz w:val="32"/>
          <w:szCs w:val="32"/>
          <w:highlight w:val="none"/>
          <w:u w:val="none"/>
          <w:shd w:val="clear" w:fill="FFFFFF"/>
          <w:vertAlign w:val="baseline"/>
          <w:lang w:val="en-US"/>
        </w:rPr>
      </w:pPr>
      <w:r>
        <w:rPr>
          <w:rFonts w:hint="eastAsia" w:ascii="仿宋_GB2312" w:hAnsi="仿宋_GB2312" w:cs="仿宋_GB2312"/>
          <w:color w:val="auto"/>
          <w:sz w:val="32"/>
          <w:szCs w:val="32"/>
          <w:highlight w:val="none"/>
          <w:u w:val="none"/>
          <w:lang w:val="en-US" w:eastAsia="zh-CN"/>
        </w:rPr>
        <w:t>10月2日上午10点10分许事故发生后，为开展紧急救援，x速公司</w:t>
      </w:r>
      <w:r>
        <w:rPr>
          <w:rFonts w:hint="eastAsia" w:ascii="仿宋_GB2312" w:hAnsi="仿宋_GB2312" w:cs="仿宋_GB2312"/>
          <w:i w:val="0"/>
          <w:iCs w:val="0"/>
          <w:caps w:val="0"/>
          <w:color w:val="auto"/>
          <w:spacing w:val="0"/>
          <w:sz w:val="32"/>
          <w:szCs w:val="32"/>
          <w:highlight w:val="none"/>
          <w:u w:val="none"/>
          <w:shd w:val="clear" w:fill="FFFFFF"/>
          <w:vertAlign w:val="baseline"/>
          <w:lang w:val="en-US" w:eastAsia="zh-CN"/>
        </w:rPr>
        <w:t>未在事故发生后</w:t>
      </w:r>
      <w:r>
        <w:rPr>
          <w:rFonts w:hint="eastAsia" w:ascii="仿宋_GB2312" w:hAnsi="仿宋_GB2312" w:cs="仿宋_GB2312"/>
          <w:color w:val="auto"/>
          <w:sz w:val="32"/>
          <w:szCs w:val="32"/>
          <w:highlight w:val="none"/>
          <w:u w:val="none"/>
          <w:lang w:val="en-US" w:eastAsia="zh-CN"/>
        </w:rPr>
        <w:t>一小时内向属地政府乐昌市云岩镇人民政府或乐昌市应急管理局上报事故情况。</w:t>
      </w:r>
    </w:p>
    <w:p w14:paraId="4AA5D2CB">
      <w:pPr>
        <w:pStyle w:val="4"/>
        <w:pageBreakBefore w:val="0"/>
        <w:widowControl w:val="0"/>
        <w:kinsoku/>
        <w:wordWrap/>
        <w:overflowPunct/>
        <w:topLinePunct w:val="0"/>
        <w:autoSpaceDE/>
        <w:autoSpaceDN/>
        <w:bidi w:val="0"/>
        <w:adjustRightInd/>
        <w:snapToGrid/>
        <w:spacing w:line="600" w:lineRule="exact"/>
        <w:textAlignment w:val="auto"/>
        <w:rPr>
          <w:rFonts w:hint="eastAsia"/>
          <w:highlight w:val="none"/>
          <w:u w:val="none"/>
          <w:lang w:val="en-US" w:eastAsia="zh-CN"/>
        </w:rPr>
      </w:pPr>
      <w:bookmarkStart w:id="18" w:name="_Toc32207"/>
      <w:r>
        <w:rPr>
          <w:rFonts w:hint="eastAsia"/>
          <w:highlight w:val="none"/>
          <w:u w:val="none"/>
          <w:lang w:val="en-US" w:eastAsia="zh-CN"/>
        </w:rPr>
        <w:t>（二）相关单位接报和应急处置情况</w:t>
      </w:r>
      <w:bookmarkEnd w:id="18"/>
    </w:p>
    <w:p w14:paraId="7898F82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cs="仿宋_GB2312"/>
          <w:color w:val="auto"/>
          <w:sz w:val="32"/>
          <w:szCs w:val="32"/>
          <w:highlight w:val="none"/>
          <w:u w:val="none"/>
          <w:lang w:val="en-US" w:eastAsia="zh-CN"/>
        </w:rPr>
        <w:t>10月2日11时30分许，乐昌市云岩镇人民政府接云岩派出所报送信息后，镇党委副</w:t>
      </w:r>
      <w:r>
        <w:rPr>
          <w:rFonts w:hint="eastAsia" w:ascii="仿宋_GB2312" w:hAnsi="仿宋_GB2312" w:eastAsia="仿宋_GB2312" w:cs="仿宋_GB2312"/>
          <w:color w:val="auto"/>
          <w:sz w:val="32"/>
          <w:szCs w:val="32"/>
          <w:highlight w:val="none"/>
          <w:u w:val="none"/>
          <w:lang w:val="en-US" w:eastAsia="zh-CN"/>
        </w:rPr>
        <w:t>书记、镇长蔡立新同志立即组织镇村干部赶赴事故现场，并于12时许通过电话向乐昌市人民政府主要领导、安全生产分管领导以及</w:t>
      </w:r>
      <w:r>
        <w:rPr>
          <w:rFonts w:hint="eastAsia" w:ascii="仿宋_GB2312" w:hAnsi="仿宋_GB2312" w:cs="仿宋_GB2312"/>
          <w:color w:val="auto"/>
          <w:sz w:val="32"/>
          <w:szCs w:val="32"/>
          <w:highlight w:val="none"/>
          <w:u w:val="none"/>
          <w:lang w:val="en-US" w:eastAsia="zh-CN"/>
        </w:rPr>
        <w:t>乐昌市</w:t>
      </w:r>
      <w:r>
        <w:rPr>
          <w:rFonts w:hint="eastAsia" w:ascii="仿宋_GB2312" w:hAnsi="仿宋_GB2312" w:eastAsia="仿宋_GB2312" w:cs="仿宋_GB2312"/>
          <w:color w:val="auto"/>
          <w:sz w:val="32"/>
          <w:szCs w:val="32"/>
          <w:highlight w:val="none"/>
          <w:u w:val="none"/>
          <w:lang w:val="en-US" w:eastAsia="zh-CN"/>
        </w:rPr>
        <w:t>应急管理局汇报；14时50分许，</w:t>
      </w:r>
      <w:r>
        <w:rPr>
          <w:rFonts w:hint="eastAsia" w:ascii="仿宋_GB2312" w:hAnsi="仿宋_GB2312" w:cs="仿宋_GB2312"/>
          <w:color w:val="auto"/>
          <w:sz w:val="32"/>
          <w:szCs w:val="32"/>
          <w:highlight w:val="none"/>
          <w:u w:val="none"/>
          <w:lang w:val="en-US" w:eastAsia="zh-CN"/>
        </w:rPr>
        <w:t>乐昌市</w:t>
      </w:r>
      <w:r>
        <w:rPr>
          <w:rFonts w:hint="eastAsia" w:ascii="仿宋_GB2312" w:hAnsi="仿宋_GB2312" w:eastAsia="仿宋_GB2312" w:cs="仿宋_GB2312"/>
          <w:color w:val="auto"/>
          <w:sz w:val="32"/>
          <w:szCs w:val="32"/>
          <w:highlight w:val="none"/>
          <w:u w:val="none"/>
          <w:lang w:val="en-US" w:eastAsia="zh-CN"/>
        </w:rPr>
        <w:t>云岩镇人民政府形成书面报告汇报至</w:t>
      </w:r>
      <w:r>
        <w:rPr>
          <w:rFonts w:hint="eastAsia" w:ascii="仿宋_GB2312" w:hAnsi="仿宋_GB2312" w:cs="仿宋_GB2312"/>
          <w:color w:val="auto"/>
          <w:sz w:val="32"/>
          <w:szCs w:val="32"/>
          <w:highlight w:val="none"/>
          <w:u w:val="none"/>
          <w:lang w:val="en-US" w:eastAsia="zh-CN"/>
        </w:rPr>
        <w:t>乐昌市</w:t>
      </w:r>
      <w:r>
        <w:rPr>
          <w:rFonts w:hint="eastAsia" w:ascii="仿宋_GB2312" w:hAnsi="仿宋_GB2312" w:eastAsia="仿宋_GB2312" w:cs="仿宋_GB2312"/>
          <w:color w:val="auto"/>
          <w:sz w:val="32"/>
          <w:szCs w:val="32"/>
          <w:highlight w:val="none"/>
          <w:u w:val="none"/>
          <w:lang w:val="en-US" w:eastAsia="zh-CN"/>
        </w:rPr>
        <w:t>应急管理局；16时许，</w:t>
      </w:r>
      <w:r>
        <w:rPr>
          <w:rFonts w:hint="eastAsia" w:ascii="仿宋_GB2312" w:hAnsi="仿宋_GB2312" w:cs="仿宋_GB2312"/>
          <w:color w:val="auto"/>
          <w:sz w:val="32"/>
          <w:szCs w:val="32"/>
          <w:highlight w:val="none"/>
          <w:u w:val="none"/>
          <w:lang w:val="en-US" w:eastAsia="zh-CN"/>
        </w:rPr>
        <w:t>乐昌市</w:t>
      </w:r>
      <w:r>
        <w:rPr>
          <w:rFonts w:hint="eastAsia" w:ascii="仿宋_GB2312" w:hAnsi="仿宋_GB2312" w:eastAsia="仿宋_GB2312" w:cs="仿宋_GB2312"/>
          <w:color w:val="auto"/>
          <w:sz w:val="32"/>
          <w:szCs w:val="32"/>
          <w:highlight w:val="none"/>
          <w:u w:val="none"/>
          <w:lang w:val="en-US" w:eastAsia="zh-CN"/>
        </w:rPr>
        <w:t>云岩镇人民政府形成《10月2日云岩镇国庆节期间社会综合情况报告》汇报至乐昌市委值班室、市政府值班室。</w:t>
      </w:r>
    </w:p>
    <w:p w14:paraId="558CBD1D">
      <w:pPr>
        <w:pStyle w:val="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10月2日13时45分左右，乐昌市发展和改革局接</w:t>
      </w:r>
      <w:r>
        <w:rPr>
          <w:rFonts w:hint="default" w:ascii="仿宋_GB2312" w:hAnsi="仿宋_GB2312" w:cs="仿宋_GB2312"/>
          <w:color w:val="auto"/>
          <w:sz w:val="32"/>
          <w:szCs w:val="32"/>
          <w:highlight w:val="none"/>
          <w:u w:val="none"/>
          <w:lang w:eastAsia="zh-CN"/>
        </w:rPr>
        <w:t>乐昌市政府办公室通知</w:t>
      </w:r>
      <w:r>
        <w:rPr>
          <w:rFonts w:hint="eastAsia" w:ascii="仿宋_GB2312" w:hAnsi="仿宋_GB2312" w:eastAsia="仿宋_GB2312" w:cs="仿宋_GB2312"/>
          <w:color w:val="auto"/>
          <w:sz w:val="32"/>
          <w:szCs w:val="32"/>
          <w:highlight w:val="none"/>
          <w:u w:val="none"/>
          <w:lang w:val="en-US" w:eastAsia="zh-CN"/>
        </w:rPr>
        <w:t>后，局领导立即率队赶往事发现场了解情况。</w:t>
      </w:r>
    </w:p>
    <w:p w14:paraId="559F2A8C">
      <w:pPr>
        <w:pStyle w:val="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highlight w:val="none"/>
          <w:u w:val="none"/>
          <w:lang w:val="en-US" w:eastAsia="zh-CN"/>
        </w:rPr>
      </w:pPr>
      <w:r>
        <w:rPr>
          <w:rFonts w:hint="eastAsia" w:ascii="仿宋_GB2312" w:hAnsi="仿宋_GB2312" w:eastAsia="仿宋_GB2312" w:cs="仿宋_GB2312"/>
          <w:highlight w:val="none"/>
          <w:u w:val="none"/>
          <w:lang w:val="en-US" w:eastAsia="zh-CN"/>
        </w:rPr>
        <w:t>10月2日13时52分，乐昌市应急管理局将此</w:t>
      </w:r>
      <w:r>
        <w:rPr>
          <w:rFonts w:hint="eastAsia" w:ascii="仿宋_GB2312" w:hAnsi="仿宋_GB2312" w:cs="仿宋_GB2312"/>
          <w:highlight w:val="none"/>
          <w:u w:val="none"/>
          <w:lang w:val="en-US" w:eastAsia="zh-CN"/>
        </w:rPr>
        <w:t>事故情况通过</w:t>
      </w:r>
      <w:r>
        <w:rPr>
          <w:rFonts w:hint="eastAsia" w:ascii="仿宋_GB2312" w:hAnsi="仿宋_GB2312" w:eastAsia="仿宋_GB2312" w:cs="仿宋_GB2312"/>
          <w:highlight w:val="none"/>
          <w:u w:val="none"/>
          <w:lang w:val="en-US" w:eastAsia="zh-CN"/>
        </w:rPr>
        <w:t>电话报送至韶关市应急管理局值班室；15时57分，乐昌市应急管理局形成书面报告汇报至韶关市应急管理局。</w:t>
      </w:r>
    </w:p>
    <w:p w14:paraId="20671A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cs="仿宋_GB2312"/>
          <w:color w:val="FF0000"/>
          <w:sz w:val="32"/>
          <w:szCs w:val="32"/>
          <w:highlight w:val="none"/>
          <w:u w:val="none"/>
          <w:lang w:val="en-US" w:eastAsia="zh-CN"/>
        </w:rPr>
      </w:pPr>
      <w:r>
        <w:rPr>
          <w:rFonts w:hint="eastAsia" w:ascii="仿宋_GB2312" w:hAnsi="仿宋_GB2312" w:cs="仿宋_GB2312"/>
          <w:sz w:val="32"/>
          <w:szCs w:val="32"/>
          <w:highlight w:val="none"/>
          <w:u w:val="none"/>
          <w:lang w:val="en-US" w:eastAsia="zh-CN"/>
        </w:rPr>
        <w:t>事故发生后</w:t>
      </w:r>
      <w:r>
        <w:rPr>
          <w:rFonts w:hint="eastAsia" w:ascii="仿宋_GB2312" w:hAnsi="仿宋_GB2312" w:eastAsia="仿宋_GB2312" w:cs="仿宋_GB2312"/>
          <w:sz w:val="32"/>
          <w:szCs w:val="32"/>
          <w:highlight w:val="none"/>
          <w:u w:val="none"/>
        </w:rPr>
        <w:t>，</w:t>
      </w:r>
      <w:r>
        <w:rPr>
          <w:rFonts w:hint="eastAsia" w:ascii="仿宋_GB2312" w:hAnsi="仿宋_GB2312" w:cs="仿宋_GB2312"/>
          <w:sz w:val="32"/>
          <w:szCs w:val="32"/>
          <w:highlight w:val="none"/>
          <w:u w:val="none"/>
          <w:lang w:eastAsia="zh-CN"/>
        </w:rPr>
        <w:t>乐昌</w:t>
      </w:r>
      <w:r>
        <w:rPr>
          <w:rFonts w:hint="eastAsia" w:ascii="仿宋_GB2312" w:hAnsi="仿宋_GB2312" w:eastAsia="仿宋_GB2312" w:cs="仿宋_GB2312"/>
          <w:sz w:val="32"/>
          <w:szCs w:val="32"/>
          <w:highlight w:val="none"/>
          <w:u w:val="none"/>
        </w:rPr>
        <w:t>市委、市政府高度重视，</w:t>
      </w:r>
      <w:r>
        <w:rPr>
          <w:rFonts w:hint="eastAsia" w:ascii="仿宋_GB2312" w:hAnsi="仿宋_GB2312" w:cs="仿宋_GB2312"/>
          <w:sz w:val="32"/>
          <w:szCs w:val="32"/>
          <w:highlight w:val="none"/>
          <w:u w:val="none"/>
          <w:lang w:val="en-US" w:eastAsia="zh-CN"/>
        </w:rPr>
        <w:t>乐昌</w:t>
      </w:r>
      <w:r>
        <w:rPr>
          <w:rFonts w:hint="default" w:ascii="仿宋_GB2312" w:hAnsi="仿宋_GB2312" w:eastAsia="仿宋_GB2312" w:cs="仿宋_GB2312"/>
          <w:sz w:val="32"/>
          <w:szCs w:val="32"/>
          <w:highlight w:val="none"/>
          <w:u w:val="none"/>
          <w:lang w:val="en-US" w:eastAsia="zh-CN"/>
        </w:rPr>
        <w:t>市委书记钟曦第一时间指示</w:t>
      </w:r>
      <w:r>
        <w:rPr>
          <w:rFonts w:hint="eastAsia" w:ascii="仿宋_GB2312" w:hAnsi="仿宋_GB2312" w:eastAsia="仿宋_GB2312" w:cs="仿宋_GB2312"/>
          <w:sz w:val="32"/>
          <w:szCs w:val="32"/>
          <w:highlight w:val="none"/>
          <w:u w:val="none"/>
          <w:lang w:val="en-US" w:eastAsia="zh-CN"/>
        </w:rPr>
        <w:t>：全力救治伤员，妥善做好善后工作，并举一反三，坚决杜绝类似事件发生。</w:t>
      </w:r>
      <w:r>
        <w:rPr>
          <w:rFonts w:hint="eastAsia" w:ascii="仿宋_GB2312" w:hAnsi="仿宋_GB2312" w:cs="仿宋_GB2312"/>
          <w:sz w:val="32"/>
          <w:szCs w:val="32"/>
          <w:highlight w:val="none"/>
          <w:u w:val="none"/>
          <w:lang w:val="en-US" w:eastAsia="zh-CN"/>
        </w:rPr>
        <w:t>乐昌</w:t>
      </w:r>
      <w:r>
        <w:rPr>
          <w:rFonts w:hint="eastAsia" w:ascii="仿宋_GB2312" w:hAnsi="仿宋_GB2312" w:eastAsia="仿宋_GB2312" w:cs="仿宋_GB2312"/>
          <w:sz w:val="32"/>
          <w:szCs w:val="32"/>
          <w:highlight w:val="none"/>
          <w:u w:val="none"/>
          <w:lang w:eastAsia="zh-CN"/>
        </w:rPr>
        <w:t>市委副书记、市长刘华益</w:t>
      </w:r>
      <w:r>
        <w:rPr>
          <w:rFonts w:hint="eastAsia" w:ascii="仿宋_GB2312" w:hAnsi="仿宋_GB2312" w:cs="仿宋_GB2312"/>
          <w:sz w:val="32"/>
          <w:szCs w:val="32"/>
          <w:highlight w:val="none"/>
          <w:u w:val="none"/>
          <w:lang w:eastAsia="zh-CN"/>
        </w:rPr>
        <w:t>，</w:t>
      </w:r>
      <w:r>
        <w:rPr>
          <w:rFonts w:hint="eastAsia" w:ascii="仿宋_GB2312" w:hAnsi="仿宋_GB2312" w:cs="仿宋_GB2312"/>
          <w:sz w:val="32"/>
          <w:szCs w:val="32"/>
          <w:highlight w:val="none"/>
          <w:u w:val="none"/>
          <w:lang w:val="en-US" w:eastAsia="zh-CN"/>
        </w:rPr>
        <w:t>乐昌</w:t>
      </w:r>
      <w:r>
        <w:rPr>
          <w:rFonts w:hint="eastAsia" w:ascii="仿宋_GB2312" w:hAnsi="仿宋_GB2312" w:eastAsia="仿宋_GB2312" w:cs="仿宋_GB2312"/>
          <w:sz w:val="32"/>
          <w:szCs w:val="32"/>
          <w:highlight w:val="none"/>
          <w:u w:val="none"/>
          <w:lang w:eastAsia="zh-CN"/>
        </w:rPr>
        <w:t>市委常委、常务副市长张英宏</w:t>
      </w:r>
      <w:r>
        <w:rPr>
          <w:rFonts w:hint="eastAsia" w:ascii="仿宋_GB2312" w:hAnsi="仿宋_GB2312" w:cs="仿宋_GB2312"/>
          <w:sz w:val="32"/>
          <w:szCs w:val="32"/>
          <w:highlight w:val="none"/>
          <w:u w:val="none"/>
          <w:lang w:eastAsia="zh-CN"/>
        </w:rPr>
        <w:t>，</w:t>
      </w:r>
      <w:r>
        <w:rPr>
          <w:rFonts w:hint="eastAsia" w:ascii="仿宋_GB2312" w:hAnsi="仿宋_GB2312" w:cs="仿宋_GB2312"/>
          <w:sz w:val="32"/>
          <w:szCs w:val="32"/>
          <w:highlight w:val="none"/>
          <w:u w:val="none"/>
          <w:lang w:val="en-US" w:eastAsia="zh-CN"/>
        </w:rPr>
        <w:t>乐昌</w:t>
      </w:r>
      <w:r>
        <w:rPr>
          <w:rFonts w:hint="eastAsia" w:ascii="仿宋_GB2312" w:hAnsi="仿宋_GB2312" w:eastAsia="仿宋_GB2312" w:cs="仿宋_GB2312"/>
          <w:sz w:val="32"/>
          <w:szCs w:val="32"/>
          <w:highlight w:val="none"/>
          <w:u w:val="none"/>
          <w:lang w:eastAsia="zh-CN"/>
        </w:rPr>
        <w:t>市委常委、政法委书记欧伟强</w:t>
      </w:r>
      <w:r>
        <w:rPr>
          <w:rFonts w:hint="eastAsia" w:ascii="仿宋_GB2312" w:hAnsi="仿宋_GB2312" w:eastAsia="仿宋_GB2312" w:cs="仿宋_GB2312"/>
          <w:sz w:val="32"/>
          <w:szCs w:val="32"/>
          <w:highlight w:val="none"/>
          <w:u w:val="none"/>
        </w:rPr>
        <w:t>立即</w:t>
      </w:r>
      <w:r>
        <w:rPr>
          <w:rFonts w:hint="eastAsia" w:ascii="仿宋_GB2312" w:hAnsi="仿宋_GB2312" w:eastAsia="仿宋_GB2312" w:cs="仿宋_GB2312"/>
          <w:sz w:val="32"/>
          <w:szCs w:val="32"/>
          <w:highlight w:val="none"/>
          <w:u w:val="none"/>
          <w:lang w:eastAsia="zh-CN"/>
        </w:rPr>
        <w:t>率发改、公安、应急等相关部门</w:t>
      </w:r>
      <w:r>
        <w:rPr>
          <w:rFonts w:hint="eastAsia" w:ascii="仿宋_GB2312" w:hAnsi="仿宋_GB2312" w:eastAsia="仿宋_GB2312" w:cs="仿宋_GB2312"/>
          <w:sz w:val="32"/>
          <w:szCs w:val="32"/>
          <w:highlight w:val="none"/>
          <w:u w:val="none"/>
          <w:lang w:val="en-US" w:eastAsia="zh-CN"/>
        </w:rPr>
        <w:t>前往现场处置。根据</w:t>
      </w:r>
      <w:r>
        <w:rPr>
          <w:rFonts w:hint="eastAsia" w:ascii="仿宋_GB2312" w:hAnsi="仿宋_GB2312" w:cs="仿宋_GB2312"/>
          <w:sz w:val="32"/>
          <w:szCs w:val="32"/>
          <w:highlight w:val="none"/>
          <w:u w:val="none"/>
          <w:lang w:val="en-US" w:eastAsia="zh-CN"/>
        </w:rPr>
        <w:t>《中华人民共和国安全生产法》第八十四条</w:t>
      </w:r>
      <w:r>
        <w:rPr>
          <w:rStyle w:val="18"/>
          <w:rFonts w:hint="eastAsia" w:ascii="仿宋_GB2312" w:hAnsi="仿宋_GB2312" w:cs="仿宋_GB2312"/>
          <w:sz w:val="32"/>
          <w:szCs w:val="32"/>
          <w:highlight w:val="none"/>
          <w:u w:val="none"/>
          <w:lang w:val="en-US" w:eastAsia="zh-CN"/>
        </w:rPr>
        <w:t>[</w:t>
      </w:r>
      <w:r>
        <w:rPr>
          <w:rStyle w:val="18"/>
          <w:rFonts w:hint="eastAsia" w:ascii="仿宋_GB2312" w:hAnsi="仿宋_GB2312" w:cs="仿宋_GB2312"/>
          <w:sz w:val="32"/>
          <w:szCs w:val="32"/>
          <w:highlight w:val="none"/>
          <w:u w:val="none"/>
          <w:lang w:val="en-US" w:eastAsia="zh-CN"/>
        </w:rPr>
        <w:footnoteReference w:id="0"/>
      </w:r>
      <w:r>
        <w:rPr>
          <w:rStyle w:val="18"/>
          <w:rFonts w:hint="eastAsia" w:ascii="仿宋_GB2312" w:hAnsi="仿宋_GB2312" w:cs="仿宋_GB2312"/>
          <w:sz w:val="32"/>
          <w:szCs w:val="32"/>
          <w:highlight w:val="none"/>
          <w:u w:val="none"/>
          <w:lang w:val="en-US" w:eastAsia="zh-CN"/>
        </w:rPr>
        <w:t>]</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《生产安全事故报告和调查处理条例》第十一条</w:t>
      </w:r>
      <w:r>
        <w:rPr>
          <w:rStyle w:val="18"/>
          <w:rFonts w:hint="eastAsia" w:ascii="仿宋_GB2312" w:hAnsi="仿宋_GB2312" w:eastAsia="仿宋_GB2312" w:cs="仿宋_GB2312"/>
          <w:sz w:val="32"/>
          <w:szCs w:val="32"/>
          <w:highlight w:val="none"/>
          <w:u w:val="none"/>
          <w:lang w:val="en-US" w:eastAsia="zh-CN"/>
        </w:rPr>
        <w:t>[</w:t>
      </w:r>
      <w:r>
        <w:rPr>
          <w:rStyle w:val="18"/>
          <w:rFonts w:hint="eastAsia" w:ascii="仿宋_GB2312" w:hAnsi="仿宋_GB2312" w:eastAsia="仿宋_GB2312" w:cs="仿宋_GB2312"/>
          <w:sz w:val="32"/>
          <w:szCs w:val="32"/>
          <w:highlight w:val="none"/>
          <w:u w:val="none"/>
          <w:lang w:val="en-US" w:eastAsia="zh-CN"/>
        </w:rPr>
        <w:footnoteReference w:id="1"/>
      </w:r>
      <w:r>
        <w:rPr>
          <w:rStyle w:val="18"/>
          <w:rFonts w:hint="eastAsia" w:ascii="仿宋_GB2312" w:hAnsi="仿宋_GB2312" w:eastAsia="仿宋_GB2312" w:cs="仿宋_GB2312"/>
          <w:sz w:val="32"/>
          <w:szCs w:val="32"/>
          <w:highlight w:val="none"/>
          <w:u w:val="none"/>
          <w:lang w:val="en-US" w:eastAsia="zh-CN"/>
        </w:rPr>
        <w:t>]</w:t>
      </w:r>
      <w:r>
        <w:rPr>
          <w:rFonts w:hint="eastAsia" w:ascii="仿宋_GB2312" w:hAnsi="仿宋_GB2312" w:cs="仿宋_GB2312"/>
          <w:sz w:val="32"/>
          <w:szCs w:val="32"/>
          <w:highlight w:val="none"/>
          <w:u w:val="none"/>
          <w:lang w:val="en-US" w:eastAsia="zh-CN"/>
        </w:rPr>
        <w:t>的规定</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cs="仿宋_GB2312"/>
          <w:sz w:val="32"/>
          <w:szCs w:val="32"/>
          <w:highlight w:val="none"/>
          <w:u w:val="none"/>
          <w:lang w:val="en-US" w:eastAsia="zh-CN"/>
        </w:rPr>
        <w:t>乐昌市云岩镇人民政府、乐昌市应急管理局在接报事故信息后2小时内上报，不存在迟报情况。</w:t>
      </w:r>
    </w:p>
    <w:p w14:paraId="3C40324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10月7日，</w:t>
      </w:r>
      <w:r>
        <w:rPr>
          <w:rFonts w:hint="eastAsia" w:ascii="仿宋_GB2312" w:hAnsi="仿宋_GB2312" w:cs="仿宋_GB2312"/>
          <w:sz w:val="32"/>
          <w:szCs w:val="32"/>
          <w:highlight w:val="none"/>
          <w:u w:val="none"/>
          <w:lang w:val="en-US" w:eastAsia="zh-CN"/>
        </w:rPr>
        <w:t>乐昌市安全生产委员会办公室主任</w:t>
      </w:r>
      <w:r>
        <w:rPr>
          <w:rFonts w:hint="eastAsia" w:ascii="仿宋_GB2312" w:hAnsi="仿宋_GB2312" w:eastAsia="仿宋_GB2312" w:cs="仿宋_GB2312"/>
          <w:sz w:val="32"/>
          <w:szCs w:val="32"/>
          <w:highlight w:val="none"/>
          <w:u w:val="none"/>
          <w:lang w:val="en-US" w:eastAsia="zh-CN"/>
        </w:rPr>
        <w:t>王小勇同志对乐昌市云岩镇人民政府、乐昌市发展和改革局</w:t>
      </w:r>
      <w:r>
        <w:rPr>
          <w:rFonts w:hint="eastAsia" w:ascii="仿宋_GB2312" w:hAnsi="仿宋_GB2312" w:cs="仿宋_GB2312"/>
          <w:sz w:val="32"/>
          <w:szCs w:val="32"/>
          <w:highlight w:val="none"/>
          <w:u w:val="none"/>
          <w:lang w:val="en-US" w:eastAsia="zh-CN"/>
        </w:rPr>
        <w:t>相关负责人员以及x速</w:t>
      </w:r>
      <w:r>
        <w:rPr>
          <w:rFonts w:hint="eastAsia" w:ascii="仿宋_GB2312" w:hAnsi="仿宋_GB2312" w:eastAsia="仿宋_GB2312" w:cs="仿宋_GB2312"/>
          <w:sz w:val="32"/>
          <w:szCs w:val="32"/>
          <w:highlight w:val="none"/>
          <w:u w:val="none"/>
          <w:lang w:val="en-US" w:eastAsia="zh-CN"/>
        </w:rPr>
        <w:t>公司</w:t>
      </w:r>
      <w:r>
        <w:rPr>
          <w:rFonts w:hint="eastAsia" w:ascii="仿宋_GB2312" w:hAnsi="仿宋_GB2312" w:cs="仿宋_GB2312"/>
          <w:sz w:val="32"/>
          <w:szCs w:val="32"/>
          <w:highlight w:val="none"/>
          <w:u w:val="none"/>
          <w:lang w:val="en-US" w:eastAsia="zh-CN"/>
        </w:rPr>
        <w:t>法人</w:t>
      </w:r>
      <w:r>
        <w:rPr>
          <w:rFonts w:hint="eastAsia" w:ascii="仿宋_GB2312" w:hAnsi="仿宋_GB2312" w:eastAsia="仿宋_GB2312" w:cs="仿宋_GB2312"/>
          <w:sz w:val="32"/>
          <w:szCs w:val="32"/>
          <w:highlight w:val="none"/>
          <w:u w:val="none"/>
          <w:lang w:val="en-US" w:eastAsia="zh-CN"/>
        </w:rPr>
        <w:t>分别进行深刻约谈。</w:t>
      </w:r>
    </w:p>
    <w:p w14:paraId="2009F056">
      <w:pPr>
        <w:pStyle w:val="4"/>
        <w:bidi w:val="0"/>
        <w:rPr>
          <w:rFonts w:hint="eastAsia"/>
          <w:highlight w:val="none"/>
          <w:u w:val="none"/>
          <w:lang w:val="en-US" w:eastAsia="zh-CN"/>
        </w:rPr>
      </w:pPr>
      <w:bookmarkStart w:id="19" w:name="_Toc8478"/>
      <w:r>
        <w:rPr>
          <w:rFonts w:hint="eastAsia"/>
          <w:highlight w:val="none"/>
          <w:u w:val="none"/>
          <w:lang w:val="en-US" w:eastAsia="zh-CN"/>
        </w:rPr>
        <w:t>（三）医疗救治和善后情况</w:t>
      </w:r>
      <w:bookmarkEnd w:id="19"/>
    </w:p>
    <w:p w14:paraId="781FAE0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事故发生后，</w:t>
      </w:r>
      <w:r>
        <w:rPr>
          <w:rFonts w:hint="eastAsia" w:ascii="仿宋_GB2312" w:hAnsi="仿宋_GB2312" w:cs="仿宋_GB2312"/>
          <w:color w:val="auto"/>
          <w:sz w:val="32"/>
          <w:szCs w:val="32"/>
          <w:highlight w:val="none"/>
          <w:u w:val="none"/>
          <w:lang w:val="en-US" w:eastAsia="zh-CN"/>
        </w:rPr>
        <w:t>乐昌市</w:t>
      </w:r>
      <w:r>
        <w:rPr>
          <w:rFonts w:hint="eastAsia" w:ascii="仿宋_GB2312" w:hAnsi="仿宋_GB2312" w:cs="仿宋_GB2312"/>
          <w:sz w:val="32"/>
          <w:szCs w:val="32"/>
          <w:highlight w:val="none"/>
          <w:u w:val="none"/>
          <w:lang w:val="en-US" w:eastAsia="zh-CN"/>
        </w:rPr>
        <w:t>云岩镇人民政府积极协助涉事单位与死者、伤者家属沟通，全力做好安抚工作。10月2日，伤者邹x丽先被送往乐昌市第二人民医院接受紧急治疗，当天被转至粤北人民医院接受治疗。目前仍在粤北人民医院接受治疗观察，病情稳定。</w:t>
      </w:r>
    </w:p>
    <w:p w14:paraId="48D6842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10月4日，x跃公司与死者家属签订善后协议，就赔偿等善后事宜顺利达成一致。事故发生至今，未出现次生事故或上访等舆情事件。</w:t>
      </w:r>
    </w:p>
    <w:p w14:paraId="624769D8">
      <w:pPr>
        <w:pStyle w:val="3"/>
        <w:bidi w:val="0"/>
        <w:rPr>
          <w:rFonts w:hint="eastAsia"/>
          <w:highlight w:val="none"/>
          <w:u w:val="none"/>
          <w:lang w:val="en-US" w:eastAsia="zh-CN"/>
        </w:rPr>
      </w:pPr>
      <w:bookmarkStart w:id="20" w:name="_Toc15758"/>
      <w:r>
        <w:rPr>
          <w:rFonts w:hint="eastAsia"/>
          <w:highlight w:val="none"/>
          <w:u w:val="none"/>
          <w:lang w:val="en-US" w:eastAsia="zh-CN"/>
        </w:rPr>
        <w:t>三、事故原因分析</w:t>
      </w:r>
      <w:bookmarkEnd w:id="20"/>
    </w:p>
    <w:p w14:paraId="22ABD33A">
      <w:pPr>
        <w:pStyle w:val="4"/>
        <w:bidi w:val="0"/>
        <w:rPr>
          <w:rFonts w:hint="eastAsia"/>
          <w:highlight w:val="none"/>
          <w:u w:val="none"/>
          <w:lang w:val="en-US" w:eastAsia="zh-CN"/>
        </w:rPr>
      </w:pPr>
      <w:bookmarkStart w:id="21" w:name="_Toc31067"/>
      <w:r>
        <w:rPr>
          <w:rFonts w:hint="eastAsia"/>
          <w:highlight w:val="none"/>
          <w:u w:val="none"/>
          <w:lang w:val="en-US" w:eastAsia="zh-CN"/>
        </w:rPr>
        <w:t>（一）直接原因分析</w:t>
      </w:r>
      <w:bookmarkEnd w:id="21"/>
    </w:p>
    <w:p w14:paraId="33C4F4F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根据现场调查和相关资料分析，开展电缆敷设作业时未按照《电缆敷设施工方案》的规定规范使用电缆放线架，作业人员安全意识缺失，电缆敷设班组长违章指挥、电缆敷设班组工人及挖掘机司机违章作业，是造成此次一般物体打击事故的直接原因。</w:t>
      </w:r>
    </w:p>
    <w:p w14:paraId="140DAC9D">
      <w:pPr>
        <w:pStyle w:val="4"/>
        <w:bidi w:val="0"/>
        <w:rPr>
          <w:rFonts w:hint="eastAsia"/>
          <w:highlight w:val="none"/>
          <w:u w:val="none"/>
          <w:lang w:val="en-US" w:eastAsia="zh-CN"/>
        </w:rPr>
      </w:pPr>
      <w:bookmarkStart w:id="22" w:name="_Toc26120"/>
      <w:r>
        <w:rPr>
          <w:rFonts w:hint="eastAsia"/>
          <w:highlight w:val="none"/>
          <w:u w:val="none"/>
          <w:lang w:val="en-US" w:eastAsia="zh-CN"/>
        </w:rPr>
        <w:t>（二）事故间接原因</w:t>
      </w:r>
      <w:bookmarkEnd w:id="22"/>
    </w:p>
    <w:p w14:paraId="4AF1C32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eastAsia="zh-CN"/>
        </w:rPr>
      </w:pPr>
      <w:r>
        <w:rPr>
          <w:rFonts w:hint="eastAsia" w:ascii="仿宋_GB2312" w:hAnsi="仿宋_GB2312" w:cs="仿宋_GB2312"/>
          <w:sz w:val="32"/>
          <w:szCs w:val="32"/>
          <w:highlight w:val="none"/>
          <w:u w:val="none"/>
          <w:lang w:val="en-US" w:eastAsia="zh-CN"/>
        </w:rPr>
        <w:t>1.劳务分包单位x速公司未取得施工劳务企业资质，违法承包，安全生产主体责任落实不到位，安全生产责任制和岗位操作规程不完善，</w:t>
      </w:r>
      <w:r>
        <w:rPr>
          <w:rFonts w:hint="default" w:ascii="仿宋_GB2312" w:hAnsi="仿宋_GB2312" w:cs="仿宋_GB2312"/>
          <w:sz w:val="32"/>
          <w:szCs w:val="32"/>
          <w:highlight w:val="none"/>
          <w:u w:val="none"/>
          <w:lang w:eastAsia="zh-CN"/>
        </w:rPr>
        <w:t>安全生产教育和培训不到位，隐患排查整改不到位</w:t>
      </w:r>
      <w:r>
        <w:rPr>
          <w:rFonts w:hint="eastAsia" w:ascii="仿宋_GB2312" w:hAnsi="仿宋_GB2312" w:cs="仿宋_GB2312"/>
          <w:sz w:val="32"/>
          <w:szCs w:val="32"/>
          <w:highlight w:val="none"/>
          <w:u w:val="none"/>
          <w:lang w:eastAsia="zh-CN"/>
        </w:rPr>
        <w:t>。</w:t>
      </w:r>
    </w:p>
    <w:p w14:paraId="2ADC190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highlight w:val="none"/>
          <w:u w:val="none"/>
          <w:lang w:val="en-US" w:eastAsia="zh-CN"/>
        </w:rPr>
      </w:pPr>
      <w:r>
        <w:rPr>
          <w:rFonts w:hint="eastAsia" w:ascii="仿宋_GB2312" w:hAnsi="仿宋_GB2312" w:cs="仿宋_GB2312"/>
          <w:sz w:val="32"/>
          <w:szCs w:val="32"/>
          <w:highlight w:val="none"/>
          <w:u w:val="none"/>
          <w:lang w:val="en-US" w:eastAsia="zh-CN"/>
        </w:rPr>
        <w:t>2.专业分包单位x光公司将工程劳务违法分包给无施工</w:t>
      </w:r>
      <w:r>
        <w:rPr>
          <w:rFonts w:hint="default" w:ascii="仿宋_GB2312" w:hAnsi="仿宋_GB2312" w:cs="仿宋_GB2312"/>
          <w:sz w:val="32"/>
          <w:szCs w:val="32"/>
          <w:highlight w:val="none"/>
          <w:u w:val="none"/>
          <w:lang w:eastAsia="zh-CN"/>
        </w:rPr>
        <w:t>劳务</w:t>
      </w:r>
      <w:r>
        <w:rPr>
          <w:rFonts w:hint="eastAsia" w:ascii="仿宋_GB2312" w:hAnsi="仿宋_GB2312" w:cs="仿宋_GB2312"/>
          <w:sz w:val="32"/>
          <w:szCs w:val="32"/>
          <w:highlight w:val="none"/>
          <w:u w:val="none"/>
          <w:lang w:val="en-US" w:eastAsia="zh-CN"/>
        </w:rPr>
        <w:t>资质的x速公司承担，安全生产管理流于形式，安全生产主体责任落实不到位，</w:t>
      </w:r>
      <w:r>
        <w:rPr>
          <w:rFonts w:hint="default" w:ascii="仿宋_GB2312" w:hAnsi="仿宋_GB2312" w:cs="仿宋_GB2312"/>
          <w:sz w:val="32"/>
          <w:szCs w:val="32"/>
          <w:highlight w:val="none"/>
          <w:u w:val="none"/>
          <w:lang w:eastAsia="zh-CN"/>
        </w:rPr>
        <w:t>安全生产培训和教育不到位，隐患排查整改不到位</w:t>
      </w:r>
      <w:r>
        <w:rPr>
          <w:rFonts w:hint="eastAsia" w:ascii="仿宋_GB2312" w:hAnsi="仿宋_GB2312" w:cs="仿宋_GB2312"/>
          <w:sz w:val="32"/>
          <w:szCs w:val="32"/>
          <w:highlight w:val="none"/>
          <w:u w:val="none"/>
          <w:lang w:eastAsia="zh-CN"/>
        </w:rPr>
        <w:t>。</w:t>
      </w:r>
    </w:p>
    <w:p w14:paraId="09AF4FB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3.监理单位xx安公司未严格按照法律法规和工程建设强制性标准实施监理，未能审查发现并及时制止无施工劳务资质的企业及其人员进场施工；监理机构形同虚设，总监、专监等关键岗位长期缺岗，监理工作流于形式。</w:t>
      </w:r>
    </w:p>
    <w:p w14:paraId="22D0091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4.EPC总承包单位x跃公司安全生产管理、隐患排查不细致。</w:t>
      </w:r>
    </w:p>
    <w:p w14:paraId="16B83D2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5.建设单位x发公司隐患排查不够细致。</w:t>
      </w:r>
    </w:p>
    <w:p w14:paraId="6EA88BDE">
      <w:pPr>
        <w:pStyle w:val="3"/>
        <w:bidi w:val="0"/>
        <w:rPr>
          <w:rFonts w:hint="eastAsia"/>
          <w:highlight w:val="none"/>
          <w:u w:val="none"/>
          <w:lang w:val="en-US" w:eastAsia="zh-CN"/>
        </w:rPr>
      </w:pPr>
      <w:bookmarkStart w:id="23" w:name="_Toc1394"/>
      <w:r>
        <w:rPr>
          <w:rFonts w:hint="eastAsia"/>
          <w:highlight w:val="none"/>
          <w:u w:val="none"/>
          <w:lang w:val="en-US" w:eastAsia="zh-CN"/>
        </w:rPr>
        <w:t>四、相关部门履职情况</w:t>
      </w:r>
      <w:bookmarkEnd w:id="23"/>
    </w:p>
    <w:p w14:paraId="28EA86AF">
      <w:pPr>
        <w:pStyle w:val="4"/>
        <w:bidi w:val="0"/>
        <w:rPr>
          <w:rFonts w:hint="eastAsia"/>
          <w:highlight w:val="none"/>
          <w:u w:val="none"/>
          <w:lang w:val="en-US" w:eastAsia="zh-CN"/>
        </w:rPr>
      </w:pPr>
      <w:bookmarkStart w:id="24" w:name="_Toc26070"/>
      <w:r>
        <w:rPr>
          <w:rFonts w:hint="eastAsia"/>
          <w:highlight w:val="none"/>
          <w:u w:val="none"/>
          <w:lang w:val="en-US" w:eastAsia="zh-CN"/>
        </w:rPr>
        <w:t>（一）乐昌市云岩镇人民政府</w:t>
      </w:r>
      <w:bookmarkEnd w:id="24"/>
    </w:p>
    <w:p w14:paraId="199E80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宋体" w:eastAsia="仿宋_GB2312" w:cstheme="minorBidi"/>
          <w:kern w:val="2"/>
          <w:sz w:val="32"/>
          <w:szCs w:val="32"/>
          <w:highlight w:val="none"/>
          <w:u w:val="none"/>
          <w:lang w:val="en-US" w:eastAsia="zh-CN" w:bidi="ar-SA"/>
        </w:rPr>
      </w:pPr>
      <w:r>
        <w:rPr>
          <w:rFonts w:hint="eastAsia" w:ascii="仿宋_GB2312" w:hAnsi="仿宋_GB2312" w:cs="仿宋_GB2312"/>
          <w:sz w:val="32"/>
          <w:szCs w:val="32"/>
          <w:highlight w:val="none"/>
          <w:u w:val="none"/>
          <w:lang w:val="en-US" w:eastAsia="zh-CN"/>
        </w:rPr>
        <w:t>乐昌市云岩镇人民政府作为事故发生地的属地</w:t>
      </w:r>
      <w:r>
        <w:rPr>
          <w:rFonts w:hint="default" w:ascii="仿宋_GB2312" w:hAnsi="仿宋_GB2312" w:cs="仿宋_GB2312"/>
          <w:sz w:val="32"/>
          <w:szCs w:val="32"/>
          <w:highlight w:val="none"/>
          <w:u w:val="none"/>
          <w:lang w:eastAsia="zh-CN"/>
        </w:rPr>
        <w:t>政府，</w:t>
      </w:r>
      <w:r>
        <w:rPr>
          <w:rFonts w:hint="eastAsia" w:ascii="仿宋_GB2312" w:hAnsi="宋体" w:eastAsia="仿宋_GB2312" w:cstheme="minorBidi"/>
          <w:kern w:val="2"/>
          <w:sz w:val="32"/>
          <w:szCs w:val="32"/>
          <w:highlight w:val="none"/>
          <w:u w:val="none"/>
          <w:lang w:val="en-US" w:eastAsia="zh-CN" w:bidi="ar-SA"/>
        </w:rPr>
        <w:t>负责对</w:t>
      </w:r>
      <w:r>
        <w:rPr>
          <w:rFonts w:hint="eastAsia" w:ascii="仿宋_GB2312" w:hAnsi="宋体" w:cstheme="minorBidi"/>
          <w:kern w:val="2"/>
          <w:sz w:val="32"/>
          <w:szCs w:val="32"/>
          <w:highlight w:val="none"/>
          <w:u w:val="none"/>
          <w:lang w:val="en-US" w:eastAsia="zh-CN" w:bidi="ar-SA"/>
        </w:rPr>
        <w:t>乐昌市云岩镇内</w:t>
      </w:r>
      <w:r>
        <w:rPr>
          <w:rFonts w:hint="default" w:ascii="仿宋_GB2312" w:hAnsi="宋体" w:cstheme="minorBidi"/>
          <w:kern w:val="2"/>
          <w:sz w:val="32"/>
          <w:szCs w:val="32"/>
          <w:highlight w:val="none"/>
          <w:u w:val="none"/>
          <w:lang w:eastAsia="zh-CN" w:bidi="ar-SA"/>
        </w:rPr>
        <w:t>所有</w:t>
      </w:r>
      <w:r>
        <w:rPr>
          <w:rFonts w:hint="eastAsia" w:ascii="仿宋_GB2312" w:hAnsi="宋体" w:eastAsia="仿宋_GB2312" w:cstheme="minorBidi"/>
          <w:kern w:val="2"/>
          <w:sz w:val="32"/>
          <w:szCs w:val="32"/>
          <w:highlight w:val="none"/>
          <w:u w:val="none"/>
          <w:lang w:val="en-US" w:eastAsia="zh-CN" w:bidi="ar-SA"/>
        </w:rPr>
        <w:t>生产经营单位</w:t>
      </w:r>
      <w:r>
        <w:rPr>
          <w:rFonts w:hint="eastAsia" w:ascii="仿宋_GB2312" w:hAnsi="宋体" w:cstheme="minorBidi"/>
          <w:kern w:val="2"/>
          <w:sz w:val="32"/>
          <w:szCs w:val="32"/>
          <w:highlight w:val="none"/>
          <w:u w:val="none"/>
          <w:lang w:val="en-US" w:eastAsia="zh-CN" w:bidi="ar-SA"/>
        </w:rPr>
        <w:t>、施工工地</w:t>
      </w:r>
      <w:r>
        <w:rPr>
          <w:rFonts w:hint="eastAsia" w:ascii="仿宋_GB2312" w:hAnsi="宋体" w:eastAsia="仿宋_GB2312" w:cstheme="minorBidi"/>
          <w:kern w:val="2"/>
          <w:sz w:val="32"/>
          <w:szCs w:val="32"/>
          <w:highlight w:val="none"/>
          <w:u w:val="none"/>
          <w:lang w:val="en-US" w:eastAsia="zh-CN" w:bidi="ar-SA"/>
        </w:rPr>
        <w:t>安全生产状况进行监督检查，依法履行</w:t>
      </w:r>
      <w:r>
        <w:rPr>
          <w:rFonts w:hint="default" w:ascii="仿宋_GB2312" w:hAnsi="宋体" w:cstheme="minorBidi"/>
          <w:kern w:val="2"/>
          <w:sz w:val="32"/>
          <w:szCs w:val="32"/>
          <w:highlight w:val="none"/>
          <w:u w:val="none"/>
          <w:lang w:eastAsia="zh-CN" w:bidi="ar-SA"/>
        </w:rPr>
        <w:t>属地</w:t>
      </w:r>
      <w:r>
        <w:rPr>
          <w:rFonts w:hint="eastAsia" w:ascii="仿宋_GB2312" w:hAnsi="宋体" w:eastAsia="仿宋_GB2312" w:cstheme="minorBidi"/>
          <w:kern w:val="2"/>
          <w:sz w:val="32"/>
          <w:szCs w:val="32"/>
          <w:highlight w:val="none"/>
          <w:u w:val="none"/>
          <w:lang w:val="en-US" w:eastAsia="zh-CN" w:bidi="ar-SA"/>
        </w:rPr>
        <w:t>安全生产监督管理职责。</w:t>
      </w:r>
    </w:p>
    <w:p w14:paraId="3470B83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sz w:val="32"/>
          <w:szCs w:val="32"/>
          <w:highlight w:val="none"/>
          <w:u w:val="none"/>
          <w:lang w:val="en-US" w:eastAsia="zh-CN"/>
        </w:rPr>
        <w:t>2024</w:t>
      </w:r>
      <w:r>
        <w:rPr>
          <w:rFonts w:hint="eastAsia" w:ascii="仿宋_GB2312" w:hAnsi="仿宋_GB2312" w:eastAsia="仿宋_GB2312" w:cs="仿宋_GB2312"/>
          <w:kern w:val="2"/>
          <w:sz w:val="32"/>
          <w:szCs w:val="32"/>
          <w:highlight w:val="none"/>
          <w:u w:val="none"/>
          <w:lang w:val="en-US" w:eastAsia="zh-CN" w:bidi="ar-SA"/>
        </w:rPr>
        <w:t>年乐昌市云岩镇人民政府制定了镇《2024年安全生产大检查工作方案》，并成立</w:t>
      </w:r>
      <w:r>
        <w:rPr>
          <w:rFonts w:hint="default" w:ascii="仿宋_GB2312" w:hAnsi="仿宋_GB2312" w:cs="仿宋_GB2312"/>
          <w:kern w:val="2"/>
          <w:sz w:val="32"/>
          <w:szCs w:val="32"/>
          <w:highlight w:val="none"/>
          <w:u w:val="none"/>
          <w:lang w:eastAsia="zh-CN" w:bidi="ar-SA"/>
        </w:rPr>
        <w:t>云岩镇</w:t>
      </w:r>
      <w:r>
        <w:rPr>
          <w:rFonts w:hint="eastAsia" w:ascii="仿宋_GB2312" w:hAnsi="仿宋_GB2312" w:eastAsia="仿宋_GB2312" w:cs="仿宋_GB2312"/>
          <w:kern w:val="2"/>
          <w:sz w:val="32"/>
          <w:szCs w:val="32"/>
          <w:highlight w:val="none"/>
          <w:u w:val="none"/>
          <w:lang w:val="en-US" w:eastAsia="zh-CN" w:bidi="ar-SA"/>
        </w:rPr>
        <w:t>安全生产委员会和检查工作专班，强化安全生产目标管理；定期召开季度安全生产专题会议，专题研究和传达上级安全生产会议和文件精神；切实落实安全生产宣传工作，共计出动120多人次，深入各生产企业、</w:t>
      </w:r>
      <w:r>
        <w:rPr>
          <w:rFonts w:hint="eastAsia" w:ascii="仿宋_GB2312" w:hAnsi="仿宋_GB2312" w:cs="仿宋_GB2312"/>
          <w:kern w:val="2"/>
          <w:sz w:val="32"/>
          <w:szCs w:val="32"/>
          <w:highlight w:val="none"/>
          <w:u w:val="none"/>
          <w:lang w:val="en-US" w:eastAsia="zh-CN" w:bidi="ar-SA"/>
        </w:rPr>
        <w:t>各镇村网格</w:t>
      </w:r>
      <w:r>
        <w:rPr>
          <w:rFonts w:hint="eastAsia" w:ascii="仿宋_GB2312" w:hAnsi="仿宋_GB2312" w:eastAsia="仿宋_GB2312" w:cs="仿宋_GB2312"/>
          <w:kern w:val="2"/>
          <w:sz w:val="32"/>
          <w:szCs w:val="32"/>
          <w:highlight w:val="none"/>
          <w:u w:val="none"/>
          <w:lang w:val="en-US" w:eastAsia="zh-CN" w:bidi="ar-SA"/>
        </w:rPr>
        <w:t>宣传安全生产知识。</w:t>
      </w:r>
    </w:p>
    <w:p w14:paraId="4C6DA27B">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highlight w:val="none"/>
          <w:u w:val="none"/>
          <w:lang w:val="en-US" w:eastAsia="zh-CN" w:bidi="ar"/>
        </w:rPr>
      </w:pPr>
      <w:r>
        <w:rPr>
          <w:rFonts w:hint="default" w:ascii="仿宋_GB2312" w:hAnsi="仿宋_GB2312" w:cs="仿宋_GB2312"/>
          <w:kern w:val="2"/>
          <w:sz w:val="32"/>
          <w:szCs w:val="32"/>
          <w:highlight w:val="none"/>
          <w:u w:val="none"/>
          <w:lang w:eastAsia="zh-CN" w:bidi="ar-SA"/>
        </w:rPr>
        <w:t>10月2日</w:t>
      </w:r>
      <w:r>
        <w:rPr>
          <w:rFonts w:hint="eastAsia" w:ascii="仿宋_GB2312" w:hAnsi="仿宋_GB2312" w:eastAsia="仿宋_GB2312" w:cs="仿宋_GB2312"/>
          <w:kern w:val="2"/>
          <w:sz w:val="32"/>
          <w:szCs w:val="32"/>
          <w:highlight w:val="none"/>
          <w:u w:val="none"/>
          <w:lang w:val="en-US" w:eastAsia="zh-CN" w:bidi="ar-SA"/>
        </w:rPr>
        <w:t>接</w:t>
      </w:r>
      <w:r>
        <w:rPr>
          <w:rFonts w:hint="eastAsia" w:ascii="仿宋_GB2312" w:hAnsi="仿宋_GB2312" w:cs="仿宋_GB2312"/>
          <w:kern w:val="2"/>
          <w:sz w:val="32"/>
          <w:szCs w:val="32"/>
          <w:highlight w:val="none"/>
          <w:u w:val="none"/>
          <w:lang w:val="en-US" w:eastAsia="zh-CN" w:bidi="ar-SA"/>
        </w:rPr>
        <w:t>到事故信息报告</w:t>
      </w:r>
      <w:r>
        <w:rPr>
          <w:rFonts w:hint="eastAsia" w:ascii="仿宋_GB2312" w:hAnsi="仿宋_GB2312" w:eastAsia="仿宋_GB2312" w:cs="仿宋_GB2312"/>
          <w:kern w:val="2"/>
          <w:sz w:val="32"/>
          <w:szCs w:val="32"/>
          <w:highlight w:val="none"/>
          <w:u w:val="none"/>
          <w:lang w:val="en-US" w:eastAsia="zh-CN" w:bidi="ar-SA"/>
        </w:rPr>
        <w:t>后，乐昌市云岩镇人民政府立即响应，</w:t>
      </w:r>
      <w:r>
        <w:rPr>
          <w:rFonts w:hint="eastAsia" w:ascii="仿宋_GB2312" w:hAnsi="仿宋_GB2312" w:eastAsia="仿宋_GB2312" w:cs="仿宋_GB2312"/>
          <w:color w:val="000000"/>
          <w:kern w:val="0"/>
          <w:sz w:val="32"/>
          <w:szCs w:val="32"/>
          <w:highlight w:val="none"/>
          <w:u w:val="none"/>
          <w:lang w:val="en-US" w:eastAsia="zh-CN" w:bidi="ar"/>
        </w:rPr>
        <w:t>镇</w:t>
      </w:r>
      <w:r>
        <w:rPr>
          <w:rFonts w:hint="eastAsia" w:ascii="仿宋_GB2312" w:hAnsi="仿宋_GB2312" w:cs="仿宋_GB2312"/>
          <w:color w:val="000000"/>
          <w:kern w:val="0"/>
          <w:sz w:val="32"/>
          <w:szCs w:val="32"/>
          <w:highlight w:val="none"/>
          <w:u w:val="none"/>
          <w:lang w:val="en-US" w:eastAsia="zh-CN" w:bidi="ar"/>
        </w:rPr>
        <w:t>党</w:t>
      </w:r>
      <w:r>
        <w:rPr>
          <w:rFonts w:hint="eastAsia" w:ascii="仿宋_GB2312" w:hAnsi="仿宋_GB2312" w:eastAsia="仿宋_GB2312" w:cs="仿宋_GB2312"/>
          <w:color w:val="000000"/>
          <w:kern w:val="0"/>
          <w:sz w:val="32"/>
          <w:szCs w:val="32"/>
          <w:highlight w:val="none"/>
          <w:u w:val="none"/>
          <w:lang w:val="en-US" w:eastAsia="zh-CN" w:bidi="ar"/>
        </w:rPr>
        <w:t>委副书记、镇长蔡立新同志第一时间率队前往事故现场，开展事故应急处置工作，</w:t>
      </w:r>
      <w:r>
        <w:rPr>
          <w:rFonts w:hint="eastAsia" w:ascii="仿宋_GB2312" w:hAnsi="仿宋_GB2312" w:eastAsia="仿宋_GB2312" w:cs="仿宋_GB2312"/>
          <w:color w:val="000000"/>
          <w:sz w:val="32"/>
          <w:szCs w:val="32"/>
          <w:highlight w:val="none"/>
          <w:u w:val="none"/>
          <w:lang w:val="en-US" w:eastAsia="zh-CN"/>
        </w:rPr>
        <w:t>了解情况、警戒现场、安抚死者家属。事故发生后，</w:t>
      </w:r>
      <w:r>
        <w:rPr>
          <w:rFonts w:hint="eastAsia" w:ascii="仿宋_GB2312" w:hAnsi="仿宋_GB2312" w:eastAsia="仿宋_GB2312" w:cs="仿宋_GB2312"/>
          <w:kern w:val="2"/>
          <w:sz w:val="32"/>
          <w:szCs w:val="32"/>
          <w:highlight w:val="none"/>
          <w:u w:val="none"/>
          <w:lang w:val="en-US" w:eastAsia="zh-CN" w:bidi="ar-SA"/>
        </w:rPr>
        <w:t>乐昌市云岩镇人民政府</w:t>
      </w:r>
      <w:r>
        <w:rPr>
          <w:rFonts w:hint="eastAsia" w:ascii="仿宋_GB2312" w:hAnsi="仿宋_GB2312" w:eastAsia="仿宋_GB2312" w:cs="仿宋_GB2312"/>
          <w:color w:val="000000"/>
          <w:kern w:val="0"/>
          <w:sz w:val="32"/>
          <w:szCs w:val="32"/>
          <w:highlight w:val="none"/>
          <w:u w:val="none"/>
          <w:lang w:val="en-US" w:eastAsia="zh-CN" w:bidi="ar"/>
        </w:rPr>
        <w:t>成立了善后专班，协助涉事单位和死者家属于10月4日达成善后协议；召开事故警示教育会议，通报事故情况，要求深刻吸取事故教训，并就下阶段安全生产工作提出部署和强调；开展安全生产隐患大排查，全面排查整治安全隐患，压实安全生产责任。</w:t>
      </w:r>
    </w:p>
    <w:p w14:paraId="629CD781">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cs="仿宋_GB2312"/>
          <w:color w:val="000000"/>
          <w:kern w:val="0"/>
          <w:sz w:val="32"/>
          <w:szCs w:val="32"/>
          <w:highlight w:val="none"/>
          <w:u w:val="none"/>
          <w:lang w:val="en-US" w:eastAsia="zh-CN" w:bidi="ar"/>
        </w:rPr>
      </w:pPr>
      <w:r>
        <w:rPr>
          <w:rFonts w:hint="eastAsia" w:ascii="仿宋_GB2312" w:hAnsi="仿宋_GB2312" w:cs="仿宋_GB2312"/>
          <w:color w:val="000000"/>
          <w:kern w:val="0"/>
          <w:sz w:val="32"/>
          <w:szCs w:val="32"/>
          <w:highlight w:val="none"/>
          <w:u w:val="none"/>
          <w:lang w:val="en-US" w:eastAsia="zh-CN" w:bidi="ar"/>
        </w:rPr>
        <w:t>综上，乐昌市云岩镇人民政府已在日常工作中履职到位。建议持续抓紧抓实安全生产属地监管工作。</w:t>
      </w:r>
    </w:p>
    <w:p w14:paraId="55A126AE">
      <w:pPr>
        <w:pStyle w:val="4"/>
        <w:bidi w:val="0"/>
        <w:rPr>
          <w:rFonts w:hint="default"/>
          <w:highlight w:val="none"/>
          <w:u w:val="none"/>
          <w:lang w:val="en-US" w:eastAsia="zh-CN"/>
        </w:rPr>
      </w:pPr>
      <w:bookmarkStart w:id="25" w:name="_Toc31729"/>
      <w:r>
        <w:rPr>
          <w:rFonts w:hint="eastAsia"/>
          <w:highlight w:val="none"/>
          <w:u w:val="none"/>
          <w:lang w:val="en-US" w:eastAsia="zh-CN"/>
        </w:rPr>
        <w:t>（二）乐昌市发展和改革局</w:t>
      </w:r>
      <w:bookmarkEnd w:id="25"/>
    </w:p>
    <w:p w14:paraId="277A52C3">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cs="仿宋_GB2312"/>
          <w:color w:val="000000"/>
          <w:kern w:val="0"/>
          <w:sz w:val="32"/>
          <w:szCs w:val="32"/>
          <w:highlight w:val="none"/>
          <w:u w:val="none"/>
          <w:lang w:val="en-US" w:eastAsia="zh-CN" w:bidi="ar"/>
        </w:rPr>
      </w:pPr>
      <w:r>
        <w:rPr>
          <w:rFonts w:hint="eastAsia" w:ascii="仿宋_GB2312" w:hAnsi="仿宋_GB2312" w:cs="仿宋_GB2312"/>
          <w:highlight w:val="none"/>
          <w:u w:val="none"/>
          <w:lang w:val="en-US" w:eastAsia="zh-CN"/>
        </w:rPr>
        <w:t>乐昌市发展和改革局作为能源行业安全生产监管部门，负责监管乐昌市能源行业安全生产监督管理工作。</w:t>
      </w:r>
    </w:p>
    <w:p w14:paraId="3DE38F9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2024年乐昌市发展和改革局</w:t>
      </w:r>
      <w:r>
        <w:rPr>
          <w:rFonts w:hint="eastAsia" w:ascii="仿宋_GB2312" w:hAnsi="仿宋_GB2312" w:eastAsia="仿宋_GB2312" w:cs="仿宋_GB2312"/>
          <w:sz w:val="32"/>
          <w:szCs w:val="32"/>
          <w:highlight w:val="none"/>
          <w:u w:val="none"/>
          <w:lang w:val="en-US" w:eastAsia="zh-CN"/>
        </w:rPr>
        <w:t>制定出台《乐昌市发展和改革局开展能源领域安全风险隐患大排查大整治方案》，组织开展全市重要电力企业和电力项目电力安全生产综合整治工作。督促各相关企业对照</w:t>
      </w:r>
      <w:r>
        <w:rPr>
          <w:rFonts w:hint="default" w:ascii="仿宋_GB2312" w:hAnsi="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乐昌市学好用好重大事故隐患判定标准工作方案重点任务分工表</w:t>
      </w:r>
      <w:r>
        <w:rPr>
          <w:rFonts w:hint="default" w:ascii="仿宋_GB2312" w:hAnsi="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认真进行自查自改，建立重大事故隐患台账，并按规定填写清单、主动报告。截止目前，已有序组织和督促乐昌供电局、广东</w:t>
      </w:r>
      <w:r>
        <w:rPr>
          <w:rFonts w:hint="eastAsia" w:ascii="仿宋_GB2312" w:hAnsi="仿宋_GB2312" w:cs="仿宋_GB2312"/>
          <w:sz w:val="32"/>
          <w:szCs w:val="32"/>
          <w:highlight w:val="none"/>
          <w:u w:val="none"/>
          <w:lang w:val="en-US" w:eastAsia="zh-CN"/>
        </w:rPr>
        <w:t>x</w:t>
      </w:r>
      <w:r>
        <w:rPr>
          <w:rFonts w:hint="eastAsia" w:ascii="仿宋_GB2312" w:hAnsi="仿宋_GB2312" w:eastAsia="仿宋_GB2312" w:cs="仿宋_GB2312"/>
          <w:sz w:val="32"/>
          <w:szCs w:val="32"/>
          <w:highlight w:val="none"/>
          <w:u w:val="none"/>
          <w:lang w:val="en-US" w:eastAsia="zh-CN"/>
        </w:rPr>
        <w:t>电</w:t>
      </w:r>
      <w:r>
        <w:rPr>
          <w:rFonts w:hint="eastAsia" w:ascii="仿宋_GB2312" w:hAnsi="仿宋_GB2312" w:cs="仿宋_GB2312"/>
          <w:sz w:val="32"/>
          <w:szCs w:val="32"/>
          <w:highlight w:val="none"/>
          <w:u w:val="none"/>
          <w:lang w:val="en-US" w:eastAsia="zh-CN"/>
        </w:rPr>
        <w:t>xx</w:t>
      </w:r>
      <w:r>
        <w:rPr>
          <w:rFonts w:hint="eastAsia" w:ascii="仿宋_GB2312" w:hAnsi="仿宋_GB2312" w:eastAsia="仿宋_GB2312" w:cs="仿宋_GB2312"/>
          <w:sz w:val="32"/>
          <w:szCs w:val="32"/>
          <w:highlight w:val="none"/>
          <w:u w:val="none"/>
          <w:lang w:val="en-US" w:eastAsia="zh-CN"/>
        </w:rPr>
        <w:t>发电有限公司、乐昌</w:t>
      </w:r>
      <w:r>
        <w:rPr>
          <w:rFonts w:hint="eastAsia" w:ascii="仿宋_GB2312" w:hAnsi="仿宋_GB2312" w:cs="仿宋_GB2312"/>
          <w:sz w:val="32"/>
          <w:szCs w:val="32"/>
          <w:highlight w:val="none"/>
          <w:u w:val="none"/>
          <w:lang w:val="en-US" w:eastAsia="zh-CN"/>
        </w:rPr>
        <w:t>x发</w:t>
      </w:r>
      <w:r>
        <w:rPr>
          <w:rFonts w:hint="eastAsia" w:ascii="仿宋_GB2312" w:hAnsi="仿宋_GB2312" w:eastAsia="仿宋_GB2312" w:cs="仿宋_GB2312"/>
          <w:sz w:val="32"/>
          <w:szCs w:val="32"/>
          <w:highlight w:val="none"/>
          <w:u w:val="none"/>
          <w:lang w:val="en-US" w:eastAsia="zh-CN"/>
        </w:rPr>
        <w:t>新能源有限公司</w:t>
      </w:r>
      <w:r>
        <w:rPr>
          <w:rFonts w:hint="eastAsia" w:ascii="仿宋_GB2312" w:hAnsi="仿宋_GB2312" w:cs="仿宋_GB2312"/>
          <w:sz w:val="32"/>
          <w:szCs w:val="32"/>
          <w:highlight w:val="none"/>
          <w:u w:val="none"/>
          <w:lang w:val="en-US" w:eastAsia="zh-CN"/>
        </w:rPr>
        <w:t>等公司</w:t>
      </w:r>
      <w:r>
        <w:rPr>
          <w:rFonts w:hint="eastAsia" w:ascii="仿宋_GB2312" w:hAnsi="仿宋_GB2312" w:eastAsia="仿宋_GB2312" w:cs="仿宋_GB2312"/>
          <w:sz w:val="32"/>
          <w:szCs w:val="32"/>
          <w:highlight w:val="none"/>
          <w:u w:val="none"/>
          <w:lang w:val="en-US" w:eastAsia="zh-CN"/>
        </w:rPr>
        <w:t>开展全覆盖拉网式的安全生产大检查、大排查、铁拳执法整治，重点整治排查大型发电机组、风电场、光伏发电场安全隐患。同时对电网调度、生产运营，重要输变电设施，电动汽车充电设施等进行安全排查，确保电网安全稳定运行和可靠供电。针对</w:t>
      </w:r>
      <w:r>
        <w:rPr>
          <w:rFonts w:hint="eastAsia" w:ascii="仿宋_GB2312" w:hAnsi="仿宋_GB2312" w:cs="仿宋_GB2312"/>
          <w:sz w:val="32"/>
          <w:szCs w:val="32"/>
          <w:highlight w:val="none"/>
          <w:u w:val="none"/>
          <w:lang w:val="en-US" w:eastAsia="zh-CN"/>
        </w:rPr>
        <w:t>乐昌市</w:t>
      </w:r>
      <w:r>
        <w:rPr>
          <w:rFonts w:hint="eastAsia" w:ascii="仿宋_GB2312" w:hAnsi="仿宋_GB2312" w:eastAsia="仿宋_GB2312" w:cs="仿宋_GB2312"/>
          <w:sz w:val="32"/>
          <w:szCs w:val="32"/>
          <w:highlight w:val="none"/>
          <w:u w:val="none"/>
          <w:lang w:val="en-US" w:eastAsia="zh-CN"/>
        </w:rPr>
        <w:t>电力企业排查发现的3处一般安全隐患，已第一时间向各有关单位、乐昌供电局、各电力用户发出《关于消除电力安全隐患的通知》，逐项列出整改建议及整改期限，督促、跟踪、指导落实整改，消除安全隐患，确保</w:t>
      </w:r>
      <w:r>
        <w:rPr>
          <w:rFonts w:hint="eastAsia" w:ascii="仿宋_GB2312" w:hAnsi="仿宋_GB2312" w:cs="仿宋_GB2312"/>
          <w:sz w:val="32"/>
          <w:szCs w:val="32"/>
          <w:highlight w:val="none"/>
          <w:u w:val="none"/>
          <w:lang w:val="en-US" w:eastAsia="zh-CN"/>
        </w:rPr>
        <w:t>乐昌市</w:t>
      </w:r>
      <w:r>
        <w:rPr>
          <w:rFonts w:hint="eastAsia" w:ascii="仿宋_GB2312" w:hAnsi="仿宋_GB2312" w:eastAsia="仿宋_GB2312" w:cs="仿宋_GB2312"/>
          <w:sz w:val="32"/>
          <w:szCs w:val="32"/>
          <w:highlight w:val="none"/>
          <w:u w:val="none"/>
          <w:lang w:val="en-US" w:eastAsia="zh-CN"/>
        </w:rPr>
        <w:t>安全、可靠用电。</w:t>
      </w:r>
    </w:p>
    <w:p w14:paraId="7CD4B57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highlight w:val="none"/>
          <w:u w:val="none"/>
          <w:lang w:val="en-US" w:eastAsia="zh-CN"/>
        </w:rPr>
      </w:pPr>
      <w:r>
        <w:rPr>
          <w:rFonts w:hint="eastAsia" w:ascii="仿宋_GB2312" w:hAnsi="仿宋_GB2312" w:cs="仿宋_GB2312"/>
          <w:sz w:val="32"/>
          <w:szCs w:val="32"/>
          <w:highlight w:val="none"/>
          <w:u w:val="none"/>
          <w:lang w:val="en-US" w:eastAsia="zh-CN"/>
        </w:rPr>
        <w:t>10月2日接到事故信息报告后，乐昌市发展和改革局立即赶往事故现场了解情况，</w:t>
      </w:r>
      <w:r>
        <w:rPr>
          <w:rFonts w:hint="eastAsia" w:ascii="仿宋_GB2312" w:hAnsi="仿宋_GB2312" w:eastAsia="仿宋_GB2312" w:cs="仿宋_GB2312"/>
          <w:sz w:val="32"/>
          <w:szCs w:val="32"/>
          <w:highlight w:val="none"/>
          <w:u w:val="none"/>
          <w:lang w:val="en-US" w:eastAsia="zh-CN"/>
        </w:rPr>
        <w:t>全力配合市委、市政府做好事故调查及善后处置有关工作</w:t>
      </w:r>
      <w:r>
        <w:rPr>
          <w:rFonts w:hint="eastAsia" w:ascii="仿宋_GB2312" w:hAnsi="仿宋_GB2312" w:cs="仿宋_GB2312"/>
          <w:sz w:val="32"/>
          <w:szCs w:val="32"/>
          <w:highlight w:val="none"/>
          <w:u w:val="none"/>
          <w:lang w:val="en-US" w:eastAsia="zh-CN"/>
        </w:rPr>
        <w:t>。</w:t>
      </w:r>
    </w:p>
    <w:p w14:paraId="613398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10月3日上午，</w:t>
      </w:r>
      <w:r>
        <w:rPr>
          <w:rFonts w:hint="eastAsia" w:ascii="仿宋_GB2312" w:hAnsi="仿宋_GB2312" w:cs="仿宋_GB2312"/>
          <w:sz w:val="32"/>
          <w:szCs w:val="32"/>
          <w:highlight w:val="none"/>
          <w:u w:val="none"/>
          <w:lang w:val="en-US" w:eastAsia="zh-CN"/>
        </w:rPr>
        <w:t>乐昌市发展和改革局</w:t>
      </w:r>
      <w:r>
        <w:rPr>
          <w:rFonts w:hint="eastAsia" w:ascii="仿宋_GB2312" w:hAnsi="仿宋_GB2312" w:eastAsia="仿宋_GB2312" w:cs="仿宋_GB2312"/>
          <w:sz w:val="32"/>
          <w:szCs w:val="32"/>
          <w:highlight w:val="none"/>
          <w:u w:val="none"/>
          <w:lang w:val="en-US" w:eastAsia="zh-CN"/>
        </w:rPr>
        <w:t>会同乐昌市应急管理局召开了乐昌市新能源项目施工安全会议。会议通报了此次安全事故情况，再度重申了安全生产规范要求，明确各新能源项目业主、施工单位、监理单位不得违规操作，要认真贯彻落实安全生产责任。党组书记、局长李龙彪同志强调各地面光伏和屋顶光伏公司暂停建设，立即开展安全生产再检查，再培训。</w:t>
      </w:r>
    </w:p>
    <w:p w14:paraId="1DD912E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综上，乐昌市发展和改革局已在日常工作中</w:t>
      </w:r>
      <w:r>
        <w:rPr>
          <w:rFonts w:hint="eastAsia" w:ascii="仿宋_GB2312" w:hAnsi="仿宋_GB2312" w:cs="仿宋_GB2312"/>
          <w:sz w:val="32"/>
          <w:szCs w:val="32"/>
          <w:highlight w:val="none"/>
          <w:u w:val="none"/>
          <w:lang w:val="en-US" w:eastAsia="zh-CN"/>
        </w:rPr>
        <w:t>对能源行业开展安全生产监管工作，但仍有不到位的情况。建议乐昌市安全生产委员会约谈乐昌市发展和改革局。</w:t>
      </w:r>
    </w:p>
    <w:p w14:paraId="13718500">
      <w:pPr>
        <w:pStyle w:val="3"/>
        <w:numPr>
          <w:ilvl w:val="0"/>
          <w:numId w:val="3"/>
        </w:numPr>
        <w:bidi w:val="0"/>
        <w:rPr>
          <w:rFonts w:hint="eastAsia"/>
          <w:highlight w:val="none"/>
          <w:u w:val="none"/>
          <w:lang w:val="en-US" w:eastAsia="zh-CN"/>
        </w:rPr>
      </w:pPr>
      <w:bookmarkStart w:id="26" w:name="_Toc31292"/>
      <w:r>
        <w:rPr>
          <w:rFonts w:hint="eastAsia"/>
          <w:highlight w:val="none"/>
          <w:u w:val="none"/>
          <w:lang w:val="en-US" w:eastAsia="zh-CN"/>
        </w:rPr>
        <w:t>事故责任认定及处理建议</w:t>
      </w:r>
      <w:bookmarkEnd w:id="26"/>
    </w:p>
    <w:p w14:paraId="647A5E3E">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textAlignment w:val="auto"/>
        <w:rPr>
          <w:rFonts w:hint="eastAsia"/>
          <w:highlight w:val="none"/>
          <w:u w:val="none"/>
          <w:lang w:val="en-US" w:eastAsia="zh-CN"/>
        </w:rPr>
      </w:pPr>
      <w:r>
        <w:rPr>
          <w:rFonts w:hint="eastAsia" w:ascii="仿宋_GB2312" w:hAnsi="Tahoma" w:eastAsia="仿宋_GB2312"/>
          <w:kern w:val="0"/>
          <w:sz w:val="32"/>
          <w:szCs w:val="32"/>
          <w:highlight w:val="none"/>
          <w:u w:val="none"/>
        </w:rPr>
        <w:t>根据《中华人民共和国</w:t>
      </w:r>
      <w:r>
        <w:rPr>
          <w:rFonts w:hint="eastAsia" w:ascii="仿宋_GB2312" w:hAnsi="Tahoma"/>
          <w:kern w:val="0"/>
          <w:sz w:val="32"/>
          <w:szCs w:val="32"/>
          <w:highlight w:val="none"/>
          <w:u w:val="none"/>
          <w:lang w:val="en-US" w:eastAsia="zh-CN"/>
        </w:rPr>
        <w:t>刑法</w:t>
      </w:r>
      <w:r>
        <w:rPr>
          <w:rFonts w:hint="eastAsia" w:ascii="仿宋_GB2312" w:hAnsi="Tahoma" w:eastAsia="仿宋_GB2312"/>
          <w:kern w:val="0"/>
          <w:sz w:val="32"/>
          <w:szCs w:val="32"/>
          <w:highlight w:val="none"/>
          <w:u w:val="none"/>
        </w:rPr>
        <w:t>》《中华人民共和国安全生产法》和《生产安全事故报告和调查处理条例》（国务院令第</w:t>
      </w:r>
      <w:r>
        <w:rPr>
          <w:rFonts w:ascii="仿宋_GB2312" w:hAnsi="Tahoma" w:eastAsia="仿宋_GB2312"/>
          <w:kern w:val="0"/>
          <w:sz w:val="32"/>
          <w:szCs w:val="32"/>
          <w:highlight w:val="none"/>
          <w:u w:val="none"/>
        </w:rPr>
        <w:t>493</w:t>
      </w:r>
      <w:r>
        <w:rPr>
          <w:rFonts w:hint="eastAsia" w:ascii="仿宋_GB2312" w:hAnsi="Tahoma" w:eastAsia="仿宋_GB2312"/>
          <w:kern w:val="0"/>
          <w:sz w:val="32"/>
          <w:szCs w:val="32"/>
          <w:highlight w:val="none"/>
          <w:u w:val="none"/>
        </w:rPr>
        <w:t>号）等相关法律、法规的规定，按照事故调查“四不放过”原则，事故调查组建议对事故责任单位、相关责任人员和行业监管单位作如下处理：</w:t>
      </w:r>
    </w:p>
    <w:p w14:paraId="77E50511">
      <w:pPr>
        <w:pStyle w:val="4"/>
        <w:bidi w:val="0"/>
        <w:rPr>
          <w:rFonts w:hint="eastAsia"/>
          <w:highlight w:val="none"/>
          <w:u w:val="none"/>
          <w:lang w:val="en-US" w:eastAsia="zh-CN"/>
        </w:rPr>
      </w:pPr>
      <w:bookmarkStart w:id="27" w:name="_Toc19000"/>
      <w:r>
        <w:rPr>
          <w:rFonts w:hint="eastAsia"/>
          <w:highlight w:val="none"/>
          <w:u w:val="none"/>
          <w:lang w:val="en-US" w:eastAsia="zh-CN"/>
        </w:rPr>
        <w:t>（一）因在事故中死亡不予追究责任人员</w:t>
      </w:r>
      <w:bookmarkEnd w:id="27"/>
    </w:p>
    <w:p w14:paraId="2B607991">
      <w:pPr>
        <w:pStyle w:val="12"/>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sz w:val="32"/>
          <w:szCs w:val="32"/>
          <w:highlight w:val="none"/>
          <w:u w:val="none"/>
          <w:lang w:val="en-US" w:eastAsia="zh-CN"/>
        </w:rPr>
      </w:pPr>
      <w:r>
        <w:rPr>
          <w:rFonts w:hint="eastAsia" w:ascii="仿宋_GB2312" w:hAnsi="仿宋_GB2312" w:cs="仿宋_GB2312"/>
          <w:sz w:val="32"/>
          <w:szCs w:val="32"/>
          <w:highlight w:val="none"/>
          <w:u w:val="none"/>
          <w:lang w:val="en-US" w:eastAsia="zh-CN"/>
        </w:rPr>
        <w:t>王x武</w:t>
      </w:r>
      <w:r>
        <w:rPr>
          <w:rFonts w:hint="eastAsia" w:ascii="仿宋_GB2312" w:hAnsi="仿宋_GB2312" w:eastAsia="仿宋_GB2312" w:cs="仿宋_GB2312"/>
          <w:sz w:val="32"/>
          <w:szCs w:val="32"/>
          <w:highlight w:val="none"/>
          <w:u w:val="none"/>
          <w:lang w:val="en-US" w:eastAsia="zh-CN"/>
        </w:rPr>
        <w:t>，作为</w:t>
      </w:r>
      <w:r>
        <w:rPr>
          <w:rFonts w:hint="eastAsia" w:ascii="仿宋_GB2312" w:hAnsi="仿宋_GB2312" w:cs="仿宋_GB2312"/>
          <w:sz w:val="32"/>
          <w:szCs w:val="32"/>
          <w:highlight w:val="none"/>
          <w:u w:val="none"/>
          <w:lang w:val="en-US" w:eastAsia="zh-CN"/>
        </w:rPr>
        <w:t>x速</w:t>
      </w:r>
      <w:r>
        <w:rPr>
          <w:rFonts w:hint="eastAsia" w:ascii="仿宋_GB2312" w:hAnsi="仿宋_GB2312" w:eastAsia="仿宋_GB2312" w:cs="仿宋_GB2312"/>
          <w:sz w:val="32"/>
          <w:szCs w:val="32"/>
          <w:highlight w:val="none"/>
          <w:u w:val="none"/>
          <w:lang w:val="en-US" w:eastAsia="zh-CN"/>
        </w:rPr>
        <w:t>公司</w:t>
      </w:r>
      <w:r>
        <w:rPr>
          <w:rFonts w:hint="eastAsia" w:ascii="仿宋_GB2312" w:hAnsi="仿宋_GB2312" w:cs="仿宋_GB2312"/>
          <w:sz w:val="32"/>
          <w:szCs w:val="32"/>
          <w:highlight w:val="none"/>
          <w:u w:val="none"/>
          <w:lang w:val="en-US" w:eastAsia="zh-CN"/>
        </w:rPr>
        <w:t>云岩农光互补项目电缆敷设班组长</w:t>
      </w:r>
      <w:r>
        <w:rPr>
          <w:rFonts w:hint="eastAsia" w:ascii="仿宋_GB2312" w:hAnsi="仿宋_GB2312" w:eastAsia="仿宋_GB2312" w:cs="仿宋_GB2312"/>
          <w:sz w:val="32"/>
          <w:szCs w:val="32"/>
          <w:highlight w:val="none"/>
          <w:u w:val="none"/>
          <w:lang w:val="en-US" w:eastAsia="zh-CN"/>
        </w:rPr>
        <w:t>，安全意识缺失，违章作业且强令他人违章冒险作业。</w:t>
      </w:r>
      <w:r>
        <w:rPr>
          <w:rFonts w:hint="eastAsia" w:ascii="仿宋_GB2312" w:hAnsi="仿宋_GB2312" w:cs="仿宋_GB2312"/>
          <w:sz w:val="32"/>
          <w:szCs w:val="32"/>
          <w:highlight w:val="none"/>
          <w:u w:val="none"/>
          <w:lang w:val="en-US" w:eastAsia="zh-CN"/>
        </w:rPr>
        <w:t>王x武未使用适合山地运输的设备以运输电缆线盘，而是</w:t>
      </w:r>
      <w:r>
        <w:rPr>
          <w:rFonts w:hint="eastAsia" w:ascii="仿宋_GB2312" w:hAnsi="仿宋_GB2312" w:eastAsia="仿宋_GB2312" w:cs="仿宋_GB2312"/>
          <w:sz w:val="32"/>
          <w:szCs w:val="32"/>
          <w:highlight w:val="none"/>
          <w:u w:val="none"/>
          <w:lang w:val="en-US" w:eastAsia="zh-CN"/>
        </w:rPr>
        <w:t>强令挖掘机司机邓</w:t>
      </w:r>
      <w:r>
        <w:rPr>
          <w:rFonts w:hint="eastAsia" w:ascii="仿宋_GB2312" w:hAnsi="仿宋_GB2312" w:cs="仿宋_GB2312"/>
          <w:sz w:val="32"/>
          <w:szCs w:val="32"/>
          <w:highlight w:val="none"/>
          <w:u w:val="none"/>
          <w:lang w:val="en-US" w:eastAsia="zh-CN"/>
        </w:rPr>
        <w:t>x</w:t>
      </w:r>
      <w:r>
        <w:rPr>
          <w:rFonts w:hint="eastAsia" w:ascii="仿宋_GB2312" w:hAnsi="仿宋_GB2312" w:eastAsia="仿宋_GB2312" w:cs="仿宋_GB2312"/>
          <w:sz w:val="32"/>
          <w:szCs w:val="32"/>
          <w:highlight w:val="none"/>
          <w:u w:val="none"/>
          <w:lang w:val="en-US" w:eastAsia="zh-CN"/>
        </w:rPr>
        <w:t>华违章冒险作业</w:t>
      </w:r>
      <w:r>
        <w:rPr>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并</w:t>
      </w:r>
      <w:r>
        <w:rPr>
          <w:rFonts w:hint="eastAsia" w:ascii="仿宋_GB2312" w:hAnsi="仿宋_GB2312" w:cs="仿宋_GB2312"/>
          <w:sz w:val="32"/>
          <w:szCs w:val="32"/>
          <w:highlight w:val="none"/>
          <w:u w:val="none"/>
          <w:lang w:val="en-US" w:eastAsia="zh-CN"/>
        </w:rPr>
        <w:t>未根据</w:t>
      </w:r>
      <w:r>
        <w:rPr>
          <w:rFonts w:hint="eastAsia" w:ascii="仿宋_GB2312" w:hAnsi="仿宋_GB2312" w:eastAsia="仿宋_GB2312" w:cs="仿宋_GB2312"/>
          <w:sz w:val="32"/>
          <w:szCs w:val="32"/>
          <w:highlight w:val="none"/>
          <w:u w:val="none"/>
          <w:lang w:val="en-US" w:eastAsia="zh-CN"/>
        </w:rPr>
        <w:t>《电缆敷设施工方案》的规定</w:t>
      </w:r>
      <w:r>
        <w:rPr>
          <w:rFonts w:hint="eastAsia" w:ascii="仿宋_GB2312" w:hAnsi="仿宋_GB2312" w:cs="仿宋_GB2312"/>
          <w:sz w:val="32"/>
          <w:szCs w:val="32"/>
          <w:highlight w:val="none"/>
          <w:u w:val="none"/>
          <w:lang w:val="en-US" w:eastAsia="zh-CN"/>
        </w:rPr>
        <w:t>规范</w:t>
      </w:r>
      <w:r>
        <w:rPr>
          <w:rFonts w:hint="eastAsia" w:ascii="仿宋_GB2312" w:hAnsi="仿宋_GB2312" w:eastAsia="仿宋_GB2312" w:cs="仿宋_GB2312"/>
          <w:sz w:val="32"/>
          <w:szCs w:val="32"/>
          <w:highlight w:val="none"/>
          <w:u w:val="none"/>
          <w:lang w:val="en-US" w:eastAsia="zh-CN"/>
        </w:rPr>
        <w:t>使用电缆放线架，违章开展电缆敷设工作，对事故的发生负有直接责任。</w:t>
      </w:r>
      <w:r>
        <w:rPr>
          <w:rFonts w:hint="eastAsia" w:ascii="仿宋_GB2312" w:hAnsi="仿宋_GB2312" w:cs="仿宋_GB2312"/>
          <w:sz w:val="32"/>
          <w:szCs w:val="32"/>
          <w:highlight w:val="none"/>
          <w:u w:val="none"/>
          <w:lang w:val="en-US" w:eastAsia="zh-CN"/>
        </w:rPr>
        <w:t>王x武</w:t>
      </w:r>
      <w:r>
        <w:rPr>
          <w:rFonts w:hint="eastAsia" w:ascii="仿宋_GB2312" w:hAnsi="仿宋_GB2312" w:eastAsia="仿宋_GB2312" w:cs="仿宋_GB2312"/>
          <w:sz w:val="32"/>
          <w:szCs w:val="32"/>
          <w:highlight w:val="none"/>
          <w:u w:val="none"/>
          <w:lang w:val="en-US" w:eastAsia="zh-CN"/>
        </w:rPr>
        <w:t>以上行为违反了</w:t>
      </w:r>
      <w:r>
        <w:rPr>
          <w:rFonts w:hint="eastAsia" w:ascii="仿宋_GB2312" w:hAnsi="仿宋_GB2312" w:cs="仿宋_GB2312"/>
          <w:sz w:val="32"/>
          <w:szCs w:val="32"/>
          <w:highlight w:val="none"/>
          <w:u w:val="none"/>
          <w:lang w:val="en-US" w:eastAsia="zh-CN"/>
        </w:rPr>
        <w:t>《中华人民共和国刑法》</w:t>
      </w:r>
      <w:r>
        <w:rPr>
          <w:rFonts w:hint="eastAsia" w:ascii="仿宋_GB2312" w:hAnsi="仿宋_GB2312" w:eastAsia="仿宋_GB2312" w:cs="仿宋_GB2312"/>
          <w:sz w:val="32"/>
          <w:szCs w:val="32"/>
          <w:highlight w:val="none"/>
          <w:u w:val="none"/>
          <w:lang w:val="en-US" w:eastAsia="zh-CN"/>
        </w:rPr>
        <w:t>第一百三十四条第二</w:t>
      </w:r>
      <w:r>
        <w:rPr>
          <w:rFonts w:hint="eastAsia" w:ascii="仿宋_GB2312" w:hAnsi="仿宋_GB2312" w:cs="仿宋_GB2312"/>
          <w:sz w:val="32"/>
          <w:szCs w:val="32"/>
          <w:highlight w:val="none"/>
          <w:u w:val="none"/>
          <w:lang w:val="en-US" w:eastAsia="zh-CN"/>
        </w:rPr>
        <w:t>款</w:t>
      </w:r>
      <w:r>
        <w:rPr>
          <w:rStyle w:val="18"/>
          <w:rFonts w:hint="eastAsia" w:ascii="仿宋_GB2312" w:hAnsi="仿宋_GB2312" w:cs="仿宋_GB2312"/>
          <w:sz w:val="32"/>
          <w:szCs w:val="32"/>
          <w:highlight w:val="none"/>
          <w:u w:val="none"/>
          <w:lang w:val="en-US" w:eastAsia="zh-CN"/>
        </w:rPr>
        <w:t>[</w:t>
      </w:r>
      <w:r>
        <w:rPr>
          <w:rStyle w:val="18"/>
          <w:rFonts w:hint="eastAsia" w:ascii="仿宋_GB2312" w:hAnsi="仿宋_GB2312" w:cs="仿宋_GB2312"/>
          <w:sz w:val="32"/>
          <w:szCs w:val="32"/>
          <w:highlight w:val="none"/>
          <w:u w:val="none"/>
          <w:lang w:val="en-US" w:eastAsia="zh-CN"/>
        </w:rPr>
        <w:footnoteReference w:id="2"/>
      </w:r>
      <w:r>
        <w:rPr>
          <w:rStyle w:val="18"/>
          <w:rFonts w:hint="eastAsia" w:ascii="仿宋_GB2312" w:hAnsi="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及《中华人民共和国安全生产法》第五十七条</w:t>
      </w:r>
      <w:r>
        <w:rPr>
          <w:rFonts w:hint="eastAsia" w:ascii="仿宋_GB2312" w:hAnsi="仿宋_GB2312" w:cs="仿宋_GB2312"/>
          <w:sz w:val="32"/>
          <w:szCs w:val="32"/>
          <w:highlight w:val="none"/>
          <w:u w:val="none"/>
          <w:vertAlign w:val="superscript"/>
          <w:lang w:val="en-US" w:eastAsia="zh-CN"/>
        </w:rPr>
        <w:t>[</w:t>
      </w:r>
      <w:r>
        <w:rPr>
          <w:rStyle w:val="18"/>
          <w:rFonts w:hint="eastAsia" w:ascii="仿宋_GB2312" w:hAnsi="仿宋_GB2312" w:eastAsia="仿宋_GB2312" w:cs="仿宋_GB2312"/>
          <w:sz w:val="32"/>
          <w:szCs w:val="32"/>
          <w:highlight w:val="none"/>
          <w:u w:val="none"/>
          <w:vertAlign w:val="superscript"/>
          <w:lang w:val="en-US" w:eastAsia="zh-CN"/>
        </w:rPr>
        <w:footnoteReference w:id="3"/>
      </w:r>
      <w:r>
        <w:rPr>
          <w:rFonts w:hint="eastAsia" w:ascii="仿宋_GB2312" w:hAnsi="仿宋_GB2312" w:cs="仿宋_GB2312"/>
          <w:sz w:val="32"/>
          <w:szCs w:val="32"/>
          <w:highlight w:val="none"/>
          <w:u w:val="none"/>
          <w:vertAlign w:val="superscript"/>
          <w:lang w:val="en-US" w:eastAsia="zh-CN"/>
        </w:rPr>
        <w:t>]</w:t>
      </w:r>
      <w:r>
        <w:rPr>
          <w:rFonts w:hint="eastAsia" w:ascii="仿宋_GB2312" w:hAnsi="仿宋_GB2312" w:eastAsia="仿宋_GB2312" w:cs="仿宋_GB2312"/>
          <w:sz w:val="32"/>
          <w:szCs w:val="32"/>
          <w:highlight w:val="none"/>
          <w:u w:val="none"/>
          <w:lang w:val="en-US" w:eastAsia="zh-CN"/>
        </w:rPr>
        <w:t>的规定，但</w:t>
      </w:r>
      <w:r>
        <w:rPr>
          <w:rFonts w:hint="eastAsia" w:ascii="仿宋_GB2312" w:hAnsi="仿宋_GB2312" w:eastAsia="仿宋_GB2312" w:cs="仿宋_GB2312"/>
          <w:kern w:val="0"/>
          <w:sz w:val="32"/>
          <w:szCs w:val="32"/>
          <w:highlight w:val="none"/>
          <w:u w:val="none"/>
        </w:rPr>
        <w:t>鉴于其已在事故中死亡，</w:t>
      </w:r>
      <w:r>
        <w:rPr>
          <w:rFonts w:hint="eastAsia" w:ascii="仿宋_GB2312" w:hAnsi="仿宋_GB2312" w:eastAsia="仿宋_GB2312" w:cs="仿宋_GB2312"/>
          <w:sz w:val="32"/>
          <w:szCs w:val="32"/>
          <w:highlight w:val="none"/>
          <w:u w:val="none"/>
          <w:lang w:val="en-US" w:eastAsia="zh-CN"/>
        </w:rPr>
        <w:t>建议不再追究其责任。</w:t>
      </w:r>
    </w:p>
    <w:p w14:paraId="2D3ECB51">
      <w:pPr>
        <w:pStyle w:val="4"/>
        <w:bidi w:val="0"/>
        <w:rPr>
          <w:rFonts w:hint="eastAsia"/>
          <w:highlight w:val="none"/>
          <w:u w:val="none"/>
          <w:lang w:val="en-US" w:eastAsia="zh-CN"/>
        </w:rPr>
      </w:pPr>
      <w:bookmarkStart w:id="28" w:name="_Toc5019"/>
      <w:r>
        <w:rPr>
          <w:rFonts w:hint="eastAsia"/>
          <w:highlight w:val="none"/>
          <w:u w:val="none"/>
          <w:lang w:val="en-US" w:eastAsia="zh-CN"/>
        </w:rPr>
        <w:t>（二）对事故有关责任人员和责任单位的</w:t>
      </w:r>
      <w:r>
        <w:rPr>
          <w:rFonts w:hint="default"/>
          <w:highlight w:val="none"/>
          <w:u w:val="none"/>
          <w:lang w:eastAsia="zh-CN"/>
        </w:rPr>
        <w:t>处理</w:t>
      </w:r>
      <w:r>
        <w:rPr>
          <w:rFonts w:hint="eastAsia"/>
          <w:highlight w:val="none"/>
          <w:u w:val="none"/>
          <w:lang w:val="en-US" w:eastAsia="zh-CN"/>
        </w:rPr>
        <w:t>建议</w:t>
      </w:r>
      <w:bookmarkEnd w:id="28"/>
    </w:p>
    <w:p w14:paraId="71C1BB6B">
      <w:pPr>
        <w:pStyle w:val="5"/>
        <w:bidi w:val="0"/>
        <w:rPr>
          <w:rFonts w:hint="eastAsia" w:ascii="仿宋_GB2312" w:hAnsi="仿宋_GB2312" w:eastAsia="仿宋_GB2312" w:cs="仿宋_GB2312"/>
          <w:b/>
          <w:bCs/>
          <w:highlight w:val="none"/>
          <w:u w:val="none"/>
          <w:lang w:val="en-US" w:eastAsia="zh-CN"/>
        </w:rPr>
      </w:pPr>
      <w:r>
        <w:rPr>
          <w:rFonts w:hint="eastAsia" w:ascii="仿宋_GB2312" w:hAnsi="仿宋_GB2312" w:eastAsia="仿宋_GB2312" w:cs="仿宋_GB2312"/>
          <w:b/>
          <w:bCs/>
          <w:highlight w:val="none"/>
          <w:u w:val="none"/>
          <w:lang w:val="en-US" w:eastAsia="zh-CN"/>
        </w:rPr>
        <w:t>1.建议给予处罚的人员</w:t>
      </w:r>
    </w:p>
    <w:p w14:paraId="3BADF1A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highlight w:val="none"/>
          <w:u w:val="none"/>
          <w:lang w:val="en-US" w:eastAsia="zh-CN"/>
        </w:rPr>
      </w:pPr>
      <w:r>
        <w:rPr>
          <w:rFonts w:hint="eastAsia" w:ascii="仿宋_GB2312" w:hAnsi="仿宋_GB2312" w:cs="仿宋_GB2312"/>
          <w:b/>
          <w:bCs/>
          <w:kern w:val="2"/>
          <w:sz w:val="32"/>
          <w:szCs w:val="32"/>
          <w:highlight w:val="none"/>
          <w:u w:val="none"/>
          <w:lang w:val="en-US" w:eastAsia="zh-CN" w:bidi="ar-SA"/>
        </w:rPr>
        <w:t>（1）张x锋</w:t>
      </w:r>
      <w:r>
        <w:rPr>
          <w:rFonts w:hint="eastAsia" w:ascii="仿宋_GB2312" w:hAnsi="仿宋_GB2312" w:eastAsia="仿宋_GB2312" w:cs="仿宋_GB2312"/>
          <w:kern w:val="2"/>
          <w:sz w:val="32"/>
          <w:szCs w:val="32"/>
          <w:highlight w:val="none"/>
          <w:u w:val="none"/>
          <w:lang w:val="en-US" w:eastAsia="zh-CN" w:bidi="ar-SA"/>
        </w:rPr>
        <w:t>，作为</w:t>
      </w:r>
      <w:r>
        <w:rPr>
          <w:rFonts w:hint="eastAsia" w:ascii="仿宋_GB2312" w:hAnsi="仿宋_GB2312" w:cs="仿宋_GB2312"/>
          <w:kern w:val="2"/>
          <w:sz w:val="32"/>
          <w:szCs w:val="32"/>
          <w:highlight w:val="none"/>
          <w:u w:val="none"/>
          <w:lang w:val="en-US" w:eastAsia="zh-CN" w:bidi="ar-SA"/>
        </w:rPr>
        <w:t>x速</w:t>
      </w:r>
      <w:r>
        <w:rPr>
          <w:rFonts w:hint="eastAsia" w:ascii="仿宋_GB2312" w:hAnsi="仿宋_GB2312" w:eastAsia="仿宋_GB2312" w:cs="仿宋_GB2312"/>
          <w:kern w:val="2"/>
          <w:sz w:val="32"/>
          <w:szCs w:val="32"/>
          <w:highlight w:val="none"/>
          <w:u w:val="none"/>
          <w:lang w:val="en-US" w:eastAsia="zh-CN" w:bidi="ar-SA"/>
        </w:rPr>
        <w:t>公司法定代表人，对</w:t>
      </w:r>
      <w:r>
        <w:rPr>
          <w:rFonts w:hint="eastAsia" w:ascii="仿宋_GB2312" w:hAnsi="仿宋_GB2312" w:cs="仿宋_GB2312"/>
          <w:kern w:val="2"/>
          <w:sz w:val="32"/>
          <w:szCs w:val="32"/>
          <w:highlight w:val="none"/>
          <w:u w:val="none"/>
          <w:lang w:val="en-US" w:eastAsia="zh-CN" w:bidi="ar-SA"/>
        </w:rPr>
        <w:t>x速</w:t>
      </w:r>
      <w:r>
        <w:rPr>
          <w:rFonts w:hint="eastAsia" w:ascii="仿宋_GB2312" w:hAnsi="仿宋_GB2312" w:eastAsia="仿宋_GB2312" w:cs="仿宋_GB2312"/>
          <w:kern w:val="2"/>
          <w:sz w:val="32"/>
          <w:szCs w:val="32"/>
          <w:highlight w:val="none"/>
          <w:u w:val="none"/>
          <w:lang w:val="en-US" w:eastAsia="zh-CN" w:bidi="ar-SA"/>
        </w:rPr>
        <w:t>公司的安全生产工作全面负责。</w:t>
      </w:r>
      <w:r>
        <w:rPr>
          <w:rFonts w:hint="eastAsia" w:ascii="仿宋_GB2312" w:hAnsi="仿宋_GB2312" w:cs="仿宋_GB2312"/>
          <w:kern w:val="2"/>
          <w:sz w:val="32"/>
          <w:szCs w:val="32"/>
          <w:highlight w:val="none"/>
          <w:u w:val="none"/>
          <w:lang w:val="en-US" w:eastAsia="zh-CN" w:bidi="ar-SA"/>
        </w:rPr>
        <w:t>张x锋</w:t>
      </w:r>
      <w:r>
        <w:rPr>
          <w:rFonts w:hint="eastAsia" w:ascii="仿宋_GB2312" w:hAnsi="仿宋_GB2312" w:eastAsia="仿宋_GB2312" w:cs="仿宋_GB2312"/>
          <w:kern w:val="2"/>
          <w:sz w:val="32"/>
          <w:szCs w:val="32"/>
          <w:highlight w:val="none"/>
          <w:u w:val="none"/>
          <w:lang w:val="en-US" w:eastAsia="zh-CN" w:bidi="ar-SA"/>
        </w:rPr>
        <w:t>未严格履行安全生产管理责任，</w:t>
      </w:r>
      <w:r>
        <w:rPr>
          <w:rFonts w:hint="eastAsia" w:ascii="仿宋_GB2312" w:hAnsi="仿宋_GB2312" w:cs="仿宋_GB2312"/>
          <w:highlight w:val="none"/>
          <w:u w:val="none"/>
          <w:lang w:val="en-US" w:eastAsia="zh-CN"/>
        </w:rPr>
        <w:t>在无施工劳务资质的情况下违法承接云岩农光互补项目，</w:t>
      </w:r>
      <w:r>
        <w:rPr>
          <w:rFonts w:hint="eastAsia" w:ascii="仿宋_GB2312" w:hAnsi="仿宋_GB2312" w:cs="仿宋_GB2312"/>
          <w:kern w:val="2"/>
          <w:sz w:val="32"/>
          <w:szCs w:val="32"/>
          <w:highlight w:val="none"/>
          <w:u w:val="none"/>
          <w:lang w:val="en-US" w:eastAsia="zh-CN" w:bidi="ar-SA"/>
        </w:rPr>
        <w:t>未能严格压实本公司全员安全生产责任制</w:t>
      </w:r>
      <w:r>
        <w:rPr>
          <w:rFonts w:hint="default" w:ascii="仿宋_GB2312" w:hAnsi="仿宋_GB2312" w:cs="仿宋_GB2312"/>
          <w:kern w:val="2"/>
          <w:sz w:val="32"/>
          <w:szCs w:val="32"/>
          <w:highlight w:val="none"/>
          <w:u w:val="none"/>
          <w:lang w:eastAsia="zh-CN" w:bidi="ar-SA"/>
        </w:rPr>
        <w:t>，</w:t>
      </w:r>
      <w:r>
        <w:rPr>
          <w:rFonts w:hint="eastAsia" w:ascii="仿宋_GB2312" w:hAnsi="仿宋_GB2312" w:cs="仿宋_GB2312"/>
          <w:kern w:val="2"/>
          <w:sz w:val="32"/>
          <w:szCs w:val="32"/>
          <w:highlight w:val="none"/>
          <w:u w:val="none"/>
          <w:lang w:val="en-US" w:eastAsia="zh-CN" w:bidi="ar-SA"/>
        </w:rPr>
        <w:t>公司电缆敷设组长安全意识缺失、安全生产责任未落实；</w:t>
      </w:r>
      <w:r>
        <w:rPr>
          <w:rFonts w:hint="eastAsia" w:ascii="仿宋_GB2312" w:hAnsi="仿宋_GB2312" w:eastAsia="仿宋_GB2312" w:cs="仿宋_GB2312"/>
          <w:kern w:val="2"/>
          <w:sz w:val="32"/>
          <w:szCs w:val="32"/>
          <w:highlight w:val="none"/>
          <w:u w:val="none"/>
          <w:lang w:val="en-US" w:eastAsia="zh-CN" w:bidi="ar-SA"/>
        </w:rPr>
        <w:t>未制定本公司安全生产规章制度和操作规程</w:t>
      </w:r>
      <w:r>
        <w:rPr>
          <w:rFonts w:hint="eastAsia" w:ascii="仿宋_GB2312" w:hAnsi="仿宋_GB2312" w:cs="仿宋_GB2312"/>
          <w:kern w:val="2"/>
          <w:sz w:val="32"/>
          <w:szCs w:val="32"/>
          <w:highlight w:val="none"/>
          <w:u w:val="none"/>
          <w:lang w:val="en-US" w:eastAsia="zh-CN" w:bidi="ar-SA"/>
        </w:rPr>
        <w:t>；</w:t>
      </w:r>
      <w:r>
        <w:rPr>
          <w:rFonts w:hint="eastAsia" w:ascii="仿宋_GB2312" w:hAnsi="仿宋_GB2312" w:eastAsia="仿宋_GB2312" w:cs="仿宋_GB2312"/>
          <w:kern w:val="2"/>
          <w:sz w:val="32"/>
          <w:szCs w:val="32"/>
          <w:highlight w:val="none"/>
          <w:u w:val="none"/>
          <w:lang w:val="en-US" w:eastAsia="zh-CN" w:bidi="ar-SA"/>
        </w:rPr>
        <w:t>未严格落实本公司的安全生产教育和培训，</w:t>
      </w:r>
      <w:r>
        <w:rPr>
          <w:rFonts w:hint="eastAsia" w:ascii="仿宋_GB2312" w:hAnsi="仿宋_GB2312" w:cs="仿宋_GB2312"/>
          <w:kern w:val="2"/>
          <w:sz w:val="32"/>
          <w:szCs w:val="32"/>
          <w:highlight w:val="none"/>
          <w:u w:val="none"/>
          <w:lang w:val="en-US" w:eastAsia="zh-CN" w:bidi="ar-SA"/>
        </w:rPr>
        <w:t>导致公司员工对安全生产规范操作认识不足，违章操作；未能严格落实安全风险分级管控和隐患排查治理双重预防机制，未能及时消除生产安全事故隐患，</w:t>
      </w:r>
      <w:r>
        <w:rPr>
          <w:rFonts w:hint="eastAsia" w:ascii="仿宋_GB2312" w:hAnsi="仿宋_GB2312" w:eastAsia="仿宋_GB2312" w:cs="仿宋_GB2312"/>
          <w:kern w:val="2"/>
          <w:sz w:val="32"/>
          <w:szCs w:val="32"/>
          <w:highlight w:val="none"/>
          <w:u w:val="none"/>
          <w:lang w:val="en-US" w:eastAsia="zh-CN" w:bidi="ar-SA"/>
        </w:rPr>
        <w:t>对事故的发生负有主要领导责任。</w:t>
      </w:r>
      <w:r>
        <w:rPr>
          <w:rFonts w:hint="eastAsia" w:ascii="仿宋_GB2312"/>
          <w:kern w:val="0"/>
          <w:szCs w:val="32"/>
          <w:highlight w:val="none"/>
          <w:u w:val="none"/>
          <w:lang w:val="en-US" w:eastAsia="zh-CN"/>
        </w:rPr>
        <w:t>事故发生后未在1小时内上报事故信息，存在迟报行为，对事故的迟报负有主要领导责任。</w:t>
      </w:r>
    </w:p>
    <w:p w14:paraId="2A17E7E6">
      <w:pPr>
        <w:pStyle w:val="6"/>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highlight w:val="none"/>
          <w:u w:val="none"/>
          <w:lang w:val="en-US" w:eastAsia="zh-CN"/>
        </w:rPr>
      </w:pPr>
      <w:r>
        <w:rPr>
          <w:rFonts w:hint="eastAsia"/>
          <w:highlight w:val="none"/>
          <w:u w:val="none"/>
          <w:lang w:val="en-US" w:eastAsia="zh-CN"/>
        </w:rPr>
        <w:t>张x锋以上行为违反了《中华人民共和国安全生产法》第二十一条第（一）、（二）、（三）、（五）、（七）项</w:t>
      </w:r>
      <w:r>
        <w:rPr>
          <w:rStyle w:val="18"/>
          <w:rFonts w:hint="eastAsia"/>
          <w:highlight w:val="none"/>
          <w:u w:val="none"/>
          <w:lang w:val="en-US" w:eastAsia="zh-CN"/>
        </w:rPr>
        <w:t>[</w:t>
      </w:r>
      <w:r>
        <w:rPr>
          <w:rStyle w:val="18"/>
          <w:rFonts w:hint="eastAsia"/>
          <w:highlight w:val="none"/>
          <w:u w:val="none"/>
          <w:lang w:val="en-US" w:eastAsia="zh-CN"/>
        </w:rPr>
        <w:footnoteReference w:id="4"/>
      </w:r>
      <w:r>
        <w:rPr>
          <w:rStyle w:val="18"/>
          <w:rFonts w:hint="eastAsia"/>
          <w:highlight w:val="none"/>
          <w:u w:val="none"/>
          <w:lang w:val="en-US" w:eastAsia="zh-CN"/>
        </w:rPr>
        <w:t>]</w:t>
      </w:r>
      <w:r>
        <w:rPr>
          <w:rFonts w:hint="eastAsia"/>
          <w:highlight w:val="none"/>
          <w:u w:val="none"/>
          <w:lang w:val="en-US" w:eastAsia="zh-CN"/>
        </w:rPr>
        <w:t>的规定，建议由乐昌市应急管理局依据《中华人民共和国安全生产法》第九十五条第（一）项</w:t>
      </w:r>
      <w:r>
        <w:rPr>
          <w:rStyle w:val="18"/>
          <w:rFonts w:hint="eastAsia"/>
          <w:highlight w:val="none"/>
          <w:u w:val="none"/>
          <w:lang w:val="en-US" w:eastAsia="zh-CN"/>
        </w:rPr>
        <w:t>[</w:t>
      </w:r>
      <w:r>
        <w:rPr>
          <w:rStyle w:val="18"/>
          <w:rFonts w:hint="eastAsia"/>
          <w:highlight w:val="none"/>
          <w:u w:val="none"/>
          <w:lang w:val="en-US" w:eastAsia="zh-CN"/>
        </w:rPr>
        <w:footnoteReference w:id="5"/>
      </w:r>
      <w:r>
        <w:rPr>
          <w:rStyle w:val="18"/>
          <w:rFonts w:hint="eastAsia"/>
          <w:highlight w:val="none"/>
          <w:u w:val="none"/>
          <w:lang w:val="en-US" w:eastAsia="zh-CN"/>
        </w:rPr>
        <w:t>]</w:t>
      </w:r>
      <w:r>
        <w:rPr>
          <w:rFonts w:hint="eastAsia"/>
          <w:highlight w:val="none"/>
          <w:u w:val="none"/>
          <w:lang w:val="en-US" w:eastAsia="zh-CN"/>
        </w:rPr>
        <w:t>、第一百一十条</w:t>
      </w:r>
      <w:r>
        <w:rPr>
          <w:rStyle w:val="18"/>
          <w:rFonts w:hint="eastAsia"/>
          <w:highlight w:val="none"/>
          <w:u w:val="none"/>
          <w:lang w:val="en-US" w:eastAsia="zh-CN"/>
        </w:rPr>
        <w:t>[</w:t>
      </w:r>
      <w:r>
        <w:rPr>
          <w:rStyle w:val="18"/>
          <w:rFonts w:hint="eastAsia"/>
          <w:highlight w:val="none"/>
          <w:u w:val="none"/>
          <w:lang w:val="en-US" w:eastAsia="zh-CN"/>
        </w:rPr>
        <w:footnoteReference w:id="6"/>
      </w:r>
      <w:r>
        <w:rPr>
          <w:rStyle w:val="18"/>
          <w:rFonts w:hint="eastAsia"/>
          <w:highlight w:val="none"/>
          <w:u w:val="none"/>
          <w:lang w:val="en-US" w:eastAsia="zh-CN"/>
        </w:rPr>
        <w:t>]</w:t>
      </w:r>
      <w:r>
        <w:rPr>
          <w:rFonts w:hint="eastAsia"/>
          <w:highlight w:val="none"/>
          <w:u w:val="none"/>
          <w:lang w:val="en-US" w:eastAsia="zh-CN"/>
        </w:rPr>
        <w:t>等法律法规，给予张x锋行政处罚。</w:t>
      </w:r>
    </w:p>
    <w:p w14:paraId="2FDF2EB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cs="仿宋_GB2312"/>
          <w:kern w:val="2"/>
          <w:sz w:val="32"/>
          <w:szCs w:val="32"/>
          <w:highlight w:val="none"/>
          <w:u w:val="none"/>
          <w:lang w:val="en-US" w:eastAsia="zh-CN" w:bidi="ar-SA"/>
        </w:rPr>
      </w:pPr>
      <w:r>
        <w:rPr>
          <w:rFonts w:hint="eastAsia" w:ascii="仿宋_GB2312" w:hAnsi="仿宋_GB2312" w:cs="仿宋_GB2312"/>
          <w:b/>
          <w:bCs/>
          <w:kern w:val="2"/>
          <w:sz w:val="32"/>
          <w:szCs w:val="32"/>
          <w:highlight w:val="none"/>
          <w:u w:val="none"/>
          <w:lang w:val="en-US" w:eastAsia="zh-CN" w:bidi="ar-SA"/>
        </w:rPr>
        <w:t>（2）王x华</w:t>
      </w:r>
      <w:r>
        <w:rPr>
          <w:rFonts w:hint="eastAsia" w:ascii="仿宋_GB2312" w:hAnsi="仿宋_GB2312" w:cs="仿宋_GB2312"/>
          <w:kern w:val="2"/>
          <w:sz w:val="32"/>
          <w:szCs w:val="32"/>
          <w:highlight w:val="none"/>
          <w:u w:val="none"/>
          <w:lang w:val="en-US" w:eastAsia="zh-CN" w:bidi="ar-SA"/>
        </w:rPr>
        <w:t>，作为x速公司云岩农光互补项目现场监管人员，</w:t>
      </w:r>
      <w:r>
        <w:rPr>
          <w:rFonts w:hint="eastAsia" w:ascii="仿宋_GB2312" w:hAnsi="仿宋_GB2312" w:cs="仿宋_GB2312"/>
          <w:sz w:val="32"/>
          <w:szCs w:val="32"/>
          <w:highlight w:val="none"/>
          <w:u w:val="none"/>
          <w:lang w:val="en-US" w:eastAsia="zh-CN"/>
        </w:rPr>
        <w:t>对项目施工现场负有安全管理责任。王x华</w:t>
      </w:r>
      <w:r>
        <w:rPr>
          <w:rFonts w:hint="eastAsia" w:ascii="仿宋_GB2312" w:hAnsi="仿宋_GB2312" w:cs="仿宋_GB2312"/>
          <w:kern w:val="2"/>
          <w:sz w:val="32"/>
          <w:szCs w:val="32"/>
          <w:highlight w:val="none"/>
          <w:u w:val="none"/>
          <w:lang w:val="en-US" w:eastAsia="zh-CN" w:bidi="ar-SA"/>
        </w:rPr>
        <w:t>未严格履行岗位安全生产职责；安全生产教育和培训情况记录不到位，未整理齐全公司教育培训档案；生产安全事故隐患排查不严，未能有效督促整改违章电缆敷设、吊运作业隐患；现场监管不到位，未能及时制止和纠正王x武强令邓耿华违章冒险吊运电缆作业、王x武</w:t>
      </w:r>
      <w:r>
        <w:rPr>
          <w:rFonts w:hint="default" w:ascii="仿宋_GB2312" w:hAnsi="仿宋_GB2312" w:cs="仿宋_GB2312"/>
          <w:kern w:val="2"/>
          <w:sz w:val="32"/>
          <w:szCs w:val="32"/>
          <w:highlight w:val="none"/>
          <w:u w:val="none"/>
          <w:lang w:eastAsia="zh-CN" w:bidi="ar-SA"/>
        </w:rPr>
        <w:t>和</w:t>
      </w:r>
      <w:r>
        <w:rPr>
          <w:rFonts w:hint="eastAsia" w:ascii="仿宋_GB2312" w:hAnsi="仿宋_GB2312" w:cs="仿宋_GB2312"/>
          <w:kern w:val="2"/>
          <w:sz w:val="32"/>
          <w:szCs w:val="32"/>
          <w:highlight w:val="none"/>
          <w:u w:val="none"/>
          <w:lang w:eastAsia="zh-CN" w:bidi="ar-SA"/>
        </w:rPr>
        <w:t>邹x丽</w:t>
      </w:r>
      <w:r>
        <w:rPr>
          <w:rFonts w:hint="eastAsia" w:ascii="仿宋_GB2312" w:hAnsi="仿宋_GB2312" w:cs="仿宋_GB2312"/>
          <w:kern w:val="2"/>
          <w:sz w:val="32"/>
          <w:szCs w:val="32"/>
          <w:highlight w:val="none"/>
          <w:u w:val="none"/>
          <w:lang w:val="en-US" w:eastAsia="zh-CN" w:bidi="ar-SA"/>
        </w:rPr>
        <w:t>违章开展电缆敷设作业的行为；对事故的发生负有主要安全管理责任。</w:t>
      </w:r>
    </w:p>
    <w:p w14:paraId="22BA1AD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kern w:val="2"/>
          <w:sz w:val="32"/>
          <w:szCs w:val="32"/>
          <w:highlight w:val="none"/>
          <w:u w:val="none"/>
          <w:lang w:val="en-US" w:eastAsia="zh-CN" w:bidi="ar-SA"/>
        </w:rPr>
      </w:pPr>
      <w:r>
        <w:rPr>
          <w:rFonts w:hint="eastAsia" w:ascii="仿宋_GB2312" w:hAnsi="仿宋_GB2312" w:cs="仿宋_GB2312"/>
          <w:kern w:val="2"/>
          <w:sz w:val="32"/>
          <w:szCs w:val="32"/>
          <w:highlight w:val="none"/>
          <w:u w:val="none"/>
          <w:lang w:val="en-US" w:eastAsia="zh-CN" w:bidi="ar-SA"/>
        </w:rPr>
        <w:t>王x华以上行为违反了《中华人民共和国安全生产法》第二十五条第（二）、（五）、（六）、（七）项</w:t>
      </w:r>
      <w:r>
        <w:rPr>
          <w:rStyle w:val="18"/>
          <w:rFonts w:hint="eastAsia" w:ascii="仿宋_GB2312" w:hAnsi="仿宋_GB2312" w:cs="仿宋_GB2312"/>
          <w:kern w:val="2"/>
          <w:sz w:val="32"/>
          <w:szCs w:val="32"/>
          <w:highlight w:val="none"/>
          <w:u w:val="none"/>
          <w:lang w:val="en-US" w:eastAsia="zh-CN" w:bidi="ar-SA"/>
        </w:rPr>
        <w:t>[</w:t>
      </w:r>
      <w:r>
        <w:rPr>
          <w:rStyle w:val="18"/>
          <w:rFonts w:hint="eastAsia" w:ascii="仿宋_GB2312" w:hAnsi="仿宋_GB2312" w:cs="仿宋_GB2312"/>
          <w:kern w:val="2"/>
          <w:sz w:val="32"/>
          <w:szCs w:val="32"/>
          <w:highlight w:val="none"/>
          <w:u w:val="none"/>
          <w:lang w:val="en-US" w:eastAsia="zh-CN" w:bidi="ar-SA"/>
        </w:rPr>
        <w:footnoteReference w:id="7"/>
      </w:r>
      <w:r>
        <w:rPr>
          <w:rStyle w:val="18"/>
          <w:rFonts w:hint="eastAsia" w:ascii="仿宋_GB2312" w:hAnsi="仿宋_GB2312" w:cs="仿宋_GB2312"/>
          <w:kern w:val="2"/>
          <w:sz w:val="32"/>
          <w:szCs w:val="32"/>
          <w:highlight w:val="none"/>
          <w:u w:val="none"/>
          <w:lang w:val="en-US" w:eastAsia="zh-CN" w:bidi="ar-SA"/>
        </w:rPr>
        <w:t>]</w:t>
      </w:r>
      <w:r>
        <w:rPr>
          <w:rFonts w:hint="eastAsia" w:ascii="仿宋_GB2312" w:hAnsi="仿宋_GB2312" w:cs="仿宋_GB2312"/>
          <w:kern w:val="2"/>
          <w:sz w:val="32"/>
          <w:szCs w:val="32"/>
          <w:highlight w:val="none"/>
          <w:u w:val="none"/>
          <w:lang w:val="en-US" w:eastAsia="zh-CN" w:bidi="ar-SA"/>
        </w:rPr>
        <w:t>的规定，建议由乐昌市应急管理局依据《中华人民共和国安全生产法》第九十六条</w:t>
      </w:r>
      <w:r>
        <w:rPr>
          <w:rStyle w:val="18"/>
          <w:rFonts w:hint="eastAsia" w:ascii="仿宋_GB2312" w:hAnsi="仿宋_GB2312" w:cs="仿宋_GB2312"/>
          <w:kern w:val="2"/>
          <w:sz w:val="32"/>
          <w:szCs w:val="32"/>
          <w:highlight w:val="none"/>
          <w:u w:val="none"/>
          <w:lang w:val="en-US" w:eastAsia="zh-CN" w:bidi="ar-SA"/>
        </w:rPr>
        <w:t>[</w:t>
      </w:r>
      <w:r>
        <w:rPr>
          <w:rStyle w:val="18"/>
          <w:rFonts w:hint="eastAsia" w:ascii="仿宋_GB2312" w:hAnsi="仿宋_GB2312" w:cs="仿宋_GB2312"/>
          <w:kern w:val="2"/>
          <w:sz w:val="32"/>
          <w:szCs w:val="32"/>
          <w:highlight w:val="none"/>
          <w:u w:val="none"/>
          <w:lang w:val="en-US" w:eastAsia="zh-CN" w:bidi="ar-SA"/>
        </w:rPr>
        <w:footnoteReference w:id="8"/>
      </w:r>
      <w:r>
        <w:rPr>
          <w:rStyle w:val="18"/>
          <w:rFonts w:hint="eastAsia" w:ascii="仿宋_GB2312" w:hAnsi="仿宋_GB2312" w:cs="仿宋_GB2312"/>
          <w:kern w:val="2"/>
          <w:sz w:val="32"/>
          <w:szCs w:val="32"/>
          <w:highlight w:val="none"/>
          <w:u w:val="none"/>
          <w:lang w:val="en-US" w:eastAsia="zh-CN" w:bidi="ar-SA"/>
        </w:rPr>
        <w:t>]</w:t>
      </w:r>
      <w:r>
        <w:rPr>
          <w:rFonts w:hint="eastAsia" w:ascii="仿宋_GB2312" w:hAnsi="仿宋_GB2312" w:cs="仿宋_GB2312"/>
          <w:kern w:val="2"/>
          <w:sz w:val="32"/>
          <w:szCs w:val="32"/>
          <w:highlight w:val="none"/>
          <w:u w:val="none"/>
          <w:lang w:val="en-US" w:eastAsia="zh-CN" w:bidi="ar-SA"/>
        </w:rPr>
        <w:t>等法律法规，对王x华进行行政处罚。</w:t>
      </w:r>
    </w:p>
    <w:p w14:paraId="6CD8FCDF">
      <w:pPr>
        <w:pStyle w:val="6"/>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cs="仿宋_GB2312"/>
          <w:b/>
          <w:bCs/>
          <w:kern w:val="2"/>
          <w:sz w:val="32"/>
          <w:szCs w:val="32"/>
          <w:highlight w:val="none"/>
          <w:u w:val="none"/>
          <w:lang w:val="en-US" w:eastAsia="zh-CN" w:bidi="ar-SA"/>
        </w:rPr>
        <w:t>（3）李x达</w:t>
      </w:r>
      <w:r>
        <w:rPr>
          <w:rFonts w:hint="eastAsia" w:ascii="仿宋_GB2312" w:hAnsi="仿宋_GB2312" w:cs="仿宋_GB2312"/>
          <w:kern w:val="2"/>
          <w:sz w:val="32"/>
          <w:szCs w:val="32"/>
          <w:highlight w:val="none"/>
          <w:u w:val="none"/>
          <w:lang w:val="en-US" w:eastAsia="zh-CN" w:bidi="ar-SA"/>
        </w:rPr>
        <w:t>，作为x光公司云岩农光互补项目的项目经理，对云岩农光互补项目负有安全监管责任。李x达</w:t>
      </w:r>
      <w:r>
        <w:rPr>
          <w:rFonts w:hint="eastAsia" w:ascii="仿宋_GB2312" w:hAnsi="仿宋_GB2312" w:eastAsia="仿宋_GB2312" w:cs="仿宋_GB2312"/>
          <w:kern w:val="2"/>
          <w:sz w:val="32"/>
          <w:szCs w:val="32"/>
          <w:highlight w:val="none"/>
          <w:u w:val="none"/>
          <w:lang w:val="en-US" w:eastAsia="zh-CN" w:bidi="ar-SA"/>
        </w:rPr>
        <w:t>未</w:t>
      </w:r>
      <w:r>
        <w:rPr>
          <w:rFonts w:hint="eastAsia" w:ascii="仿宋_GB2312" w:hAnsi="仿宋_GB2312" w:cs="仿宋_GB2312"/>
          <w:kern w:val="2"/>
          <w:sz w:val="32"/>
          <w:szCs w:val="32"/>
          <w:highlight w:val="none"/>
          <w:u w:val="none"/>
          <w:lang w:val="en-US" w:eastAsia="zh-CN" w:bidi="ar-SA"/>
        </w:rPr>
        <w:t>严格落实本单位安全生产规章制度，将项目违法发包给</w:t>
      </w:r>
      <w:r>
        <w:rPr>
          <w:rFonts w:hint="eastAsia" w:ascii="仿宋_GB2312" w:hAnsi="仿宋_GB2312" w:cs="仿宋_GB2312"/>
          <w:highlight w:val="none"/>
          <w:lang w:val="en-US" w:eastAsia="zh-CN"/>
        </w:rPr>
        <w:t>不具备相应资质</w:t>
      </w:r>
      <w:r>
        <w:rPr>
          <w:rFonts w:hint="eastAsia" w:ascii="仿宋_GB2312" w:hAnsi="仿宋_GB2312" w:cs="仿宋_GB2312"/>
          <w:kern w:val="2"/>
          <w:sz w:val="32"/>
          <w:szCs w:val="32"/>
          <w:highlight w:val="none"/>
          <w:u w:val="none"/>
          <w:lang w:val="en-US" w:eastAsia="zh-CN" w:bidi="ar-SA"/>
        </w:rPr>
        <w:t>的x速公司；</w:t>
      </w:r>
      <w:r>
        <w:rPr>
          <w:rFonts w:hint="eastAsia" w:ascii="仿宋_GB2312" w:hAnsi="仿宋_GB2312" w:cs="仿宋_GB2312"/>
          <w:color w:val="auto"/>
          <w:kern w:val="2"/>
          <w:sz w:val="32"/>
          <w:szCs w:val="32"/>
          <w:highlight w:val="none"/>
          <w:u w:val="none"/>
          <w:lang w:val="en-US" w:eastAsia="zh-CN" w:bidi="ar-SA"/>
        </w:rPr>
        <w:t>未能严格监管施工现场、分包公司施工人员教育和培训情况，</w:t>
      </w:r>
      <w:r>
        <w:rPr>
          <w:rFonts w:hint="eastAsia" w:ascii="仿宋_GB2312" w:hAnsi="仿宋_GB2312" w:eastAsia="仿宋_GB2312" w:cs="仿宋_GB2312"/>
          <w:kern w:val="2"/>
          <w:sz w:val="32"/>
          <w:szCs w:val="32"/>
          <w:highlight w:val="none"/>
          <w:u w:val="none"/>
          <w:lang w:val="en-US" w:eastAsia="zh-CN" w:bidi="ar-SA"/>
        </w:rPr>
        <w:t>安全生产教育和培训</w:t>
      </w:r>
      <w:r>
        <w:rPr>
          <w:rFonts w:hint="eastAsia" w:ascii="仿宋_GB2312" w:hAnsi="仿宋_GB2312" w:cs="仿宋_GB2312"/>
          <w:kern w:val="2"/>
          <w:sz w:val="32"/>
          <w:szCs w:val="32"/>
          <w:highlight w:val="none"/>
          <w:u w:val="none"/>
          <w:lang w:val="en-US" w:eastAsia="zh-CN" w:bidi="ar-SA"/>
        </w:rPr>
        <w:t>不到位；现场管理不到位，对施工现场出现的违规吊装作业未及时发现、未及时要求整改；安全生</w:t>
      </w:r>
      <w:r>
        <w:rPr>
          <w:rFonts w:hint="eastAsia" w:ascii="仿宋_GB2312" w:hAnsi="仿宋_GB2312" w:cs="仿宋_GB2312"/>
          <w:color w:val="auto"/>
          <w:kern w:val="2"/>
          <w:sz w:val="32"/>
          <w:szCs w:val="32"/>
          <w:highlight w:val="none"/>
          <w:u w:val="none"/>
          <w:lang w:val="en-US" w:eastAsia="zh-CN" w:bidi="ar-SA"/>
        </w:rPr>
        <w:t>产管理流于形式，未能及时督促消除生产安全事故隐患，</w:t>
      </w:r>
      <w:r>
        <w:rPr>
          <w:rFonts w:hint="eastAsia" w:ascii="仿宋_GB2312" w:hAnsi="仿宋_GB2312" w:eastAsia="仿宋_GB2312" w:cs="仿宋_GB2312"/>
          <w:color w:val="auto"/>
          <w:kern w:val="2"/>
          <w:sz w:val="32"/>
          <w:szCs w:val="32"/>
          <w:highlight w:val="none"/>
          <w:u w:val="none"/>
          <w:lang w:val="en-US" w:eastAsia="zh-CN" w:bidi="ar-SA"/>
        </w:rPr>
        <w:t>对事故的发生负有</w:t>
      </w:r>
      <w:r>
        <w:rPr>
          <w:rFonts w:hint="eastAsia" w:ascii="仿宋_GB2312" w:hAnsi="仿宋_GB2312" w:cs="仿宋_GB2312"/>
          <w:color w:val="auto"/>
          <w:kern w:val="2"/>
          <w:sz w:val="32"/>
          <w:szCs w:val="32"/>
          <w:highlight w:val="none"/>
          <w:u w:val="none"/>
          <w:lang w:val="en-US" w:eastAsia="zh-CN" w:bidi="ar-SA"/>
        </w:rPr>
        <w:t>重要</w:t>
      </w:r>
      <w:r>
        <w:rPr>
          <w:rFonts w:hint="eastAsia" w:ascii="仿宋_GB2312" w:hAnsi="仿宋_GB2312" w:eastAsia="仿宋_GB2312" w:cs="仿宋_GB2312"/>
          <w:color w:val="auto"/>
          <w:kern w:val="2"/>
          <w:sz w:val="32"/>
          <w:szCs w:val="32"/>
          <w:highlight w:val="none"/>
          <w:u w:val="none"/>
          <w:lang w:val="en-US" w:eastAsia="zh-CN" w:bidi="ar-SA"/>
        </w:rPr>
        <w:t>领导责任。</w:t>
      </w:r>
    </w:p>
    <w:p w14:paraId="18A0A1CC">
      <w:pPr>
        <w:pStyle w:val="6"/>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color w:val="auto"/>
          <w:highlight w:val="none"/>
          <w:u w:val="none"/>
          <w:lang w:val="en-US" w:eastAsia="zh-CN"/>
        </w:rPr>
      </w:pPr>
      <w:r>
        <w:rPr>
          <w:rFonts w:hint="eastAsia"/>
          <w:color w:val="auto"/>
          <w:highlight w:val="none"/>
          <w:u w:val="none"/>
          <w:lang w:val="en-US" w:eastAsia="zh-CN"/>
        </w:rPr>
        <w:t>李x达以上行为违反了《中华人民共和国安全生产法》第二十一条第（二）、（三）、（五）项</w:t>
      </w:r>
      <w:r>
        <w:rPr>
          <w:rStyle w:val="18"/>
          <w:rFonts w:hint="eastAsia"/>
          <w:color w:val="auto"/>
          <w:highlight w:val="none"/>
          <w:u w:val="none"/>
          <w:lang w:val="en-US" w:eastAsia="zh-CN"/>
        </w:rPr>
        <w:t>[</w:t>
      </w:r>
      <w:r>
        <w:rPr>
          <w:rStyle w:val="18"/>
          <w:rFonts w:hint="eastAsia"/>
          <w:color w:val="auto"/>
          <w:highlight w:val="none"/>
          <w:u w:val="none"/>
          <w:lang w:val="en-US" w:eastAsia="zh-CN"/>
        </w:rPr>
        <w:footnoteReference w:id="9"/>
      </w:r>
      <w:r>
        <w:rPr>
          <w:rStyle w:val="18"/>
          <w:rFonts w:hint="eastAsia"/>
          <w:color w:val="auto"/>
          <w:highlight w:val="none"/>
          <w:u w:val="none"/>
          <w:lang w:val="en-US" w:eastAsia="zh-CN"/>
        </w:rPr>
        <w:t>]</w:t>
      </w:r>
      <w:r>
        <w:rPr>
          <w:rFonts w:hint="eastAsia"/>
          <w:color w:val="auto"/>
          <w:highlight w:val="none"/>
          <w:u w:val="none"/>
          <w:lang w:val="en-US" w:eastAsia="zh-CN"/>
        </w:rPr>
        <w:t>的规定，建议由乐昌市应急管理局依据《中华人民共和国安全生产法》第九十五条第（一）项</w:t>
      </w:r>
      <w:r>
        <w:rPr>
          <w:rStyle w:val="18"/>
          <w:rFonts w:hint="eastAsia"/>
          <w:highlight w:val="none"/>
          <w:u w:val="none"/>
          <w:lang w:val="en-US" w:eastAsia="zh-CN"/>
        </w:rPr>
        <w:t>[</w:t>
      </w:r>
      <w:r>
        <w:rPr>
          <w:rStyle w:val="18"/>
          <w:rFonts w:hint="eastAsia" w:ascii="宋体" w:hAnsi="宋体" w:eastAsia="宋体" w:cs="宋体"/>
          <w:highlight w:val="none"/>
          <w:u w:val="none"/>
          <w:lang w:val="en-US" w:eastAsia="zh-CN"/>
        </w:rPr>
        <w:t>6</w:t>
      </w:r>
      <w:r>
        <w:rPr>
          <w:rStyle w:val="18"/>
          <w:rFonts w:hint="eastAsia"/>
          <w:highlight w:val="none"/>
          <w:u w:val="none"/>
          <w:lang w:val="en-US" w:eastAsia="zh-CN"/>
        </w:rPr>
        <w:t>]</w:t>
      </w:r>
      <w:r>
        <w:rPr>
          <w:rFonts w:hint="eastAsia" w:ascii="仿宋_GB2312" w:hAnsi="仿宋_GB2312" w:cs="仿宋_GB2312"/>
          <w:kern w:val="2"/>
          <w:sz w:val="32"/>
          <w:szCs w:val="32"/>
          <w:highlight w:val="none"/>
          <w:u w:val="none"/>
          <w:lang w:val="en-US" w:eastAsia="zh-CN" w:bidi="ar-SA"/>
        </w:rPr>
        <w:t>等法律法规</w:t>
      </w:r>
      <w:r>
        <w:rPr>
          <w:rFonts w:hint="eastAsia"/>
          <w:color w:val="auto"/>
          <w:highlight w:val="none"/>
          <w:u w:val="none"/>
          <w:lang w:val="en-US" w:eastAsia="zh-CN"/>
        </w:rPr>
        <w:t>，给予李x达行政处罚。</w:t>
      </w:r>
    </w:p>
    <w:p w14:paraId="4115D48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cs="仿宋_GB2312"/>
          <w:kern w:val="2"/>
          <w:sz w:val="32"/>
          <w:szCs w:val="32"/>
          <w:highlight w:val="none"/>
          <w:u w:val="none"/>
          <w:lang w:val="en-US" w:eastAsia="zh-CN" w:bidi="ar-SA"/>
        </w:rPr>
      </w:pPr>
      <w:r>
        <w:rPr>
          <w:rFonts w:hint="eastAsia"/>
          <w:b/>
          <w:bCs/>
          <w:color w:val="auto"/>
          <w:highlight w:val="none"/>
          <w:u w:val="none"/>
          <w:lang w:val="en-US" w:eastAsia="zh-CN"/>
        </w:rPr>
        <w:t>（4）郑x全</w:t>
      </w:r>
      <w:r>
        <w:rPr>
          <w:rFonts w:hint="eastAsia"/>
          <w:color w:val="auto"/>
          <w:highlight w:val="none"/>
          <w:u w:val="none"/>
          <w:lang w:val="en-US" w:eastAsia="zh-CN"/>
        </w:rPr>
        <w:t>，作为</w:t>
      </w:r>
      <w:r>
        <w:rPr>
          <w:rFonts w:hint="eastAsia" w:ascii="仿宋_GB2312" w:hAnsi="仿宋_GB2312" w:cs="仿宋_GB2312"/>
          <w:color w:val="auto"/>
          <w:kern w:val="2"/>
          <w:sz w:val="32"/>
          <w:szCs w:val="32"/>
          <w:highlight w:val="none"/>
          <w:u w:val="none"/>
          <w:lang w:val="en-US" w:eastAsia="zh-CN" w:bidi="ar-SA"/>
        </w:rPr>
        <w:t>x光公司云岩农光互补项目安全员，对云岩农光互补项目负有安全监管责任。郑x全未能严格监管施工现场、分包公司施工人员教育和培训情况，未能如实记录安全生产教育和培训情况，安全生产教育和培训不到位；未能</w:t>
      </w:r>
      <w:r>
        <w:rPr>
          <w:rFonts w:hint="eastAsia" w:ascii="仿宋_GB2312" w:hAnsi="仿宋_GB2312" w:cs="仿宋_GB2312"/>
          <w:kern w:val="2"/>
          <w:sz w:val="32"/>
          <w:szCs w:val="32"/>
          <w:highlight w:val="none"/>
          <w:u w:val="none"/>
          <w:lang w:val="en-US" w:eastAsia="zh-CN" w:bidi="ar-SA"/>
        </w:rPr>
        <w:t>对施工现场开展</w:t>
      </w:r>
      <w:r>
        <w:rPr>
          <w:rFonts w:hint="default" w:ascii="仿宋_GB2312" w:hAnsi="仿宋_GB2312" w:cs="仿宋_GB2312"/>
          <w:kern w:val="2"/>
          <w:sz w:val="32"/>
          <w:szCs w:val="32"/>
          <w:highlight w:val="none"/>
          <w:u w:val="none"/>
          <w:lang w:eastAsia="zh-CN" w:bidi="ar-SA"/>
        </w:rPr>
        <w:t>严格</w:t>
      </w:r>
      <w:r>
        <w:rPr>
          <w:rFonts w:hint="eastAsia" w:ascii="仿宋_GB2312" w:hAnsi="仿宋_GB2312" w:cs="仿宋_GB2312"/>
          <w:kern w:val="2"/>
          <w:sz w:val="32"/>
          <w:szCs w:val="32"/>
          <w:highlight w:val="none"/>
          <w:u w:val="none"/>
          <w:lang w:val="en-US" w:eastAsia="zh-CN" w:bidi="ar-SA"/>
        </w:rPr>
        <w:t>安全检查；未能及时制止和纠正项目施工地违章指挥、违规作业；隐患排查不到位，对事故的发生负有重要安全管理责任。</w:t>
      </w:r>
    </w:p>
    <w:p w14:paraId="2E424EB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cs="仿宋_GB2312"/>
          <w:color w:val="auto"/>
          <w:kern w:val="2"/>
          <w:sz w:val="32"/>
          <w:szCs w:val="32"/>
          <w:highlight w:val="none"/>
          <w:u w:val="none"/>
          <w:lang w:val="en-US" w:eastAsia="zh-CN" w:bidi="ar-SA"/>
        </w:rPr>
      </w:pPr>
      <w:r>
        <w:rPr>
          <w:rFonts w:hint="eastAsia" w:ascii="仿宋_GB2312" w:hAnsi="仿宋_GB2312" w:cs="仿宋_GB2312"/>
          <w:kern w:val="2"/>
          <w:sz w:val="32"/>
          <w:szCs w:val="32"/>
          <w:highlight w:val="none"/>
          <w:u w:val="none"/>
          <w:lang w:val="en-US" w:eastAsia="zh-CN" w:bidi="ar-SA"/>
        </w:rPr>
        <w:t>郑x全以上行为违反了《中华人民共和国安全生产法》第二十五条第（二）、（五）、（六）、（七）项</w:t>
      </w:r>
      <w:r>
        <w:rPr>
          <w:rStyle w:val="18"/>
          <w:rFonts w:hint="eastAsia" w:ascii="仿宋_GB2312" w:hAnsi="仿宋_GB2312" w:cs="仿宋_GB2312"/>
          <w:kern w:val="2"/>
          <w:sz w:val="32"/>
          <w:szCs w:val="32"/>
          <w:highlight w:val="none"/>
          <w:u w:val="none"/>
          <w:lang w:val="en-US" w:eastAsia="zh-CN" w:bidi="ar-SA"/>
        </w:rPr>
        <w:t>[</w:t>
      </w:r>
      <w:r>
        <w:rPr>
          <w:rStyle w:val="18"/>
          <w:rFonts w:hint="eastAsia" w:ascii="宋体" w:hAnsi="宋体" w:eastAsia="宋体" w:cs="宋体"/>
          <w:kern w:val="2"/>
          <w:sz w:val="32"/>
          <w:szCs w:val="22"/>
          <w:highlight w:val="none"/>
          <w:u w:val="none"/>
          <w:lang w:val="en-US" w:eastAsia="zh-CN" w:bidi="ar-SA"/>
        </w:rPr>
        <w:t>8</w:t>
      </w:r>
      <w:r>
        <w:rPr>
          <w:rStyle w:val="18"/>
          <w:rFonts w:hint="eastAsia" w:ascii="仿宋_GB2312" w:hAnsi="仿宋_GB2312" w:cs="仿宋_GB2312"/>
          <w:kern w:val="2"/>
          <w:sz w:val="32"/>
          <w:szCs w:val="32"/>
          <w:highlight w:val="none"/>
          <w:u w:val="none"/>
          <w:lang w:val="en-US" w:eastAsia="zh-CN" w:bidi="ar-SA"/>
        </w:rPr>
        <w:t>]</w:t>
      </w:r>
      <w:r>
        <w:rPr>
          <w:rFonts w:hint="eastAsia" w:ascii="仿宋_GB2312" w:hAnsi="仿宋_GB2312" w:cs="仿宋_GB2312"/>
          <w:kern w:val="2"/>
          <w:sz w:val="32"/>
          <w:szCs w:val="32"/>
          <w:highlight w:val="none"/>
          <w:u w:val="none"/>
          <w:lang w:val="en-US" w:eastAsia="zh-CN" w:bidi="ar-SA"/>
        </w:rPr>
        <w:t>的规定，建议由乐昌市应急管理局依据《中华人民共和国安全生产法》第九十六条</w:t>
      </w:r>
      <w:r>
        <w:rPr>
          <w:rStyle w:val="18"/>
          <w:rFonts w:hint="eastAsia" w:ascii="仿宋_GB2312" w:hAnsi="仿宋_GB2312" w:eastAsia="宋体" w:cs="仿宋_GB2312"/>
          <w:kern w:val="2"/>
          <w:sz w:val="32"/>
          <w:szCs w:val="32"/>
          <w:highlight w:val="none"/>
          <w:u w:val="none"/>
          <w:lang w:val="en-US" w:eastAsia="zh-CN" w:bidi="ar-SA"/>
        </w:rPr>
        <w:t>[9]</w:t>
      </w:r>
      <w:r>
        <w:rPr>
          <w:rFonts w:hint="eastAsia" w:ascii="仿宋_GB2312" w:hAnsi="仿宋_GB2312" w:cs="仿宋_GB2312"/>
          <w:kern w:val="2"/>
          <w:sz w:val="32"/>
          <w:szCs w:val="32"/>
          <w:highlight w:val="none"/>
          <w:u w:val="none"/>
          <w:lang w:val="en-US" w:eastAsia="zh-CN" w:bidi="ar-SA"/>
        </w:rPr>
        <w:t>等法律法规，对其进行行政处罚。</w:t>
      </w:r>
    </w:p>
    <w:p w14:paraId="04A7D7C4">
      <w:pPr>
        <w:pStyle w:val="4"/>
        <w:bidi w:val="0"/>
        <w:rPr>
          <w:rFonts w:hint="eastAsia"/>
          <w:highlight w:val="none"/>
          <w:u w:val="none"/>
          <w:lang w:val="en-US" w:eastAsia="zh-CN"/>
        </w:rPr>
      </w:pPr>
      <w:bookmarkStart w:id="29" w:name="_Toc1182"/>
      <w:bookmarkStart w:id="30" w:name="_Toc32158"/>
      <w:r>
        <w:rPr>
          <w:rFonts w:hint="eastAsia"/>
          <w:highlight w:val="none"/>
          <w:u w:val="none"/>
          <w:lang w:val="en-US" w:eastAsia="zh-CN"/>
        </w:rPr>
        <w:t>2.建议给予处罚的单位</w:t>
      </w:r>
      <w:bookmarkEnd w:id="29"/>
      <w:bookmarkEnd w:id="30"/>
    </w:p>
    <w:p w14:paraId="7303488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cs="仿宋_GB2312"/>
          <w:highlight w:val="none"/>
          <w:u w:val="none"/>
          <w:lang w:val="en-US" w:eastAsia="zh-CN"/>
        </w:rPr>
      </w:pPr>
      <w:r>
        <w:rPr>
          <w:rFonts w:hint="eastAsia" w:ascii="仿宋_GB2312" w:hAnsi="仿宋_GB2312" w:cs="仿宋_GB2312"/>
          <w:b/>
          <w:bCs/>
          <w:highlight w:val="none"/>
          <w:u w:val="none"/>
          <w:lang w:val="en-US" w:eastAsia="zh-CN"/>
        </w:rPr>
        <w:t>（1）x速公司</w:t>
      </w:r>
      <w:r>
        <w:rPr>
          <w:rFonts w:hint="eastAsia" w:ascii="仿宋_GB2312" w:hAnsi="仿宋_GB2312" w:cs="仿宋_GB2312"/>
          <w:highlight w:val="none"/>
          <w:u w:val="none"/>
          <w:lang w:val="en-US" w:eastAsia="zh-CN"/>
        </w:rPr>
        <w:t>，作为</w:t>
      </w:r>
      <w:r>
        <w:rPr>
          <w:rFonts w:hint="eastAsia" w:ascii="仿宋_GB2312" w:hAnsi="仿宋_GB2312" w:cs="仿宋_GB2312"/>
          <w:color w:val="auto"/>
          <w:kern w:val="2"/>
          <w:sz w:val="32"/>
          <w:szCs w:val="32"/>
          <w:highlight w:val="none"/>
          <w:u w:val="none"/>
          <w:lang w:val="en-US" w:eastAsia="zh-CN" w:bidi="ar-SA"/>
        </w:rPr>
        <w:t>云岩农光互补项目</w:t>
      </w:r>
      <w:r>
        <w:rPr>
          <w:rFonts w:hint="eastAsia" w:ascii="仿宋_GB2312" w:hAnsi="仿宋_GB2312" w:cs="仿宋_GB2312"/>
          <w:highlight w:val="none"/>
          <w:u w:val="none"/>
          <w:lang w:val="en-US" w:eastAsia="zh-CN"/>
        </w:rPr>
        <w:t>的劳务分包单位以及死者王x武劳动关系所属单位，未严格落实安全生产责任，安全生产责任制和安全生产规章制度不完善，在无施工劳务资质的情况下违法承接云岩农光互补项目；安全生产教育和培训不到位，从业人员对安全生产规章制度和安全操作规程认识不深刻，安全生产教育和培训档案不完善；未能严格督促从业人员落实安全生产规章制度，导致作业现场发生违规开展吊运、电缆敷设作业情况；生产安全事故隐患排查治理制度落实不到位，未全面辨识施工现场安全风险，未能及时发现并消除事故隐患；对此次事故的发生负有主要责任。事故发生后未在一小时内及时上报乐昌市云岩镇人民政府或者乐昌市应急管理局，</w:t>
      </w:r>
      <w:r>
        <w:rPr>
          <w:rFonts w:hint="eastAsia" w:ascii="仿宋_GB2312" w:hAnsi="仿宋_GB2312" w:cs="仿宋_GB2312"/>
          <w:color w:val="auto"/>
          <w:sz w:val="32"/>
          <w:szCs w:val="32"/>
          <w:highlight w:val="none"/>
          <w:u w:val="none"/>
          <w:lang w:val="en-US" w:eastAsia="zh-CN"/>
        </w:rPr>
        <w:t>根据《中华人民共和国安全生产法》第八十三条</w:t>
      </w:r>
      <w:r>
        <w:rPr>
          <w:rStyle w:val="18"/>
          <w:rFonts w:hint="eastAsia" w:ascii="仿宋_GB2312" w:hAnsi="仿宋_GB2312" w:cs="仿宋_GB2312"/>
          <w:color w:val="auto"/>
          <w:sz w:val="32"/>
          <w:szCs w:val="32"/>
          <w:highlight w:val="none"/>
          <w:u w:val="none"/>
          <w:lang w:val="en-US" w:eastAsia="zh-CN"/>
        </w:rPr>
        <w:t>[</w:t>
      </w:r>
      <w:r>
        <w:rPr>
          <w:rStyle w:val="18"/>
          <w:rFonts w:hint="eastAsia" w:ascii="仿宋_GB2312" w:hAnsi="仿宋_GB2312" w:cs="仿宋_GB2312"/>
          <w:color w:val="auto"/>
          <w:sz w:val="32"/>
          <w:szCs w:val="32"/>
          <w:highlight w:val="none"/>
          <w:u w:val="none"/>
          <w:lang w:val="en-US" w:eastAsia="zh-CN"/>
        </w:rPr>
        <w:footnoteReference w:id="10"/>
      </w:r>
      <w:r>
        <w:rPr>
          <w:rStyle w:val="18"/>
          <w:rFonts w:hint="eastAsia" w:ascii="仿宋_GB2312" w:hAnsi="仿宋_GB2312" w:cs="仿宋_GB2312"/>
          <w:color w:val="auto"/>
          <w:sz w:val="32"/>
          <w:szCs w:val="32"/>
          <w:highlight w:val="none"/>
          <w:u w:val="none"/>
          <w:lang w:val="en-US" w:eastAsia="zh-CN"/>
        </w:rPr>
        <w:t>]</w:t>
      </w:r>
      <w:r>
        <w:rPr>
          <w:rFonts w:hint="eastAsia" w:ascii="仿宋_GB2312" w:hAnsi="仿宋_GB2312" w:cs="仿宋_GB2312"/>
          <w:color w:val="auto"/>
          <w:sz w:val="32"/>
          <w:szCs w:val="32"/>
          <w:highlight w:val="none"/>
          <w:u w:val="none"/>
          <w:lang w:val="en-US" w:eastAsia="zh-CN"/>
        </w:rPr>
        <w:t>、</w:t>
      </w:r>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lang w:val="en-US" w:eastAsia="zh-CN"/>
        </w:rPr>
        <w:t>《生产安全事故报告和调查处理条例》</w:t>
      </w:r>
      <w:r>
        <w:rPr>
          <w:rFonts w:hint="eastAsia" w:ascii="仿宋_GB2312" w:hAnsi="仿宋_GB2312" w:eastAsia="仿宋_GB2312" w:cs="仿宋_GB2312"/>
          <w:i w:val="0"/>
          <w:iCs w:val="0"/>
          <w:caps w:val="0"/>
          <w:color w:val="auto"/>
          <w:spacing w:val="0"/>
          <w:sz w:val="32"/>
          <w:szCs w:val="32"/>
          <w:highlight w:val="none"/>
          <w:u w:val="none"/>
          <w:shd w:val="clear" w:fill="FFFFFF"/>
          <w:vertAlign w:val="baseline"/>
        </w:rPr>
        <w:t>第九</w:t>
      </w:r>
      <w:r>
        <w:rPr>
          <w:rFonts w:hint="eastAsia" w:ascii="仿宋_GB2312" w:hAnsi="仿宋_GB2312" w:cs="仿宋_GB2312"/>
          <w:i w:val="0"/>
          <w:iCs w:val="0"/>
          <w:caps w:val="0"/>
          <w:color w:val="auto"/>
          <w:spacing w:val="0"/>
          <w:sz w:val="32"/>
          <w:szCs w:val="32"/>
          <w:highlight w:val="none"/>
          <w:u w:val="none"/>
          <w:shd w:val="clear" w:fill="FFFFFF"/>
          <w:vertAlign w:val="baseline"/>
          <w:lang w:val="en-US" w:eastAsia="zh-CN"/>
        </w:rPr>
        <w:t>条</w:t>
      </w:r>
      <w:r>
        <w:rPr>
          <w:rStyle w:val="18"/>
          <w:rFonts w:hint="eastAsia" w:ascii="仿宋_GB2312" w:hAnsi="仿宋_GB2312" w:cs="仿宋_GB2312"/>
          <w:i w:val="0"/>
          <w:iCs w:val="0"/>
          <w:caps w:val="0"/>
          <w:color w:val="auto"/>
          <w:spacing w:val="0"/>
          <w:sz w:val="32"/>
          <w:szCs w:val="32"/>
          <w:highlight w:val="none"/>
          <w:u w:val="none"/>
          <w:shd w:val="clear" w:fill="FFFFFF"/>
          <w:lang w:val="en-US" w:eastAsia="zh-CN"/>
        </w:rPr>
        <w:t>[</w:t>
      </w:r>
      <w:r>
        <w:rPr>
          <w:rStyle w:val="18"/>
          <w:rFonts w:hint="eastAsia" w:ascii="仿宋_GB2312" w:hAnsi="仿宋_GB2312" w:cs="仿宋_GB2312"/>
          <w:i w:val="0"/>
          <w:iCs w:val="0"/>
          <w:caps w:val="0"/>
          <w:color w:val="auto"/>
          <w:spacing w:val="0"/>
          <w:sz w:val="32"/>
          <w:szCs w:val="32"/>
          <w:highlight w:val="none"/>
          <w:u w:val="none"/>
          <w:shd w:val="clear" w:fill="FFFFFF"/>
          <w:lang w:val="en-US" w:eastAsia="zh-CN"/>
        </w:rPr>
        <w:footnoteReference w:id="11"/>
      </w:r>
      <w:r>
        <w:rPr>
          <w:rStyle w:val="18"/>
          <w:rFonts w:hint="eastAsia" w:ascii="仿宋_GB2312" w:hAnsi="仿宋_GB2312" w:cs="仿宋_GB2312"/>
          <w:i w:val="0"/>
          <w:iCs w:val="0"/>
          <w:caps w:val="0"/>
          <w:color w:val="auto"/>
          <w:spacing w:val="0"/>
          <w:sz w:val="32"/>
          <w:szCs w:val="32"/>
          <w:highlight w:val="none"/>
          <w:u w:val="none"/>
          <w:shd w:val="clear" w:fill="FFFFFF"/>
          <w:lang w:val="en-US" w:eastAsia="zh-CN"/>
        </w:rPr>
        <w:t>]</w:t>
      </w:r>
      <w:r>
        <w:rPr>
          <w:rFonts w:hint="eastAsia" w:ascii="仿宋_GB2312" w:hAnsi="仿宋_GB2312" w:cs="仿宋_GB2312"/>
          <w:i w:val="0"/>
          <w:iCs w:val="0"/>
          <w:caps w:val="0"/>
          <w:color w:val="auto"/>
          <w:spacing w:val="0"/>
          <w:sz w:val="32"/>
          <w:szCs w:val="32"/>
          <w:highlight w:val="none"/>
          <w:u w:val="none"/>
          <w:shd w:val="clear" w:fill="FFFFFF"/>
          <w:vertAlign w:val="baseline"/>
          <w:lang w:val="en-US" w:eastAsia="zh-CN"/>
        </w:rPr>
        <w:t>的规定，x速公司存在迟报情况，并对事故的迟报负有主要责任。</w:t>
      </w:r>
    </w:p>
    <w:p w14:paraId="26B723C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b/>
          <w:bCs/>
          <w:highlight w:val="none"/>
          <w:u w:val="none"/>
          <w:lang w:val="en-US" w:eastAsia="zh-CN"/>
        </w:rPr>
      </w:pPr>
      <w:r>
        <w:rPr>
          <w:rFonts w:hint="eastAsia" w:ascii="仿宋_GB2312" w:hAnsi="仿宋_GB2312" w:cs="仿宋_GB2312"/>
          <w:highlight w:val="none"/>
          <w:u w:val="none"/>
          <w:lang w:val="en-US" w:eastAsia="zh-CN"/>
        </w:rPr>
        <w:t>x速公司以上行为违反了《中华人民共和国安全生产法》第四条第一款</w:t>
      </w:r>
      <w:r>
        <w:rPr>
          <w:rStyle w:val="18"/>
          <w:rFonts w:hint="eastAsia" w:ascii="仿宋_GB2312" w:hAnsi="仿宋_GB2312" w:cs="仿宋_GB2312"/>
          <w:highlight w:val="none"/>
          <w:u w:val="none"/>
          <w:lang w:val="en-US" w:eastAsia="zh-CN"/>
        </w:rPr>
        <w:t>[</w:t>
      </w:r>
      <w:r>
        <w:rPr>
          <w:rStyle w:val="18"/>
          <w:rFonts w:hint="eastAsia" w:ascii="仿宋_GB2312" w:hAnsi="仿宋_GB2312" w:cs="仿宋_GB2312"/>
          <w:highlight w:val="none"/>
          <w:u w:val="none"/>
          <w:lang w:val="en-US" w:eastAsia="zh-CN"/>
        </w:rPr>
        <w:footnoteReference w:id="12"/>
      </w:r>
      <w:r>
        <w:rPr>
          <w:rStyle w:val="18"/>
          <w:rFonts w:hint="eastAsia" w:ascii="仿宋_GB2312" w:hAnsi="仿宋_GB2312" w:cs="仿宋_GB2312"/>
          <w:highlight w:val="none"/>
          <w:u w:val="none"/>
          <w:lang w:val="en-US" w:eastAsia="zh-CN"/>
        </w:rPr>
        <w:t>]</w:t>
      </w:r>
      <w:r>
        <w:rPr>
          <w:rFonts w:hint="eastAsia" w:ascii="仿宋_GB2312" w:hAnsi="仿宋_GB2312" w:cs="仿宋_GB2312"/>
          <w:highlight w:val="none"/>
          <w:u w:val="none"/>
          <w:lang w:val="en-US" w:eastAsia="zh-CN"/>
        </w:rPr>
        <w:t>、第二十八条第一和四款</w:t>
      </w:r>
      <w:r>
        <w:rPr>
          <w:rStyle w:val="18"/>
          <w:rFonts w:hint="eastAsia" w:ascii="仿宋_GB2312" w:hAnsi="仿宋_GB2312" w:cs="仿宋_GB2312"/>
          <w:highlight w:val="none"/>
          <w:u w:val="none"/>
          <w:lang w:val="en-US" w:eastAsia="zh-CN"/>
        </w:rPr>
        <w:t>[</w:t>
      </w:r>
      <w:r>
        <w:rPr>
          <w:rStyle w:val="18"/>
          <w:rFonts w:hint="eastAsia" w:ascii="仿宋_GB2312" w:hAnsi="仿宋_GB2312" w:cs="仿宋_GB2312"/>
          <w:highlight w:val="none"/>
          <w:u w:val="none"/>
          <w:lang w:val="en-US" w:eastAsia="zh-CN"/>
        </w:rPr>
        <w:footnoteReference w:id="13"/>
      </w:r>
      <w:r>
        <w:rPr>
          <w:rStyle w:val="18"/>
          <w:rFonts w:hint="eastAsia" w:ascii="仿宋_GB2312" w:hAnsi="仿宋_GB2312" w:cs="仿宋_GB2312"/>
          <w:highlight w:val="none"/>
          <w:u w:val="none"/>
          <w:lang w:val="en-US" w:eastAsia="zh-CN"/>
        </w:rPr>
        <w:t>]</w:t>
      </w:r>
      <w:r>
        <w:rPr>
          <w:rFonts w:hint="eastAsia" w:ascii="仿宋_GB2312" w:hAnsi="仿宋_GB2312" w:cs="仿宋_GB2312"/>
          <w:highlight w:val="none"/>
          <w:u w:val="none"/>
          <w:lang w:val="en-US" w:eastAsia="zh-CN"/>
        </w:rPr>
        <w:t>、第四十一条第二款</w:t>
      </w:r>
      <w:r>
        <w:rPr>
          <w:rStyle w:val="18"/>
          <w:rFonts w:hint="eastAsia" w:ascii="仿宋_GB2312" w:hAnsi="仿宋_GB2312" w:cs="仿宋_GB2312"/>
          <w:highlight w:val="none"/>
          <w:u w:val="none"/>
          <w:lang w:val="en-US" w:eastAsia="zh-CN"/>
        </w:rPr>
        <w:t>[</w:t>
      </w:r>
      <w:r>
        <w:rPr>
          <w:rStyle w:val="18"/>
          <w:rFonts w:hint="eastAsia" w:ascii="仿宋_GB2312" w:hAnsi="仿宋_GB2312" w:cs="仿宋_GB2312"/>
          <w:highlight w:val="none"/>
          <w:u w:val="none"/>
          <w:lang w:val="en-US" w:eastAsia="zh-CN"/>
        </w:rPr>
        <w:footnoteReference w:id="14"/>
      </w:r>
      <w:r>
        <w:rPr>
          <w:rStyle w:val="18"/>
          <w:rFonts w:hint="eastAsia" w:ascii="仿宋_GB2312" w:hAnsi="仿宋_GB2312" w:cs="仿宋_GB2312"/>
          <w:highlight w:val="none"/>
          <w:u w:val="none"/>
          <w:lang w:val="en-US" w:eastAsia="zh-CN"/>
        </w:rPr>
        <w:t>]</w:t>
      </w:r>
      <w:r>
        <w:rPr>
          <w:rFonts w:hint="eastAsia" w:ascii="仿宋_GB2312" w:hAnsi="仿宋_GB2312" w:cs="仿宋_GB2312"/>
          <w:highlight w:val="none"/>
          <w:u w:val="none"/>
          <w:lang w:val="en-US" w:eastAsia="zh-CN"/>
        </w:rPr>
        <w:t>以及</w:t>
      </w:r>
      <w:r>
        <w:rPr>
          <w:rFonts w:hint="eastAsia" w:ascii="仿宋_GB2312" w:hAnsi="Tahoma"/>
          <w:sz w:val="32"/>
          <w:szCs w:val="32"/>
          <w:u w:val="none"/>
          <w:lang w:val="en-US" w:eastAsia="zh-CN"/>
        </w:rPr>
        <w:t>第四十四条第一款</w:t>
      </w:r>
      <w:r>
        <w:rPr>
          <w:rStyle w:val="18"/>
          <w:rFonts w:hint="eastAsia" w:ascii="仿宋_GB2312" w:hAnsi="Tahoma"/>
          <w:sz w:val="32"/>
          <w:szCs w:val="32"/>
          <w:u w:val="none"/>
          <w:lang w:val="en-US" w:eastAsia="zh-CN"/>
        </w:rPr>
        <w:t>[</w:t>
      </w:r>
      <w:r>
        <w:rPr>
          <w:rStyle w:val="18"/>
          <w:rFonts w:hint="eastAsia" w:ascii="仿宋_GB2312" w:hAnsi="Tahoma"/>
          <w:sz w:val="32"/>
          <w:szCs w:val="32"/>
          <w:u w:val="none"/>
          <w:lang w:val="en-US" w:eastAsia="zh-CN"/>
        </w:rPr>
        <w:footnoteReference w:id="15"/>
      </w:r>
      <w:r>
        <w:rPr>
          <w:rStyle w:val="18"/>
          <w:rFonts w:hint="eastAsia" w:ascii="仿宋_GB2312" w:hAnsi="Tahoma"/>
          <w:sz w:val="32"/>
          <w:szCs w:val="32"/>
          <w:u w:val="none"/>
          <w:lang w:val="en-US" w:eastAsia="zh-CN"/>
        </w:rPr>
        <w:t>]</w:t>
      </w:r>
      <w:r>
        <w:rPr>
          <w:rFonts w:hint="eastAsia" w:ascii="仿宋_GB2312" w:hAnsi="仿宋_GB2312" w:cs="仿宋_GB2312"/>
          <w:highlight w:val="none"/>
          <w:u w:val="none"/>
          <w:lang w:val="en-US" w:eastAsia="zh-CN"/>
        </w:rPr>
        <w:t>的规定，建议由乐昌市应急管理局依据《中华人民共和国安全生产法》第一百一十四条第一款第（一）项</w:t>
      </w:r>
      <w:r>
        <w:rPr>
          <w:rStyle w:val="18"/>
          <w:rFonts w:hint="eastAsia" w:ascii="仿宋_GB2312" w:hAnsi="仿宋_GB2312" w:cs="仿宋_GB2312"/>
          <w:highlight w:val="none"/>
          <w:u w:val="none"/>
          <w:lang w:val="en-US" w:eastAsia="zh-CN"/>
        </w:rPr>
        <w:t>[</w:t>
      </w:r>
      <w:r>
        <w:rPr>
          <w:rStyle w:val="18"/>
          <w:rFonts w:hint="eastAsia" w:ascii="仿宋_GB2312" w:hAnsi="仿宋_GB2312" w:cs="仿宋_GB2312"/>
          <w:highlight w:val="none"/>
          <w:u w:val="none"/>
          <w:lang w:val="en-US" w:eastAsia="zh-CN"/>
        </w:rPr>
        <w:footnoteReference w:id="16"/>
      </w:r>
      <w:r>
        <w:rPr>
          <w:rStyle w:val="18"/>
          <w:rFonts w:hint="eastAsia" w:ascii="仿宋_GB2312" w:hAnsi="仿宋_GB2312" w:cs="仿宋_GB2312"/>
          <w:highlight w:val="none"/>
          <w:u w:val="none"/>
          <w:lang w:val="en-US" w:eastAsia="zh-CN"/>
        </w:rPr>
        <w:t>]</w:t>
      </w:r>
      <w:r>
        <w:rPr>
          <w:rFonts w:hint="eastAsia" w:ascii="仿宋_GB2312" w:hAnsi="仿宋_GB2312" w:cs="仿宋_GB2312"/>
          <w:highlight w:val="none"/>
          <w:u w:val="none"/>
          <w:lang w:val="en-US" w:eastAsia="zh-CN"/>
        </w:rPr>
        <w:t>等法律法规对x速公司进行行政处罚。</w:t>
      </w:r>
    </w:p>
    <w:p w14:paraId="208E01A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cs="仿宋_GB2312"/>
          <w:highlight w:val="none"/>
          <w:lang w:val="en-US" w:eastAsia="zh-CN"/>
        </w:rPr>
      </w:pPr>
      <w:r>
        <w:rPr>
          <w:rFonts w:hint="eastAsia" w:ascii="仿宋_GB2312" w:hAnsi="仿宋_GB2312" w:cs="仿宋_GB2312"/>
          <w:b/>
          <w:bCs/>
          <w:highlight w:val="none"/>
          <w:u w:val="none"/>
          <w:lang w:val="en-US" w:eastAsia="zh-CN"/>
        </w:rPr>
        <w:t>（2）x光公司</w:t>
      </w:r>
      <w:r>
        <w:rPr>
          <w:rFonts w:hint="eastAsia" w:ascii="仿宋_GB2312" w:hAnsi="仿宋_GB2312" w:cs="仿宋_GB2312"/>
          <w:highlight w:val="none"/>
          <w:u w:val="none"/>
          <w:lang w:val="en-US" w:eastAsia="zh-CN"/>
        </w:rPr>
        <w:t>，</w:t>
      </w:r>
      <w:r>
        <w:rPr>
          <w:rFonts w:hint="eastAsia" w:ascii="仿宋_GB2312" w:hAnsi="仿宋_GB2312" w:cs="仿宋_GB2312"/>
          <w:highlight w:val="none"/>
          <w:lang w:val="en-US" w:eastAsia="zh-CN"/>
        </w:rPr>
        <w:t>作为</w:t>
      </w:r>
      <w:r>
        <w:rPr>
          <w:rFonts w:hint="eastAsia" w:ascii="仿宋_GB2312" w:hAnsi="仿宋_GB2312" w:cs="仿宋_GB2312"/>
          <w:color w:val="auto"/>
          <w:kern w:val="2"/>
          <w:sz w:val="32"/>
          <w:szCs w:val="32"/>
          <w:highlight w:val="none"/>
          <w:lang w:val="en-US" w:eastAsia="zh-CN" w:bidi="ar-SA"/>
        </w:rPr>
        <w:t>云岩农光互补项目</w:t>
      </w:r>
      <w:r>
        <w:rPr>
          <w:rFonts w:hint="eastAsia" w:ascii="仿宋_GB2312" w:hAnsi="仿宋_GB2312" w:cs="仿宋_GB2312"/>
          <w:highlight w:val="none"/>
          <w:lang w:val="en-US" w:eastAsia="zh-CN"/>
        </w:rPr>
        <w:t>的专业分包单位，未严格落实安全生产责任将项目违法发包给不具备相应资质的x速公司且对其安全生产监管不到位；安全生产组织架构不完善，安全生产管理人员投入保障力度不足；安全生产教育和培训不到位，导致项目管理人员、劳务分包单位施工人员对安全生产规章制度和安全操作规程认识不深刻、落实不到位；生产安全事故隐患排查治理制度落实不到位，未能及时发现并消除事故隐患，项目部安全管理工作流于形式；x光公司对此次事故的发生负有次要责任。</w:t>
      </w:r>
    </w:p>
    <w:p w14:paraId="4928D35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highlight w:val="none"/>
          <w:lang w:val="en-US" w:eastAsia="zh-CN"/>
        </w:rPr>
      </w:pPr>
      <w:r>
        <w:rPr>
          <w:rFonts w:hint="eastAsia" w:ascii="仿宋_GB2312" w:hAnsi="仿宋_GB2312" w:cs="仿宋_GB2312"/>
          <w:highlight w:val="none"/>
          <w:lang w:val="en-US" w:eastAsia="zh-CN"/>
        </w:rPr>
        <w:t>x光公司以上行为违反了《中华人民共和国安全生产法》第四条第一款</w:t>
      </w:r>
      <w:r>
        <w:rPr>
          <w:rStyle w:val="18"/>
          <w:rFonts w:hint="eastAsia" w:ascii="仿宋_GB2312" w:hAnsi="仿宋_GB2312" w:eastAsia="宋体" w:cs="仿宋_GB2312"/>
          <w:highlight w:val="none"/>
          <w:u w:val="none"/>
          <w:lang w:val="en-US" w:eastAsia="zh-CN"/>
        </w:rPr>
        <w:t>[13]</w:t>
      </w:r>
      <w:r>
        <w:rPr>
          <w:rFonts w:hint="eastAsia" w:ascii="仿宋_GB2312" w:hAnsi="仿宋_GB2312" w:cs="仿宋_GB2312"/>
          <w:highlight w:val="none"/>
          <w:lang w:val="en-US" w:eastAsia="zh-CN"/>
        </w:rPr>
        <w:t>，第二十八条第一和四款</w:t>
      </w:r>
      <w:r>
        <w:rPr>
          <w:rStyle w:val="18"/>
          <w:rFonts w:hint="eastAsia" w:ascii="仿宋_GB2312" w:hAnsi="仿宋_GB2312" w:cs="仿宋_GB2312"/>
          <w:highlight w:val="none"/>
          <w:u w:val="none"/>
          <w:lang w:val="en-US" w:eastAsia="zh-CN"/>
        </w:rPr>
        <w:t>[</w:t>
      </w:r>
      <w:r>
        <w:rPr>
          <w:rStyle w:val="18"/>
          <w:rFonts w:hint="eastAsia" w:ascii="仿宋_GB2312" w:hAnsi="仿宋_GB2312" w:eastAsia="宋体" w:cs="仿宋_GB2312"/>
          <w:highlight w:val="none"/>
          <w:u w:val="none"/>
          <w:lang w:val="en-US" w:eastAsia="zh-CN"/>
        </w:rPr>
        <w:t>14]</w:t>
      </w:r>
      <w:r>
        <w:rPr>
          <w:rFonts w:hint="eastAsia" w:ascii="仿宋_GB2312" w:hAnsi="仿宋_GB2312" w:cs="仿宋_GB2312"/>
          <w:highlight w:val="none"/>
          <w:lang w:val="en-US" w:eastAsia="zh-CN"/>
        </w:rPr>
        <w:t>、第四十一条第二款</w:t>
      </w:r>
      <w:r>
        <w:rPr>
          <w:rStyle w:val="18"/>
          <w:rFonts w:hint="eastAsia" w:ascii="仿宋_GB2312" w:hAnsi="仿宋_GB2312" w:eastAsia="宋体" w:cs="仿宋_GB2312"/>
          <w:highlight w:val="none"/>
          <w:u w:val="none"/>
          <w:lang w:val="en-US" w:eastAsia="zh-CN"/>
        </w:rPr>
        <w:t>[15]</w:t>
      </w:r>
      <w:r>
        <w:rPr>
          <w:rFonts w:hint="eastAsia" w:ascii="仿宋_GB2312" w:hAnsi="仿宋_GB2312" w:cs="仿宋_GB2312"/>
          <w:highlight w:val="none"/>
          <w:u w:val="none"/>
          <w:lang w:val="en-US" w:eastAsia="zh-CN"/>
        </w:rPr>
        <w:t>以及</w:t>
      </w:r>
      <w:r>
        <w:rPr>
          <w:rFonts w:hint="eastAsia" w:ascii="仿宋_GB2312" w:hAnsi="Tahoma"/>
          <w:sz w:val="32"/>
          <w:szCs w:val="32"/>
          <w:u w:val="none"/>
          <w:lang w:val="en-US" w:eastAsia="zh-CN"/>
        </w:rPr>
        <w:t>第四十四条第一款</w:t>
      </w:r>
      <w:r>
        <w:rPr>
          <w:rStyle w:val="18"/>
          <w:rFonts w:hint="eastAsia" w:ascii="仿宋_GB2312" w:hAnsi="Tahoma"/>
          <w:sz w:val="32"/>
          <w:szCs w:val="32"/>
          <w:u w:val="none"/>
          <w:lang w:val="en-US" w:eastAsia="zh-CN"/>
        </w:rPr>
        <w:t>[</w:t>
      </w:r>
      <w:r>
        <w:rPr>
          <w:rStyle w:val="18"/>
          <w:rFonts w:hint="eastAsia" w:ascii="仿宋_GB2312" w:hAnsi="仿宋_GB2312" w:eastAsia="宋体" w:cs="仿宋_GB2312"/>
          <w:highlight w:val="none"/>
          <w:u w:val="none"/>
          <w:lang w:val="en-US" w:eastAsia="zh-CN"/>
        </w:rPr>
        <w:t>16]</w:t>
      </w:r>
      <w:r>
        <w:rPr>
          <w:rFonts w:hint="eastAsia" w:ascii="仿宋_GB2312" w:hAnsi="仿宋_GB2312" w:cs="仿宋_GB2312"/>
          <w:highlight w:val="none"/>
          <w:lang w:val="en-US" w:eastAsia="zh-CN"/>
        </w:rPr>
        <w:t>的规定，建议由乐昌市应急管理局依据《中华人民共和国安全生产法》第一百一十四条第一款第</w:t>
      </w:r>
      <w:r>
        <w:rPr>
          <w:rFonts w:hint="eastAsia" w:ascii="仿宋_GB2312" w:hAnsi="仿宋_GB2312" w:cs="仿宋_GB2312"/>
          <w:spacing w:val="-20"/>
          <w:sz w:val="32"/>
          <w:highlight w:val="none"/>
          <w:lang w:val="en-US" w:eastAsia="zh-CN"/>
        </w:rPr>
        <w:t>（一）</w:t>
      </w:r>
      <w:r>
        <w:rPr>
          <w:rFonts w:hint="eastAsia" w:ascii="仿宋_GB2312" w:hAnsi="仿宋_GB2312" w:cs="仿宋_GB2312"/>
          <w:highlight w:val="none"/>
          <w:lang w:val="en-US" w:eastAsia="zh-CN"/>
        </w:rPr>
        <w:t>项</w:t>
      </w:r>
      <w:r>
        <w:rPr>
          <w:rStyle w:val="18"/>
          <w:rFonts w:hint="eastAsia" w:ascii="仿宋_GB2312" w:hAnsi="仿宋_GB2312" w:cs="仿宋_GB2312"/>
          <w:highlight w:val="none"/>
          <w:u w:val="none"/>
          <w:lang w:val="en-US" w:eastAsia="zh-CN"/>
        </w:rPr>
        <w:t>[</w:t>
      </w:r>
      <w:r>
        <w:rPr>
          <w:rStyle w:val="18"/>
          <w:rFonts w:hint="eastAsia" w:ascii="仿宋_GB2312" w:hAnsi="仿宋_GB2312" w:eastAsia="宋体" w:cs="仿宋_GB2312"/>
          <w:highlight w:val="none"/>
          <w:u w:val="none"/>
          <w:lang w:val="en-US" w:eastAsia="zh-CN"/>
        </w:rPr>
        <w:t>17]</w:t>
      </w:r>
      <w:r>
        <w:rPr>
          <w:rFonts w:hint="eastAsia" w:ascii="仿宋_GB2312" w:hAnsi="仿宋_GB2312" w:cs="仿宋_GB2312"/>
          <w:highlight w:val="none"/>
          <w:u w:val="none"/>
          <w:lang w:val="en-US" w:eastAsia="zh-CN"/>
        </w:rPr>
        <w:t>等法律法规</w:t>
      </w:r>
      <w:r>
        <w:rPr>
          <w:rFonts w:hint="eastAsia" w:ascii="仿宋_GB2312" w:hAnsi="仿宋_GB2312" w:cs="仿宋_GB2312"/>
          <w:highlight w:val="none"/>
          <w:lang w:val="en-US" w:eastAsia="zh-CN"/>
        </w:rPr>
        <w:t>对其进行行政处罚。</w:t>
      </w:r>
    </w:p>
    <w:p w14:paraId="6D34D362">
      <w:pPr>
        <w:pStyle w:val="4"/>
        <w:bidi w:val="0"/>
        <w:rPr>
          <w:rFonts w:hint="default"/>
          <w:lang w:val="en-US" w:eastAsia="zh-CN"/>
        </w:rPr>
      </w:pPr>
      <w:r>
        <w:rPr>
          <w:rFonts w:hint="eastAsia"/>
          <w:lang w:val="en-US" w:eastAsia="zh-CN"/>
        </w:rPr>
        <w:t>（三）其他单位和人员处理意见</w:t>
      </w:r>
    </w:p>
    <w:p w14:paraId="595106BB">
      <w:pPr>
        <w:pStyle w:val="6"/>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lang w:val="en-US" w:eastAsia="zh-CN"/>
        </w:rPr>
      </w:pPr>
      <w:r>
        <w:rPr>
          <w:rFonts w:hint="eastAsia" w:ascii="仿宋_GB2312" w:hAnsi="仿宋_GB2312" w:cs="仿宋_GB2312"/>
          <w:b/>
          <w:bCs/>
          <w:kern w:val="2"/>
          <w:sz w:val="32"/>
          <w:szCs w:val="32"/>
          <w:highlight w:val="none"/>
          <w:u w:val="none"/>
          <w:lang w:val="en-US" w:eastAsia="zh-CN" w:bidi="ar-SA"/>
        </w:rPr>
        <w:t>（1）邓x华</w:t>
      </w:r>
      <w:r>
        <w:rPr>
          <w:rFonts w:hint="eastAsia" w:ascii="仿宋_GB2312" w:hAnsi="仿宋_GB2312" w:cs="仿宋_GB2312"/>
          <w:kern w:val="2"/>
          <w:sz w:val="32"/>
          <w:szCs w:val="32"/>
          <w:highlight w:val="none"/>
          <w:u w:val="none"/>
          <w:lang w:val="en-US" w:eastAsia="zh-CN" w:bidi="ar-SA"/>
        </w:rPr>
        <w:t>，作为x速公司云岩</w:t>
      </w:r>
      <w:r>
        <w:rPr>
          <w:rFonts w:hint="eastAsia" w:ascii="仿宋_GB2312" w:hAnsi="仿宋_GB2312" w:cs="仿宋_GB2312"/>
          <w:color w:val="auto"/>
          <w:kern w:val="2"/>
          <w:sz w:val="32"/>
          <w:szCs w:val="32"/>
          <w:highlight w:val="none"/>
          <w:u w:val="none"/>
          <w:lang w:val="en-US" w:eastAsia="zh-CN" w:bidi="ar-SA"/>
        </w:rPr>
        <w:t>农光互补项目临聘挖掘机司机，违章使用挖掘机吊运电缆线圈，</w:t>
      </w:r>
      <w:r>
        <w:rPr>
          <w:rFonts w:hint="eastAsia"/>
          <w:highlight w:val="none"/>
          <w:u w:val="none"/>
          <w:lang w:val="en-US" w:eastAsia="zh-CN"/>
        </w:rPr>
        <w:t>未能完全掌握本岗位安全操作技能</w:t>
      </w:r>
      <w:r>
        <w:rPr>
          <w:rFonts w:hint="default"/>
          <w:highlight w:val="none"/>
          <w:u w:val="none"/>
          <w:lang w:eastAsia="zh-CN"/>
        </w:rPr>
        <w:t>；</w:t>
      </w:r>
      <w:r>
        <w:rPr>
          <w:rFonts w:hint="eastAsia"/>
          <w:highlight w:val="none"/>
          <w:u w:val="none"/>
          <w:lang w:eastAsia="zh-CN"/>
        </w:rPr>
        <w:t>王x武</w:t>
      </w:r>
      <w:r>
        <w:rPr>
          <w:rFonts w:hint="default"/>
          <w:highlight w:val="none"/>
          <w:u w:val="none"/>
          <w:lang w:eastAsia="zh-CN"/>
        </w:rPr>
        <w:t>强令其冒险作业，邓</w:t>
      </w:r>
      <w:r>
        <w:rPr>
          <w:rFonts w:hint="eastAsia"/>
          <w:highlight w:val="none"/>
          <w:u w:val="none"/>
          <w:lang w:val="en-US" w:eastAsia="zh-CN"/>
        </w:rPr>
        <w:t>x</w:t>
      </w:r>
      <w:r>
        <w:rPr>
          <w:rFonts w:hint="default"/>
          <w:highlight w:val="none"/>
          <w:u w:val="none"/>
          <w:lang w:eastAsia="zh-CN"/>
        </w:rPr>
        <w:t>华</w:t>
      </w:r>
      <w:r>
        <w:rPr>
          <w:rFonts w:hint="eastAsia"/>
          <w:highlight w:val="none"/>
          <w:u w:val="none"/>
          <w:lang w:val="en-US" w:eastAsia="zh-CN"/>
        </w:rPr>
        <w:t>未拒绝王x武，未</w:t>
      </w:r>
      <w:r>
        <w:rPr>
          <w:rFonts w:hint="default"/>
          <w:highlight w:val="none"/>
          <w:u w:val="none"/>
          <w:lang w:eastAsia="zh-CN"/>
        </w:rPr>
        <w:t>将</w:t>
      </w:r>
      <w:r>
        <w:rPr>
          <w:rFonts w:hint="eastAsia"/>
          <w:highlight w:val="none"/>
          <w:u w:val="none"/>
          <w:lang w:eastAsia="zh-CN"/>
        </w:rPr>
        <w:t>王x武的</w:t>
      </w:r>
      <w:r>
        <w:rPr>
          <w:rFonts w:hint="eastAsia"/>
          <w:highlight w:val="none"/>
          <w:u w:val="none"/>
          <w:lang w:val="en-US" w:eastAsia="zh-CN"/>
        </w:rPr>
        <w:t>强令冒险作业</w:t>
      </w:r>
      <w:r>
        <w:rPr>
          <w:rFonts w:hint="default"/>
          <w:highlight w:val="none"/>
          <w:u w:val="none"/>
          <w:lang w:eastAsia="zh-CN"/>
        </w:rPr>
        <w:t>行为上报公司，未严格落实岗位安全责任。</w:t>
      </w:r>
      <w:r>
        <w:rPr>
          <w:rFonts w:hint="eastAsia"/>
          <w:highlight w:val="none"/>
          <w:u w:val="none"/>
          <w:lang w:val="en-US" w:eastAsia="zh-CN"/>
        </w:rPr>
        <w:t>建议x速公司根据公司相关规章制度对其进行处理，并将处理情况于此事故</w:t>
      </w:r>
      <w:r>
        <w:rPr>
          <w:rFonts w:hint="default"/>
          <w:highlight w:val="none"/>
          <w:u w:val="none"/>
          <w:lang w:eastAsia="zh-CN"/>
        </w:rPr>
        <w:t>调查</w:t>
      </w:r>
      <w:r>
        <w:rPr>
          <w:rFonts w:hint="eastAsia"/>
          <w:highlight w:val="none"/>
          <w:u w:val="none"/>
          <w:lang w:val="en-US" w:eastAsia="zh-CN"/>
        </w:rPr>
        <w:t>报告公示后两个月内上报至乐昌市安委办。</w:t>
      </w:r>
    </w:p>
    <w:p w14:paraId="14149688">
      <w:pPr>
        <w:pStyle w:val="6"/>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lang w:eastAsia="zh-CN"/>
        </w:rPr>
      </w:pPr>
      <w:r>
        <w:rPr>
          <w:rFonts w:hint="eastAsia" w:ascii="仿宋_GB2312" w:hAnsi="仿宋_GB2312" w:cs="仿宋_GB2312"/>
          <w:b/>
          <w:bCs/>
          <w:kern w:val="2"/>
          <w:sz w:val="32"/>
          <w:szCs w:val="32"/>
          <w:highlight w:val="none"/>
          <w:u w:val="none"/>
          <w:lang w:val="en-US" w:eastAsia="zh-CN" w:bidi="ar-SA"/>
        </w:rPr>
        <w:t>（2）邹x丽</w:t>
      </w:r>
      <w:r>
        <w:rPr>
          <w:rFonts w:hint="default" w:ascii="仿宋_GB2312" w:hAnsi="仿宋_GB2312" w:eastAsia="仿宋_GB2312" w:cs="仿宋_GB2312"/>
          <w:b/>
          <w:bCs/>
          <w:kern w:val="2"/>
          <w:sz w:val="32"/>
          <w:szCs w:val="32"/>
          <w:highlight w:val="none"/>
          <w:u w:val="none"/>
          <w:lang w:val="en-US" w:eastAsia="zh-CN" w:bidi="ar-SA"/>
        </w:rPr>
        <w:t>，</w:t>
      </w:r>
      <w:r>
        <w:rPr>
          <w:rFonts w:hint="default" w:ascii="仿宋_GB2312" w:hAnsi="仿宋_GB2312" w:cs="仿宋_GB2312"/>
          <w:kern w:val="2"/>
          <w:sz w:val="32"/>
          <w:szCs w:val="32"/>
          <w:highlight w:val="none"/>
          <w:u w:val="none"/>
          <w:lang w:eastAsia="zh-CN" w:bidi="ar-SA"/>
        </w:rPr>
        <w:t>作为</w:t>
      </w:r>
      <w:r>
        <w:rPr>
          <w:rFonts w:hint="eastAsia" w:ascii="仿宋_GB2312" w:hAnsi="仿宋_GB2312" w:cs="仿宋_GB2312"/>
          <w:kern w:val="2"/>
          <w:sz w:val="32"/>
          <w:szCs w:val="32"/>
          <w:highlight w:val="none"/>
          <w:u w:val="none"/>
          <w:lang w:eastAsia="zh-CN" w:bidi="ar-SA"/>
        </w:rPr>
        <w:t>x速</w:t>
      </w:r>
      <w:r>
        <w:rPr>
          <w:rFonts w:hint="default" w:ascii="仿宋_GB2312" w:hAnsi="仿宋_GB2312" w:cs="仿宋_GB2312"/>
          <w:kern w:val="2"/>
          <w:sz w:val="32"/>
          <w:szCs w:val="32"/>
          <w:highlight w:val="none"/>
          <w:u w:val="none"/>
          <w:lang w:eastAsia="zh-CN" w:bidi="ar-SA"/>
        </w:rPr>
        <w:t>公司云岩农光互补项目普工，安全意识淡薄，对安全生产操作规程的认识不深刻、掌握不充分，未能按照《电缆敷设施工方案》的规定规范使用电缆放线架，且未阻止</w:t>
      </w:r>
      <w:r>
        <w:rPr>
          <w:rFonts w:hint="eastAsia" w:ascii="仿宋_GB2312" w:hAnsi="仿宋_GB2312" w:cs="仿宋_GB2312"/>
          <w:kern w:val="2"/>
          <w:sz w:val="32"/>
          <w:szCs w:val="32"/>
          <w:highlight w:val="none"/>
          <w:u w:val="none"/>
          <w:lang w:eastAsia="zh-CN" w:bidi="ar-SA"/>
        </w:rPr>
        <w:t>王x武</w:t>
      </w:r>
      <w:r>
        <w:rPr>
          <w:rFonts w:hint="default" w:ascii="仿宋_GB2312" w:hAnsi="仿宋_GB2312" w:cs="仿宋_GB2312"/>
          <w:kern w:val="2"/>
          <w:sz w:val="32"/>
          <w:szCs w:val="32"/>
          <w:highlight w:val="none"/>
          <w:u w:val="none"/>
          <w:lang w:eastAsia="zh-CN" w:bidi="ar-SA"/>
        </w:rPr>
        <w:t>违规开展电缆敷设作业的行为，未能严格落实岗位安全生产责任，建议</w:t>
      </w:r>
      <w:r>
        <w:rPr>
          <w:rFonts w:hint="eastAsia" w:ascii="仿宋_GB2312" w:hAnsi="仿宋_GB2312" w:cs="仿宋_GB2312"/>
          <w:kern w:val="2"/>
          <w:sz w:val="32"/>
          <w:szCs w:val="32"/>
          <w:highlight w:val="none"/>
          <w:u w:val="none"/>
          <w:lang w:eastAsia="zh-CN" w:bidi="ar-SA"/>
        </w:rPr>
        <w:t>x速</w:t>
      </w:r>
      <w:r>
        <w:rPr>
          <w:rFonts w:hint="default" w:ascii="仿宋_GB2312" w:hAnsi="仿宋_GB2312" w:cs="仿宋_GB2312"/>
          <w:kern w:val="2"/>
          <w:sz w:val="32"/>
          <w:szCs w:val="32"/>
          <w:highlight w:val="none"/>
          <w:u w:val="none"/>
          <w:lang w:eastAsia="zh-CN" w:bidi="ar-SA"/>
        </w:rPr>
        <w:t>公司依据公司相关</w:t>
      </w:r>
      <w:r>
        <w:rPr>
          <w:rFonts w:hint="eastAsia" w:ascii="仿宋_GB2312" w:hAnsi="仿宋_GB2312" w:cs="仿宋_GB2312"/>
          <w:kern w:val="2"/>
          <w:sz w:val="32"/>
          <w:szCs w:val="32"/>
          <w:highlight w:val="none"/>
          <w:u w:val="none"/>
          <w:lang w:val="en-US" w:eastAsia="zh-CN" w:bidi="ar-SA"/>
        </w:rPr>
        <w:t>规章</w:t>
      </w:r>
      <w:r>
        <w:rPr>
          <w:rFonts w:hint="default" w:ascii="仿宋_GB2312" w:hAnsi="仿宋_GB2312" w:cs="仿宋_GB2312"/>
          <w:kern w:val="2"/>
          <w:sz w:val="32"/>
          <w:szCs w:val="32"/>
          <w:highlight w:val="none"/>
          <w:u w:val="none"/>
          <w:lang w:eastAsia="zh-CN" w:bidi="ar-SA"/>
        </w:rPr>
        <w:t>制度对其进行处理，并在此事故调查报告公示后两个月内将处理情况上报至乐昌市安委办。</w:t>
      </w:r>
    </w:p>
    <w:p w14:paraId="7C6D1F4D">
      <w:pPr>
        <w:pStyle w:val="6"/>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cs="仿宋_GB2312"/>
          <w:color w:val="auto"/>
          <w:kern w:val="2"/>
          <w:sz w:val="32"/>
          <w:szCs w:val="32"/>
          <w:highlight w:val="none"/>
          <w:u w:val="none"/>
          <w:lang w:val="en-US" w:eastAsia="zh-CN" w:bidi="ar-SA"/>
        </w:rPr>
      </w:pPr>
      <w:r>
        <w:rPr>
          <w:rFonts w:hint="eastAsia" w:ascii="仿宋_GB2312" w:hAnsi="仿宋_GB2312" w:cs="仿宋_GB2312"/>
          <w:b/>
          <w:bCs/>
          <w:kern w:val="2"/>
          <w:sz w:val="32"/>
          <w:szCs w:val="32"/>
          <w:highlight w:val="none"/>
          <w:u w:val="none"/>
          <w:lang w:val="en-US" w:eastAsia="zh-CN" w:bidi="ar-SA"/>
        </w:rPr>
        <w:t>（3）陈x明</w:t>
      </w:r>
      <w:r>
        <w:rPr>
          <w:rFonts w:hint="eastAsia" w:ascii="仿宋_GB2312" w:hAnsi="仿宋_GB2312" w:cs="仿宋_GB2312"/>
          <w:kern w:val="2"/>
          <w:sz w:val="32"/>
          <w:szCs w:val="32"/>
          <w:highlight w:val="none"/>
          <w:u w:val="none"/>
          <w:lang w:val="en-US" w:eastAsia="zh-CN" w:bidi="ar-SA"/>
        </w:rPr>
        <w:t>，作为xx安公司</w:t>
      </w:r>
      <w:r>
        <w:rPr>
          <w:rFonts w:hint="eastAsia" w:ascii="仿宋_GB2312" w:hAnsi="仿宋_GB2312" w:cs="仿宋_GB2312"/>
          <w:color w:val="auto"/>
          <w:kern w:val="2"/>
          <w:sz w:val="32"/>
          <w:szCs w:val="32"/>
          <w:highlight w:val="none"/>
          <w:u w:val="none"/>
          <w:lang w:val="en-US" w:eastAsia="zh-CN" w:bidi="ar-SA"/>
        </w:rPr>
        <w:t>云岩农光互补项目的总监理工程师，履行监理责任不到位，长期不到岗；审查和验证分包单位资质和拟签订的分包合同、人员资质等不到位，未能及时发现有不符合法律法规的分包单位及人员进场，审查和验证工作流于形式；施工作业审批不到位；对隐患排查和整改工作监理不到位；对事故的发生负有主要监理责任。建议xx安公司依据</w:t>
      </w:r>
      <w:r>
        <w:rPr>
          <w:rFonts w:hint="eastAsia"/>
          <w:highlight w:val="none"/>
          <w:u w:val="none"/>
          <w:lang w:val="en-US" w:eastAsia="zh-CN"/>
        </w:rPr>
        <w:t>公司相关规章制度</w:t>
      </w:r>
      <w:r>
        <w:rPr>
          <w:rFonts w:hint="eastAsia" w:ascii="仿宋_GB2312" w:hAnsi="仿宋_GB2312" w:cs="仿宋_GB2312"/>
          <w:color w:val="auto"/>
          <w:kern w:val="2"/>
          <w:sz w:val="32"/>
          <w:szCs w:val="32"/>
          <w:highlight w:val="none"/>
          <w:u w:val="none"/>
          <w:lang w:val="en-US" w:eastAsia="zh-CN" w:bidi="ar-SA"/>
        </w:rPr>
        <w:t>对陈建明进行处理，并在此调查报告公示后两个月内将处理情况上报至乐昌市安委办。</w:t>
      </w:r>
    </w:p>
    <w:p w14:paraId="402B537A">
      <w:pPr>
        <w:pStyle w:val="6"/>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cs="仿宋_GB2312"/>
          <w:color w:val="auto"/>
          <w:kern w:val="2"/>
          <w:sz w:val="32"/>
          <w:szCs w:val="32"/>
          <w:highlight w:val="none"/>
          <w:u w:val="none"/>
          <w:lang w:val="en-US" w:eastAsia="zh-CN" w:bidi="ar-SA"/>
        </w:rPr>
      </w:pPr>
      <w:r>
        <w:rPr>
          <w:rFonts w:hint="eastAsia" w:ascii="仿宋_GB2312" w:hAnsi="仿宋_GB2312" w:cs="仿宋_GB2312"/>
          <w:b/>
          <w:bCs/>
          <w:color w:val="auto"/>
          <w:kern w:val="2"/>
          <w:sz w:val="32"/>
          <w:szCs w:val="32"/>
          <w:highlight w:val="none"/>
          <w:u w:val="none"/>
          <w:lang w:val="en-US" w:eastAsia="zh-CN" w:bidi="ar-SA"/>
        </w:rPr>
        <w:t>（4）廖明星</w:t>
      </w:r>
      <w:r>
        <w:rPr>
          <w:rFonts w:hint="eastAsia" w:ascii="仿宋_GB2312" w:hAnsi="仿宋_GB2312" w:cs="仿宋_GB2312"/>
          <w:color w:val="auto"/>
          <w:kern w:val="2"/>
          <w:sz w:val="32"/>
          <w:szCs w:val="32"/>
          <w:highlight w:val="none"/>
          <w:u w:val="none"/>
          <w:lang w:val="en-US" w:eastAsia="zh-CN" w:bidi="ar-SA"/>
        </w:rPr>
        <w:t>，作为xx安公司云岩农光互补项目的土建专业监理工程师、总监理代理，履行监理责任不到位，施工现场监理缺位；现场安全巡检不力，风险管控措施不力；未能及时发现现场存在的违规吊装等隐患并下发监理通知单；对事故的发生负有重要监理责任。建议xx安公司依据</w:t>
      </w:r>
      <w:r>
        <w:rPr>
          <w:rFonts w:hint="eastAsia"/>
          <w:highlight w:val="none"/>
          <w:u w:val="none"/>
          <w:lang w:val="en-US" w:eastAsia="zh-CN"/>
        </w:rPr>
        <w:t>公司相关规章制度</w:t>
      </w:r>
      <w:r>
        <w:rPr>
          <w:rFonts w:hint="eastAsia" w:ascii="仿宋_GB2312" w:hAnsi="仿宋_GB2312" w:cs="仿宋_GB2312"/>
          <w:color w:val="auto"/>
          <w:kern w:val="2"/>
          <w:sz w:val="32"/>
          <w:szCs w:val="32"/>
          <w:highlight w:val="none"/>
          <w:u w:val="none"/>
          <w:lang w:val="en-US" w:eastAsia="zh-CN" w:bidi="ar-SA"/>
        </w:rPr>
        <w:t>对廖明星进行处理，并在此调查报告公示后两个月内将处理情况上报至乐昌市安委办。</w:t>
      </w:r>
    </w:p>
    <w:p w14:paraId="2E71DA7B">
      <w:pPr>
        <w:pStyle w:val="6"/>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cs="仿宋_GB2312"/>
          <w:color w:val="auto"/>
          <w:kern w:val="2"/>
          <w:sz w:val="32"/>
          <w:szCs w:val="32"/>
          <w:highlight w:val="none"/>
          <w:u w:val="none"/>
          <w:lang w:val="en-US" w:eastAsia="zh-CN" w:bidi="ar-SA"/>
        </w:rPr>
      </w:pPr>
      <w:r>
        <w:rPr>
          <w:rFonts w:hint="eastAsia" w:ascii="仿宋_GB2312" w:hAnsi="仿宋_GB2312" w:cs="仿宋_GB2312"/>
          <w:b/>
          <w:bCs/>
          <w:color w:val="auto"/>
          <w:kern w:val="2"/>
          <w:sz w:val="32"/>
          <w:szCs w:val="32"/>
          <w:highlight w:val="none"/>
          <w:u w:val="none"/>
          <w:lang w:val="en-US" w:eastAsia="zh-CN" w:bidi="ar-SA"/>
        </w:rPr>
        <w:t>（5）刘x</w:t>
      </w:r>
      <w:bookmarkStart w:id="34" w:name="_GoBack"/>
      <w:bookmarkEnd w:id="34"/>
      <w:r>
        <w:rPr>
          <w:rFonts w:hint="eastAsia" w:ascii="仿宋_GB2312" w:hAnsi="仿宋_GB2312" w:cs="仿宋_GB2312"/>
          <w:color w:val="auto"/>
          <w:kern w:val="2"/>
          <w:sz w:val="32"/>
          <w:szCs w:val="32"/>
          <w:highlight w:val="none"/>
          <w:u w:val="none"/>
          <w:lang w:val="en-US" w:eastAsia="zh-CN" w:bidi="ar-SA"/>
        </w:rPr>
        <w:t>，作为xx安公司云岩农光互补项目的监理员，现场巡检不到位，《监理日志》记录不规范不及时，未能及时发现现场存在的违规吊装</w:t>
      </w:r>
      <w:r>
        <w:rPr>
          <w:rFonts w:hint="default" w:ascii="仿宋_GB2312" w:hAnsi="仿宋_GB2312" w:cs="仿宋_GB2312"/>
          <w:color w:val="auto"/>
          <w:kern w:val="2"/>
          <w:sz w:val="32"/>
          <w:szCs w:val="32"/>
          <w:highlight w:val="none"/>
          <w:u w:val="none"/>
          <w:lang w:val="en-US" w:eastAsia="zh-CN" w:bidi="ar-SA"/>
        </w:rPr>
        <w:t>违规操作</w:t>
      </w:r>
      <w:r>
        <w:rPr>
          <w:rFonts w:hint="eastAsia" w:ascii="仿宋_GB2312" w:hAnsi="仿宋_GB2312" w:cs="仿宋_GB2312"/>
          <w:color w:val="auto"/>
          <w:kern w:val="2"/>
          <w:sz w:val="32"/>
          <w:szCs w:val="32"/>
          <w:highlight w:val="none"/>
          <w:u w:val="none"/>
          <w:lang w:val="en-US" w:eastAsia="zh-CN" w:bidi="ar-SA"/>
        </w:rPr>
        <w:t>等隐患，对事故的发生负有监理责任。建议xx安公司依据</w:t>
      </w:r>
      <w:r>
        <w:rPr>
          <w:rFonts w:hint="eastAsia"/>
          <w:highlight w:val="none"/>
          <w:u w:val="none"/>
          <w:lang w:val="en-US" w:eastAsia="zh-CN"/>
        </w:rPr>
        <w:t>公司相关规章制度</w:t>
      </w:r>
      <w:r>
        <w:rPr>
          <w:rFonts w:hint="eastAsia" w:ascii="仿宋_GB2312" w:hAnsi="仿宋_GB2312" w:cs="仿宋_GB2312"/>
          <w:color w:val="auto"/>
          <w:kern w:val="2"/>
          <w:sz w:val="32"/>
          <w:szCs w:val="32"/>
          <w:highlight w:val="none"/>
          <w:u w:val="none"/>
          <w:lang w:val="en-US" w:eastAsia="zh-CN" w:bidi="ar-SA"/>
        </w:rPr>
        <w:t>对刘洋进行处理，并在此调查报告公示后两个月内将处理情况上报至乐昌市安委办。</w:t>
      </w:r>
    </w:p>
    <w:p w14:paraId="53DDB75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cs="仿宋_GB2312"/>
          <w:color w:val="auto"/>
          <w:kern w:val="2"/>
          <w:sz w:val="32"/>
          <w:szCs w:val="32"/>
          <w:highlight w:val="none"/>
          <w:u w:val="none"/>
          <w:lang w:val="en-US" w:eastAsia="zh-CN" w:bidi="ar-SA"/>
        </w:rPr>
      </w:pPr>
      <w:r>
        <w:rPr>
          <w:rFonts w:hint="eastAsia" w:ascii="仿宋_GB2312" w:hAnsi="仿宋_GB2312" w:cs="仿宋_GB2312"/>
          <w:b/>
          <w:bCs/>
          <w:highlight w:val="none"/>
          <w:u w:val="none"/>
          <w:lang w:val="en-US" w:eastAsia="zh-CN"/>
        </w:rPr>
        <w:t>（6）xx安公司</w:t>
      </w:r>
      <w:r>
        <w:rPr>
          <w:rFonts w:hint="eastAsia" w:ascii="仿宋_GB2312" w:hAnsi="仿宋_GB2312" w:cs="仿宋_GB2312"/>
          <w:highlight w:val="none"/>
          <w:u w:val="none"/>
          <w:lang w:val="en-US" w:eastAsia="zh-CN"/>
        </w:rPr>
        <w:t>，作为</w:t>
      </w:r>
      <w:r>
        <w:rPr>
          <w:rFonts w:hint="eastAsia" w:ascii="仿宋_GB2312" w:hAnsi="仿宋_GB2312" w:cs="仿宋_GB2312"/>
          <w:color w:val="auto"/>
          <w:kern w:val="2"/>
          <w:sz w:val="32"/>
          <w:szCs w:val="32"/>
          <w:highlight w:val="none"/>
          <w:u w:val="none"/>
          <w:lang w:val="en-US" w:eastAsia="zh-CN" w:bidi="ar-SA"/>
        </w:rPr>
        <w:t>云岩农光互补项目的监理单位，总监、电气及安全专监等关键岗位监理人员长期不到岗，施工现场监理缺位；未能审查发现有不具备相应资质的分包单位和人员进场，审查工作流于形式；现场监理巡检不到位，风险管控不到位，对工程吊装等关键工序未能进行全面旁站监理；发现、督促隐患整改不到位，未能及时发现施工现场出现的违规电缆敷设作业、违规吊装等隐患；对此次事故的发生负有监理责任。建议由项目业主x发公司根据监理合同对xx安公司进行处理，在此事故调查报告公示后两个月内将处理情况上报至乐昌市安委办。</w:t>
      </w:r>
    </w:p>
    <w:p w14:paraId="53EDEAD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lang w:val="en-US" w:eastAsia="zh-CN"/>
        </w:rPr>
      </w:pPr>
      <w:r>
        <w:rPr>
          <w:rFonts w:hint="eastAsia" w:ascii="仿宋_GB2312" w:hAnsi="仿宋_GB2312" w:cs="仿宋_GB2312"/>
          <w:b/>
          <w:bCs/>
          <w:highlight w:val="none"/>
          <w:u w:val="none"/>
          <w:lang w:val="en-US" w:eastAsia="zh-CN"/>
        </w:rPr>
        <w:t>（7）x跃公司，</w:t>
      </w:r>
      <w:r>
        <w:rPr>
          <w:rFonts w:hint="eastAsia" w:ascii="仿宋_GB2312" w:hAnsi="仿宋_GB2312" w:cs="仿宋_GB2312"/>
          <w:color w:val="auto"/>
          <w:kern w:val="2"/>
          <w:sz w:val="32"/>
          <w:szCs w:val="32"/>
          <w:highlight w:val="none"/>
          <w:u w:val="none"/>
          <w:lang w:val="en-US" w:eastAsia="zh-CN" w:bidi="ar-SA"/>
        </w:rPr>
        <w:t>作为云岩农光互补项目的EPC总承包单位，隐患排查不够细致。建议项目业主x发公司依据总承包合同对x跃公司进行处理，在此事故调查报告公示后两个月内将处理情况上报至乐昌市安委办。</w:t>
      </w:r>
    </w:p>
    <w:p w14:paraId="2F983D69">
      <w:pPr>
        <w:pStyle w:val="4"/>
        <w:bidi w:val="0"/>
        <w:rPr>
          <w:rFonts w:hint="default"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cs="仿宋_GB2312"/>
          <w:b/>
          <w:bCs/>
          <w:highlight w:val="none"/>
          <w:u w:val="none"/>
          <w:lang w:val="en-US" w:eastAsia="zh-CN"/>
        </w:rPr>
        <w:t>（8）x发公司，</w:t>
      </w:r>
      <w:r>
        <w:rPr>
          <w:rFonts w:hint="eastAsia" w:ascii="仿宋_GB2312" w:hAnsi="仿宋_GB2312" w:eastAsia="仿宋_GB2312" w:cs="仿宋_GB2312"/>
          <w:color w:val="auto"/>
          <w:kern w:val="2"/>
          <w:sz w:val="32"/>
          <w:szCs w:val="32"/>
          <w:highlight w:val="none"/>
          <w:u w:val="none"/>
          <w:lang w:val="en-US" w:eastAsia="zh-CN" w:bidi="ar-SA"/>
        </w:rPr>
        <w:t>作为云岩农光互补项目的建设单位，隐患排查不够细致；但其作为建设单位已与x跃公司签订承包合同，并设置了项目经理部，定期自行组织现场安全检查并严格督促落实整改。建议行业主管部门乐昌市发展和改革局对x发公司加强监管。</w:t>
      </w:r>
    </w:p>
    <w:p w14:paraId="0F464F00">
      <w:pPr>
        <w:pStyle w:val="3"/>
        <w:bidi w:val="0"/>
        <w:rPr>
          <w:rFonts w:hint="default"/>
          <w:highlight w:val="none"/>
          <w:u w:val="none"/>
          <w:lang w:val="en-US" w:eastAsia="zh-CN"/>
        </w:rPr>
      </w:pPr>
      <w:bookmarkStart w:id="31" w:name="_Toc2748"/>
      <w:r>
        <w:rPr>
          <w:rFonts w:hint="eastAsia"/>
          <w:highlight w:val="none"/>
          <w:u w:val="none"/>
          <w:lang w:val="en-US" w:eastAsia="zh-CN"/>
        </w:rPr>
        <w:t>六、事故教训及事故防范措施建议</w:t>
      </w:r>
      <w:bookmarkEnd w:id="31"/>
    </w:p>
    <w:p w14:paraId="21F20CA9">
      <w:pPr>
        <w:pStyle w:val="4"/>
        <w:numPr>
          <w:ilvl w:val="0"/>
          <w:numId w:val="4"/>
        </w:numPr>
        <w:bidi w:val="0"/>
        <w:rPr>
          <w:rFonts w:hint="eastAsia"/>
          <w:highlight w:val="none"/>
          <w:u w:val="none"/>
          <w:lang w:val="en-US" w:eastAsia="zh-CN"/>
        </w:rPr>
      </w:pPr>
      <w:bookmarkStart w:id="32" w:name="_Toc26184"/>
      <w:r>
        <w:rPr>
          <w:rFonts w:hint="eastAsia"/>
          <w:highlight w:val="none"/>
          <w:u w:val="none"/>
          <w:lang w:val="en-US" w:eastAsia="zh-CN"/>
        </w:rPr>
        <w:t>事故教训</w:t>
      </w:r>
      <w:bookmarkEnd w:id="32"/>
    </w:p>
    <w:p w14:paraId="5E95CCEB">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heme="minorAscii" w:hAnsiTheme="minorAscii" w:cstheme="minorBidi"/>
          <w:kern w:val="2"/>
          <w:sz w:val="32"/>
          <w:szCs w:val="32"/>
          <w:highlight w:val="none"/>
          <w:u w:val="none"/>
          <w:lang w:val="en-US" w:eastAsia="zh-CN" w:bidi="ar-SA"/>
        </w:rPr>
      </w:pPr>
      <w:r>
        <w:rPr>
          <w:rFonts w:hint="eastAsia" w:ascii="楷体_GB2312" w:hAnsi="楷体_GB2312" w:eastAsia="楷体_GB2312" w:cs="楷体_GB2312"/>
          <w:kern w:val="2"/>
          <w:sz w:val="32"/>
          <w:szCs w:val="32"/>
          <w:highlight w:val="none"/>
          <w:u w:val="none"/>
          <w:lang w:val="en-US" w:eastAsia="zh-CN" w:bidi="ar-SA"/>
        </w:rPr>
        <w:t>1.施工单位未严格落实企业安全生产职责。</w:t>
      </w:r>
      <w:r>
        <w:rPr>
          <w:rFonts w:hint="eastAsia" w:asciiTheme="minorAscii" w:cstheme="minorBidi"/>
          <w:kern w:val="2"/>
          <w:sz w:val="32"/>
          <w:szCs w:val="32"/>
          <w:highlight w:val="none"/>
          <w:u w:val="none"/>
          <w:lang w:val="en-US" w:eastAsia="zh-CN" w:bidi="ar-SA"/>
        </w:rPr>
        <w:t>x速公司、x光公司安全生产主体责任落实不到位；</w:t>
      </w:r>
      <w:r>
        <w:rPr>
          <w:rFonts w:hint="eastAsia" w:eastAsia="仿宋_GB2312" w:asciiTheme="minorAscii" w:hAnsiTheme="minorAscii" w:cstheme="minorBidi"/>
          <w:kern w:val="2"/>
          <w:sz w:val="32"/>
          <w:szCs w:val="32"/>
          <w:highlight w:val="none"/>
          <w:u w:val="none"/>
          <w:lang w:val="en-US" w:eastAsia="zh-CN" w:bidi="ar-SA"/>
        </w:rPr>
        <w:t>安全生产规章制度不完善</w:t>
      </w:r>
      <w:r>
        <w:rPr>
          <w:rFonts w:hint="eastAsia" w:asciiTheme="minorAscii" w:cstheme="minorBidi"/>
          <w:kern w:val="2"/>
          <w:sz w:val="32"/>
          <w:szCs w:val="32"/>
          <w:highlight w:val="none"/>
          <w:u w:val="none"/>
          <w:lang w:val="en-US" w:eastAsia="zh-CN" w:bidi="ar-SA"/>
        </w:rPr>
        <w:t>；</w:t>
      </w:r>
      <w:r>
        <w:rPr>
          <w:rFonts w:hint="eastAsia" w:eastAsia="仿宋_GB2312" w:asciiTheme="minorAscii" w:hAnsiTheme="minorAscii" w:cstheme="minorBidi"/>
          <w:kern w:val="2"/>
          <w:sz w:val="32"/>
          <w:szCs w:val="32"/>
          <w:highlight w:val="none"/>
          <w:u w:val="none"/>
          <w:lang w:val="en-US" w:eastAsia="zh-CN" w:bidi="ar-SA"/>
        </w:rPr>
        <w:t>安全教育培训不到位，</w:t>
      </w:r>
      <w:r>
        <w:rPr>
          <w:rFonts w:hint="eastAsia" w:asciiTheme="minorAscii" w:cstheme="minorBidi"/>
          <w:kern w:val="2"/>
          <w:sz w:val="32"/>
          <w:szCs w:val="32"/>
          <w:highlight w:val="none"/>
          <w:u w:val="none"/>
          <w:lang w:val="en-US" w:eastAsia="zh-CN" w:bidi="ar-SA"/>
        </w:rPr>
        <w:t>导致施工人员、管理人员未能熟知有关的安全生产规章制度和安全操作规程且落实不到位不规范；对现场的</w:t>
      </w:r>
      <w:r>
        <w:rPr>
          <w:rFonts w:hint="eastAsia" w:eastAsia="仿宋_GB2312" w:asciiTheme="minorAscii" w:hAnsiTheme="minorAscii" w:cstheme="minorBidi"/>
          <w:kern w:val="2"/>
          <w:sz w:val="32"/>
          <w:szCs w:val="32"/>
          <w:highlight w:val="none"/>
          <w:u w:val="none"/>
          <w:lang w:val="en-US" w:eastAsia="zh-CN" w:bidi="ar-SA"/>
        </w:rPr>
        <w:t>监管不到位，事故隐患排查不到位</w:t>
      </w:r>
      <w:r>
        <w:rPr>
          <w:rFonts w:hint="eastAsia" w:asciiTheme="minorAscii" w:hAnsiTheme="minorAscii" w:cstheme="minorBidi"/>
          <w:kern w:val="2"/>
          <w:sz w:val="32"/>
          <w:szCs w:val="32"/>
          <w:highlight w:val="none"/>
          <w:u w:val="none"/>
          <w:lang w:val="en-US" w:eastAsia="zh-CN" w:bidi="ar-SA"/>
        </w:rPr>
        <w:t>。</w:t>
      </w:r>
    </w:p>
    <w:p w14:paraId="33A08D2D">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heme="minorAscii" w:hAnsiTheme="minorAscii" w:cstheme="minorBidi"/>
          <w:kern w:val="2"/>
          <w:sz w:val="32"/>
          <w:szCs w:val="32"/>
          <w:highlight w:val="none"/>
          <w:u w:val="none"/>
          <w:lang w:val="en-US" w:eastAsia="zh-CN" w:bidi="ar-SA"/>
        </w:rPr>
      </w:pPr>
      <w:r>
        <w:rPr>
          <w:rFonts w:hint="eastAsia" w:ascii="楷体_GB2312" w:hAnsi="楷体_GB2312" w:eastAsia="楷体_GB2312" w:cs="楷体_GB2312"/>
          <w:kern w:val="2"/>
          <w:sz w:val="32"/>
          <w:szCs w:val="32"/>
          <w:highlight w:val="none"/>
          <w:u w:val="none"/>
          <w:lang w:val="en-US" w:eastAsia="zh-CN" w:bidi="ar-SA"/>
        </w:rPr>
        <w:t>2.专业分包单位违法分包。</w:t>
      </w:r>
      <w:r>
        <w:rPr>
          <w:rFonts w:hint="eastAsia" w:asciiTheme="minorAscii" w:hAnsiTheme="minorAscii" w:cstheme="minorBidi"/>
          <w:kern w:val="2"/>
          <w:sz w:val="32"/>
          <w:szCs w:val="32"/>
          <w:highlight w:val="none"/>
          <w:u w:val="none"/>
          <w:lang w:val="en-US" w:eastAsia="zh-CN" w:bidi="ar-SA"/>
        </w:rPr>
        <w:t>x光公司违法将项目发包给不具有施工资质的x速公司。</w:t>
      </w:r>
    </w:p>
    <w:p w14:paraId="4A22A0AC">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sz w:val="32"/>
          <w:szCs w:val="28"/>
          <w:highlight w:val="none"/>
          <w:u w:val="none"/>
          <w:lang w:val="en-US" w:eastAsia="zh-CN"/>
        </w:rPr>
      </w:pPr>
      <w:r>
        <w:rPr>
          <w:rFonts w:hint="eastAsia" w:ascii="楷体_GB2312" w:hAnsi="楷体_GB2312" w:eastAsia="楷体_GB2312" w:cs="楷体_GB2312"/>
          <w:kern w:val="2"/>
          <w:sz w:val="32"/>
          <w:szCs w:val="32"/>
          <w:highlight w:val="none"/>
          <w:u w:val="none"/>
          <w:lang w:val="en-US" w:eastAsia="zh-CN" w:bidi="ar-SA"/>
        </w:rPr>
        <w:t>3.监理单位未严格落实安全监理职责。</w:t>
      </w:r>
      <w:r>
        <w:rPr>
          <w:rFonts w:hint="eastAsia" w:asciiTheme="minorAscii" w:hAnsiTheme="minorAscii" w:cstheme="minorBidi"/>
          <w:kern w:val="2"/>
          <w:sz w:val="32"/>
          <w:szCs w:val="32"/>
          <w:highlight w:val="none"/>
          <w:u w:val="none"/>
          <w:lang w:val="en-US" w:eastAsia="zh-CN" w:bidi="ar-SA"/>
        </w:rPr>
        <w:t>xx安公司审查</w:t>
      </w:r>
      <w:r>
        <w:rPr>
          <w:rFonts w:hint="eastAsia" w:ascii="仿宋_GB2312" w:hAnsi="仿宋_GB2312" w:eastAsia="仿宋_GB2312" w:cs="仿宋_GB2312"/>
          <w:kern w:val="2"/>
          <w:sz w:val="32"/>
          <w:szCs w:val="32"/>
          <w:highlight w:val="none"/>
          <w:u w:val="none"/>
          <w:lang w:val="en-US" w:eastAsia="zh-CN" w:bidi="ar-SA"/>
        </w:rPr>
        <w:t>工作</w:t>
      </w:r>
      <w:r>
        <w:rPr>
          <w:rFonts w:hint="eastAsia"/>
          <w:sz w:val="32"/>
          <w:szCs w:val="28"/>
          <w:highlight w:val="none"/>
          <w:u w:val="none"/>
          <w:lang w:val="en-US" w:eastAsia="zh-CN"/>
        </w:rPr>
        <w:t>流于形式，</w:t>
      </w:r>
      <w:r>
        <w:rPr>
          <w:rFonts w:hint="eastAsia" w:asciiTheme="minorAscii" w:hAnsiTheme="minorAscii" w:cstheme="minorBidi"/>
          <w:kern w:val="2"/>
          <w:sz w:val="32"/>
          <w:szCs w:val="32"/>
          <w:highlight w:val="none"/>
          <w:u w:val="none"/>
          <w:lang w:val="en-US" w:eastAsia="zh-CN" w:bidi="ar-SA"/>
        </w:rPr>
        <w:t>未能及时审查发现并制止不具有施工资质的劳务分包企业及其人员入场施工；</w:t>
      </w:r>
      <w:r>
        <w:rPr>
          <w:rFonts w:hint="eastAsia"/>
          <w:sz w:val="32"/>
          <w:szCs w:val="28"/>
          <w:highlight w:val="none"/>
          <w:u w:val="none"/>
          <w:lang w:val="en-US" w:eastAsia="zh-CN"/>
        </w:rPr>
        <w:t>现场监理巡查不到位；安全生产隐患排查不到位、风险管控不到位；未严格落实旁站工作。</w:t>
      </w:r>
    </w:p>
    <w:p w14:paraId="762210A5">
      <w:pPr>
        <w:pStyle w:val="4"/>
        <w:pageBreakBefore w:val="0"/>
        <w:numPr>
          <w:ilvl w:val="0"/>
          <w:numId w:val="4"/>
        </w:numPr>
        <w:kinsoku/>
        <w:wordWrap/>
        <w:overflowPunct/>
        <w:topLinePunct w:val="0"/>
        <w:autoSpaceDE/>
        <w:autoSpaceDN/>
        <w:bidi w:val="0"/>
        <w:adjustRightInd/>
        <w:snapToGrid/>
        <w:spacing w:line="600" w:lineRule="exact"/>
        <w:textAlignment w:val="auto"/>
        <w:rPr>
          <w:rFonts w:hint="default"/>
          <w:highlight w:val="none"/>
          <w:u w:val="none"/>
          <w:lang w:val="en-US" w:eastAsia="zh-CN"/>
        </w:rPr>
      </w:pPr>
      <w:bookmarkStart w:id="33" w:name="_Toc3119"/>
      <w:r>
        <w:rPr>
          <w:rFonts w:hint="eastAsia"/>
          <w:highlight w:val="none"/>
          <w:u w:val="none"/>
          <w:lang w:val="en-US" w:eastAsia="zh-CN"/>
        </w:rPr>
        <w:t>事故防范措施建议</w:t>
      </w:r>
      <w:bookmarkEnd w:id="33"/>
    </w:p>
    <w:p w14:paraId="179AABD4">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28"/>
          <w:highlight w:val="none"/>
          <w:u w:val="none"/>
          <w:lang w:val="en-US" w:eastAsia="zh-CN"/>
        </w:rPr>
      </w:pPr>
      <w:r>
        <w:rPr>
          <w:rFonts w:hint="eastAsia" w:ascii="楷体_GB2312" w:hAnsi="楷体_GB2312" w:eastAsia="楷体_GB2312" w:cs="楷体_GB2312"/>
          <w:sz w:val="32"/>
          <w:szCs w:val="28"/>
          <w:highlight w:val="none"/>
          <w:u w:val="none"/>
          <w:lang w:val="en-US" w:eastAsia="zh-CN"/>
        </w:rPr>
        <w:t>1.进一步强化安全监管，开展安全隐患大排查</w:t>
      </w:r>
    </w:p>
    <w:p w14:paraId="6252F4B7">
      <w:pPr>
        <w:pStyle w:val="14"/>
        <w:pageBreakBefore w:val="0"/>
        <w:widowControl/>
        <w:shd w:val="clear" w:color="auto" w:fill="FFFFFF"/>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Tahoma"/>
          <w:sz w:val="32"/>
          <w:szCs w:val="32"/>
          <w:highlight w:val="none"/>
          <w:u w:val="none"/>
          <w:lang w:val="en-US" w:eastAsia="zh-CN"/>
        </w:rPr>
      </w:pPr>
      <w:r>
        <w:rPr>
          <w:rFonts w:hint="eastAsia" w:ascii="仿宋_GB2312" w:hAnsi="Tahoma"/>
          <w:sz w:val="32"/>
          <w:szCs w:val="32"/>
          <w:highlight w:val="none"/>
          <w:u w:val="none"/>
          <w:lang w:val="en-US" w:eastAsia="zh-CN"/>
        </w:rPr>
        <w:t>乐昌市发展和改革局、乐昌市云岩镇人民政府必须按照“管行业必须管安全、管业务必须管安全、管生产经营必须管安全”要求，深刻吸取此次事故教训，改进和完善今后的安全生产工作，进一步切实落实监管部门主体责任，加强监管，减少和避免类似事故发生。</w:t>
      </w:r>
    </w:p>
    <w:p w14:paraId="273011A9">
      <w:pPr>
        <w:pStyle w:val="14"/>
        <w:pageBreakBefore w:val="0"/>
        <w:widowControl/>
        <w:shd w:val="clear" w:color="auto" w:fill="FFFFFF"/>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仿宋_GB2312" w:hAnsi="Tahoma"/>
          <w:sz w:val="32"/>
          <w:szCs w:val="32"/>
          <w:highlight w:val="none"/>
          <w:u w:val="none"/>
          <w:lang w:val="en-US" w:eastAsia="zh-CN"/>
        </w:rPr>
      </w:pPr>
      <w:r>
        <w:rPr>
          <w:rFonts w:hint="eastAsia" w:ascii="仿宋_GB2312" w:hAnsi="Tahoma"/>
          <w:sz w:val="32"/>
          <w:szCs w:val="32"/>
          <w:highlight w:val="none"/>
          <w:u w:val="none"/>
          <w:lang w:val="en-US" w:eastAsia="zh-CN"/>
        </w:rPr>
        <w:t>针对此次事故暴露的突出问题，建议乐昌市发展和改革局、乐昌市云岩镇人民政府根据行业监管职责、属地监管职责责令事故有关单位进行隐患排查和整改，并组织开展安全生产大检查，检查监管行业、监管辖区相关项目流程手续是否齐备、施工企业及其人员是否持有相应有效资质；督促事故责任单位整改落实此事故调查报告中提出的措施建议，落实闭环管理要求。</w:t>
      </w:r>
    </w:p>
    <w:p w14:paraId="1E91F856">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28"/>
          <w:highlight w:val="none"/>
          <w:u w:val="none"/>
          <w:lang w:val="en-US" w:eastAsia="zh-CN"/>
        </w:rPr>
      </w:pPr>
      <w:r>
        <w:rPr>
          <w:rFonts w:hint="eastAsia" w:ascii="楷体_GB2312" w:hAnsi="楷体_GB2312" w:eastAsia="楷体_GB2312" w:cs="楷体_GB2312"/>
          <w:sz w:val="32"/>
          <w:szCs w:val="28"/>
          <w:highlight w:val="none"/>
          <w:u w:val="none"/>
          <w:lang w:val="en-US" w:eastAsia="zh-CN"/>
        </w:rPr>
        <w:t>2.企业要压紧压实安全生产主体责任</w:t>
      </w:r>
    </w:p>
    <w:p w14:paraId="2FD44B6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Tahoma"/>
          <w:sz w:val="32"/>
          <w:szCs w:val="32"/>
          <w:highlight w:val="none"/>
          <w:u w:val="none"/>
          <w:lang w:val="en-US" w:eastAsia="zh-CN"/>
        </w:rPr>
      </w:pPr>
      <w:r>
        <w:rPr>
          <w:rFonts w:hint="eastAsia" w:ascii="仿宋_GB2312" w:hAnsi="Tahoma"/>
          <w:sz w:val="32"/>
          <w:szCs w:val="32"/>
          <w:highlight w:val="none"/>
          <w:u w:val="none"/>
          <w:lang w:val="en-US" w:eastAsia="zh-CN"/>
        </w:rPr>
        <w:t>x速公司要牢记事故教训，深刻检讨反思，切实落实安全生产主体责任；切实落实安全生产教育和培训工作，如实记录相关情况，提高员工安全生产认识水平，切实按照安全生产规章制度和安全操作规程规范操作；积极、有效开展地毯式安全生产隐患排查工作，切实有效落实整改。</w:t>
      </w:r>
    </w:p>
    <w:p w14:paraId="39D9A481">
      <w:pPr>
        <w:pStyle w:val="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ahoma"/>
          <w:sz w:val="32"/>
          <w:szCs w:val="32"/>
          <w:highlight w:val="none"/>
          <w:u w:val="none"/>
          <w:lang w:val="en-US" w:eastAsia="zh-CN"/>
        </w:rPr>
      </w:pPr>
      <w:r>
        <w:rPr>
          <w:rFonts w:hint="eastAsia"/>
          <w:lang w:val="en-US" w:eastAsia="zh-CN"/>
        </w:rPr>
        <w:t>x光公司</w:t>
      </w:r>
      <w:r>
        <w:rPr>
          <w:rFonts w:hint="eastAsia" w:ascii="仿宋_GB2312" w:hAnsi="Tahoma"/>
          <w:sz w:val="32"/>
          <w:szCs w:val="32"/>
          <w:highlight w:val="none"/>
          <w:u w:val="none"/>
          <w:lang w:val="en-US" w:eastAsia="zh-CN"/>
        </w:rPr>
        <w:t>要牢记事故教训，深刻检讨反思，切实落实安全生产主体责任，全面审查企业项目是否合法分包，加强分包项目安全生产监管工作；切实开展安全生产教育和培训工作，提高安全管理人员的安全管理水平；切实落实安全生产隐患排查整改工作。</w:t>
      </w:r>
    </w:p>
    <w:p w14:paraId="6C176271">
      <w:pPr>
        <w:pStyle w:val="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ahoma"/>
          <w:sz w:val="32"/>
          <w:szCs w:val="32"/>
          <w:highlight w:val="none"/>
          <w:u w:val="none"/>
          <w:lang w:val="en-US" w:eastAsia="zh-CN"/>
        </w:rPr>
      </w:pPr>
      <w:r>
        <w:rPr>
          <w:rFonts w:hint="eastAsia" w:ascii="仿宋_GB2312" w:hAnsi="Tahoma"/>
          <w:sz w:val="32"/>
          <w:szCs w:val="32"/>
          <w:highlight w:val="none"/>
          <w:u w:val="none"/>
          <w:lang w:val="en-US" w:eastAsia="zh-CN"/>
        </w:rPr>
        <w:t>xx安公司要切实落实监理职责，严格按照工程建设的法律、法规和监理合同等要求，依法履行对工程安全生产管理的法定职责，切实发挥施工现场监理管控作用，对监理过程中发现的安全隐患和问题，要及时责令施工单位整改并复查整改情况，拒不整改的按规定向建设单位和行业主管部门报告。</w:t>
      </w:r>
    </w:p>
    <w:p w14:paraId="32A60B59">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ahoma"/>
          <w:sz w:val="32"/>
          <w:szCs w:val="32"/>
          <w:highlight w:val="none"/>
          <w:u w:val="none"/>
          <w:lang w:val="en-US" w:eastAsia="zh-CN"/>
        </w:rPr>
      </w:pPr>
    </w:p>
    <w:p w14:paraId="4CD30DD4">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Tahoma"/>
          <w:sz w:val="32"/>
          <w:szCs w:val="32"/>
          <w:highlight w:val="none"/>
          <w:u w:val="none"/>
          <w:lang w:val="en-US" w:eastAsia="zh-CN"/>
        </w:rPr>
      </w:pPr>
    </w:p>
    <w:p w14:paraId="56827AFF">
      <w:pPr>
        <w:pStyle w:val="6"/>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Tahoma"/>
          <w:sz w:val="32"/>
          <w:szCs w:val="32"/>
          <w:highlight w:val="none"/>
          <w:u w:val="none"/>
          <w:lang w:val="en-US" w:eastAsia="zh-CN"/>
        </w:rPr>
      </w:pPr>
    </w:p>
    <w:p w14:paraId="0C3A145A">
      <w:pPr>
        <w:pageBreakBefore w:val="0"/>
        <w:kinsoku/>
        <w:overflowPunct/>
        <w:topLinePunct w:val="0"/>
        <w:autoSpaceDE/>
        <w:autoSpaceDN/>
        <w:bidi w:val="0"/>
        <w:adjustRightInd/>
        <w:snapToGrid/>
        <w:spacing w:line="600" w:lineRule="exact"/>
        <w:ind w:firstLine="640" w:firstLineChars="200"/>
        <w:jc w:val="right"/>
        <w:rPr>
          <w:rFonts w:hint="eastAsia" w:ascii="仿宋_GB2312" w:hAnsi="仿宋_GB2312" w:eastAsia="仿宋_GB2312" w:cs="仿宋_GB2312"/>
          <w:highlight w:val="none"/>
          <w:u w:val="none"/>
        </w:rPr>
      </w:pPr>
      <w:r>
        <w:rPr>
          <w:rFonts w:hint="eastAsia" w:ascii="仿宋_GB2312" w:hAnsi="仿宋_GB2312" w:eastAsia="仿宋_GB2312" w:cs="仿宋_GB2312"/>
          <w:highlight w:val="none"/>
          <w:u w:val="none"/>
        </w:rPr>
        <w:t>广州发展乐昌云岩100MW农光互补光伏项目</w:t>
      </w:r>
    </w:p>
    <w:p w14:paraId="0BB9BEC9">
      <w:pPr>
        <w:pageBreakBefore w:val="0"/>
        <w:kinsoku/>
        <w:wordWrap w:val="0"/>
        <w:overflowPunct/>
        <w:topLinePunct w:val="0"/>
        <w:autoSpaceDE/>
        <w:autoSpaceDN/>
        <w:bidi w:val="0"/>
        <w:adjustRightInd/>
        <w:snapToGrid/>
        <w:spacing w:line="600" w:lineRule="exact"/>
        <w:ind w:firstLine="640" w:firstLineChars="200"/>
        <w:jc w:val="right"/>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highlight w:val="none"/>
          <w:u w:val="none"/>
        </w:rPr>
        <w:t>“10·2”一般物体打击事故</w:t>
      </w:r>
      <w:r>
        <w:rPr>
          <w:rFonts w:hint="eastAsia" w:ascii="仿宋_GB2312" w:hAnsi="仿宋_GB2312" w:eastAsia="仿宋_GB2312" w:cs="仿宋_GB2312"/>
          <w:highlight w:val="none"/>
          <w:u w:val="none"/>
          <w:lang w:val="en-US" w:eastAsia="zh-CN"/>
        </w:rPr>
        <w:t>调查组</w:t>
      </w:r>
      <w:r>
        <w:rPr>
          <w:rFonts w:hint="eastAsia" w:ascii="仿宋_GB2312" w:hAnsi="仿宋_GB2312" w:cs="仿宋_GB2312"/>
          <w:highlight w:val="none"/>
          <w:u w:val="none"/>
          <w:lang w:val="en-US" w:eastAsia="zh-CN"/>
        </w:rPr>
        <w:t>（代章）</w:t>
      </w:r>
    </w:p>
    <w:p w14:paraId="3280A4CC">
      <w:pPr>
        <w:pageBreakBefore w:val="0"/>
        <w:kinsoku/>
        <w:wordWrap w:val="0"/>
        <w:overflowPunct/>
        <w:topLinePunct w:val="0"/>
        <w:autoSpaceDE/>
        <w:autoSpaceDN/>
        <w:bidi w:val="0"/>
        <w:adjustRightInd/>
        <w:snapToGrid/>
        <w:spacing w:line="600" w:lineRule="exact"/>
        <w:ind w:firstLine="640" w:firstLineChars="200"/>
        <w:jc w:val="right"/>
        <w:rPr>
          <w:rFonts w:hint="eastAsia" w:ascii="仿宋_GB2312" w:hAnsi="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2024年</w:t>
      </w:r>
      <w:r>
        <w:rPr>
          <w:rFonts w:hint="eastAsia" w:ascii="仿宋_GB2312" w:hAnsi="仿宋_GB2312" w:cs="仿宋_GB2312"/>
          <w:sz w:val="32"/>
          <w:szCs w:val="32"/>
          <w:highlight w:val="none"/>
          <w:u w:val="none"/>
          <w:lang w:val="en-US" w:eastAsia="zh-CN"/>
        </w:rPr>
        <w:t>11</w:t>
      </w:r>
      <w:r>
        <w:rPr>
          <w:rFonts w:hint="eastAsia" w:ascii="仿宋_GB2312" w:hAnsi="仿宋_GB2312" w:eastAsia="仿宋_GB2312" w:cs="仿宋_GB2312"/>
          <w:sz w:val="32"/>
          <w:szCs w:val="32"/>
          <w:highlight w:val="none"/>
          <w:u w:val="none"/>
          <w:lang w:val="en-US" w:eastAsia="zh-CN"/>
        </w:rPr>
        <w:t>月</w:t>
      </w:r>
      <w:r>
        <w:rPr>
          <w:rFonts w:hint="eastAsia" w:ascii="仿宋_GB2312" w:hAnsi="仿宋_GB2312" w:cs="仿宋_GB2312"/>
          <w:sz w:val="32"/>
          <w:szCs w:val="32"/>
          <w:highlight w:val="none"/>
          <w:u w:val="none"/>
          <w:lang w:val="en-US" w:eastAsia="zh-CN"/>
        </w:rPr>
        <w:t>29</w:t>
      </w:r>
      <w:r>
        <w:rPr>
          <w:rFonts w:hint="eastAsia" w:ascii="仿宋_GB2312" w:hAnsi="仿宋_GB2312" w:eastAsia="仿宋_GB2312" w:cs="仿宋_GB2312"/>
          <w:sz w:val="32"/>
          <w:szCs w:val="32"/>
          <w:highlight w:val="none"/>
          <w:u w:val="none"/>
          <w:lang w:val="en-US" w:eastAsia="zh-CN"/>
        </w:rPr>
        <w:t>日</w:t>
      </w:r>
      <w:r>
        <w:rPr>
          <w:rFonts w:hint="eastAsia" w:ascii="仿宋_GB2312" w:hAnsi="仿宋_GB2312" w:cs="仿宋_GB2312"/>
          <w:sz w:val="32"/>
          <w:szCs w:val="32"/>
          <w:highlight w:val="none"/>
          <w:u w:val="none"/>
          <w:lang w:val="en-US" w:eastAsia="zh-CN"/>
        </w:rPr>
        <w:t xml:space="preserve">        </w:t>
      </w:r>
    </w:p>
    <w:p w14:paraId="39897E49">
      <w:pPr>
        <w:pageBreakBefore w:val="0"/>
        <w:kinsoku/>
        <w:wordWrap/>
        <w:overflowPunct/>
        <w:topLinePunct w:val="0"/>
        <w:autoSpaceDE/>
        <w:autoSpaceDN/>
        <w:bidi w:val="0"/>
        <w:adjustRightInd/>
        <w:snapToGrid/>
        <w:spacing w:line="600" w:lineRule="exact"/>
        <w:ind w:firstLine="640" w:firstLineChars="200"/>
        <w:jc w:val="right"/>
        <w:rPr>
          <w:rFonts w:hint="eastAsia" w:ascii="仿宋_GB2312" w:hAnsi="仿宋_GB2312" w:cs="仿宋_GB2312"/>
          <w:sz w:val="32"/>
          <w:szCs w:val="32"/>
          <w:highlight w:val="none"/>
          <w:u w:val="none"/>
          <w:lang w:val="en-US" w:eastAsia="zh-CN"/>
        </w:rPr>
      </w:pPr>
    </w:p>
    <w:p w14:paraId="392B4CE1">
      <w:pPr>
        <w:pageBreakBefore w:val="0"/>
        <w:kinsoku/>
        <w:wordWrap/>
        <w:overflowPunct/>
        <w:topLinePunct w:val="0"/>
        <w:autoSpaceDE/>
        <w:autoSpaceDN/>
        <w:bidi w:val="0"/>
        <w:adjustRightInd/>
        <w:snapToGrid/>
        <w:spacing w:line="600" w:lineRule="exact"/>
        <w:jc w:val="both"/>
        <w:rPr>
          <w:rFonts w:hint="eastAsia" w:ascii="仿宋_GB2312" w:hAnsi="仿宋_GB2312" w:cs="仿宋_GB2312"/>
          <w:sz w:val="32"/>
          <w:szCs w:val="32"/>
          <w:highlight w:val="none"/>
          <w:u w:val="none"/>
          <w:lang w:val="en-US" w:eastAsia="zh-CN"/>
        </w:rPr>
      </w:pPr>
    </w:p>
    <w:p w14:paraId="11EE4490">
      <w:pPr>
        <w:pageBreakBefore w:val="0"/>
        <w:kinsoku/>
        <w:wordWrap/>
        <w:overflowPunct/>
        <w:topLinePunct w:val="0"/>
        <w:autoSpaceDE/>
        <w:autoSpaceDN/>
        <w:bidi w:val="0"/>
        <w:adjustRightInd/>
        <w:snapToGrid/>
        <w:spacing w:line="600" w:lineRule="exact"/>
        <w:ind w:firstLine="640" w:firstLineChars="200"/>
        <w:jc w:val="left"/>
        <w:rPr>
          <w:rFonts w:hint="default" w:ascii="仿宋_GB2312" w:hAnsi="仿宋_GB2312" w:cs="仿宋_GB2312"/>
          <w:sz w:val="32"/>
          <w:szCs w:val="32"/>
          <w:highlight w:val="none"/>
          <w:u w:val="none"/>
          <w:lang w:val="en-US" w:eastAsia="zh-CN"/>
        </w:rPr>
      </w:pPr>
    </w:p>
    <w:sectPr>
      <w:footerReference r:id="rId7" w:type="default"/>
      <w:pgSz w:w="11906" w:h="16838"/>
      <w:pgMar w:top="1304" w:right="1474" w:bottom="1304" w:left="1587"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F09E5">
    <w:pPr>
      <w:pStyle w:val="9"/>
      <w:tabs>
        <w:tab w:val="right" w:pos="8845"/>
        <w:tab w:val="clear" w:pos="4153"/>
      </w:tabs>
    </w:pPr>
    <w:r>
      <w:rPr>
        <w:rFonts w:hint="eastAsia"/>
        <w:lang w:eastAsia="zh-CN"/>
      </w:rPr>
      <w:tab/>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BDFA6">
    <w:pPr>
      <w:pStyle w:val="9"/>
      <w:tabs>
        <w:tab w:val="right" w:pos="8845"/>
        <w:tab w:val="clear" w:pos="4153"/>
      </w:tabs>
    </w:pPr>
    <w:r>
      <w:rPr>
        <w:rFonts w:hint="eastAsia"/>
        <w:lang w:eastAsia="zh-CN"/>
      </w:rPr>
      <w:tab/>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984D6">
    <w:pPr>
      <w:pStyle w:val="9"/>
      <w:tabs>
        <w:tab w:val="right" w:pos="8845"/>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60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601">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4">
    <w:p>
      <w:pPr>
        <w:spacing w:line="240" w:lineRule="auto"/>
      </w:pPr>
      <w:r>
        <w:separator/>
      </w:r>
    </w:p>
  </w:footnote>
  <w:footnote w:type="continuationSeparator" w:id="35">
    <w:p>
      <w:pPr>
        <w:spacing w:line="240" w:lineRule="auto"/>
      </w:pPr>
      <w:r>
        <w:continuationSeparator/>
      </w:r>
    </w:p>
  </w:footnote>
  <w:footnote w:id="0">
    <w:p w14:paraId="2AA01593">
      <w:pPr>
        <w:pStyle w:val="12"/>
        <w:keepNext w:val="0"/>
        <w:keepLines w:val="0"/>
        <w:pageBreakBefore w:val="0"/>
        <w:widowControl w:val="0"/>
        <w:kinsoku/>
        <w:wordWrap/>
        <w:overflowPunct/>
        <w:topLinePunct w:val="0"/>
        <w:bidi w:val="0"/>
        <w:adjustRightInd/>
        <w:snapToGrid w:val="0"/>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第八十四条：负有安全生产监督管理职责的部门接到事故报告后，应当立即按照国家有关规定上报事故情况。负有安全生产监督管理职责的部门和有关地方人民政府对事故情况不得隐瞒不报、谎报或者迟报。</w:t>
      </w:r>
    </w:p>
  </w:footnote>
  <w:footnote w:id="1">
    <w:p w14:paraId="6FD445F8">
      <w:pPr>
        <w:pStyle w:val="12"/>
        <w:keepNext w:val="0"/>
        <w:keepLines w:val="0"/>
        <w:pageBreakBefore w:val="0"/>
        <w:widowControl w:val="0"/>
        <w:kinsoku/>
        <w:wordWrap/>
        <w:overflowPunct/>
        <w:topLinePunct w:val="0"/>
        <w:bidi w:val="0"/>
        <w:adjustRightInd/>
        <w:snapToGrid w:val="0"/>
        <w:spacing w:line="240" w:lineRule="auto"/>
        <w:ind w:firstLine="0" w:firstLineChars="0"/>
        <w:textAlignment w:val="auto"/>
        <w:rPr>
          <w:rFonts w:hint="eastAsia" w:asciiTheme="minorEastAsia" w:hAnsiTheme="minorEastAsia" w:eastAsiaTheme="minorEastAsia" w:cstheme="minorEastAsia"/>
          <w:sz w:val="18"/>
          <w:szCs w:val="18"/>
          <w:lang w:val="en-US"/>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]《生产安全事故报告和调查处理条例》第十一条：安全生产监督管理部门和负有安全生产监督管理职责的有关部门逐级上报事故情况，每级上报的时间不得超过2小时。</w:t>
      </w:r>
    </w:p>
  </w:footnote>
  <w:footnote w:id="2">
    <w:p w14:paraId="471B4925">
      <w:pPr>
        <w:pStyle w:val="12"/>
        <w:keepNext w:val="0"/>
        <w:keepLines w:val="0"/>
        <w:pageBreakBefore w:val="0"/>
        <w:widowControl w:val="0"/>
        <w:kinsoku/>
        <w:wordWrap/>
        <w:overflowPunct/>
        <w:topLinePunct w:val="0"/>
        <w:bidi w:val="0"/>
        <w:adjustRightInd/>
        <w:snapToGrid w:val="0"/>
        <w:spacing w:line="240" w:lineRule="auto"/>
        <w:textAlignment w:val="auto"/>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中华人民共和国刑法》第一百三十四条第二款：强令他人违章冒险作业，或者明知存在重大事故隐患而不排除，仍冒险组织作业，因而发生重大伤亡事故或者造成其他严重后果的，处五年以下有期徒刑或者拘役；情节特别恶劣的，处五年以上有期徒刑。</w:t>
      </w:r>
    </w:p>
  </w:footnote>
  <w:footnote w:id="3">
    <w:p w14:paraId="65B83527">
      <w:pPr>
        <w:pStyle w:val="12"/>
        <w:keepNext w:val="0"/>
        <w:keepLines w:val="0"/>
        <w:pageBreakBefore w:val="0"/>
        <w:widowControl w:val="0"/>
        <w:kinsoku/>
        <w:wordWrap/>
        <w:overflowPunct/>
        <w:topLinePunct w:val="0"/>
        <w:bidi w:val="0"/>
        <w:adjustRightInd/>
        <w:snapToGrid w:val="0"/>
        <w:spacing w:line="240" w:lineRule="auto"/>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]《中华人民共和国安全生产法》第五十七条：从业人员在作业过程中，应当严格落实岗位安全责任，遵守本单位的安全生产规章制度和操作规程，服从管理，正确佩戴和使用劳动防护用品。</w:t>
      </w:r>
    </w:p>
  </w:footnote>
  <w:footnote w:id="4">
    <w:p w14:paraId="2FD4060E">
      <w:pPr>
        <w:pStyle w:val="12"/>
        <w:keepNext w:val="0"/>
        <w:keepLines w:val="0"/>
        <w:pageBreakBefore w:val="0"/>
        <w:widowControl w:val="0"/>
        <w:kinsoku/>
        <w:wordWrap/>
        <w:overflowPunct/>
        <w:topLinePunct w:val="0"/>
        <w:bidi w:val="0"/>
        <w:adjustRightInd/>
        <w:snapToGrid w:val="0"/>
        <w:spacing w:line="240" w:lineRule="auto"/>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中华人民共和国安全生产法》第二十一条第（一）、（二）、（三）、（五）、（七）项：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七）及时、如实报告生产安全事故。</w:t>
      </w:r>
    </w:p>
  </w:footnote>
  <w:footnote w:id="5">
    <w:p w14:paraId="1BFEBC69">
      <w:pPr>
        <w:pStyle w:val="12"/>
        <w:keepNext w:val="0"/>
        <w:keepLines w:val="0"/>
        <w:pageBreakBefore w:val="0"/>
        <w:widowControl w:val="0"/>
        <w:kinsoku/>
        <w:wordWrap/>
        <w:overflowPunct/>
        <w:topLinePunct w:val="0"/>
        <w:bidi w:val="0"/>
        <w:adjustRightInd/>
        <w:snapToGrid w:val="0"/>
        <w:spacing w:line="240" w:lineRule="auto"/>
        <w:textAlignment w:val="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中华人民共和国安全生产法》第九十五条第（一）项：生产经营单位的主要负责人未履行本法规定的安全生产管理职责，导致发生生产安全事故的，由应急管理部门依照下列规定处以罚款:（一）发生一般事故的，处上一</w:t>
      </w:r>
      <w:r>
        <w:rPr>
          <w:rFonts w:hint="eastAsia" w:asciiTheme="minorEastAsia" w:hAnsiTheme="minorEastAsia" w:eastAsiaTheme="minorEastAsia" w:cstheme="minorEastAsia"/>
          <w:sz w:val="18"/>
          <w:szCs w:val="18"/>
          <w:lang w:val="en-US" w:eastAsia="zh-CN"/>
        </w:rPr>
        <w:t>年年收入百分之四十的罚款。</w:t>
      </w:r>
    </w:p>
  </w:footnote>
  <w:footnote w:id="6">
    <w:p w14:paraId="795B2C16">
      <w:pPr>
        <w:pStyle w:val="12"/>
        <w:keepNext w:val="0"/>
        <w:keepLines w:val="0"/>
        <w:pageBreakBefore w:val="0"/>
        <w:widowControl w:val="0"/>
        <w:kinsoku/>
        <w:wordWrap/>
        <w:overflowPunct/>
        <w:topLinePunct w:val="0"/>
        <w:bidi w:val="0"/>
        <w:adjustRightInd/>
        <w:snapToGrid w:val="0"/>
        <w:spacing w:line="240" w:lineRule="auto"/>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第一百一十条：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  生产经营单位的主要负责人对生产安全事故隐瞒不报、谎报或者迟报的，依照前款规定处罚。</w:t>
      </w:r>
    </w:p>
  </w:footnote>
  <w:footnote w:id="7">
    <w:p w14:paraId="12720443">
      <w:pPr>
        <w:pStyle w:val="12"/>
        <w:keepNext w:val="0"/>
        <w:keepLines w:val="0"/>
        <w:pageBreakBefore w:val="0"/>
        <w:widowControl w:val="0"/>
        <w:kinsoku/>
        <w:wordWrap/>
        <w:overflowPunct/>
        <w:topLinePunct w:val="0"/>
        <w:bidi w:val="0"/>
        <w:adjustRightInd/>
        <w:snapToGrid w:val="0"/>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]《中华人民共和国安全生产法</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第二十五条</w:t>
      </w:r>
      <w:r>
        <w:rPr>
          <w:rFonts w:hint="eastAsia" w:asciiTheme="minorEastAsia" w:hAnsiTheme="minorEastAsia" w:eastAsiaTheme="minorEastAsia" w:cstheme="minorEastAsia"/>
          <w:kern w:val="2"/>
          <w:sz w:val="18"/>
          <w:szCs w:val="18"/>
          <w:lang w:val="en-US" w:eastAsia="zh-CN" w:bidi="ar-SA"/>
        </w:rPr>
        <w:t>第（二）、（五）、（六）、（七）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七）督促落实本单位安全生产整改措施。</w:t>
      </w:r>
    </w:p>
  </w:footnote>
  <w:footnote w:id="8">
    <w:p w14:paraId="2D932473">
      <w:pPr>
        <w:pStyle w:val="12"/>
        <w:keepNext w:val="0"/>
        <w:keepLines w:val="0"/>
        <w:pageBreakBefore w:val="0"/>
        <w:widowControl w:val="0"/>
        <w:kinsoku/>
        <w:wordWrap/>
        <w:overflowPunct/>
        <w:topLinePunct w:val="0"/>
        <w:bidi w:val="0"/>
        <w:adjustRightInd/>
        <w:snapToGrid w:val="0"/>
        <w:spacing w:line="240" w:lineRule="auto"/>
        <w:textAlignment w:val="auto"/>
        <w:rPr>
          <w:rFonts w:hint="default"/>
          <w:lang w:val="en-US"/>
        </w:rPr>
      </w:pPr>
      <w:r>
        <w:rPr>
          <w:rFonts w:hint="eastAsia" w:asciiTheme="minorEastAsia" w:hAnsiTheme="minorEastAsia" w:eastAsiaTheme="minorEastAsia" w:cstheme="minorEastAsia"/>
          <w:kern w:val="2"/>
          <w:sz w:val="18"/>
          <w:szCs w:val="18"/>
          <w:lang w:val="en-US" w:eastAsia="zh-CN" w:bidi="ar-SA"/>
        </w:rPr>
        <w:t>[</w:t>
      </w:r>
      <w:r>
        <w:rPr>
          <w:rFonts w:hint="eastAsia" w:asciiTheme="minorEastAsia" w:hAnsiTheme="minorEastAsia" w:eastAsiaTheme="minorEastAsia" w:cstheme="minorEastAsia"/>
          <w:kern w:val="2"/>
          <w:sz w:val="18"/>
          <w:szCs w:val="18"/>
          <w:lang w:val="en-US" w:eastAsia="zh-CN" w:bidi="ar-SA"/>
        </w:rPr>
        <w:footnoteRef/>
      </w:r>
      <w:r>
        <w:rPr>
          <w:rFonts w:hint="eastAsia" w:asciiTheme="minorEastAsia" w:hAnsiTheme="minorEastAsia" w:eastAsiaTheme="minorEastAsia" w:cstheme="minorEastAsia"/>
          <w:kern w:val="2"/>
          <w:sz w:val="18"/>
          <w:szCs w:val="18"/>
          <w:lang w:val="en-US" w:eastAsia="zh-CN" w:bidi="ar-SA"/>
        </w:rPr>
        <w:t>]《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9">
    <w:p w14:paraId="51D72205">
      <w:pPr>
        <w:pStyle w:val="12"/>
        <w:keepNext w:val="0"/>
        <w:keepLines w:val="0"/>
        <w:pageBreakBefore w:val="0"/>
        <w:widowControl w:val="0"/>
        <w:kinsoku/>
        <w:wordWrap/>
        <w:overflowPunct/>
        <w:topLinePunct w:val="0"/>
        <w:bidi w:val="0"/>
        <w:adjustRightInd/>
        <w:snapToGrid w:val="0"/>
        <w:spacing w:line="240" w:lineRule="auto"/>
        <w:textAlignment w:val="auto"/>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highlight w:val="none"/>
          <w:lang w:val="en-US" w:eastAsia="zh-CN"/>
        </w:rPr>
        <w:footnoteRef/>
      </w:r>
      <w:r>
        <w:rPr>
          <w:rFonts w:hint="eastAsia" w:asciiTheme="minorEastAsia" w:hAnsiTheme="minorEastAsia" w:eastAsiaTheme="minorEastAsia" w:cstheme="minorEastAsia"/>
          <w:color w:val="auto"/>
          <w:highlight w:val="none"/>
          <w:lang w:val="en-US" w:eastAsia="zh-CN"/>
        </w:rPr>
        <w:t>]《中华人民共和国安全生产法》第二十一条第（二）、（三）、（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footnote>
  <w:footnote w:id="10">
    <w:p w14:paraId="7D5F1F8C">
      <w:pPr>
        <w:pStyle w:val="12"/>
        <w:keepNext w:val="0"/>
        <w:keepLines w:val="0"/>
        <w:pageBreakBefore w:val="0"/>
        <w:widowControl w:val="0"/>
        <w:kinsoku/>
        <w:wordWrap/>
        <w:overflowPunct/>
        <w:topLinePunct w:val="0"/>
        <w:bidi w:val="0"/>
        <w:adjustRightInd/>
        <w:snapToGrid w:val="0"/>
        <w:spacing w:line="240" w:lineRule="auto"/>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]《中华人民共和国安全生产法》第八十三条：生产经营单位发生生产安全事故后，事故现场有关人员应当立即报告本单位负责人。      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footnote>
  <w:footnote w:id="11">
    <w:p w14:paraId="090F0464">
      <w:pPr>
        <w:pStyle w:val="12"/>
        <w:keepNext w:val="0"/>
        <w:keepLines w:val="0"/>
        <w:pageBreakBefore w:val="0"/>
        <w:widowControl w:val="0"/>
        <w:kinsoku/>
        <w:wordWrap/>
        <w:overflowPunct/>
        <w:topLinePunct w:val="0"/>
        <w:bidi w:val="0"/>
        <w:adjustRightInd/>
        <w:snapToGrid w:val="0"/>
        <w:spacing w:line="240" w:lineRule="auto"/>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footnote>
  <w:footnote w:id="12">
    <w:p w14:paraId="0ACDC97D">
      <w:pPr>
        <w:pStyle w:val="12"/>
        <w:keepNext w:val="0"/>
        <w:keepLines w:val="0"/>
        <w:pageBreakBefore w:val="0"/>
        <w:widowControl w:val="0"/>
        <w:kinsoku/>
        <w:wordWrap/>
        <w:overflowPunct/>
        <w:topLinePunct w:val="0"/>
        <w:bidi w:val="0"/>
        <w:adjustRightInd/>
        <w:snapToGrid w:val="0"/>
        <w:spacing w:line="240" w:lineRule="auto"/>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3">
    <w:p w14:paraId="59EC3C32">
      <w:pPr>
        <w:pStyle w:val="12"/>
        <w:keepNext w:val="0"/>
        <w:keepLines w:val="0"/>
        <w:pageBreakBefore w:val="0"/>
        <w:widowControl w:val="0"/>
        <w:kinsoku/>
        <w:wordWrap/>
        <w:overflowPunct/>
        <w:topLinePunct w:val="0"/>
        <w:bidi w:val="0"/>
        <w:adjustRightInd/>
        <w:snapToGrid w:val="0"/>
        <w:spacing w:line="240" w:lineRule="auto"/>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中华人民共和国安全生产法》第二十八条第一、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生产经营单位应当建立安全生产教育和培训档案，如实记录安全生产教育和培训的时间、内容、参加人员以及考核结果等情况。</w:t>
      </w:r>
    </w:p>
  </w:footnote>
  <w:footnote w:id="14">
    <w:p w14:paraId="0B9F45E9">
      <w:pPr>
        <w:pStyle w:val="12"/>
        <w:keepNext w:val="0"/>
        <w:keepLines w:val="0"/>
        <w:pageBreakBefore w:val="0"/>
        <w:widowControl w:val="0"/>
        <w:kinsoku/>
        <w:wordWrap/>
        <w:overflowPunct/>
        <w:topLinePunct w:val="0"/>
        <w:bidi w:val="0"/>
        <w:adjustRightInd/>
        <w:snapToGrid w:val="0"/>
        <w:spacing w:line="240" w:lineRule="auto"/>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5">
    <w:p w14:paraId="4486B41F">
      <w:pPr>
        <w:pStyle w:val="12"/>
        <w:keepNext w:val="0"/>
        <w:keepLines w:val="0"/>
        <w:pageBreakBefore w:val="0"/>
        <w:widowControl w:val="0"/>
        <w:kinsoku/>
        <w:wordWrap/>
        <w:overflowPunct/>
        <w:topLinePunct w:val="0"/>
        <w:bidi w:val="0"/>
        <w:adjustRightInd/>
        <w:snapToGrid w:val="0"/>
        <w:spacing w:line="240" w:lineRule="auto"/>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16">
    <w:p w14:paraId="6F797EA5">
      <w:pPr>
        <w:pStyle w:val="12"/>
        <w:keepNext w:val="0"/>
        <w:keepLines w:val="0"/>
        <w:pageBreakBefore w:val="0"/>
        <w:widowControl w:val="0"/>
        <w:kinsoku/>
        <w:wordWrap/>
        <w:overflowPunct/>
        <w:topLinePunct w:val="0"/>
        <w:bidi w:val="0"/>
        <w:adjustRightInd/>
        <w:snapToGrid w:val="0"/>
        <w:spacing w:line="240" w:lineRule="auto"/>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lang w:val="en-US" w:eastAsia="zh-CN"/>
        </w:rPr>
        <w:footnoteRef/>
      </w:r>
      <w:r>
        <w:rPr>
          <w:rFonts w:hint="eastAsia" w:asciiTheme="minorEastAsia" w:hAnsiTheme="minorEastAsia" w:eastAsiaTheme="minorEastAsia" w:cstheme="minorEastAsia"/>
          <w:lang w:val="en-US" w:eastAsia="zh-CN"/>
        </w:rPr>
        <w:t>]《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D9E91B"/>
    <w:multiLevelType w:val="singleLevel"/>
    <w:tmpl w:val="A2D9E91B"/>
    <w:lvl w:ilvl="0" w:tentative="0">
      <w:start w:val="1"/>
      <w:numFmt w:val="chineseCounting"/>
      <w:suff w:val="nothing"/>
      <w:lvlText w:val="（%1）"/>
      <w:lvlJc w:val="left"/>
      <w:rPr>
        <w:rFonts w:hint="eastAsia"/>
      </w:rPr>
    </w:lvl>
  </w:abstractNum>
  <w:abstractNum w:abstractNumId="1">
    <w:nsid w:val="1E0D0512"/>
    <w:multiLevelType w:val="singleLevel"/>
    <w:tmpl w:val="1E0D0512"/>
    <w:lvl w:ilvl="0" w:tentative="0">
      <w:start w:val="5"/>
      <w:numFmt w:val="chineseCounting"/>
      <w:suff w:val="nothing"/>
      <w:lvlText w:val="%1、"/>
      <w:lvlJc w:val="left"/>
      <w:rPr>
        <w:rFonts w:hint="eastAsia"/>
      </w:rPr>
    </w:lvl>
  </w:abstractNum>
  <w:abstractNum w:abstractNumId="2">
    <w:nsid w:val="346FFD49"/>
    <w:multiLevelType w:val="singleLevel"/>
    <w:tmpl w:val="346FFD49"/>
    <w:lvl w:ilvl="0" w:tentative="0">
      <w:start w:val="1"/>
      <w:numFmt w:val="chineseCounting"/>
      <w:suff w:val="nothing"/>
      <w:lvlText w:val="%1、"/>
      <w:lvlJc w:val="left"/>
      <w:rPr>
        <w:rFonts w:hint="eastAsia"/>
      </w:rPr>
    </w:lvl>
  </w:abstractNum>
  <w:abstractNum w:abstractNumId="3">
    <w:nsid w:val="5438174C"/>
    <w:multiLevelType w:val="singleLevel"/>
    <w:tmpl w:val="5438174C"/>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34"/>
    <w:footnote w:id="35"/>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5NmEyY2Q1MDFlYjI3YTkxYWNiOGQxNjk5YmYyMzQifQ=="/>
  </w:docVars>
  <w:rsids>
    <w:rsidRoot w:val="00172A27"/>
    <w:rsid w:val="002D4C10"/>
    <w:rsid w:val="00830D42"/>
    <w:rsid w:val="00DF252A"/>
    <w:rsid w:val="015C7941"/>
    <w:rsid w:val="01941FDF"/>
    <w:rsid w:val="01FD23F6"/>
    <w:rsid w:val="026E6F9B"/>
    <w:rsid w:val="028B19DE"/>
    <w:rsid w:val="02EA2E70"/>
    <w:rsid w:val="037C1244"/>
    <w:rsid w:val="03F434D0"/>
    <w:rsid w:val="04016699"/>
    <w:rsid w:val="0441634A"/>
    <w:rsid w:val="046A3369"/>
    <w:rsid w:val="04D6504B"/>
    <w:rsid w:val="04FE4BA6"/>
    <w:rsid w:val="04FE77D4"/>
    <w:rsid w:val="052D0A47"/>
    <w:rsid w:val="05962490"/>
    <w:rsid w:val="059B6C0C"/>
    <w:rsid w:val="060701FF"/>
    <w:rsid w:val="061740E3"/>
    <w:rsid w:val="065908C0"/>
    <w:rsid w:val="06796F86"/>
    <w:rsid w:val="069755AA"/>
    <w:rsid w:val="06B3696A"/>
    <w:rsid w:val="06CE5447"/>
    <w:rsid w:val="06D27AF8"/>
    <w:rsid w:val="06D633D2"/>
    <w:rsid w:val="06EC5B17"/>
    <w:rsid w:val="0721282E"/>
    <w:rsid w:val="07287718"/>
    <w:rsid w:val="077227F5"/>
    <w:rsid w:val="07AE0CAD"/>
    <w:rsid w:val="07D72EEC"/>
    <w:rsid w:val="08206A6C"/>
    <w:rsid w:val="082F13D5"/>
    <w:rsid w:val="085615E4"/>
    <w:rsid w:val="087940B6"/>
    <w:rsid w:val="08A90D2D"/>
    <w:rsid w:val="08B0331F"/>
    <w:rsid w:val="08E86A8A"/>
    <w:rsid w:val="08EB4EA1"/>
    <w:rsid w:val="090428C5"/>
    <w:rsid w:val="092B4FD8"/>
    <w:rsid w:val="09317709"/>
    <w:rsid w:val="096E4DB6"/>
    <w:rsid w:val="09E22B39"/>
    <w:rsid w:val="09FC79E3"/>
    <w:rsid w:val="0A5F47C6"/>
    <w:rsid w:val="0A7C47E0"/>
    <w:rsid w:val="0B1413E0"/>
    <w:rsid w:val="0B254996"/>
    <w:rsid w:val="0B705B32"/>
    <w:rsid w:val="0BA80D1B"/>
    <w:rsid w:val="0BBE064B"/>
    <w:rsid w:val="0BC42FE9"/>
    <w:rsid w:val="0BFD37E2"/>
    <w:rsid w:val="0C245A64"/>
    <w:rsid w:val="0C4E0F52"/>
    <w:rsid w:val="0C8A49D1"/>
    <w:rsid w:val="0CC90075"/>
    <w:rsid w:val="0D3F58FF"/>
    <w:rsid w:val="0DA90E87"/>
    <w:rsid w:val="0DAD5571"/>
    <w:rsid w:val="0DF1328C"/>
    <w:rsid w:val="0E3D24FD"/>
    <w:rsid w:val="0E745543"/>
    <w:rsid w:val="0EAC4429"/>
    <w:rsid w:val="0EEA5BFB"/>
    <w:rsid w:val="0EFE5203"/>
    <w:rsid w:val="0F2871F2"/>
    <w:rsid w:val="0F8E2A2A"/>
    <w:rsid w:val="0FB32534"/>
    <w:rsid w:val="0FBD737B"/>
    <w:rsid w:val="0FC8692C"/>
    <w:rsid w:val="0FDC5544"/>
    <w:rsid w:val="0FFF09AC"/>
    <w:rsid w:val="10234F21"/>
    <w:rsid w:val="1032597D"/>
    <w:rsid w:val="1034712E"/>
    <w:rsid w:val="104430E9"/>
    <w:rsid w:val="10815841"/>
    <w:rsid w:val="108665B6"/>
    <w:rsid w:val="10924B8D"/>
    <w:rsid w:val="10BC257C"/>
    <w:rsid w:val="11842910"/>
    <w:rsid w:val="11DE167C"/>
    <w:rsid w:val="11E048F7"/>
    <w:rsid w:val="123553DF"/>
    <w:rsid w:val="12785EBC"/>
    <w:rsid w:val="128123D2"/>
    <w:rsid w:val="1283439D"/>
    <w:rsid w:val="12F3399E"/>
    <w:rsid w:val="13113352"/>
    <w:rsid w:val="1356385F"/>
    <w:rsid w:val="137D5B6F"/>
    <w:rsid w:val="13877EBC"/>
    <w:rsid w:val="13E45929"/>
    <w:rsid w:val="13F75F72"/>
    <w:rsid w:val="141C5790"/>
    <w:rsid w:val="142E2D0C"/>
    <w:rsid w:val="14353475"/>
    <w:rsid w:val="14D37027"/>
    <w:rsid w:val="14F33AD1"/>
    <w:rsid w:val="14F72E20"/>
    <w:rsid w:val="15864A8A"/>
    <w:rsid w:val="159A3ED7"/>
    <w:rsid w:val="15A0686E"/>
    <w:rsid w:val="15B92E75"/>
    <w:rsid w:val="15D3045B"/>
    <w:rsid w:val="163E0882"/>
    <w:rsid w:val="166167A3"/>
    <w:rsid w:val="1666200B"/>
    <w:rsid w:val="167C58CA"/>
    <w:rsid w:val="16832BBD"/>
    <w:rsid w:val="16A45E6F"/>
    <w:rsid w:val="16A54D65"/>
    <w:rsid w:val="179A7016"/>
    <w:rsid w:val="17A72BDB"/>
    <w:rsid w:val="17BD5C5B"/>
    <w:rsid w:val="18151369"/>
    <w:rsid w:val="181A12FF"/>
    <w:rsid w:val="18503B88"/>
    <w:rsid w:val="187832EE"/>
    <w:rsid w:val="193A32DB"/>
    <w:rsid w:val="193D7B2F"/>
    <w:rsid w:val="19436634"/>
    <w:rsid w:val="19571390"/>
    <w:rsid w:val="196950E1"/>
    <w:rsid w:val="1A1B3085"/>
    <w:rsid w:val="1A3A3318"/>
    <w:rsid w:val="1A3F3E57"/>
    <w:rsid w:val="1A4F107F"/>
    <w:rsid w:val="1A8E6F52"/>
    <w:rsid w:val="1AD6137E"/>
    <w:rsid w:val="1B4D09F4"/>
    <w:rsid w:val="1B9118D8"/>
    <w:rsid w:val="1BA07F55"/>
    <w:rsid w:val="1C705992"/>
    <w:rsid w:val="1C7B48F7"/>
    <w:rsid w:val="1D272240"/>
    <w:rsid w:val="1D4B7D3F"/>
    <w:rsid w:val="1D6F5C49"/>
    <w:rsid w:val="1DAA4830"/>
    <w:rsid w:val="1DAB42AF"/>
    <w:rsid w:val="1DBC39E2"/>
    <w:rsid w:val="1DC16967"/>
    <w:rsid w:val="1DDD6417"/>
    <w:rsid w:val="1E367543"/>
    <w:rsid w:val="1E7169A2"/>
    <w:rsid w:val="1E8C5271"/>
    <w:rsid w:val="1EAC5247"/>
    <w:rsid w:val="1F146178"/>
    <w:rsid w:val="1F9B4D2F"/>
    <w:rsid w:val="1FA85442"/>
    <w:rsid w:val="1FF64781"/>
    <w:rsid w:val="1FF732A4"/>
    <w:rsid w:val="200E5E77"/>
    <w:rsid w:val="20623752"/>
    <w:rsid w:val="21165C56"/>
    <w:rsid w:val="215C64E4"/>
    <w:rsid w:val="215F4227"/>
    <w:rsid w:val="217E608F"/>
    <w:rsid w:val="2228724C"/>
    <w:rsid w:val="223D2864"/>
    <w:rsid w:val="226A70EE"/>
    <w:rsid w:val="229B65DE"/>
    <w:rsid w:val="2372080C"/>
    <w:rsid w:val="239A7550"/>
    <w:rsid w:val="23B95E70"/>
    <w:rsid w:val="241C6803"/>
    <w:rsid w:val="24883A94"/>
    <w:rsid w:val="248B249A"/>
    <w:rsid w:val="24AA7567"/>
    <w:rsid w:val="24BD50C3"/>
    <w:rsid w:val="250F386E"/>
    <w:rsid w:val="251B4187"/>
    <w:rsid w:val="2547746B"/>
    <w:rsid w:val="255C7EB1"/>
    <w:rsid w:val="25AE60A4"/>
    <w:rsid w:val="265005E2"/>
    <w:rsid w:val="26B608D6"/>
    <w:rsid w:val="26D24B9A"/>
    <w:rsid w:val="26FC7481"/>
    <w:rsid w:val="27735B86"/>
    <w:rsid w:val="27914A0A"/>
    <w:rsid w:val="27EB776C"/>
    <w:rsid w:val="27FE52C9"/>
    <w:rsid w:val="28376018"/>
    <w:rsid w:val="286667EA"/>
    <w:rsid w:val="28714808"/>
    <w:rsid w:val="28980E56"/>
    <w:rsid w:val="28E514B5"/>
    <w:rsid w:val="2920429C"/>
    <w:rsid w:val="295D7FD5"/>
    <w:rsid w:val="29A62ABE"/>
    <w:rsid w:val="29CF1886"/>
    <w:rsid w:val="29DB34CF"/>
    <w:rsid w:val="2ACA2711"/>
    <w:rsid w:val="2B617527"/>
    <w:rsid w:val="2B824D9A"/>
    <w:rsid w:val="2C323B13"/>
    <w:rsid w:val="2C361EDA"/>
    <w:rsid w:val="2CD854F4"/>
    <w:rsid w:val="2CF91F8B"/>
    <w:rsid w:val="2D544D2B"/>
    <w:rsid w:val="2D800A81"/>
    <w:rsid w:val="2D93624A"/>
    <w:rsid w:val="2E6946A6"/>
    <w:rsid w:val="2E9C50D8"/>
    <w:rsid w:val="2EB77450"/>
    <w:rsid w:val="2ED38B8D"/>
    <w:rsid w:val="2F155F25"/>
    <w:rsid w:val="2F2D14C0"/>
    <w:rsid w:val="2FA26C89"/>
    <w:rsid w:val="2FFB4430"/>
    <w:rsid w:val="30131553"/>
    <w:rsid w:val="301725E9"/>
    <w:rsid w:val="30226335"/>
    <w:rsid w:val="30421DA8"/>
    <w:rsid w:val="30922A27"/>
    <w:rsid w:val="30926225"/>
    <w:rsid w:val="31271F3F"/>
    <w:rsid w:val="319E763D"/>
    <w:rsid w:val="31B636AF"/>
    <w:rsid w:val="31BD45BA"/>
    <w:rsid w:val="31EC41C7"/>
    <w:rsid w:val="320B2748"/>
    <w:rsid w:val="32596D51"/>
    <w:rsid w:val="32896D79"/>
    <w:rsid w:val="33280765"/>
    <w:rsid w:val="33294694"/>
    <w:rsid w:val="333D275E"/>
    <w:rsid w:val="3369683F"/>
    <w:rsid w:val="33AB6164"/>
    <w:rsid w:val="33D72BCA"/>
    <w:rsid w:val="33E44E98"/>
    <w:rsid w:val="34453AED"/>
    <w:rsid w:val="34774B00"/>
    <w:rsid w:val="34963664"/>
    <w:rsid w:val="34A044E2"/>
    <w:rsid w:val="34DA3E98"/>
    <w:rsid w:val="34EA102A"/>
    <w:rsid w:val="35551E88"/>
    <w:rsid w:val="35A40002"/>
    <w:rsid w:val="35E0388E"/>
    <w:rsid w:val="35E872F3"/>
    <w:rsid w:val="36022C46"/>
    <w:rsid w:val="360979CD"/>
    <w:rsid w:val="364B54EC"/>
    <w:rsid w:val="364D069A"/>
    <w:rsid w:val="36866381"/>
    <w:rsid w:val="36BF32BE"/>
    <w:rsid w:val="36DF318B"/>
    <w:rsid w:val="36ED7B4D"/>
    <w:rsid w:val="37196C0E"/>
    <w:rsid w:val="37374704"/>
    <w:rsid w:val="37C52C3A"/>
    <w:rsid w:val="37CA24C8"/>
    <w:rsid w:val="37F9D9D7"/>
    <w:rsid w:val="380B3DB8"/>
    <w:rsid w:val="386640F2"/>
    <w:rsid w:val="38D14BA0"/>
    <w:rsid w:val="38DB1AFE"/>
    <w:rsid w:val="39553AED"/>
    <w:rsid w:val="39B0341A"/>
    <w:rsid w:val="39CF5727"/>
    <w:rsid w:val="39D92B42"/>
    <w:rsid w:val="39E92488"/>
    <w:rsid w:val="39F74E48"/>
    <w:rsid w:val="3A085004"/>
    <w:rsid w:val="3A086DB2"/>
    <w:rsid w:val="3A325BDD"/>
    <w:rsid w:val="3AAD1707"/>
    <w:rsid w:val="3AB13027"/>
    <w:rsid w:val="3AB15272"/>
    <w:rsid w:val="3AC74C58"/>
    <w:rsid w:val="3AF33BF2"/>
    <w:rsid w:val="3B350118"/>
    <w:rsid w:val="3BCC339B"/>
    <w:rsid w:val="3C300842"/>
    <w:rsid w:val="3C77306C"/>
    <w:rsid w:val="3CE533DA"/>
    <w:rsid w:val="3D0A1F5D"/>
    <w:rsid w:val="3D1A4518"/>
    <w:rsid w:val="3DA22148"/>
    <w:rsid w:val="3DD11BB1"/>
    <w:rsid w:val="3DDF78AA"/>
    <w:rsid w:val="3E114806"/>
    <w:rsid w:val="3E1C10F2"/>
    <w:rsid w:val="3E3E2536"/>
    <w:rsid w:val="3E75253C"/>
    <w:rsid w:val="3E7553D9"/>
    <w:rsid w:val="3E8E6B90"/>
    <w:rsid w:val="3E96478D"/>
    <w:rsid w:val="3EEC2F11"/>
    <w:rsid w:val="3F05526E"/>
    <w:rsid w:val="3F496996"/>
    <w:rsid w:val="3F97780C"/>
    <w:rsid w:val="3FBE2B40"/>
    <w:rsid w:val="402C3F89"/>
    <w:rsid w:val="403748CC"/>
    <w:rsid w:val="40377216"/>
    <w:rsid w:val="407231D7"/>
    <w:rsid w:val="40877C9E"/>
    <w:rsid w:val="40943B18"/>
    <w:rsid w:val="40C60F8C"/>
    <w:rsid w:val="40D5422C"/>
    <w:rsid w:val="411338D2"/>
    <w:rsid w:val="41314A6F"/>
    <w:rsid w:val="414E57FC"/>
    <w:rsid w:val="41665471"/>
    <w:rsid w:val="41764F49"/>
    <w:rsid w:val="42D06591"/>
    <w:rsid w:val="42D812EB"/>
    <w:rsid w:val="43030A5E"/>
    <w:rsid w:val="435552A1"/>
    <w:rsid w:val="438D7711"/>
    <w:rsid w:val="43CD6976"/>
    <w:rsid w:val="44177363"/>
    <w:rsid w:val="44740A0A"/>
    <w:rsid w:val="44F62D94"/>
    <w:rsid w:val="456C7B15"/>
    <w:rsid w:val="45705239"/>
    <w:rsid w:val="45A4678F"/>
    <w:rsid w:val="45E66362"/>
    <w:rsid w:val="46031AAA"/>
    <w:rsid w:val="460702B3"/>
    <w:rsid w:val="463546A0"/>
    <w:rsid w:val="46615EF9"/>
    <w:rsid w:val="46991C9B"/>
    <w:rsid w:val="47784E4E"/>
    <w:rsid w:val="47DD5D34"/>
    <w:rsid w:val="48174664"/>
    <w:rsid w:val="481E194E"/>
    <w:rsid w:val="48517B76"/>
    <w:rsid w:val="490D706B"/>
    <w:rsid w:val="4921579A"/>
    <w:rsid w:val="494871CB"/>
    <w:rsid w:val="49B329E1"/>
    <w:rsid w:val="4A183615"/>
    <w:rsid w:val="4A7D4775"/>
    <w:rsid w:val="4B0134F6"/>
    <w:rsid w:val="4B1B2070"/>
    <w:rsid w:val="4B3A3171"/>
    <w:rsid w:val="4B6C4CC7"/>
    <w:rsid w:val="4BCF5981"/>
    <w:rsid w:val="4BF53000"/>
    <w:rsid w:val="4BFA501B"/>
    <w:rsid w:val="4BFE48A7"/>
    <w:rsid w:val="4C215522"/>
    <w:rsid w:val="4C227F50"/>
    <w:rsid w:val="4C3B4DC5"/>
    <w:rsid w:val="4C8011E8"/>
    <w:rsid w:val="4C832B26"/>
    <w:rsid w:val="4C915EF7"/>
    <w:rsid w:val="4CC757FB"/>
    <w:rsid w:val="4CCD0AB5"/>
    <w:rsid w:val="4CE97ACB"/>
    <w:rsid w:val="4D733F8D"/>
    <w:rsid w:val="4DCD4142"/>
    <w:rsid w:val="4DE374C2"/>
    <w:rsid w:val="4DE94B51"/>
    <w:rsid w:val="4E564138"/>
    <w:rsid w:val="4E832A53"/>
    <w:rsid w:val="4E8A5B90"/>
    <w:rsid w:val="4E8A6F8D"/>
    <w:rsid w:val="4EDF0450"/>
    <w:rsid w:val="4F7E0B27"/>
    <w:rsid w:val="4F8E7FD4"/>
    <w:rsid w:val="4FD6010C"/>
    <w:rsid w:val="50017590"/>
    <w:rsid w:val="503152B7"/>
    <w:rsid w:val="50322871"/>
    <w:rsid w:val="50345E6F"/>
    <w:rsid w:val="503F29AA"/>
    <w:rsid w:val="504E76E8"/>
    <w:rsid w:val="5067715E"/>
    <w:rsid w:val="50F80DD2"/>
    <w:rsid w:val="513B397A"/>
    <w:rsid w:val="518E02A8"/>
    <w:rsid w:val="51AD7AEB"/>
    <w:rsid w:val="51F855F5"/>
    <w:rsid w:val="52345B87"/>
    <w:rsid w:val="52AD009F"/>
    <w:rsid w:val="52BB0A21"/>
    <w:rsid w:val="52D053DF"/>
    <w:rsid w:val="52EC2C2D"/>
    <w:rsid w:val="52F55AEB"/>
    <w:rsid w:val="530255B6"/>
    <w:rsid w:val="53397B84"/>
    <w:rsid w:val="534053B7"/>
    <w:rsid w:val="534327B1"/>
    <w:rsid w:val="53774C4D"/>
    <w:rsid w:val="53952644"/>
    <w:rsid w:val="53D65B56"/>
    <w:rsid w:val="5415174E"/>
    <w:rsid w:val="546B1FBF"/>
    <w:rsid w:val="54AE00FE"/>
    <w:rsid w:val="55733789"/>
    <w:rsid w:val="55AB3D04"/>
    <w:rsid w:val="55C4444E"/>
    <w:rsid w:val="55FA2D7F"/>
    <w:rsid w:val="562F1B32"/>
    <w:rsid w:val="56977756"/>
    <w:rsid w:val="56A143BE"/>
    <w:rsid w:val="56B91708"/>
    <w:rsid w:val="56EF16B7"/>
    <w:rsid w:val="56F12916"/>
    <w:rsid w:val="57D52571"/>
    <w:rsid w:val="5846277C"/>
    <w:rsid w:val="58AF6DD5"/>
    <w:rsid w:val="58B511AF"/>
    <w:rsid w:val="58C22DDC"/>
    <w:rsid w:val="58F23EAA"/>
    <w:rsid w:val="59756D76"/>
    <w:rsid w:val="59912C44"/>
    <w:rsid w:val="59B63CDD"/>
    <w:rsid w:val="59B82194"/>
    <w:rsid w:val="59CB6A71"/>
    <w:rsid w:val="5A3410A5"/>
    <w:rsid w:val="5A4124BE"/>
    <w:rsid w:val="5B161352"/>
    <w:rsid w:val="5B661732"/>
    <w:rsid w:val="5B682EC9"/>
    <w:rsid w:val="5B6B6483"/>
    <w:rsid w:val="5B8CF69A"/>
    <w:rsid w:val="5BC0190E"/>
    <w:rsid w:val="5C221F02"/>
    <w:rsid w:val="5C2A1DC5"/>
    <w:rsid w:val="5C3E31AB"/>
    <w:rsid w:val="5C9D3A03"/>
    <w:rsid w:val="5CB23B5A"/>
    <w:rsid w:val="5CE96177"/>
    <w:rsid w:val="5CF736EE"/>
    <w:rsid w:val="5D8E4ADB"/>
    <w:rsid w:val="5DA86032"/>
    <w:rsid w:val="5DE75E69"/>
    <w:rsid w:val="5DE86E22"/>
    <w:rsid w:val="5E0A2849"/>
    <w:rsid w:val="5E2F08FE"/>
    <w:rsid w:val="5E59732C"/>
    <w:rsid w:val="5E707952"/>
    <w:rsid w:val="5E774312"/>
    <w:rsid w:val="5E9200B1"/>
    <w:rsid w:val="5EB52FA9"/>
    <w:rsid w:val="5EC0115A"/>
    <w:rsid w:val="5EE23157"/>
    <w:rsid w:val="5EE27F06"/>
    <w:rsid w:val="5EFB7B15"/>
    <w:rsid w:val="5F223341"/>
    <w:rsid w:val="5F5A1F4C"/>
    <w:rsid w:val="5FAE4A45"/>
    <w:rsid w:val="5FD7413D"/>
    <w:rsid w:val="5FF6593B"/>
    <w:rsid w:val="601B0D3D"/>
    <w:rsid w:val="604667EC"/>
    <w:rsid w:val="606A75CF"/>
    <w:rsid w:val="6114553B"/>
    <w:rsid w:val="61446072"/>
    <w:rsid w:val="61590BCE"/>
    <w:rsid w:val="61713DB6"/>
    <w:rsid w:val="617536A0"/>
    <w:rsid w:val="61CE34AA"/>
    <w:rsid w:val="625E3D79"/>
    <w:rsid w:val="627026AA"/>
    <w:rsid w:val="629D3C8C"/>
    <w:rsid w:val="62BC31A0"/>
    <w:rsid w:val="63141584"/>
    <w:rsid w:val="63234928"/>
    <w:rsid w:val="635F53E5"/>
    <w:rsid w:val="636F52F8"/>
    <w:rsid w:val="63CC234F"/>
    <w:rsid w:val="63D268CC"/>
    <w:rsid w:val="63E74B8A"/>
    <w:rsid w:val="643B4624"/>
    <w:rsid w:val="643B7BBD"/>
    <w:rsid w:val="64F47111"/>
    <w:rsid w:val="659255A3"/>
    <w:rsid w:val="65C71020"/>
    <w:rsid w:val="6646288C"/>
    <w:rsid w:val="664B0E5B"/>
    <w:rsid w:val="666100F7"/>
    <w:rsid w:val="6667603D"/>
    <w:rsid w:val="66846F11"/>
    <w:rsid w:val="66D32372"/>
    <w:rsid w:val="67B6746B"/>
    <w:rsid w:val="68702DFB"/>
    <w:rsid w:val="68A37B22"/>
    <w:rsid w:val="696372B1"/>
    <w:rsid w:val="69E46D8F"/>
    <w:rsid w:val="69F055C0"/>
    <w:rsid w:val="6A154A4F"/>
    <w:rsid w:val="6A361619"/>
    <w:rsid w:val="6A984398"/>
    <w:rsid w:val="6ABB468C"/>
    <w:rsid w:val="6AE6674A"/>
    <w:rsid w:val="6B1F5C83"/>
    <w:rsid w:val="6B563571"/>
    <w:rsid w:val="6B6F38B3"/>
    <w:rsid w:val="6BC06C3D"/>
    <w:rsid w:val="6C2B3AE9"/>
    <w:rsid w:val="6C360CAD"/>
    <w:rsid w:val="6C4011F0"/>
    <w:rsid w:val="6C7C520E"/>
    <w:rsid w:val="6CC079EF"/>
    <w:rsid w:val="6CD75FEC"/>
    <w:rsid w:val="6D1430A1"/>
    <w:rsid w:val="6D604233"/>
    <w:rsid w:val="6DF10DA9"/>
    <w:rsid w:val="6E13574A"/>
    <w:rsid w:val="6E380D0C"/>
    <w:rsid w:val="6E535004"/>
    <w:rsid w:val="6E8C40E8"/>
    <w:rsid w:val="6E8F4F7B"/>
    <w:rsid w:val="6E9D0445"/>
    <w:rsid w:val="6EF959BC"/>
    <w:rsid w:val="6F2179F2"/>
    <w:rsid w:val="6FAC07EB"/>
    <w:rsid w:val="6FD52CE0"/>
    <w:rsid w:val="701337DF"/>
    <w:rsid w:val="70924DFF"/>
    <w:rsid w:val="70BA1EAD"/>
    <w:rsid w:val="70BA3112"/>
    <w:rsid w:val="70D171F6"/>
    <w:rsid w:val="70FA3706"/>
    <w:rsid w:val="70FB6ED4"/>
    <w:rsid w:val="70FD7FEB"/>
    <w:rsid w:val="71282928"/>
    <w:rsid w:val="717A2348"/>
    <w:rsid w:val="71861BFB"/>
    <w:rsid w:val="718E3618"/>
    <w:rsid w:val="71A23EF0"/>
    <w:rsid w:val="71C02D46"/>
    <w:rsid w:val="71DB4242"/>
    <w:rsid w:val="720956E7"/>
    <w:rsid w:val="725170DD"/>
    <w:rsid w:val="72903982"/>
    <w:rsid w:val="72A669EB"/>
    <w:rsid w:val="72B3291B"/>
    <w:rsid w:val="72B44742"/>
    <w:rsid w:val="72C47013"/>
    <w:rsid w:val="72C74B35"/>
    <w:rsid w:val="72CF3B3E"/>
    <w:rsid w:val="73426189"/>
    <w:rsid w:val="738844E4"/>
    <w:rsid w:val="738A200A"/>
    <w:rsid w:val="73F41B79"/>
    <w:rsid w:val="74765CFA"/>
    <w:rsid w:val="749844B6"/>
    <w:rsid w:val="752D6007"/>
    <w:rsid w:val="75545772"/>
    <w:rsid w:val="7568182B"/>
    <w:rsid w:val="756C28AB"/>
    <w:rsid w:val="75825BCB"/>
    <w:rsid w:val="758A510F"/>
    <w:rsid w:val="75EC066F"/>
    <w:rsid w:val="76142F1A"/>
    <w:rsid w:val="76206C56"/>
    <w:rsid w:val="76215C31"/>
    <w:rsid w:val="763709DA"/>
    <w:rsid w:val="763E532E"/>
    <w:rsid w:val="764A06FE"/>
    <w:rsid w:val="767C19B2"/>
    <w:rsid w:val="76A15D65"/>
    <w:rsid w:val="76E25CB9"/>
    <w:rsid w:val="77161E07"/>
    <w:rsid w:val="77420FA9"/>
    <w:rsid w:val="779E9BD3"/>
    <w:rsid w:val="77B04009"/>
    <w:rsid w:val="77F27C02"/>
    <w:rsid w:val="77F64995"/>
    <w:rsid w:val="787B43E3"/>
    <w:rsid w:val="789E5ABF"/>
    <w:rsid w:val="78A01BBC"/>
    <w:rsid w:val="78B05F90"/>
    <w:rsid w:val="790747D9"/>
    <w:rsid w:val="79404F19"/>
    <w:rsid w:val="79517126"/>
    <w:rsid w:val="797C0647"/>
    <w:rsid w:val="79CB6ED9"/>
    <w:rsid w:val="7AC557CF"/>
    <w:rsid w:val="7AC91560"/>
    <w:rsid w:val="7B0647BA"/>
    <w:rsid w:val="7B89010F"/>
    <w:rsid w:val="7B8F184F"/>
    <w:rsid w:val="7BCFBFE8"/>
    <w:rsid w:val="7C0D7698"/>
    <w:rsid w:val="7C384F6E"/>
    <w:rsid w:val="7C5915A1"/>
    <w:rsid w:val="7CB965EC"/>
    <w:rsid w:val="7D380D29"/>
    <w:rsid w:val="7DB744EF"/>
    <w:rsid w:val="7DEA50A3"/>
    <w:rsid w:val="7DF07932"/>
    <w:rsid w:val="7DF74740"/>
    <w:rsid w:val="7DFDEB39"/>
    <w:rsid w:val="7E2F30FB"/>
    <w:rsid w:val="7E6F61AB"/>
    <w:rsid w:val="7EA13A26"/>
    <w:rsid w:val="7EBE525E"/>
    <w:rsid w:val="7EF16BC8"/>
    <w:rsid w:val="7EFE1409"/>
    <w:rsid w:val="7F1430D0"/>
    <w:rsid w:val="7F1629A4"/>
    <w:rsid w:val="7F1640CF"/>
    <w:rsid w:val="7F7E679B"/>
    <w:rsid w:val="7FC937E4"/>
    <w:rsid w:val="7FCB5E84"/>
    <w:rsid w:val="7FDF548C"/>
    <w:rsid w:val="7FE53C0F"/>
    <w:rsid w:val="7FF7C6DB"/>
    <w:rsid w:val="8CAB8B81"/>
    <w:rsid w:val="937F7678"/>
    <w:rsid w:val="95ABF429"/>
    <w:rsid w:val="C7F4B84E"/>
    <w:rsid w:val="DE5E7B14"/>
    <w:rsid w:val="DF99B90B"/>
    <w:rsid w:val="EF3D8969"/>
    <w:rsid w:val="EF77C3CE"/>
    <w:rsid w:val="F76F8673"/>
    <w:rsid w:val="FDFF18CA"/>
    <w:rsid w:val="FF3FBE03"/>
    <w:rsid w:val="FFEF48DE"/>
    <w:rsid w:val="FFF21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link w:val="21"/>
    <w:qFormat/>
    <w:uiPriority w:val="0"/>
    <w:pPr>
      <w:spacing w:line="560" w:lineRule="exact"/>
      <w:jc w:val="center"/>
      <w:outlineLvl w:val="0"/>
    </w:pPr>
    <w:rPr>
      <w:rFonts w:ascii="方正小标宋简体" w:hAnsi="方正小标宋简体" w:eastAsia="方正小标宋简体" w:cs="方正小标宋简体"/>
      <w:color w:val="000000"/>
      <w:sz w:val="44"/>
      <w:szCs w:val="44"/>
    </w:rPr>
  </w:style>
  <w:style w:type="paragraph" w:styleId="3">
    <w:name w:val="heading 2"/>
    <w:basedOn w:val="1"/>
    <w:next w:val="1"/>
    <w:link w:val="19"/>
    <w:unhideWhenUsed/>
    <w:qFormat/>
    <w:uiPriority w:val="0"/>
    <w:pPr>
      <w:keepNext/>
      <w:keepLines/>
      <w:spacing w:before="20" w:after="20" w:line="600" w:lineRule="exact"/>
      <w:ind w:firstLine="640" w:firstLineChars="200"/>
      <w:outlineLvl w:val="1"/>
    </w:pPr>
    <w:rPr>
      <w:rFonts w:ascii="黑体" w:hAnsi="黑体" w:eastAsia="黑体" w:cs="黑体"/>
      <w:color w:val="000000"/>
      <w:sz w:val="32"/>
      <w:szCs w:val="32"/>
    </w:rPr>
  </w:style>
  <w:style w:type="paragraph" w:styleId="4">
    <w:name w:val="heading 3"/>
    <w:basedOn w:val="1"/>
    <w:next w:val="1"/>
    <w:link w:val="20"/>
    <w:unhideWhenUsed/>
    <w:qFormat/>
    <w:uiPriority w:val="0"/>
    <w:pPr>
      <w:keepNext/>
      <w:keepLines/>
      <w:spacing w:line="600" w:lineRule="exact"/>
      <w:ind w:firstLine="640" w:firstLineChars="200"/>
      <w:outlineLvl w:val="2"/>
    </w:pPr>
    <w:rPr>
      <w:rFonts w:ascii="楷体_GB2312" w:hAnsi="楷体_GB2312" w:eastAsia="楷体_GB2312" w:cs="楷体_GB2312"/>
      <w:sz w:val="32"/>
      <w:szCs w:val="32"/>
    </w:rPr>
  </w:style>
  <w:style w:type="paragraph" w:styleId="5">
    <w:name w:val="heading 4"/>
    <w:basedOn w:val="1"/>
    <w:next w:val="1"/>
    <w:unhideWhenUsed/>
    <w:qFormat/>
    <w:uiPriority w:val="0"/>
    <w:pPr>
      <w:keepNext/>
      <w:keepLines/>
      <w:spacing w:beforeLines="0" w:beforeAutospacing="0" w:afterLines="0" w:afterAutospacing="0" w:line="600" w:lineRule="exact"/>
      <w:ind w:firstLine="880" w:firstLineChars="200"/>
      <w:outlineLvl w:val="3"/>
    </w:pPr>
    <w:rPr>
      <w:rFonts w:ascii="Arial" w:hAnsi="Arial" w:eastAsia="仿宋_GB231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0"/>
    <w:rPr>
      <w:rFonts w:ascii="宋体" w:hAnsi="宋体"/>
      <w:sz w:val="32"/>
    </w:rPr>
  </w:style>
  <w:style w:type="paragraph" w:styleId="7">
    <w:name w:val="toc 3"/>
    <w:basedOn w:val="1"/>
    <w:next w:val="1"/>
    <w:qFormat/>
    <w:uiPriority w:val="0"/>
    <w:pPr>
      <w:ind w:left="840" w:leftChars="400"/>
    </w:pPr>
  </w:style>
  <w:style w:type="paragraph" w:styleId="8">
    <w:name w:val="Plain Text"/>
    <w:basedOn w:val="1"/>
    <w:next w:val="1"/>
    <w:qFormat/>
    <w:uiPriority w:val="0"/>
    <w:rPr>
      <w:rFonts w:ascii="宋体" w:hAnsi="Courier New" w:eastAsia="宋体"/>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footnote text"/>
    <w:basedOn w:val="1"/>
    <w:qFormat/>
    <w:uiPriority w:val="0"/>
    <w:pPr>
      <w:snapToGrid w:val="0"/>
      <w:jc w:val="left"/>
    </w:pPr>
    <w:rPr>
      <w:sz w:val="18"/>
    </w:rPr>
  </w:style>
  <w:style w:type="paragraph" w:styleId="13">
    <w:name w:val="toc 2"/>
    <w:basedOn w:val="1"/>
    <w:next w:val="1"/>
    <w:qFormat/>
    <w:uiPriority w:val="0"/>
    <w:pPr>
      <w:ind w:left="420" w:leftChars="200"/>
    </w:pPr>
  </w:style>
  <w:style w:type="paragraph" w:styleId="14">
    <w:name w:val="Normal (Web)"/>
    <w:basedOn w:val="1"/>
    <w:qFormat/>
    <w:uiPriority w:val="99"/>
    <w:pPr>
      <w:spacing w:beforeAutospacing="1" w:afterAutospacing="1"/>
      <w:jc w:val="left"/>
    </w:pPr>
    <w:rPr>
      <w:kern w:val="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footnote reference"/>
    <w:basedOn w:val="17"/>
    <w:qFormat/>
    <w:uiPriority w:val="0"/>
    <w:rPr>
      <w:vertAlign w:val="superscript"/>
    </w:rPr>
  </w:style>
  <w:style w:type="character" w:customStyle="1" w:styleId="19">
    <w:name w:val="标题 2 Char"/>
    <w:link w:val="3"/>
    <w:qFormat/>
    <w:uiPriority w:val="0"/>
    <w:rPr>
      <w:rFonts w:ascii="黑体" w:hAnsi="黑体" w:eastAsia="黑体" w:cs="黑体"/>
      <w:color w:val="000000"/>
      <w:kern w:val="2"/>
      <w:sz w:val="32"/>
      <w:szCs w:val="32"/>
      <w:lang w:val="en-US" w:eastAsia="zh-CN" w:bidi="ar-SA"/>
    </w:rPr>
  </w:style>
  <w:style w:type="character" w:customStyle="1" w:styleId="20">
    <w:name w:val="标题 3 Char"/>
    <w:link w:val="4"/>
    <w:qFormat/>
    <w:uiPriority w:val="0"/>
    <w:rPr>
      <w:rFonts w:ascii="楷体_GB2312" w:hAnsi="楷体_GB2312" w:eastAsia="楷体_GB2312" w:cs="楷体_GB2312"/>
      <w:kern w:val="2"/>
      <w:sz w:val="32"/>
      <w:szCs w:val="32"/>
      <w:lang w:val="en-US" w:eastAsia="zh-CN" w:bidi="ar-SA"/>
    </w:rPr>
  </w:style>
  <w:style w:type="character" w:customStyle="1" w:styleId="21">
    <w:name w:val="标题 1 Char"/>
    <w:link w:val="2"/>
    <w:qFormat/>
    <w:uiPriority w:val="0"/>
    <w:rPr>
      <w:rFonts w:ascii="方正小标宋简体" w:hAnsi="方正小标宋简体" w:eastAsia="方正小标宋简体" w:cs="方正小标宋简体"/>
      <w:color w:val="000000"/>
      <w:kern w:val="2"/>
      <w:sz w:val="44"/>
      <w:szCs w:val="44"/>
      <w:lang w:val="en-US" w:eastAsia="zh-CN" w:bidi="ar-SA"/>
    </w:rPr>
  </w:style>
  <w:style w:type="character" w:customStyle="1" w:styleId="22">
    <w:name w:val="font21"/>
    <w:basedOn w:val="17"/>
    <w:qFormat/>
    <w:uiPriority w:val="0"/>
    <w:rPr>
      <w:rFonts w:ascii="Arial" w:hAnsi="Arial" w:cs="Arial"/>
      <w:color w:val="000000"/>
      <w:sz w:val="19"/>
      <w:szCs w:val="19"/>
      <w:u w:val="none"/>
    </w:rPr>
  </w:style>
  <w:style w:type="character" w:customStyle="1" w:styleId="23">
    <w:name w:val="font31"/>
    <w:basedOn w:val="17"/>
    <w:qFormat/>
    <w:uiPriority w:val="0"/>
    <w:rPr>
      <w:rFonts w:ascii="宋体" w:hAnsi="宋体" w:eastAsia="宋体" w:cs="宋体"/>
      <w:color w:val="000000"/>
      <w:sz w:val="34"/>
      <w:szCs w:val="34"/>
      <w:u w:val="none"/>
    </w:rPr>
  </w:style>
  <w:style w:type="character" w:customStyle="1" w:styleId="24">
    <w:name w:val="font41"/>
    <w:basedOn w:val="17"/>
    <w:qFormat/>
    <w:uiPriority w:val="0"/>
    <w:rPr>
      <w:rFonts w:hint="default" w:ascii="Arial" w:hAnsi="Arial" w:cs="Arial"/>
      <w:color w:val="000000"/>
      <w:sz w:val="18"/>
      <w:szCs w:val="18"/>
      <w:u w:val="none"/>
    </w:rPr>
  </w:style>
  <w:style w:type="character" w:customStyle="1" w:styleId="25">
    <w:name w:val="font51"/>
    <w:basedOn w:val="17"/>
    <w:qFormat/>
    <w:uiPriority w:val="0"/>
    <w:rPr>
      <w:rFonts w:hint="default" w:ascii="Arial" w:hAnsi="Arial" w:cs="Arial"/>
      <w:color w:val="000000"/>
      <w:sz w:val="16"/>
      <w:szCs w:val="16"/>
      <w:u w:val="none"/>
    </w:rPr>
  </w:style>
  <w:style w:type="character" w:customStyle="1" w:styleId="26">
    <w:name w:val="font61"/>
    <w:basedOn w:val="17"/>
    <w:qFormat/>
    <w:uiPriority w:val="0"/>
    <w:rPr>
      <w:rFonts w:hint="default" w:ascii="Arial" w:hAnsi="Arial" w:cs="Arial"/>
      <w:color w:val="000000"/>
      <w:sz w:val="15"/>
      <w:szCs w:val="15"/>
      <w:u w:val="none"/>
    </w:rPr>
  </w:style>
  <w:style w:type="character" w:customStyle="1" w:styleId="27">
    <w:name w:val="font71"/>
    <w:basedOn w:val="17"/>
    <w:qFormat/>
    <w:uiPriority w:val="0"/>
    <w:rPr>
      <w:rFonts w:hint="default" w:ascii="Arial" w:hAnsi="Arial" w:cs="Arial"/>
      <w:color w:val="000000"/>
      <w:sz w:val="21"/>
      <w:szCs w:val="21"/>
      <w:u w:val="none"/>
    </w:rPr>
  </w:style>
  <w:style w:type="character" w:customStyle="1" w:styleId="28">
    <w:name w:val="font81"/>
    <w:basedOn w:val="17"/>
    <w:qFormat/>
    <w:uiPriority w:val="0"/>
    <w:rPr>
      <w:rFonts w:hint="default" w:ascii="Arial" w:hAnsi="Arial" w:cs="Arial"/>
      <w:color w:val="000000"/>
      <w:sz w:val="22"/>
      <w:szCs w:val="22"/>
      <w:u w:val="none"/>
    </w:rPr>
  </w:style>
  <w:style w:type="paragraph" w:customStyle="1" w:styleId="29">
    <w:name w:val="xl27"/>
    <w:basedOn w:val="1"/>
    <w:qFormat/>
    <w:uiPriority w:val="3"/>
    <w:pPr>
      <w:widowControl/>
      <w:pBdr>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13697</Words>
  <Characters>15147</Characters>
  <Lines>0</Lines>
  <Paragraphs>0</Paragraphs>
  <TotalTime>204</TotalTime>
  <ScaleCrop>false</ScaleCrop>
  <LinksUpToDate>false</LinksUpToDate>
  <CharactersWithSpaces>15240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2022-12-20T00:57:00Z</dcterms:created>
  <dc:creator>Administrator</dc:creator>
  <cp:lastModifiedBy>WPS_1725354816</cp:lastModifiedBy>
  <cp:lastPrinted>2024-11-28T09:38:00Z</cp:lastPrinted>
  <dcterms:modified xsi:type="dcterms:W3CDTF">2025-01-20T08:45:49Z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7EA7A14C222E433C9D633AB9441BDD10_13</vt:lpwstr>
  </property>
  <property fmtid="{D5CDD505-2E9C-101B-9397-08002B2CF9AE}" pid="4" name="KSOTemplateDocerSaveRecord">
    <vt:lpwstr>eyJoZGlkIjoiMDU5NmEyY2Q1MDFlYjI3YTkxYWNiOGQxNjk5YmYyMzQiLCJ1c2VySWQiOiIxNjMwMjAyOTA3In0=</vt:lpwstr>
  </property>
</Properties>
</file>