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right="0" w:firstLine="0"/>
        <w:jc w:val="center"/>
        <w:textAlignment w:val="auto"/>
        <w:rPr>
          <w:rFonts w:hint="eastAsia" w:ascii="方正小标宋简体" w:hAnsi="方正小标宋简体" w:eastAsia="方正小标宋简体" w:cs="方正小标宋简体"/>
          <w:spacing w:val="0"/>
          <w:position w:val="0"/>
          <w:sz w:val="44"/>
          <w:szCs w:val="44"/>
          <w:lang w:eastAsia="zh-CN"/>
        </w:rPr>
      </w:pPr>
      <w:r>
        <w:rPr>
          <w:rFonts w:hint="eastAsia" w:ascii="方正小标宋简体" w:hAnsi="方正小标宋简体" w:eastAsia="方正小标宋简体" w:cs="方正小标宋简体"/>
          <w:spacing w:val="0"/>
          <w:position w:val="0"/>
          <w:sz w:val="44"/>
          <w:szCs w:val="44"/>
          <w:lang w:eastAsia="zh-CN"/>
        </w:rPr>
        <w:t>月湖区东湖街道农贸市场南站桥下工程施工</w:t>
      </w:r>
      <w:bookmarkStart w:id="47" w:name="_GoBack"/>
      <w:bookmarkEnd w:id="47"/>
      <w:r>
        <w:rPr>
          <w:rFonts w:hint="eastAsia" w:ascii="方正小标宋简体" w:hAnsi="方正小标宋简体" w:eastAsia="方正小标宋简体" w:cs="方正小标宋简体"/>
          <w:spacing w:val="0"/>
          <w:position w:val="0"/>
          <w:sz w:val="44"/>
          <w:szCs w:val="44"/>
          <w:lang w:eastAsia="zh-CN"/>
        </w:rPr>
        <w:t>“6·12”一般坍塌事故调查报告</w:t>
      </w:r>
    </w:p>
    <w:p>
      <w:pPr>
        <w:pStyle w:val="3"/>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spacing w:val="0"/>
          <w:positio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2023年6月12日8时许，在月湖区三角线农贸市场南站桥下一处工程施工时，现场发生局部路面塌陷，造成一名正在基坑内作业的施工人员被掩埋。8时43分人员被挖出，并送至鹰潭市中医院进行抢救，8时5</w:t>
      </w:r>
      <w:r>
        <w:rPr>
          <w:rFonts w:hint="eastAsia" w:ascii="仿宋_GB2312" w:hAnsi="仿宋_GB2312" w:eastAsia="仿宋_GB2312" w:cs="仿宋_GB2312"/>
          <w:spacing w:val="0"/>
          <w:position w:val="0"/>
          <w:sz w:val="32"/>
          <w:szCs w:val="32"/>
          <w:lang w:val="en-US" w:eastAsia="zh-CN"/>
        </w:rPr>
        <w:t>8</w:t>
      </w:r>
      <w:r>
        <w:rPr>
          <w:rFonts w:hint="eastAsia" w:ascii="仿宋_GB2312" w:hAnsi="仿宋_GB2312" w:eastAsia="仿宋_GB2312" w:cs="仿宋_GB2312"/>
          <w:spacing w:val="0"/>
          <w:position w:val="0"/>
          <w:sz w:val="32"/>
          <w:szCs w:val="32"/>
          <w:lang w:eastAsia="zh-CN"/>
        </w:rPr>
        <w:t>分经抢救无效死亡，该起事故中无其他受伤人员。依据《中华人民共和国安全生产法》和《生产安全事故报告和调查处理条例》（国务院令第493号）等有关法律法规，月湖区人民政府成立由区应急局、区纪委、区公安分局、区住建局、区总工会、东湖街道等单位组成的月湖区“6·12”一般坍塌事故调查组（以下简称：事故调查组），开展事故调查工作。事故调查组邀请相关专家参加事故调查工作。事故调查组按照“四不放过”和“依法调查、实事求是、客观公正”的原则，通过现场勘察、调查取证、综合分析，查明了事故经过、原因、人员伤亡和直接经济损失，认定了事故性质和责任，提出了对责任单位和有关责任人的处理建议，分析了事故暴露出的突出问题和教训，提出了事故防范措施。</w:t>
      </w:r>
    </w:p>
    <w:p>
      <w:pPr>
        <w:keepNext w:val="0"/>
        <w:keepLines w:val="0"/>
        <w:pageBreakBefore w:val="0"/>
        <w:widowControl w:val="0"/>
        <w:kinsoku/>
        <w:wordWrap/>
        <w:overflowPunct/>
        <w:topLinePunct w:val="0"/>
        <w:autoSpaceDE/>
        <w:autoSpaceDN/>
        <w:bidi w:val="0"/>
        <w:adjustRightInd/>
        <w:snapToGrid/>
        <w:spacing w:line="58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经调查认定，该起事故是一起因违规操作造成的一般坍塌生产安全责任事故。</w:t>
      </w:r>
    </w:p>
    <w:p>
      <w:pPr>
        <w:keepNext w:val="0"/>
        <w:keepLines w:val="0"/>
        <w:pageBreakBefore w:val="0"/>
        <w:widowControl w:val="0"/>
        <w:kinsoku/>
        <w:wordWrap/>
        <w:overflowPunct/>
        <w:topLinePunct w:val="0"/>
        <w:autoSpaceDE/>
        <w:autoSpaceDN/>
        <w:bidi w:val="0"/>
        <w:adjustRightInd/>
        <w:snapToGrid/>
        <w:spacing w:line="570" w:lineRule="exact"/>
        <w:ind w:left="0" w:right="0" w:firstLine="640" w:firstLineChars="200"/>
        <w:textAlignment w:val="auto"/>
        <w:outlineLvl w:val="0"/>
        <w:rPr>
          <w:rFonts w:hint="eastAsia" w:ascii="黑体" w:hAnsi="黑体" w:eastAsia="黑体" w:cs="黑体"/>
          <w:spacing w:val="0"/>
          <w:position w:val="0"/>
          <w:sz w:val="32"/>
          <w:szCs w:val="32"/>
          <w:lang w:eastAsia="zh-CN"/>
        </w:rPr>
      </w:pPr>
      <w:bookmarkStart w:id="0" w:name="_Toc15915"/>
      <w:bookmarkStart w:id="1" w:name="_Toc140094814"/>
      <w:r>
        <w:rPr>
          <w:rFonts w:hint="eastAsia" w:ascii="黑体" w:hAnsi="黑体" w:eastAsia="黑体" w:cs="黑体"/>
          <w:spacing w:val="0"/>
          <w:position w:val="0"/>
          <w:sz w:val="32"/>
          <w:szCs w:val="32"/>
          <w:lang w:eastAsia="zh-CN"/>
        </w:rPr>
        <w:t>一、事故基本情况</w:t>
      </w:r>
      <w:bookmarkEnd w:id="0"/>
      <w:bookmarkEnd w:id="1"/>
    </w:p>
    <w:p>
      <w:pPr>
        <w:keepNext w:val="0"/>
        <w:keepLines w:val="0"/>
        <w:pageBreakBefore w:val="0"/>
        <w:widowControl w:val="0"/>
        <w:kinsoku/>
        <w:wordWrap/>
        <w:overflowPunct/>
        <w:topLinePunct w:val="0"/>
        <w:autoSpaceDE/>
        <w:autoSpaceDN/>
        <w:bidi w:val="0"/>
        <w:adjustRightInd/>
        <w:snapToGrid/>
        <w:spacing w:line="57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2" w:name="_Toc140094815"/>
      <w:bookmarkStart w:id="3" w:name="_Toc3604"/>
      <w:r>
        <w:rPr>
          <w:rFonts w:hint="eastAsia" w:ascii="楷体_GB2312" w:hAnsi="楷体_GB2312" w:eastAsia="楷体_GB2312" w:cs="楷体_GB2312"/>
          <w:b/>
          <w:bCs/>
          <w:spacing w:val="0"/>
          <w:position w:val="0"/>
          <w:sz w:val="32"/>
          <w:szCs w:val="32"/>
          <w:lang w:eastAsia="zh-CN"/>
        </w:rPr>
        <w:t>（一）事发项目名称</w:t>
      </w:r>
      <w:bookmarkEnd w:id="2"/>
      <w:r>
        <w:rPr>
          <w:rFonts w:hint="eastAsia" w:ascii="楷体_GB2312" w:hAnsi="楷体_GB2312" w:eastAsia="楷体_GB2312" w:cs="楷体_GB2312"/>
          <w:b/>
          <w:bCs/>
          <w:spacing w:val="0"/>
          <w:position w:val="0"/>
          <w:sz w:val="32"/>
          <w:szCs w:val="32"/>
          <w:lang w:eastAsia="zh-CN"/>
        </w:rPr>
        <w:t>及工程概况</w:t>
      </w:r>
      <w:bookmarkEnd w:id="3"/>
    </w:p>
    <w:p>
      <w:pPr>
        <w:keepNext w:val="0"/>
        <w:keepLines w:val="0"/>
        <w:pageBreakBefore w:val="0"/>
        <w:widowControl w:val="0"/>
        <w:kinsoku/>
        <w:wordWrap/>
        <w:overflowPunct/>
        <w:topLinePunct w:val="0"/>
        <w:autoSpaceDE/>
        <w:autoSpaceDN/>
        <w:bidi w:val="0"/>
        <w:adjustRightInd/>
        <w:snapToGrid/>
        <w:spacing w:line="570" w:lineRule="exact"/>
        <w:ind w:left="0" w:right="0" w:firstLine="640" w:firstLineChars="200"/>
        <w:jc w:val="both"/>
        <w:textAlignment w:val="auto"/>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事故地点位于月湖区三角线农贸市场南站桥下一处工程施工处。</w:t>
      </w:r>
    </w:p>
    <w:p>
      <w:pPr>
        <w:keepNext w:val="0"/>
        <w:keepLines w:val="0"/>
        <w:pageBreakBefore w:val="0"/>
        <w:widowControl w:val="0"/>
        <w:kinsoku/>
        <w:wordWrap/>
        <w:overflowPunct/>
        <w:topLinePunct w:val="0"/>
        <w:autoSpaceDE/>
        <w:autoSpaceDN/>
        <w:bidi w:val="0"/>
        <w:adjustRightInd/>
        <w:snapToGrid/>
        <w:spacing w:line="57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4" w:name="_Toc11251"/>
      <w:bookmarkStart w:id="5" w:name="_Toc140094816"/>
      <w:r>
        <w:rPr>
          <w:rFonts w:hint="eastAsia" w:ascii="楷体_GB2312" w:hAnsi="楷体_GB2312" w:eastAsia="楷体_GB2312" w:cs="楷体_GB2312"/>
          <w:b/>
          <w:bCs/>
          <w:spacing w:val="0"/>
          <w:position w:val="0"/>
          <w:sz w:val="32"/>
          <w:szCs w:val="32"/>
          <w:lang w:eastAsia="zh-CN"/>
        </w:rPr>
        <w:t>（二）事故发生单位概况</w:t>
      </w:r>
      <w:bookmarkEnd w:id="4"/>
      <w:bookmarkEnd w:id="5"/>
    </w:p>
    <w:p>
      <w:pPr>
        <w:keepNext w:val="0"/>
        <w:keepLines w:val="0"/>
        <w:pageBreakBefore w:val="0"/>
        <w:widowControl w:val="0"/>
        <w:kinsoku/>
        <w:wordWrap/>
        <w:overflowPunct/>
        <w:topLinePunct w:val="0"/>
        <w:autoSpaceDE/>
        <w:autoSpaceDN/>
        <w:bidi w:val="0"/>
        <w:adjustRightInd/>
        <w:snapToGrid/>
        <w:spacing w:line="57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事故发生单位：鹰潭市强升电力工程有限公司，成立日期于2020年3月10日，统一社会信用代码：91360600MA3959PD8W，法定代表人为黄道红，注册地址为江西省鹰潭市高新技术产业开发区白露科技园201室，经营范围包括水电安装工程，防水工程，建筑工程劳务分包，园林绿化工程，亮化工程，土石方工程，桥梁工程，市政工程，消防工程，公路工程，工程机械设备租赁，室内外装饰装潢，广告设计、制作、发布、代理，五金、建材、装饰材料销售（依法需经批准的项目，经相关部门批准后可开展经营活动）等业务。</w:t>
      </w:r>
    </w:p>
    <w:p>
      <w:pPr>
        <w:keepNext w:val="0"/>
        <w:keepLines w:val="0"/>
        <w:pageBreakBefore w:val="0"/>
        <w:widowControl w:val="0"/>
        <w:kinsoku/>
        <w:wordWrap/>
        <w:overflowPunct/>
        <w:topLinePunct w:val="0"/>
        <w:autoSpaceDE/>
        <w:autoSpaceDN/>
        <w:bidi w:val="0"/>
        <w:adjustRightInd/>
        <w:snapToGrid/>
        <w:spacing w:line="57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6" w:name="_Toc13747"/>
      <w:bookmarkStart w:id="7" w:name="_Toc140094818"/>
      <w:r>
        <w:rPr>
          <w:rFonts w:hint="eastAsia" w:ascii="楷体_GB2312" w:hAnsi="楷体_GB2312" w:eastAsia="楷体_GB2312" w:cs="楷体_GB2312"/>
          <w:b/>
          <w:bCs/>
          <w:spacing w:val="0"/>
          <w:position w:val="0"/>
          <w:sz w:val="32"/>
          <w:szCs w:val="32"/>
          <w:lang w:eastAsia="zh-CN"/>
        </w:rPr>
        <w:t>（三）事故发生经过</w:t>
      </w:r>
      <w:bookmarkEnd w:id="6"/>
      <w:bookmarkEnd w:id="7"/>
    </w:p>
    <w:p>
      <w:pPr>
        <w:keepNext w:val="0"/>
        <w:keepLines w:val="0"/>
        <w:pageBreakBefore w:val="0"/>
        <w:widowControl w:val="0"/>
        <w:kinsoku/>
        <w:wordWrap/>
        <w:overflowPunct/>
        <w:topLinePunct w:val="0"/>
        <w:autoSpaceDE/>
        <w:autoSpaceDN/>
        <w:bidi w:val="0"/>
        <w:adjustRightInd/>
        <w:snapToGrid/>
        <w:spacing w:line="57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为提高供电联络可靠性，月湖供电公司设立了“环城线联络”这个项目，在项目推进过程中，需要从回禾酒店附近接线到对面三角线菜场，但因该段工程打通受阻，以致工程无法正常推进。6月10日，月湖供电公司组织人员在月湖区三角线农贸市场内开挖了一个直径约80公分的坑洞进行线路探测，寻找多年前预留在此区域的电缆管道，但未探测成功，于11日早上对该洞进行了回填。</w:t>
      </w:r>
    </w:p>
    <w:p>
      <w:pPr>
        <w:spacing w:before="198" w:line="333" w:lineRule="auto"/>
        <w:ind w:right="1"/>
        <w:jc w:val="center"/>
        <w:rPr>
          <w:rFonts w:ascii="仿宋" w:hAnsi="仿宋" w:eastAsia="仿宋" w:cs="仿宋"/>
          <w:spacing w:val="0"/>
          <w:position w:val="0"/>
          <w:sz w:val="31"/>
          <w:szCs w:val="31"/>
          <w:lang w:eastAsia="zh-CN"/>
        </w:rPr>
      </w:pPr>
      <w:r>
        <w:rPr>
          <w:spacing w:val="0"/>
          <w:position w:val="0"/>
        </w:rPr>
        <w:drawing>
          <wp:inline distT="0" distB="0" distL="114300" distR="114300">
            <wp:extent cx="5608320" cy="3646805"/>
            <wp:effectExtent l="0" t="0" r="1143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08320" cy="36468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620" w:lineRule="exact"/>
        <w:ind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鹰潭市强升电力工程有限公司主要负责人黄道强从一民工处得知供电公司在找寻以前预留的电缆管道，因他多年前做过供电项目，知道预留管道的大致位置，认为只要找到该预留管道，就可以和供电公司协商承揽工程。因此，2023年6月11日下午，黄道强在没有取得施工审批的情况下，擅自组织了黄金钱等几名施工人员和一台挖机在三角线农贸市场南站桥下进行破土施工，在开挖深度大概在3.2米左右时因挖机达到了挖机臂极限并且已挖到了硬层，停止挖机作业。6月12日早上，继续进行施工，但因红石层渗水，于是施工人员在6点40分左右找来水泵进行抽水，至7点半左右水泵歪了，黄金钱用楼梯下去扶正水泵，在弯腰扶正过程中，发生了塌方，造成黄金钱被坍塌土方掩埋。</w:t>
      </w:r>
    </w:p>
    <w:p>
      <w:pPr>
        <w:spacing w:before="198" w:line="360" w:lineRule="auto"/>
        <w:ind w:right="1"/>
        <w:jc w:val="center"/>
        <w:rPr>
          <w:rFonts w:ascii="仿宋" w:hAnsi="仿宋" w:eastAsia="仿宋" w:cs="仿宋"/>
          <w:spacing w:val="0"/>
          <w:position w:val="0"/>
          <w:sz w:val="31"/>
          <w:szCs w:val="31"/>
          <w:lang w:eastAsia="zh-CN"/>
        </w:rPr>
      </w:pPr>
      <w:r>
        <w:rPr>
          <w:rFonts w:hint="eastAsia" w:ascii="仿宋" w:hAnsi="仿宋" w:eastAsia="仿宋" w:cs="仿宋"/>
          <w:spacing w:val="0"/>
          <w:position w:val="0"/>
          <w:sz w:val="31"/>
          <w:szCs w:val="31"/>
          <w:lang w:eastAsia="zh-CN"/>
        </w:rPr>
        <w:drawing>
          <wp:inline distT="0" distB="0" distL="114300" distR="114300">
            <wp:extent cx="4878070" cy="2717800"/>
            <wp:effectExtent l="0" t="0" r="17780" b="6350"/>
            <wp:docPr id="2" name="图片 2" descr="049f8225407f86745a5ad635b5f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49f8225407f86745a5ad635b5f0417"/>
                    <pic:cNvPicPr>
                      <a:picLocks noChangeAspect="1"/>
                    </pic:cNvPicPr>
                  </pic:nvPicPr>
                  <pic:blipFill>
                    <a:blip r:embed="rId5"/>
                    <a:stretch>
                      <a:fillRect/>
                    </a:stretch>
                  </pic:blipFill>
                  <pic:spPr>
                    <a:xfrm>
                      <a:off x="0" y="0"/>
                      <a:ext cx="4878070" cy="2717800"/>
                    </a:xfrm>
                    <a:prstGeom prst="rect">
                      <a:avLst/>
                    </a:prstGeom>
                    <a:noFill/>
                    <a:ln>
                      <a:noFill/>
                    </a:ln>
                  </pic:spPr>
                </pic:pic>
              </a:graphicData>
            </a:graphic>
          </wp:inline>
        </w:drawing>
      </w:r>
    </w:p>
    <w:p>
      <w:pPr>
        <w:spacing w:before="198" w:line="360" w:lineRule="auto"/>
        <w:ind w:right="1"/>
        <w:jc w:val="center"/>
        <w:rPr>
          <w:rFonts w:ascii="仿宋" w:hAnsi="仿宋" w:eastAsia="仿宋" w:cs="仿宋"/>
          <w:spacing w:val="0"/>
          <w:position w:val="0"/>
          <w:lang w:eastAsia="zh-CN"/>
        </w:rPr>
      </w:pPr>
      <w:r>
        <w:rPr>
          <w:rFonts w:hint="eastAsia" w:ascii="仿宋" w:hAnsi="仿宋" w:eastAsia="仿宋" w:cs="仿宋"/>
          <w:spacing w:val="0"/>
          <w:position w:val="0"/>
          <w:lang w:eastAsia="zh-CN"/>
        </w:rPr>
        <w:t>事故现场开挖情况</w:t>
      </w:r>
    </w:p>
    <w:p>
      <w:pPr>
        <w:keepNext w:val="0"/>
        <w:keepLines w:val="0"/>
        <w:pageBreakBefore w:val="0"/>
        <w:widowControl w:val="0"/>
        <w:kinsoku/>
        <w:wordWrap/>
        <w:overflowPunct/>
        <w:topLinePunct w:val="0"/>
        <w:autoSpaceDE/>
        <w:autoSpaceDN/>
        <w:bidi w:val="0"/>
        <w:adjustRightInd/>
        <w:snapToGrid/>
        <w:spacing w:line="60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8" w:name="_Toc27284"/>
      <w:bookmarkStart w:id="9" w:name="_Toc140094819"/>
      <w:r>
        <w:rPr>
          <w:rFonts w:hint="eastAsia" w:ascii="楷体_GB2312" w:hAnsi="楷体_GB2312" w:eastAsia="楷体_GB2312" w:cs="楷体_GB2312"/>
          <w:b/>
          <w:bCs/>
          <w:spacing w:val="0"/>
          <w:position w:val="0"/>
          <w:sz w:val="32"/>
          <w:szCs w:val="32"/>
          <w:lang w:eastAsia="zh-CN"/>
        </w:rPr>
        <w:t>（四）事故救援及善后处置情况</w:t>
      </w:r>
      <w:bookmarkEnd w:id="8"/>
      <w:bookmarkEnd w:id="9"/>
    </w:p>
    <w:p>
      <w:pPr>
        <w:keepNext w:val="0"/>
        <w:keepLines w:val="0"/>
        <w:pageBreakBefore w:val="0"/>
        <w:widowControl w:val="0"/>
        <w:kinsoku/>
        <w:wordWrap/>
        <w:overflowPunct/>
        <w:topLinePunct w:val="0"/>
        <w:autoSpaceDE/>
        <w:autoSpaceDN/>
        <w:bidi w:val="0"/>
        <w:adjustRightInd/>
        <w:snapToGrid/>
        <w:spacing w:line="54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发生坍塌后，现场施工人员第一时间报告老板黄道强并叫挖机开挖土方，在挖到疑似衣物时，即停止机械开挖改由人工开挖，后医护人员、消防人员、交警等陆续到场救援，于8时43分人员被挖出，并送至鹰潭市中医院进行抢救，8时5</w:t>
      </w:r>
      <w:r>
        <w:rPr>
          <w:rFonts w:hint="eastAsia" w:ascii="仿宋_GB2312" w:hAnsi="仿宋_GB2312" w:eastAsia="仿宋_GB2312" w:cs="仿宋_GB2312"/>
          <w:spacing w:val="0"/>
          <w:position w:val="0"/>
          <w:sz w:val="32"/>
          <w:szCs w:val="32"/>
          <w:lang w:val="en-US" w:eastAsia="zh-CN"/>
        </w:rPr>
        <w:t>8</w:t>
      </w:r>
      <w:r>
        <w:rPr>
          <w:rFonts w:hint="eastAsia" w:ascii="仿宋_GB2312" w:hAnsi="仿宋_GB2312" w:eastAsia="仿宋_GB2312" w:cs="仿宋_GB2312"/>
          <w:spacing w:val="0"/>
          <w:position w:val="0"/>
          <w:sz w:val="32"/>
          <w:szCs w:val="32"/>
          <w:lang w:eastAsia="zh-CN"/>
        </w:rPr>
        <w:t>分经抢救无效死亡。事发后，黄道强积极联系死者家属协商赔偿事宜，6月15日与家属签订赔偿协议书，期间家属情绪平稳，网上无舆情。</w:t>
      </w:r>
    </w:p>
    <w:p>
      <w:pPr>
        <w:pStyle w:val="2"/>
        <w:rPr>
          <w:rFonts w:hint="eastAsia" w:ascii="仿宋_GB2312" w:hAnsi="仿宋_GB2312" w:eastAsia="仿宋_GB2312" w:cs="仿宋_GB2312"/>
          <w:spacing w:val="0"/>
          <w:position w:val="0"/>
          <w:sz w:val="32"/>
          <w:szCs w:val="32"/>
          <w:lang w:eastAsia="zh-CN"/>
        </w:rPr>
      </w:pPr>
      <w:r>
        <w:rPr>
          <w:rFonts w:hint="eastAsia" w:ascii="仿宋" w:hAnsi="仿宋" w:eastAsia="仿宋" w:cs="仿宋"/>
          <w:spacing w:val="0"/>
          <w:position w:val="0"/>
          <w:sz w:val="31"/>
          <w:szCs w:val="31"/>
          <w:lang w:eastAsia="zh-CN"/>
        </w:rPr>
        <w:drawing>
          <wp:anchor distT="0" distB="0" distL="114300" distR="114300" simplePos="0" relativeHeight="251659264" behindDoc="0" locked="0" layoutInCell="1" allowOverlap="1">
            <wp:simplePos x="0" y="0"/>
            <wp:positionH relativeFrom="column">
              <wp:posOffset>123825</wp:posOffset>
            </wp:positionH>
            <wp:positionV relativeFrom="paragraph">
              <wp:posOffset>99060</wp:posOffset>
            </wp:positionV>
            <wp:extent cx="5425440" cy="2341880"/>
            <wp:effectExtent l="0" t="0" r="3810" b="1270"/>
            <wp:wrapNone/>
            <wp:docPr id="3" name="图片 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01"/>
                    <pic:cNvPicPr>
                      <a:picLocks noChangeAspect="1"/>
                    </pic:cNvPicPr>
                  </pic:nvPicPr>
                  <pic:blipFill>
                    <a:blip r:embed="rId6"/>
                    <a:stretch>
                      <a:fillRect/>
                    </a:stretch>
                  </pic:blipFill>
                  <pic:spPr>
                    <a:xfrm>
                      <a:off x="0" y="0"/>
                      <a:ext cx="5425440" cy="2341880"/>
                    </a:xfrm>
                    <a:prstGeom prst="rect">
                      <a:avLst/>
                    </a:prstGeom>
                    <a:noFill/>
                    <a:ln>
                      <a:noFill/>
                    </a:ln>
                  </pic:spPr>
                </pic:pic>
              </a:graphicData>
            </a:graphic>
          </wp:anchor>
        </w:drawing>
      </w:r>
    </w:p>
    <w:p>
      <w:pPr>
        <w:pStyle w:val="2"/>
        <w:rPr>
          <w:rFonts w:hint="eastAsia" w:ascii="仿宋_GB2312" w:hAnsi="仿宋_GB2312" w:eastAsia="仿宋_GB2312" w:cs="仿宋_GB2312"/>
          <w:spacing w:val="0"/>
          <w:position w:val="0"/>
          <w:sz w:val="32"/>
          <w:szCs w:val="32"/>
          <w:lang w:eastAsia="zh-CN"/>
        </w:rPr>
      </w:pPr>
    </w:p>
    <w:p>
      <w:pPr>
        <w:pStyle w:val="2"/>
        <w:rPr>
          <w:rFonts w:hint="eastAsia"/>
          <w:lang w:eastAsia="zh-CN"/>
        </w:rPr>
      </w:pPr>
    </w:p>
    <w:p>
      <w:pPr>
        <w:ind w:firstLine="620" w:firstLineChars="200"/>
        <w:rPr>
          <w:rFonts w:ascii="仿宋" w:hAnsi="仿宋" w:eastAsia="仿宋" w:cs="仿宋"/>
          <w:spacing w:val="0"/>
          <w:position w:val="0"/>
          <w:sz w:val="31"/>
          <w:szCs w:val="31"/>
          <w:lang w:eastAsia="zh-CN"/>
        </w:rPr>
      </w:pPr>
    </w:p>
    <w:p>
      <w:pPr>
        <w:spacing w:before="198" w:line="360" w:lineRule="auto"/>
        <w:ind w:right="1"/>
        <w:jc w:val="center"/>
        <w:rPr>
          <w:rFonts w:ascii="仿宋" w:hAnsi="仿宋" w:eastAsia="仿宋" w:cs="仿宋"/>
          <w:spacing w:val="0"/>
          <w:position w:val="0"/>
          <w:sz w:val="31"/>
          <w:szCs w:val="31"/>
          <w:lang w:eastAsia="zh-CN"/>
        </w:rPr>
      </w:pP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hint="eastAsia" w:ascii="仿宋" w:hAnsi="仿宋" w:eastAsia="仿宋" w:cs="仿宋"/>
          <w:spacing w:val="0"/>
          <w:position w:val="0"/>
          <w:lang w:eastAsia="zh-CN"/>
        </w:rPr>
      </w:pPr>
      <w:r>
        <w:rPr>
          <w:rFonts w:hint="eastAsia" w:ascii="仿宋" w:hAnsi="仿宋" w:eastAsia="仿宋" w:cs="仿宋"/>
          <w:spacing w:val="0"/>
          <w:position w:val="0"/>
          <w:sz w:val="31"/>
          <w:szCs w:val="31"/>
          <w:lang w:eastAsia="zh-CN"/>
        </w:rPr>
        <w:drawing>
          <wp:anchor distT="0" distB="0" distL="114300" distR="114300" simplePos="0" relativeHeight="251660288" behindDoc="0" locked="0" layoutInCell="1" allowOverlap="1">
            <wp:simplePos x="0" y="0"/>
            <wp:positionH relativeFrom="column">
              <wp:posOffset>180975</wp:posOffset>
            </wp:positionH>
            <wp:positionV relativeFrom="paragraph">
              <wp:posOffset>-412750</wp:posOffset>
            </wp:positionV>
            <wp:extent cx="5507355" cy="2781300"/>
            <wp:effectExtent l="0" t="0" r="17145" b="0"/>
            <wp:wrapNone/>
            <wp:docPr id="4" name="图片 3"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02"/>
                    <pic:cNvPicPr>
                      <a:picLocks noChangeAspect="1"/>
                    </pic:cNvPicPr>
                  </pic:nvPicPr>
                  <pic:blipFill>
                    <a:blip r:embed="rId7"/>
                    <a:stretch>
                      <a:fillRect/>
                    </a:stretch>
                  </pic:blipFill>
                  <pic:spPr>
                    <a:xfrm>
                      <a:off x="0" y="0"/>
                      <a:ext cx="5507355" cy="2781300"/>
                    </a:xfrm>
                    <a:prstGeom prst="rect">
                      <a:avLst/>
                    </a:prstGeom>
                    <a:noFill/>
                    <a:ln>
                      <a:noFill/>
                    </a:ln>
                  </pic:spPr>
                </pic:pic>
              </a:graphicData>
            </a:graphic>
          </wp:anchor>
        </w:drawing>
      </w: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hint="eastAsia" w:ascii="仿宋" w:hAnsi="仿宋" w:eastAsia="仿宋" w:cs="仿宋"/>
          <w:spacing w:val="0"/>
          <w:position w:val="0"/>
          <w:lang w:eastAsia="zh-CN"/>
        </w:rPr>
      </w:pPr>
    </w:p>
    <w:p>
      <w:pPr>
        <w:spacing w:before="198" w:line="360" w:lineRule="auto"/>
        <w:ind w:right="1"/>
        <w:jc w:val="center"/>
        <w:rPr>
          <w:rFonts w:ascii="仿宋" w:hAnsi="仿宋" w:eastAsia="仿宋" w:cs="仿宋"/>
          <w:spacing w:val="0"/>
          <w:position w:val="0"/>
          <w:lang w:eastAsia="zh-CN"/>
        </w:rPr>
      </w:pPr>
      <w:r>
        <w:rPr>
          <w:rFonts w:hint="eastAsia" w:ascii="仿宋" w:hAnsi="仿宋" w:eastAsia="仿宋" w:cs="仿宋"/>
          <w:spacing w:val="0"/>
          <w:position w:val="0"/>
          <w:lang w:eastAsia="zh-CN"/>
        </w:rPr>
        <w:t>事故救援现场情况</w:t>
      </w:r>
    </w:p>
    <w:p>
      <w:pPr>
        <w:keepNext w:val="0"/>
        <w:keepLines w:val="0"/>
        <w:pageBreakBefore w:val="0"/>
        <w:widowControl w:val="0"/>
        <w:kinsoku/>
        <w:wordWrap/>
        <w:overflowPunct/>
        <w:topLinePunct w:val="0"/>
        <w:autoSpaceDE/>
        <w:autoSpaceDN/>
        <w:bidi w:val="0"/>
        <w:adjustRightInd/>
        <w:snapToGrid/>
        <w:spacing w:line="58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10" w:name="_Toc140094820"/>
      <w:bookmarkStart w:id="11" w:name="_Toc18276"/>
      <w:r>
        <w:rPr>
          <w:rFonts w:hint="eastAsia" w:ascii="楷体_GB2312" w:hAnsi="楷体_GB2312" w:eastAsia="楷体_GB2312" w:cs="楷体_GB2312"/>
          <w:b/>
          <w:bCs/>
          <w:spacing w:val="0"/>
          <w:position w:val="0"/>
          <w:sz w:val="32"/>
          <w:szCs w:val="32"/>
          <w:lang w:eastAsia="zh-CN"/>
        </w:rPr>
        <w:t>（五）人员伤亡和直接经济损失情况</w:t>
      </w:r>
      <w:bookmarkEnd w:id="10"/>
      <w:bookmarkEnd w:id="11"/>
    </w:p>
    <w:p>
      <w:pPr>
        <w:keepNext w:val="0"/>
        <w:keepLines w:val="0"/>
        <w:pageBreakBefore w:val="0"/>
        <w:widowControl w:val="0"/>
        <w:kinsoku/>
        <w:wordWrap/>
        <w:overflowPunct/>
        <w:topLinePunct w:val="0"/>
        <w:autoSpaceDE/>
        <w:autoSpaceDN/>
        <w:bidi w:val="0"/>
        <w:adjustRightInd/>
        <w:snapToGrid/>
        <w:spacing w:line="580" w:lineRule="exact"/>
        <w:ind w:left="0" w:right="0" w:firstLine="643" w:firstLineChars="200"/>
        <w:jc w:val="both"/>
        <w:textAlignment w:val="auto"/>
        <w:rPr>
          <w:rFonts w:hint="eastAsia" w:ascii="仿宋_GB2312" w:hAnsi="仿宋_GB2312" w:eastAsia="仿宋_GB2312" w:cs="仿宋_GB2312"/>
          <w:b/>
          <w:bCs/>
          <w:spacing w:val="0"/>
          <w:position w:val="0"/>
          <w:sz w:val="32"/>
          <w:szCs w:val="32"/>
          <w:lang w:eastAsia="zh-CN"/>
        </w:rPr>
      </w:pPr>
      <w:bookmarkStart w:id="12" w:name="_Toc140094821"/>
      <w:r>
        <w:rPr>
          <w:rFonts w:hint="eastAsia" w:ascii="仿宋_GB2312" w:hAnsi="仿宋_GB2312" w:eastAsia="仿宋_GB2312" w:cs="仿宋_GB2312"/>
          <w:b/>
          <w:bCs/>
          <w:spacing w:val="0"/>
          <w:position w:val="0"/>
          <w:sz w:val="32"/>
          <w:szCs w:val="32"/>
          <w:lang w:eastAsia="zh-CN"/>
        </w:rPr>
        <w:t>1.事故造成的人员伤亡</w:t>
      </w:r>
      <w:bookmarkEnd w:id="12"/>
      <w:r>
        <w:rPr>
          <w:rFonts w:hint="eastAsia" w:ascii="仿宋_GB2312" w:hAnsi="仿宋_GB2312" w:eastAsia="仿宋_GB2312" w:cs="仿宋_GB2312"/>
          <w:b/>
          <w:bCs/>
          <w:spacing w:val="0"/>
          <w:position w:val="0"/>
          <w:sz w:val="32"/>
          <w:szCs w:val="32"/>
          <w:lang w:eastAsia="zh-CN"/>
        </w:rPr>
        <w:t>情况</w:t>
      </w:r>
    </w:p>
    <w:p>
      <w:pPr>
        <w:keepNext w:val="0"/>
        <w:keepLines w:val="0"/>
        <w:pageBreakBefore w:val="0"/>
        <w:widowControl w:val="0"/>
        <w:kinsoku/>
        <w:wordWrap/>
        <w:overflowPunct/>
        <w:topLinePunct w:val="0"/>
        <w:autoSpaceDE/>
        <w:autoSpaceDN/>
        <w:bidi w:val="0"/>
        <w:adjustRightInd/>
        <w:snapToGrid/>
        <w:spacing w:line="58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死者：黄金钱，男，汉族，身份证号：360621197806265314，江西省贵溪市天禄镇坂上大队黄家小组人，生前系农民工。</w:t>
      </w:r>
    </w:p>
    <w:p>
      <w:pPr>
        <w:keepNext w:val="0"/>
        <w:keepLines w:val="0"/>
        <w:pageBreakBefore w:val="0"/>
        <w:widowControl w:val="0"/>
        <w:kinsoku/>
        <w:wordWrap/>
        <w:overflowPunct/>
        <w:topLinePunct w:val="0"/>
        <w:autoSpaceDE/>
        <w:autoSpaceDN/>
        <w:bidi w:val="0"/>
        <w:adjustRightInd/>
        <w:snapToGrid/>
        <w:spacing w:line="580" w:lineRule="exact"/>
        <w:ind w:left="0" w:right="0" w:firstLine="643" w:firstLineChars="200"/>
        <w:jc w:val="both"/>
        <w:textAlignment w:val="auto"/>
        <w:rPr>
          <w:rFonts w:hint="eastAsia" w:ascii="仿宋_GB2312" w:hAnsi="仿宋_GB2312" w:eastAsia="仿宋_GB2312" w:cs="仿宋_GB2312"/>
          <w:b/>
          <w:bCs/>
          <w:spacing w:val="0"/>
          <w:position w:val="0"/>
          <w:sz w:val="32"/>
          <w:szCs w:val="32"/>
          <w:lang w:eastAsia="zh-CN"/>
        </w:rPr>
      </w:pPr>
      <w:bookmarkStart w:id="13" w:name="_Toc140094822"/>
      <w:r>
        <w:rPr>
          <w:rFonts w:hint="eastAsia" w:ascii="仿宋_GB2312" w:hAnsi="仿宋_GB2312" w:eastAsia="仿宋_GB2312" w:cs="仿宋_GB2312"/>
          <w:b/>
          <w:bCs/>
          <w:spacing w:val="0"/>
          <w:position w:val="0"/>
          <w:sz w:val="32"/>
          <w:szCs w:val="32"/>
          <w:lang w:eastAsia="zh-CN"/>
        </w:rPr>
        <w:t>2.事故造成的直接经济损失</w:t>
      </w:r>
      <w:bookmarkEnd w:id="13"/>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此起事故造成的直接经济损失为 123万元，主要为死亡赔偿金、供养亲属抚恤金和丧葬费等费用。</w:t>
      </w:r>
    </w:p>
    <w:p>
      <w:pPr>
        <w:keepNext w:val="0"/>
        <w:keepLines w:val="0"/>
        <w:pageBreakBefore w:val="0"/>
        <w:widowControl w:val="0"/>
        <w:kinsoku/>
        <w:wordWrap/>
        <w:overflowPunct/>
        <w:topLinePunct w:val="0"/>
        <w:autoSpaceDE/>
        <w:autoSpaceDN/>
        <w:bidi w:val="0"/>
        <w:adjustRightInd/>
        <w:snapToGrid/>
        <w:spacing w:line="580" w:lineRule="exact"/>
        <w:ind w:left="0" w:right="0" w:firstLine="640" w:firstLineChars="200"/>
        <w:jc w:val="both"/>
        <w:textAlignment w:val="auto"/>
        <w:outlineLvl w:val="0"/>
        <w:rPr>
          <w:rFonts w:hint="eastAsia" w:ascii="黑体" w:hAnsi="黑体" w:eastAsia="黑体" w:cs="黑体"/>
          <w:spacing w:val="0"/>
          <w:position w:val="0"/>
          <w:sz w:val="32"/>
          <w:szCs w:val="32"/>
          <w:lang w:eastAsia="zh-CN"/>
        </w:rPr>
      </w:pPr>
      <w:bookmarkStart w:id="14" w:name="_Toc140094823"/>
      <w:bookmarkStart w:id="15" w:name="_Toc31816"/>
      <w:r>
        <w:rPr>
          <w:rFonts w:hint="eastAsia" w:ascii="黑体" w:hAnsi="黑体" w:eastAsia="黑体" w:cs="黑体"/>
          <w:spacing w:val="0"/>
          <w:position w:val="0"/>
          <w:sz w:val="32"/>
          <w:szCs w:val="32"/>
          <w:lang w:eastAsia="zh-CN"/>
        </w:rPr>
        <w:t>二、事故应急救援及评估情况</w:t>
      </w:r>
      <w:bookmarkEnd w:id="14"/>
      <w:bookmarkEnd w:id="15"/>
    </w:p>
    <w:p>
      <w:pPr>
        <w:keepNext w:val="0"/>
        <w:keepLines w:val="0"/>
        <w:pageBreakBefore w:val="0"/>
        <w:widowControl w:val="0"/>
        <w:kinsoku/>
        <w:wordWrap/>
        <w:overflowPunct/>
        <w:topLinePunct w:val="0"/>
        <w:autoSpaceDE/>
        <w:autoSpaceDN/>
        <w:bidi w:val="0"/>
        <w:adjustRightInd/>
        <w:snapToGrid/>
        <w:spacing w:line="58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16" w:name="_Toc140094824"/>
      <w:bookmarkStart w:id="17" w:name="_Toc654"/>
      <w:r>
        <w:rPr>
          <w:rFonts w:hint="eastAsia" w:ascii="楷体_GB2312" w:hAnsi="楷体_GB2312" w:eastAsia="楷体_GB2312" w:cs="楷体_GB2312"/>
          <w:b/>
          <w:bCs/>
          <w:spacing w:val="0"/>
          <w:position w:val="0"/>
          <w:sz w:val="32"/>
          <w:szCs w:val="32"/>
          <w:lang w:eastAsia="zh-CN"/>
        </w:rPr>
        <w:t>（一）事故信息接报及响应情况</w:t>
      </w:r>
      <w:bookmarkEnd w:id="16"/>
      <w:bookmarkEnd w:id="17"/>
    </w:p>
    <w:p>
      <w:pPr>
        <w:keepNext w:val="0"/>
        <w:keepLines w:val="0"/>
        <w:pageBreakBefore w:val="0"/>
        <w:widowControl w:val="0"/>
        <w:kinsoku/>
        <w:wordWrap/>
        <w:overflowPunct/>
        <w:topLinePunct w:val="0"/>
        <w:autoSpaceDE/>
        <w:autoSpaceDN/>
        <w:bidi w:val="0"/>
        <w:adjustRightInd/>
        <w:snapToGrid/>
        <w:spacing w:line="58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发生坍塌后，现场施工人员第一时间报告老板黄道强并叫挖机开挖土方，在挖到疑似衣物时，即停止机械开挖改由人工开挖，后医护人员、消防人员、交警等陆续到场救援，于8时43分人员被挖出，并送至鹰潭市中医院进行抢救，8时5</w:t>
      </w:r>
      <w:r>
        <w:rPr>
          <w:rFonts w:hint="eastAsia" w:ascii="仿宋_GB2312" w:hAnsi="仿宋_GB2312" w:eastAsia="仿宋_GB2312" w:cs="仿宋_GB2312"/>
          <w:spacing w:val="0"/>
          <w:position w:val="0"/>
          <w:sz w:val="32"/>
          <w:szCs w:val="32"/>
          <w:lang w:val="en-US" w:eastAsia="zh-CN"/>
        </w:rPr>
        <w:t>8</w:t>
      </w:r>
      <w:r>
        <w:rPr>
          <w:rFonts w:hint="eastAsia" w:ascii="仿宋_GB2312" w:hAnsi="仿宋_GB2312" w:eastAsia="仿宋_GB2312" w:cs="仿宋_GB2312"/>
          <w:spacing w:val="0"/>
          <w:position w:val="0"/>
          <w:sz w:val="32"/>
          <w:szCs w:val="32"/>
          <w:lang w:eastAsia="zh-CN"/>
        </w:rPr>
        <w:t>分经抢救无效死亡。</w:t>
      </w:r>
    </w:p>
    <w:p>
      <w:pPr>
        <w:keepNext w:val="0"/>
        <w:keepLines w:val="0"/>
        <w:pageBreakBefore w:val="0"/>
        <w:widowControl w:val="0"/>
        <w:kinsoku/>
        <w:wordWrap/>
        <w:overflowPunct/>
        <w:topLinePunct w:val="0"/>
        <w:autoSpaceDE/>
        <w:autoSpaceDN/>
        <w:bidi w:val="0"/>
        <w:adjustRightInd/>
        <w:snapToGrid/>
        <w:spacing w:line="62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18" w:name="_Toc140094825"/>
      <w:bookmarkStart w:id="19" w:name="_Toc11288"/>
      <w:r>
        <w:rPr>
          <w:rFonts w:hint="eastAsia" w:ascii="楷体_GB2312" w:hAnsi="楷体_GB2312" w:eastAsia="楷体_GB2312" w:cs="楷体_GB2312"/>
          <w:b/>
          <w:bCs/>
          <w:spacing w:val="0"/>
          <w:position w:val="0"/>
          <w:sz w:val="32"/>
          <w:szCs w:val="32"/>
          <w:lang w:eastAsia="zh-CN"/>
        </w:rPr>
        <w:t>（二）事故应急处置评估</w:t>
      </w:r>
      <w:bookmarkEnd w:id="18"/>
      <w:bookmarkEnd w:id="19"/>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事件发生后，区应急局统筹区住建局、东湖街道办等部门进行应急处置，防范事件进一步扩大，有关工作如下：</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1.事发后第一时间施工单位负责人赶到现场处置。 现场人员第一时间拨打 120，由120 赶到现场进行抢救。</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2.事发后相关部门立即强令停止违章作业，并保护了现场。</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3. 区应急局、区住建、街道办等部门相关人员赶赴事发现场进行应急处置，警戒事故发生地点，疏散无关人员。</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综上所述，该事故应急抢救及时，应急处置措施得当，应急救援符合《中华人民共和国安全生产法》第八十五条关于安全事故营救救援处置的规定。</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outlineLvl w:val="0"/>
        <w:rPr>
          <w:rFonts w:hint="eastAsia" w:ascii="黑体" w:hAnsi="黑体" w:eastAsia="黑体" w:cs="黑体"/>
          <w:spacing w:val="0"/>
          <w:position w:val="0"/>
          <w:sz w:val="32"/>
          <w:szCs w:val="32"/>
          <w:lang w:eastAsia="zh-CN"/>
        </w:rPr>
      </w:pPr>
      <w:bookmarkStart w:id="20" w:name="_Toc14548"/>
      <w:bookmarkStart w:id="21" w:name="_Toc140094826"/>
      <w:r>
        <w:rPr>
          <w:rFonts w:hint="eastAsia" w:ascii="黑体" w:hAnsi="黑体" w:eastAsia="黑体" w:cs="黑体"/>
          <w:spacing w:val="0"/>
          <w:position w:val="0"/>
          <w:sz w:val="32"/>
          <w:szCs w:val="32"/>
          <w:lang w:eastAsia="zh-CN"/>
        </w:rPr>
        <w:t>三、事故原因分析及事故性质认定</w:t>
      </w:r>
      <w:bookmarkEnd w:id="20"/>
      <w:bookmarkEnd w:id="21"/>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为查明事故原因，事故调查组各单位成员根据职责分工，进行调查工作如下：</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事故调查组成员通过询问事故各主体责任单位人员，制作询问笔录，收集事故相关资料，查明了事故原因。</w:t>
      </w:r>
    </w:p>
    <w:p>
      <w:pPr>
        <w:keepNext w:val="0"/>
        <w:keepLines w:val="0"/>
        <w:pageBreakBefore w:val="0"/>
        <w:widowControl w:val="0"/>
        <w:kinsoku/>
        <w:wordWrap/>
        <w:overflowPunct/>
        <w:topLinePunct w:val="0"/>
        <w:autoSpaceDE/>
        <w:autoSpaceDN/>
        <w:bidi w:val="0"/>
        <w:adjustRightInd/>
        <w:snapToGrid/>
        <w:spacing w:line="62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22" w:name="_Toc140094827"/>
      <w:bookmarkStart w:id="23" w:name="_Toc31556"/>
      <w:r>
        <w:rPr>
          <w:rFonts w:hint="eastAsia" w:ascii="楷体_GB2312" w:hAnsi="楷体_GB2312" w:eastAsia="楷体_GB2312" w:cs="楷体_GB2312"/>
          <w:b/>
          <w:bCs/>
          <w:spacing w:val="0"/>
          <w:position w:val="0"/>
          <w:sz w:val="32"/>
          <w:szCs w:val="32"/>
          <w:lang w:eastAsia="zh-CN"/>
        </w:rPr>
        <w:t>（一）直接原因分析</w:t>
      </w:r>
      <w:bookmarkEnd w:id="22"/>
      <w:bookmarkEnd w:id="23"/>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黄金钱：鹰潭市强升电力工程有限公司施工队人员，安全意识淡薄，对施工作业危险性认识不足，违反《建筑基坑工程监测技术标准》GB50497-2019等作业规程。</w:t>
      </w:r>
    </w:p>
    <w:p>
      <w:pPr>
        <w:keepNext w:val="0"/>
        <w:keepLines w:val="0"/>
        <w:pageBreakBefore w:val="0"/>
        <w:widowControl w:val="0"/>
        <w:kinsoku/>
        <w:wordWrap/>
        <w:overflowPunct/>
        <w:topLinePunct w:val="0"/>
        <w:autoSpaceDE/>
        <w:autoSpaceDN/>
        <w:bidi w:val="0"/>
        <w:adjustRightInd/>
        <w:snapToGrid/>
        <w:spacing w:line="62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24" w:name="bookmark24"/>
      <w:bookmarkEnd w:id="24"/>
      <w:bookmarkStart w:id="25" w:name="_Toc11257"/>
      <w:bookmarkStart w:id="26" w:name="_Toc140094828"/>
      <w:r>
        <w:rPr>
          <w:rFonts w:hint="eastAsia" w:ascii="楷体_GB2312" w:hAnsi="楷体_GB2312" w:eastAsia="楷体_GB2312" w:cs="楷体_GB2312"/>
          <w:b/>
          <w:bCs/>
          <w:spacing w:val="0"/>
          <w:position w:val="0"/>
          <w:sz w:val="32"/>
          <w:szCs w:val="32"/>
          <w:lang w:eastAsia="zh-CN"/>
        </w:rPr>
        <w:t>（二）间接原因分析</w:t>
      </w:r>
      <w:bookmarkEnd w:id="25"/>
      <w:bookmarkEnd w:id="26"/>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val="en-US" w:eastAsia="zh-CN"/>
        </w:rPr>
        <w:t>1.</w:t>
      </w:r>
      <w:r>
        <w:rPr>
          <w:rFonts w:hint="eastAsia" w:ascii="仿宋_GB2312" w:hAnsi="仿宋_GB2312" w:eastAsia="仿宋_GB2312" w:cs="仿宋_GB2312"/>
          <w:spacing w:val="0"/>
          <w:position w:val="0"/>
          <w:sz w:val="32"/>
          <w:szCs w:val="32"/>
          <w:lang w:eastAsia="zh-CN"/>
        </w:rPr>
        <w:t>鹰潭市强升电力工程有限公司安全管理不到位，对员工的安全培训不到位，从业人员安全意识不强，未辨识出土层不稳定风险而盲目进入作业现场。</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spacing w:val="0"/>
          <w:position w:val="0"/>
          <w:sz w:val="32"/>
          <w:szCs w:val="32"/>
          <w:lang w:val="en-US" w:eastAsia="zh-CN"/>
        </w:rPr>
        <w:t>2.</w:t>
      </w:r>
      <w:r>
        <w:rPr>
          <w:rFonts w:hint="eastAsia" w:ascii="仿宋_GB2312" w:hAnsi="仿宋_GB2312" w:eastAsia="仿宋_GB2312" w:cs="仿宋_GB2312"/>
          <w:spacing w:val="0"/>
          <w:position w:val="0"/>
          <w:sz w:val="32"/>
          <w:szCs w:val="32"/>
          <w:lang w:eastAsia="zh-CN"/>
        </w:rPr>
        <w:t>黄道强：</w:t>
      </w:r>
      <w:r>
        <w:rPr>
          <w:rFonts w:hint="eastAsia" w:ascii="仿宋_GB2312" w:hAnsi="仿宋_GB2312" w:eastAsia="仿宋_GB2312" w:cs="仿宋_GB2312"/>
          <w:color w:val="auto"/>
          <w:spacing w:val="0"/>
          <w:position w:val="0"/>
          <w:sz w:val="32"/>
          <w:szCs w:val="32"/>
        </w:rPr>
        <w:t>作业前，未对</w:t>
      </w:r>
      <w:r>
        <w:rPr>
          <w:rFonts w:hint="eastAsia" w:ascii="仿宋_GB2312" w:hAnsi="仿宋_GB2312" w:eastAsia="仿宋_GB2312" w:cs="仿宋_GB2312"/>
          <w:spacing w:val="0"/>
          <w:position w:val="0"/>
          <w:sz w:val="32"/>
          <w:szCs w:val="32"/>
          <w:lang w:eastAsia="zh-CN"/>
        </w:rPr>
        <w:t>黄金钱</w:t>
      </w:r>
      <w:r>
        <w:rPr>
          <w:rFonts w:hint="eastAsia" w:ascii="仿宋_GB2312" w:hAnsi="仿宋_GB2312" w:eastAsia="仿宋_GB2312" w:cs="仿宋_GB2312"/>
          <w:color w:val="auto"/>
          <w:spacing w:val="0"/>
          <w:position w:val="0"/>
          <w:sz w:val="32"/>
          <w:szCs w:val="32"/>
        </w:rPr>
        <w:t>进行书面安全技术交底</w:t>
      </w:r>
      <w:r>
        <w:rPr>
          <w:rFonts w:hint="eastAsia" w:ascii="仿宋_GB2312" w:hAnsi="仿宋_GB2312" w:eastAsia="仿宋_GB2312" w:cs="仿宋_GB2312"/>
          <w:color w:val="auto"/>
          <w:spacing w:val="0"/>
          <w:position w:val="0"/>
          <w:sz w:val="32"/>
          <w:szCs w:val="32"/>
          <w:lang w:eastAsia="zh-CN"/>
        </w:rPr>
        <w:t>，</w:t>
      </w:r>
      <w:r>
        <w:rPr>
          <w:rFonts w:hint="eastAsia" w:ascii="仿宋_GB2312" w:hAnsi="仿宋_GB2312" w:eastAsia="仿宋_GB2312" w:cs="仿宋_GB2312"/>
          <w:color w:val="auto"/>
          <w:spacing w:val="0"/>
          <w:position w:val="0"/>
          <w:sz w:val="32"/>
          <w:szCs w:val="32"/>
        </w:rPr>
        <w:t>未查看</w:t>
      </w:r>
      <w:r>
        <w:rPr>
          <w:rFonts w:hint="eastAsia" w:ascii="仿宋_GB2312" w:hAnsi="仿宋_GB2312" w:eastAsia="仿宋_GB2312" w:cs="仿宋_GB2312"/>
          <w:spacing w:val="0"/>
          <w:position w:val="0"/>
          <w:sz w:val="32"/>
          <w:szCs w:val="32"/>
          <w:lang w:eastAsia="zh-CN"/>
        </w:rPr>
        <w:t>黄金钱</w:t>
      </w:r>
      <w:r>
        <w:rPr>
          <w:rFonts w:hint="eastAsia" w:ascii="仿宋_GB2312" w:hAnsi="仿宋_GB2312" w:eastAsia="仿宋_GB2312" w:cs="仿宋_GB2312"/>
          <w:color w:val="auto"/>
          <w:spacing w:val="0"/>
          <w:position w:val="0"/>
          <w:sz w:val="32"/>
          <w:szCs w:val="32"/>
        </w:rPr>
        <w:t>是否佩戴个人安全防护用品的情况下，让</w:t>
      </w:r>
      <w:r>
        <w:rPr>
          <w:rFonts w:hint="eastAsia" w:ascii="仿宋_GB2312" w:hAnsi="仿宋_GB2312" w:eastAsia="仿宋_GB2312" w:cs="仿宋_GB2312"/>
          <w:spacing w:val="0"/>
          <w:position w:val="0"/>
          <w:sz w:val="32"/>
          <w:szCs w:val="32"/>
          <w:lang w:eastAsia="zh-CN"/>
        </w:rPr>
        <w:t>黄金钱</w:t>
      </w:r>
      <w:r>
        <w:rPr>
          <w:rFonts w:hint="eastAsia" w:ascii="仿宋_GB2312" w:hAnsi="仿宋_GB2312" w:eastAsia="仿宋_GB2312" w:cs="仿宋_GB2312"/>
          <w:color w:val="auto"/>
          <w:spacing w:val="0"/>
          <w:position w:val="0"/>
          <w:sz w:val="32"/>
          <w:szCs w:val="32"/>
        </w:rPr>
        <w:t>进入狭小作业空间</w:t>
      </w:r>
      <w:r>
        <w:rPr>
          <w:rFonts w:hint="eastAsia" w:ascii="仿宋_GB2312" w:hAnsi="仿宋_GB2312" w:eastAsia="仿宋_GB2312" w:cs="仿宋_GB2312"/>
          <w:color w:val="auto"/>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违反</w:t>
      </w:r>
      <w:r>
        <w:rPr>
          <w:rFonts w:hint="eastAsia" w:ascii="仿宋_GB2312" w:hAnsi="仿宋_GB2312" w:eastAsia="仿宋_GB2312" w:cs="仿宋_GB2312"/>
          <w:spacing w:val="0"/>
          <w:position w:val="0"/>
          <w:sz w:val="32"/>
          <w:szCs w:val="32"/>
        </w:rPr>
        <w:t>《中华人民共和国安全生产法》</w:t>
      </w:r>
      <w:r>
        <w:rPr>
          <w:rFonts w:hint="eastAsia" w:ascii="仿宋_GB2312" w:hAnsi="仿宋_GB2312" w:eastAsia="仿宋_GB2312" w:cs="仿宋_GB2312"/>
          <w:color w:val="auto"/>
          <w:spacing w:val="0"/>
          <w:position w:val="0"/>
          <w:sz w:val="32"/>
          <w:szCs w:val="32"/>
        </w:rPr>
        <w:t>第</w:t>
      </w:r>
      <w:r>
        <w:rPr>
          <w:rFonts w:hint="eastAsia" w:ascii="仿宋_GB2312" w:hAnsi="仿宋_GB2312" w:eastAsia="仿宋_GB2312" w:cs="仿宋_GB2312"/>
          <w:color w:val="auto"/>
          <w:spacing w:val="0"/>
          <w:position w:val="0"/>
          <w:sz w:val="32"/>
          <w:szCs w:val="32"/>
          <w:lang w:val="en-US" w:eastAsia="zh-CN"/>
        </w:rPr>
        <w:t>二</w:t>
      </w:r>
      <w:r>
        <w:rPr>
          <w:rFonts w:hint="eastAsia" w:ascii="仿宋_GB2312" w:hAnsi="仿宋_GB2312" w:eastAsia="仿宋_GB2312" w:cs="仿宋_GB2312"/>
          <w:color w:val="auto"/>
          <w:spacing w:val="0"/>
          <w:position w:val="0"/>
          <w:sz w:val="32"/>
          <w:szCs w:val="32"/>
        </w:rPr>
        <w:t>十</w:t>
      </w:r>
      <w:r>
        <w:rPr>
          <w:rFonts w:hint="eastAsia" w:ascii="仿宋_GB2312" w:hAnsi="仿宋_GB2312" w:eastAsia="仿宋_GB2312" w:cs="仿宋_GB2312"/>
          <w:color w:val="auto"/>
          <w:spacing w:val="0"/>
          <w:position w:val="0"/>
          <w:sz w:val="32"/>
          <w:szCs w:val="32"/>
          <w:lang w:val="en-US" w:eastAsia="zh-CN"/>
        </w:rPr>
        <w:t>五</w:t>
      </w:r>
      <w:r>
        <w:rPr>
          <w:rFonts w:hint="eastAsia" w:ascii="仿宋_GB2312" w:hAnsi="仿宋_GB2312" w:eastAsia="仿宋_GB2312" w:cs="仿宋_GB2312"/>
          <w:color w:val="auto"/>
          <w:spacing w:val="0"/>
          <w:position w:val="0"/>
          <w:sz w:val="32"/>
          <w:szCs w:val="32"/>
        </w:rPr>
        <w:t>条</w:t>
      </w:r>
      <w:r>
        <w:rPr>
          <w:rFonts w:hint="eastAsia" w:ascii="仿宋_GB2312" w:hAnsi="仿宋_GB2312" w:eastAsia="仿宋_GB2312" w:cs="仿宋_GB2312"/>
          <w:color w:val="auto"/>
          <w:spacing w:val="0"/>
          <w:position w:val="0"/>
          <w:sz w:val="32"/>
          <w:szCs w:val="32"/>
          <w:lang w:val="en-US" w:eastAsia="zh-CN"/>
        </w:rPr>
        <w:t>的规定。</w:t>
      </w:r>
    </w:p>
    <w:p>
      <w:pPr>
        <w:keepNext w:val="0"/>
        <w:keepLines w:val="0"/>
        <w:pageBreakBefore w:val="0"/>
        <w:widowControl w:val="0"/>
        <w:kinsoku/>
        <w:wordWrap/>
        <w:overflowPunct/>
        <w:topLinePunct w:val="0"/>
        <w:autoSpaceDE/>
        <w:autoSpaceDN/>
        <w:bidi w:val="0"/>
        <w:adjustRightInd/>
        <w:snapToGrid/>
        <w:spacing w:line="62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27" w:name="_Toc140094829"/>
      <w:bookmarkStart w:id="28" w:name="_Toc23547"/>
      <w:r>
        <w:rPr>
          <w:rFonts w:hint="eastAsia" w:ascii="楷体_GB2312" w:hAnsi="楷体_GB2312" w:eastAsia="楷体_GB2312" w:cs="楷体_GB2312"/>
          <w:b/>
          <w:bCs/>
          <w:spacing w:val="0"/>
          <w:position w:val="0"/>
          <w:sz w:val="32"/>
          <w:szCs w:val="32"/>
          <w:lang w:eastAsia="zh-CN"/>
        </w:rPr>
        <w:t>（三）事故性质认定</w:t>
      </w:r>
      <w:bookmarkEnd w:id="27"/>
      <w:bookmarkEnd w:id="28"/>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依据《生产安全事故报告和调查处理条例》(国务院令第493号)第三条第一款第四项之规定，经事故调查组认定，</w:t>
      </w:r>
      <w:r>
        <w:rPr>
          <w:rFonts w:hint="eastAsia" w:ascii="仿宋_GB2312" w:hAnsi="仿宋_GB2312" w:eastAsia="仿宋_GB2312" w:cs="仿宋_GB2312"/>
          <w:b/>
          <w:bCs/>
          <w:spacing w:val="0"/>
          <w:position w:val="0"/>
          <w:sz w:val="32"/>
          <w:szCs w:val="32"/>
          <w:lang w:eastAsia="zh-CN"/>
        </w:rPr>
        <w:t>该起事故是一起一般生产安全责任事故</w:t>
      </w:r>
      <w:r>
        <w:rPr>
          <w:rFonts w:hint="eastAsia" w:ascii="仿宋_GB2312" w:hAnsi="仿宋_GB2312" w:eastAsia="仿宋_GB2312" w:cs="仿宋_GB2312"/>
          <w:spacing w:val="0"/>
          <w:positio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outlineLvl w:val="0"/>
        <w:rPr>
          <w:rFonts w:hint="eastAsia" w:ascii="黑体" w:hAnsi="黑体" w:eastAsia="黑体" w:cs="黑体"/>
          <w:spacing w:val="0"/>
          <w:position w:val="0"/>
          <w:sz w:val="32"/>
          <w:szCs w:val="32"/>
          <w:lang w:eastAsia="zh-CN"/>
        </w:rPr>
      </w:pPr>
      <w:bookmarkStart w:id="29" w:name="_Toc18179"/>
      <w:bookmarkStart w:id="30" w:name="_Toc140094830"/>
      <w:r>
        <w:rPr>
          <w:rFonts w:hint="eastAsia" w:ascii="黑体" w:hAnsi="黑体" w:eastAsia="黑体" w:cs="黑体"/>
          <w:spacing w:val="0"/>
          <w:position w:val="0"/>
          <w:sz w:val="32"/>
          <w:szCs w:val="32"/>
          <w:lang w:eastAsia="zh-CN"/>
        </w:rPr>
        <w:t>四、有关责任单位存在的主要问题</w:t>
      </w:r>
      <w:bookmarkEnd w:id="29"/>
      <w:bookmarkEnd w:id="30"/>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bookmarkStart w:id="31" w:name="bookmark25"/>
      <w:bookmarkEnd w:id="31"/>
      <w:r>
        <w:rPr>
          <w:rFonts w:hint="eastAsia" w:ascii="仿宋_GB2312" w:hAnsi="仿宋_GB2312" w:eastAsia="仿宋_GB2312" w:cs="仿宋_GB2312"/>
          <w:spacing w:val="0"/>
          <w:position w:val="0"/>
          <w:sz w:val="32"/>
          <w:szCs w:val="32"/>
          <w:lang w:eastAsia="zh-CN"/>
        </w:rPr>
        <w:t>事故单位：鹰潭市强升电力工程有限公司</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1.未取得施工许可擅自组织人员施工。</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2.对从业人员安全教育培训不到位。</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3.施工作业前未进行风险分析，未制定施工方案，未对施工人员进行安全交底。</w:t>
      </w:r>
    </w:p>
    <w:p>
      <w:pPr>
        <w:keepNext w:val="0"/>
        <w:keepLines w:val="0"/>
        <w:pageBreakBefore w:val="0"/>
        <w:widowControl w:val="0"/>
        <w:kinsoku/>
        <w:wordWrap/>
        <w:overflowPunct/>
        <w:topLinePunct w:val="0"/>
        <w:autoSpaceDE/>
        <w:autoSpaceDN/>
        <w:bidi w:val="0"/>
        <w:adjustRightInd/>
        <w:snapToGrid/>
        <w:spacing w:line="62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4.未采取针对性的安全技术措施、安全管理措施及应急救援措施。</w:t>
      </w:r>
      <w:bookmarkStart w:id="32" w:name="bookmark26"/>
      <w:bookmarkEnd w:id="32"/>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outlineLvl w:val="0"/>
        <w:rPr>
          <w:rFonts w:hint="eastAsia" w:ascii="黑体" w:hAnsi="黑体" w:eastAsia="黑体" w:cs="黑体"/>
          <w:spacing w:val="0"/>
          <w:position w:val="0"/>
          <w:sz w:val="32"/>
          <w:szCs w:val="32"/>
          <w:lang w:eastAsia="zh-CN"/>
        </w:rPr>
      </w:pPr>
      <w:bookmarkStart w:id="33" w:name="bookmark27"/>
      <w:bookmarkEnd w:id="33"/>
      <w:bookmarkStart w:id="34" w:name="_Toc140094831"/>
      <w:bookmarkStart w:id="35" w:name="_Toc4217"/>
      <w:r>
        <w:rPr>
          <w:rFonts w:hint="eastAsia" w:ascii="黑体" w:hAnsi="黑体" w:eastAsia="黑体" w:cs="黑体"/>
          <w:spacing w:val="0"/>
          <w:position w:val="0"/>
          <w:sz w:val="32"/>
          <w:szCs w:val="32"/>
          <w:lang w:eastAsia="zh-CN"/>
        </w:rPr>
        <w:t>五、事故责任的认定和对责任者的处理建议</w:t>
      </w:r>
      <w:bookmarkEnd w:id="34"/>
      <w:bookmarkEnd w:id="35"/>
    </w:p>
    <w:p>
      <w:pPr>
        <w:keepNext w:val="0"/>
        <w:keepLines w:val="0"/>
        <w:pageBreakBefore w:val="0"/>
        <w:widowControl w:val="0"/>
        <w:kinsoku/>
        <w:wordWrap/>
        <w:overflowPunct/>
        <w:topLinePunct w:val="0"/>
        <w:autoSpaceDE/>
        <w:autoSpaceDN/>
        <w:bidi w:val="0"/>
        <w:adjustRightInd/>
        <w:snapToGrid/>
        <w:spacing w:line="60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36" w:name="_Toc24922"/>
      <w:bookmarkStart w:id="37" w:name="_Toc140094832"/>
      <w:r>
        <w:rPr>
          <w:rFonts w:hint="eastAsia" w:ascii="楷体_GB2312" w:hAnsi="楷体_GB2312" w:eastAsia="楷体_GB2312" w:cs="楷体_GB2312"/>
          <w:b/>
          <w:bCs/>
          <w:spacing w:val="0"/>
          <w:position w:val="0"/>
          <w:sz w:val="32"/>
          <w:szCs w:val="32"/>
          <w:lang w:eastAsia="zh-CN"/>
        </w:rPr>
        <w:t>（一）因在事故中死亡免于追究责任人员</w:t>
      </w:r>
      <w:bookmarkEnd w:id="36"/>
      <w:bookmarkEnd w:id="37"/>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黄金钱：现场作业人员，安全意识淡薄，违章作业，进入深坑时未能认真观察施工基坑内环境，对这起事故负有直接责任。按照《中华人民共和国安全生产法》第一百零七条之规定“生产经营单位的从业人员不落实岗位安全责任，不服从管理，违反安全生产规章制度或者操作规程的，由生产经营单位给予批评教育，依照有关规章制度给予处分；构成犯罪的，依照刑法有关规定追究刑事责任”。本应追究其有关责任，鉴于黄金钱已死亡，故不予追究。</w:t>
      </w:r>
    </w:p>
    <w:p>
      <w:pPr>
        <w:keepNext w:val="0"/>
        <w:keepLines w:val="0"/>
        <w:pageBreakBefore w:val="0"/>
        <w:widowControl w:val="0"/>
        <w:kinsoku/>
        <w:wordWrap/>
        <w:overflowPunct/>
        <w:topLinePunct w:val="0"/>
        <w:autoSpaceDE/>
        <w:autoSpaceDN/>
        <w:bidi w:val="0"/>
        <w:adjustRightInd/>
        <w:snapToGrid/>
        <w:spacing w:line="60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bookmarkStart w:id="38" w:name="_Toc16410"/>
      <w:bookmarkStart w:id="39" w:name="_Toc140094833"/>
      <w:r>
        <w:rPr>
          <w:rFonts w:hint="eastAsia" w:ascii="楷体_GB2312" w:hAnsi="楷体_GB2312" w:eastAsia="楷体_GB2312" w:cs="楷体_GB2312"/>
          <w:b/>
          <w:bCs/>
          <w:spacing w:val="0"/>
          <w:position w:val="0"/>
          <w:sz w:val="32"/>
          <w:szCs w:val="32"/>
          <w:lang w:eastAsia="zh-CN"/>
        </w:rPr>
        <w:t>（二）事故有关责任单位和责任人员处理建议</w:t>
      </w:r>
      <w:bookmarkEnd w:id="38"/>
      <w:bookmarkEnd w:id="39"/>
    </w:p>
    <w:p>
      <w:pPr>
        <w:keepNext w:val="0"/>
        <w:keepLines w:val="0"/>
        <w:pageBreakBefore w:val="0"/>
        <w:widowControl w:val="0"/>
        <w:kinsoku/>
        <w:wordWrap/>
        <w:overflowPunct/>
        <w:topLinePunct w:val="0"/>
        <w:bidi w:val="0"/>
        <w:adjustRightInd/>
        <w:snapToGrid/>
        <w:spacing w:line="600" w:lineRule="exact"/>
        <w:ind w:left="0" w:right="0" w:firstLine="643" w:firstLineChars="200"/>
        <w:jc w:val="both"/>
        <w:rPr>
          <w:rFonts w:hint="eastAsia" w:ascii="仿宋_GB2312" w:hAnsi="仿宋_GB2312" w:eastAsia="仿宋_GB2312" w:cs="仿宋_GB2312"/>
          <w:b/>
          <w:bCs/>
          <w:spacing w:val="0"/>
          <w:position w:val="0"/>
          <w:sz w:val="32"/>
          <w:szCs w:val="32"/>
          <w:lang w:eastAsia="zh-CN"/>
        </w:rPr>
      </w:pPr>
      <w:bookmarkStart w:id="40" w:name="bookmark28"/>
      <w:bookmarkEnd w:id="40"/>
      <w:bookmarkStart w:id="41" w:name="bookmark29"/>
      <w:bookmarkEnd w:id="41"/>
      <w:r>
        <w:rPr>
          <w:rFonts w:hint="eastAsia" w:ascii="仿宋_GB2312" w:hAnsi="仿宋_GB2312" w:eastAsia="仿宋_GB2312" w:cs="仿宋_GB2312"/>
          <w:b/>
          <w:bCs/>
          <w:spacing w:val="0"/>
          <w:position w:val="0"/>
          <w:sz w:val="32"/>
          <w:szCs w:val="32"/>
          <w:lang w:eastAsia="zh-CN"/>
        </w:rPr>
        <w:t>1.鹰潭市强升电力工程有限公司</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落实安全生产主体责任不到位，安全管理工作不到位，从业人员安全意识不强，在没有依法取得施工审批许可的情况下违规组织作业，导致此次事故的发生，对该起事故负有主要责任。依据《中华人民共和国安全生产法》第一百一十四条第一款，建议由月湖区应急管理局依据规定对鹰潭市强升电力工程有限公司给予行政处罚。</w:t>
      </w:r>
    </w:p>
    <w:p>
      <w:pPr>
        <w:keepNext w:val="0"/>
        <w:keepLines w:val="0"/>
        <w:pageBreakBefore w:val="0"/>
        <w:widowControl w:val="0"/>
        <w:kinsoku/>
        <w:wordWrap/>
        <w:overflowPunct/>
        <w:topLinePunct w:val="0"/>
        <w:autoSpaceDE/>
        <w:autoSpaceDN/>
        <w:bidi w:val="0"/>
        <w:adjustRightInd/>
        <w:snapToGrid/>
        <w:spacing w:line="560" w:lineRule="exact"/>
        <w:ind w:left="0" w:right="0" w:firstLine="643" w:firstLineChars="200"/>
        <w:jc w:val="both"/>
        <w:textAlignment w:val="auto"/>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b/>
          <w:bCs/>
          <w:spacing w:val="0"/>
          <w:position w:val="0"/>
          <w:sz w:val="32"/>
          <w:szCs w:val="32"/>
          <w:lang w:eastAsia="zh-CN"/>
        </w:rPr>
        <w:t>2.黄道强</w:t>
      </w:r>
      <w:r>
        <w:rPr>
          <w:rFonts w:hint="eastAsia" w:ascii="仿宋_GB2312" w:hAnsi="仿宋_GB2312" w:eastAsia="仿宋_GB2312" w:cs="仿宋_GB2312"/>
          <w:spacing w:val="0"/>
          <w:position w:val="0"/>
          <w:sz w:val="32"/>
          <w:szCs w:val="32"/>
          <w:lang w:eastAsia="zh-CN"/>
        </w:rPr>
        <w:t xml:space="preserve"> 作为鹰潭市强升电力工程有限公司的主要负责人，未履行安全生产管理职责，在没有依法取得施工审批许可的情况下违规组织作业，未落实施工过程中的安全措施，导致此次事故的发生，对该起事故负有主要管理责任。依据《中华人民共和国安全生产法》</w:t>
      </w:r>
      <w:r>
        <w:rPr>
          <w:rFonts w:hint="eastAsia" w:ascii="仿宋_GB2312" w:hAnsi="仿宋_GB2312" w:eastAsia="仿宋_GB2312" w:cs="仿宋_GB2312"/>
          <w:color w:val="auto"/>
          <w:spacing w:val="0"/>
          <w:position w:val="0"/>
          <w:sz w:val="32"/>
          <w:szCs w:val="32"/>
          <w:lang w:eastAsia="zh-CN"/>
        </w:rPr>
        <w:t>第九十五条第一款，建议由月湖区应急管理局依据规定给予行政处罚。</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0"/>
        <w:rPr>
          <w:rFonts w:hint="eastAsia" w:ascii="黑体" w:hAnsi="黑体" w:eastAsia="黑体" w:cs="黑体"/>
          <w:spacing w:val="0"/>
          <w:position w:val="0"/>
          <w:sz w:val="32"/>
          <w:szCs w:val="32"/>
          <w:lang w:eastAsia="zh-CN"/>
        </w:rPr>
      </w:pPr>
      <w:bookmarkStart w:id="42" w:name="_Toc140094834"/>
      <w:bookmarkStart w:id="43" w:name="_Toc25635"/>
      <w:r>
        <w:rPr>
          <w:rFonts w:hint="eastAsia" w:ascii="黑体" w:hAnsi="黑体" w:eastAsia="黑体" w:cs="黑体"/>
          <w:spacing w:val="0"/>
          <w:position w:val="0"/>
          <w:sz w:val="32"/>
          <w:szCs w:val="32"/>
          <w:lang w:eastAsia="zh-CN"/>
        </w:rPr>
        <w:t>六、事故主要教训</w:t>
      </w:r>
      <w:bookmarkEnd w:id="42"/>
      <w:bookmarkEnd w:id="43"/>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（一）安全意识低、包括违章作业在内的“三违”作业依然是施工事故高发的根本原因。本次事故中，鹰潭市强升电力工程有限公司未取得施工许可的情况下，违反安全规程，是本次事故的主要原因。</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（二）安全无小事，严格辨识危险有害因素，安全措施必须到位才能作业，且不能存在侥幸心理。本次事故中，对基坑施工作业风险认识不足，安全措施</w:t>
      </w:r>
      <w:bookmarkStart w:id="44" w:name="bookmark31"/>
      <w:bookmarkEnd w:id="44"/>
      <w:r>
        <w:rPr>
          <w:rFonts w:hint="eastAsia" w:ascii="仿宋_GB2312" w:hAnsi="仿宋_GB2312" w:eastAsia="仿宋_GB2312" w:cs="仿宋_GB2312"/>
          <w:spacing w:val="0"/>
          <w:position w:val="0"/>
          <w:sz w:val="32"/>
          <w:szCs w:val="32"/>
          <w:lang w:eastAsia="zh-CN"/>
        </w:rPr>
        <w:t>不到位造成事故的发生。</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（三）“以人为本、生命至上”的思想树立不够牢固，相关职能管理部门对施工作业的安全宣传教育力度和深度不够。</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0"/>
        <w:rPr>
          <w:rFonts w:hint="eastAsia" w:ascii="黑体" w:hAnsi="黑体" w:eastAsia="黑体" w:cs="黑体"/>
          <w:spacing w:val="0"/>
          <w:position w:val="0"/>
          <w:sz w:val="32"/>
          <w:szCs w:val="32"/>
          <w:lang w:eastAsia="zh-CN"/>
        </w:rPr>
      </w:pPr>
      <w:bookmarkStart w:id="45" w:name="_Toc140094835"/>
      <w:bookmarkStart w:id="46" w:name="_Toc23004"/>
      <w:r>
        <w:rPr>
          <w:rFonts w:hint="eastAsia" w:ascii="黑体" w:hAnsi="黑体" w:eastAsia="黑体" w:cs="黑体"/>
          <w:spacing w:val="0"/>
          <w:position w:val="0"/>
          <w:sz w:val="32"/>
          <w:szCs w:val="32"/>
          <w:lang w:eastAsia="zh-CN"/>
        </w:rPr>
        <w:t>七、事故整改和防范措施</w:t>
      </w:r>
      <w:bookmarkEnd w:id="45"/>
      <w:bookmarkEnd w:id="46"/>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color w:val="auto"/>
          <w:spacing w:val="0"/>
          <w:position w:val="0"/>
          <w:sz w:val="32"/>
          <w:szCs w:val="32"/>
          <w:lang w:eastAsia="zh-CN"/>
        </w:rPr>
        <w:t xml:space="preserve">此次事故的发生，充分暴露了有关单位安全生产管理（监管）存在的不足。为预防类似事故再次发生，有关单位应针对存在的问题采取以下整改和防范措施： </w:t>
      </w:r>
    </w:p>
    <w:p>
      <w:pPr>
        <w:keepNext w:val="0"/>
        <w:keepLines w:val="0"/>
        <w:pageBreakBefore w:val="0"/>
        <w:widowControl w:val="0"/>
        <w:kinsoku/>
        <w:wordWrap/>
        <w:overflowPunct/>
        <w:topLinePunct w:val="0"/>
        <w:autoSpaceDE/>
        <w:autoSpaceDN/>
        <w:bidi w:val="0"/>
        <w:adjustRightInd/>
        <w:snapToGrid/>
        <w:spacing w:line="56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r>
        <w:rPr>
          <w:rFonts w:hint="eastAsia" w:ascii="楷体_GB2312" w:hAnsi="楷体_GB2312" w:eastAsia="楷体_GB2312" w:cs="楷体_GB2312"/>
          <w:b/>
          <w:bCs/>
          <w:spacing w:val="0"/>
          <w:position w:val="0"/>
          <w:sz w:val="32"/>
          <w:szCs w:val="32"/>
          <w:lang w:eastAsia="zh-CN"/>
        </w:rPr>
        <w:t>（一）鹰潭市强升电力工程有限公司</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color w:val="auto"/>
          <w:spacing w:val="0"/>
          <w:position w:val="0"/>
          <w:sz w:val="32"/>
          <w:szCs w:val="32"/>
          <w:lang w:val="en-US" w:eastAsia="zh-CN"/>
        </w:rPr>
        <w:t>1、</w:t>
      </w:r>
      <w:r>
        <w:rPr>
          <w:rFonts w:hint="eastAsia" w:ascii="仿宋_GB2312" w:hAnsi="仿宋_GB2312" w:eastAsia="仿宋_GB2312" w:cs="仿宋_GB2312"/>
          <w:color w:val="auto"/>
          <w:spacing w:val="0"/>
          <w:position w:val="0"/>
          <w:sz w:val="32"/>
          <w:szCs w:val="32"/>
          <w:lang w:eastAsia="zh-CN"/>
        </w:rPr>
        <w:t>深刻总结本次事故教训，认真研究类似事故的防范措施。系统梳理工程项目管理制度，对负责建设的项目开展全覆盖检查，针对发现的问题和存在的漏洞开展专项治理，完善有关制度安排。</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color w:val="auto"/>
          <w:spacing w:val="0"/>
          <w:position w:val="0"/>
          <w:sz w:val="32"/>
          <w:szCs w:val="32"/>
          <w:lang w:val="en-US" w:eastAsia="zh-CN"/>
        </w:rPr>
        <w:t>2.</w:t>
      </w:r>
      <w:r>
        <w:rPr>
          <w:rFonts w:hint="eastAsia" w:ascii="仿宋_GB2312" w:hAnsi="仿宋_GB2312" w:eastAsia="仿宋_GB2312" w:cs="仿宋_GB2312"/>
          <w:color w:val="auto"/>
          <w:spacing w:val="0"/>
          <w:position w:val="0"/>
          <w:sz w:val="32"/>
          <w:szCs w:val="32"/>
          <w:lang w:eastAsia="zh-CN"/>
        </w:rPr>
        <w:t>组织相关人员学习《中华人民共和国安全生产法》、《中华人民共和国建筑法》、《建筑工程施工许可证管理条例》有关内容，掌握建设单位在项目建设中得尤其是涉及施工许可方面安全生产管理责任。</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color w:val="auto"/>
          <w:spacing w:val="0"/>
          <w:position w:val="0"/>
          <w:sz w:val="32"/>
          <w:szCs w:val="32"/>
          <w:lang w:eastAsia="zh-CN"/>
        </w:rPr>
      </w:pPr>
      <w:r>
        <w:rPr>
          <w:rFonts w:hint="eastAsia" w:ascii="仿宋_GB2312" w:hAnsi="仿宋_GB2312" w:eastAsia="仿宋_GB2312" w:cs="仿宋_GB2312"/>
          <w:color w:val="auto"/>
          <w:spacing w:val="0"/>
          <w:position w:val="0"/>
          <w:sz w:val="32"/>
          <w:szCs w:val="32"/>
          <w:lang w:val="en-US" w:eastAsia="zh-CN"/>
        </w:rPr>
        <w:t>3、</w:t>
      </w:r>
      <w:r>
        <w:rPr>
          <w:rFonts w:hint="eastAsia" w:ascii="仿宋_GB2312" w:hAnsi="仿宋_GB2312" w:eastAsia="仿宋_GB2312" w:cs="仿宋_GB2312"/>
          <w:color w:val="auto"/>
          <w:spacing w:val="0"/>
          <w:position w:val="0"/>
          <w:sz w:val="32"/>
          <w:szCs w:val="32"/>
          <w:lang w:eastAsia="zh-CN"/>
        </w:rPr>
        <w:t>强化监督检查，督促代建、施工、监理等单位严格执行工程变更、场地管理、安全文明施工费使用等有关规定。</w:t>
      </w:r>
    </w:p>
    <w:p>
      <w:pPr>
        <w:keepNext w:val="0"/>
        <w:keepLines w:val="0"/>
        <w:pageBreakBefore w:val="0"/>
        <w:widowControl w:val="0"/>
        <w:kinsoku/>
        <w:wordWrap/>
        <w:overflowPunct/>
        <w:topLinePunct w:val="0"/>
        <w:autoSpaceDE/>
        <w:autoSpaceDN/>
        <w:bidi w:val="0"/>
        <w:adjustRightInd/>
        <w:snapToGrid/>
        <w:spacing w:line="560" w:lineRule="exact"/>
        <w:ind w:left="0" w:right="0" w:firstLine="643" w:firstLineChars="200"/>
        <w:textAlignment w:val="auto"/>
        <w:outlineLvl w:val="1"/>
        <w:rPr>
          <w:rFonts w:hint="eastAsia" w:ascii="楷体_GB2312" w:hAnsi="楷体_GB2312" w:eastAsia="楷体_GB2312" w:cs="楷体_GB2312"/>
          <w:b/>
          <w:bCs/>
          <w:spacing w:val="0"/>
          <w:position w:val="0"/>
          <w:sz w:val="32"/>
          <w:szCs w:val="32"/>
          <w:lang w:eastAsia="zh-CN"/>
        </w:rPr>
      </w:pPr>
      <w:r>
        <w:rPr>
          <w:rFonts w:hint="eastAsia" w:ascii="楷体_GB2312" w:hAnsi="楷体_GB2312" w:eastAsia="楷体_GB2312" w:cs="楷体_GB2312"/>
          <w:b/>
          <w:bCs/>
          <w:spacing w:val="0"/>
          <w:position w:val="0"/>
          <w:sz w:val="32"/>
          <w:szCs w:val="32"/>
          <w:lang w:eastAsia="zh-CN"/>
        </w:rPr>
        <w:t>（二）相关安全管理职能部门</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color w:val="auto"/>
          <w:spacing w:val="0"/>
          <w:position w:val="0"/>
          <w:sz w:val="32"/>
          <w:szCs w:val="32"/>
          <w:lang w:val="en-US" w:eastAsia="zh-CN"/>
        </w:rPr>
      </w:pPr>
      <w:r>
        <w:rPr>
          <w:rFonts w:hint="eastAsia" w:ascii="仿宋_GB2312" w:hAnsi="仿宋_GB2312" w:eastAsia="仿宋_GB2312" w:cs="仿宋_GB2312"/>
          <w:color w:val="auto"/>
          <w:spacing w:val="0"/>
          <w:position w:val="0"/>
          <w:sz w:val="32"/>
          <w:szCs w:val="32"/>
          <w:lang w:val="en-US" w:eastAsia="zh-CN"/>
        </w:rPr>
        <w:t>1、应急管理局、住建局、乡镇（街道）等相关职能部门，开展一次安全检查，举一反三、排查类似施工作业审批许可和安全监管以及安全措施是否落实到位。</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eastAsia" w:ascii="仿宋_GB2312" w:hAnsi="仿宋_GB2312" w:eastAsia="仿宋_GB2312" w:cs="仿宋_GB2312"/>
          <w:color w:val="auto"/>
          <w:spacing w:val="0"/>
          <w:position w:val="0"/>
          <w:sz w:val="32"/>
          <w:szCs w:val="32"/>
          <w:lang w:val="en-US" w:eastAsia="zh-CN"/>
        </w:rPr>
      </w:pPr>
      <w:r>
        <w:rPr>
          <w:rFonts w:hint="eastAsia" w:ascii="仿宋_GB2312" w:hAnsi="仿宋_GB2312" w:eastAsia="仿宋_GB2312" w:cs="仿宋_GB2312"/>
          <w:color w:val="auto"/>
          <w:spacing w:val="0"/>
          <w:position w:val="0"/>
          <w:sz w:val="32"/>
          <w:szCs w:val="32"/>
          <w:lang w:val="en-US" w:eastAsia="zh-CN"/>
        </w:rPr>
        <w:t>2、对相关管理职能部门人员及乡镇（街道）基层人员等进行安全教育培训，提高安全监管能力。</w:t>
      </w:r>
    </w:p>
    <w:p>
      <w:pPr>
        <w:keepNext w:val="0"/>
        <w:keepLines w:val="0"/>
        <w:pageBreakBefore w:val="0"/>
        <w:widowControl w:val="0"/>
        <w:kinsoku/>
        <w:wordWrap/>
        <w:overflowPunct/>
        <w:topLinePunct w:val="0"/>
        <w:bidi w:val="0"/>
        <w:adjustRightInd/>
        <w:snapToGrid/>
        <w:spacing w:line="600" w:lineRule="exact"/>
        <w:ind w:left="0" w:right="0" w:firstLine="640" w:firstLineChars="200"/>
        <w:jc w:val="both"/>
        <w:rPr>
          <w:rFonts w:hint="default" w:ascii="仿宋_GB2312" w:hAnsi="仿宋_GB2312" w:eastAsia="仿宋_GB2312" w:cs="仿宋_GB2312"/>
          <w:color w:val="auto"/>
          <w:spacing w:val="0"/>
          <w:position w:val="0"/>
          <w:sz w:val="32"/>
          <w:szCs w:val="32"/>
          <w:lang w:val="en-US" w:eastAsia="zh-CN"/>
        </w:rPr>
      </w:pPr>
      <w:r>
        <w:rPr>
          <w:rFonts w:hint="eastAsia" w:ascii="仿宋_GB2312" w:hAnsi="仿宋_GB2312" w:eastAsia="仿宋_GB2312" w:cs="仿宋_GB2312"/>
          <w:color w:val="auto"/>
          <w:spacing w:val="0"/>
          <w:position w:val="0"/>
          <w:sz w:val="32"/>
          <w:szCs w:val="32"/>
          <w:lang w:val="en-US" w:eastAsia="zh-CN"/>
        </w:rPr>
        <w:t>3、充分发挥职能管理部门人员及乡镇（街道）基层人员的监管职能，及时发现和制止违章作业情况，并立即向监管部门报告。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mOGQ5MDg1ZDMxZjQwZWIwYTZmYTI0MWFjZDNjZDcifQ=="/>
  </w:docVars>
  <w:rsids>
    <w:rsidRoot w:val="76C9129F"/>
    <w:rsid w:val="76C91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1"/>
    <w:qFormat/>
    <w:uiPriority w:val="0"/>
    <w:pPr>
      <w:ind w:left="420" w:leftChars="200" w:firstLine="210"/>
    </w:pPr>
  </w:style>
  <w:style w:type="paragraph" w:styleId="3">
    <w:name w:val="Body Text"/>
    <w:basedOn w:val="1"/>
    <w:semiHidden/>
    <w:qFormat/>
    <w:uiPriority w:val="0"/>
    <w:rPr>
      <w:rFonts w:eastAsia="Aria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2023-08-03T08:58:00Z</dcterms:created>
  <dc:creator>side</dc:creator>
  <cp:lastModifiedBy>side</cp:lastModifiedBy>
  <dcterms:modified xsi:type="dcterms:W3CDTF">2023-08-03T08:58:48Z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8D90C59A14824E1DBAF56C41E0DA0887_11</vt:lpwstr>
  </property>
</Properties>
</file>