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2911AB">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jc w:val="left"/>
        <w:textAlignment w:val="auto"/>
        <w:rPr>
          <w:rFonts w:hint="eastAsia" w:ascii="方正小标宋简体" w:hAnsi="方正小标宋简体" w:eastAsia="方正小标宋简体" w:cs="方正小标宋简体"/>
          <w:b/>
          <w:bCs/>
          <w:color w:val="auto"/>
          <w:sz w:val="32"/>
          <w:szCs w:val="32"/>
          <w:lang w:val="en-US" w:eastAsia="zh-CN"/>
        </w:rPr>
      </w:pPr>
      <w:r>
        <w:rPr>
          <w:rFonts w:hint="eastAsia" w:ascii="方正小标宋简体" w:hAnsi="方正小标宋简体" w:eastAsia="方正小标宋简体" w:cs="方正小标宋简体"/>
          <w:b/>
          <w:bCs/>
          <w:color w:val="auto"/>
          <w:sz w:val="32"/>
          <w:szCs w:val="32"/>
          <w:lang w:val="en-US" w:eastAsia="zh-CN"/>
        </w:rPr>
        <w:t>附件</w:t>
      </w:r>
    </w:p>
    <w:p w14:paraId="7969610E">
      <w:pPr>
        <w:pStyle w:val="4"/>
        <w:rPr>
          <w:rFonts w:hint="eastAsia"/>
          <w:lang w:val="en-US" w:eastAsia="zh-CN"/>
        </w:rPr>
      </w:pPr>
    </w:p>
    <w:p w14:paraId="74EDC02C">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bCs/>
          <w:color w:val="auto"/>
          <w:sz w:val="44"/>
          <w:szCs w:val="44"/>
          <w:lang w:val="en-US" w:eastAsia="zh-CN"/>
        </w:rPr>
        <w:t>鹰潭余江江西喜鹏商品混凝土有限公司</w:t>
      </w:r>
    </w:p>
    <w:p w14:paraId="2BFA899C">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bCs/>
          <w:color w:val="auto"/>
          <w:sz w:val="44"/>
          <w:szCs w:val="44"/>
          <w:lang w:val="en-US" w:eastAsia="zh-CN"/>
        </w:rPr>
        <w:t>“1·18”一般物体打击事故</w:t>
      </w:r>
    </w:p>
    <w:p w14:paraId="1195CA5D">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p>
    <w:p w14:paraId="207D0F62">
      <w:pPr>
        <w:pStyle w:val="5"/>
        <w:keepNext/>
        <w:keepLines/>
        <w:pageBreakBefore w:val="0"/>
        <w:widowControl w:val="0"/>
        <w:kinsoku/>
        <w:wordWrap/>
        <w:overflowPunct/>
        <w:topLinePunct w:val="0"/>
        <w:autoSpaceDE/>
        <w:autoSpaceDN/>
        <w:bidi w:val="0"/>
        <w:adjustRightInd/>
        <w:snapToGrid/>
        <w:spacing w:beforeLines="0" w:afterLines="0" w:line="560" w:lineRule="exact"/>
        <w:jc w:val="center"/>
        <w:textAlignment w:val="auto"/>
        <w:outlineLvl w:val="9"/>
        <w:rPr>
          <w:rFonts w:hint="eastAsia" w:ascii="微软雅黑" w:hAnsi="微软雅黑" w:eastAsia="微软雅黑" w:cs="微软雅黑"/>
          <w:b/>
          <w:bCs/>
          <w:color w:val="auto"/>
          <w:sz w:val="44"/>
          <w:szCs w:val="44"/>
          <w:lang w:val="en-US" w:eastAsia="zh-CN"/>
        </w:rPr>
      </w:pPr>
    </w:p>
    <w:p w14:paraId="3409A5AC">
      <w:pPr>
        <w:rPr>
          <w:rFonts w:hint="eastAsia"/>
          <w:color w:val="auto"/>
          <w:lang w:val="en-US" w:eastAsia="zh-CN"/>
        </w:rPr>
      </w:pPr>
    </w:p>
    <w:p w14:paraId="72070C13">
      <w:pPr>
        <w:rPr>
          <w:rFonts w:hint="eastAsia"/>
          <w:color w:val="auto"/>
          <w:lang w:val="en-US" w:eastAsia="zh-CN"/>
        </w:rPr>
      </w:pPr>
    </w:p>
    <w:p w14:paraId="1DF737D3">
      <w:pPr>
        <w:pageBreakBefore w:val="0"/>
        <w:widowControl w:val="0"/>
        <w:kinsoku/>
        <w:wordWrap/>
        <w:overflowPunct/>
        <w:topLinePunct w:val="0"/>
        <w:autoSpaceDE/>
        <w:autoSpaceDN/>
        <w:bidi w:val="0"/>
        <w:adjustRightInd/>
        <w:snapToGrid/>
        <w:spacing w:line="560" w:lineRule="exact"/>
        <w:textAlignment w:val="auto"/>
        <w:rPr>
          <w:rFonts w:hint="eastAsia"/>
          <w:color w:val="auto"/>
          <w:lang w:val="en-US" w:eastAsia="zh-CN"/>
        </w:rPr>
      </w:pPr>
    </w:p>
    <w:p w14:paraId="4316DBA8">
      <w:pPr>
        <w:pStyle w:val="3"/>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bCs/>
          <w:color w:val="auto"/>
          <w:sz w:val="44"/>
          <w:szCs w:val="44"/>
          <w:lang w:val="en-US" w:eastAsia="zh-CN"/>
        </w:rPr>
        <w:t>调</w:t>
      </w:r>
    </w:p>
    <w:p w14:paraId="42FB0A1F">
      <w:pPr>
        <w:pStyle w:val="4"/>
        <w:jc w:val="center"/>
        <w:rPr>
          <w:rFonts w:hint="eastAsia"/>
          <w:b/>
          <w:bCs/>
          <w:color w:val="auto"/>
          <w:sz w:val="44"/>
          <w:szCs w:val="44"/>
          <w:lang w:val="en-US" w:eastAsia="zh-CN"/>
        </w:rPr>
      </w:pPr>
    </w:p>
    <w:p w14:paraId="6590EFAC">
      <w:pPr>
        <w:pStyle w:val="3"/>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bCs/>
          <w:color w:val="auto"/>
          <w:sz w:val="44"/>
          <w:szCs w:val="44"/>
          <w:lang w:val="en-US" w:eastAsia="zh-CN"/>
        </w:rPr>
        <w:t>查</w:t>
      </w:r>
    </w:p>
    <w:p w14:paraId="5BA92D56">
      <w:pPr>
        <w:pStyle w:val="4"/>
        <w:jc w:val="center"/>
        <w:rPr>
          <w:rFonts w:hint="eastAsia"/>
          <w:b/>
          <w:bCs/>
          <w:color w:val="auto"/>
          <w:sz w:val="44"/>
          <w:szCs w:val="44"/>
          <w:lang w:val="en-US" w:eastAsia="zh-CN"/>
        </w:rPr>
      </w:pPr>
    </w:p>
    <w:p w14:paraId="75FCE068">
      <w:pPr>
        <w:pStyle w:val="3"/>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bCs/>
          <w:color w:val="auto"/>
          <w:sz w:val="44"/>
          <w:szCs w:val="44"/>
          <w:lang w:val="en-US" w:eastAsia="zh-CN"/>
        </w:rPr>
        <w:t>报</w:t>
      </w:r>
    </w:p>
    <w:p w14:paraId="59FAA497">
      <w:pPr>
        <w:pStyle w:val="4"/>
        <w:jc w:val="center"/>
        <w:rPr>
          <w:rFonts w:hint="eastAsia"/>
          <w:b/>
          <w:bCs/>
          <w:color w:val="auto"/>
          <w:sz w:val="44"/>
          <w:szCs w:val="44"/>
          <w:lang w:val="en-US" w:eastAsia="zh-CN"/>
        </w:rPr>
      </w:pPr>
    </w:p>
    <w:p w14:paraId="224CC74D">
      <w:pPr>
        <w:pStyle w:val="3"/>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bCs/>
          <w:color w:val="auto"/>
          <w:sz w:val="44"/>
          <w:szCs w:val="44"/>
          <w:lang w:val="en-US" w:eastAsia="zh-CN"/>
        </w:rPr>
        <w:t>告</w:t>
      </w:r>
    </w:p>
    <w:p w14:paraId="179CEC3D">
      <w:pPr>
        <w:pStyle w:val="2"/>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b/>
          <w:bCs/>
          <w:color w:val="auto"/>
          <w:sz w:val="32"/>
          <w:szCs w:val="32"/>
          <w:lang w:val="en-US" w:eastAsia="zh-CN"/>
        </w:rPr>
      </w:pPr>
    </w:p>
    <w:p w14:paraId="0E6FA403">
      <w:pPr>
        <w:pStyle w:val="2"/>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b/>
          <w:bCs/>
          <w:color w:val="auto"/>
          <w:sz w:val="32"/>
          <w:szCs w:val="32"/>
          <w:lang w:val="en-US" w:eastAsia="zh-CN"/>
        </w:rPr>
      </w:pPr>
    </w:p>
    <w:p w14:paraId="1547D5F8">
      <w:pPr>
        <w:pStyle w:val="3"/>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方正小标宋简体" w:hAnsi="方正小标宋简体" w:eastAsia="方正小标宋简体" w:cs="方正小标宋简体"/>
          <w:b/>
          <w:bCs/>
          <w:color w:val="auto"/>
          <w:sz w:val="44"/>
          <w:szCs w:val="44"/>
          <w:lang w:val="en-US" w:eastAsia="zh-CN"/>
        </w:rPr>
      </w:pPr>
    </w:p>
    <w:p w14:paraId="25822C03">
      <w:pPr>
        <w:pStyle w:val="3"/>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bCs/>
          <w:color w:val="auto"/>
          <w:sz w:val="44"/>
          <w:szCs w:val="44"/>
          <w:lang w:val="en-US" w:eastAsia="zh-CN"/>
        </w:rPr>
        <w:t>鹰潭市政府事故调查组</w:t>
      </w:r>
    </w:p>
    <w:p w14:paraId="2744DBC1">
      <w:pPr>
        <w:pStyle w:val="3"/>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微软雅黑" w:hAnsi="微软雅黑" w:eastAsia="微软雅黑" w:cs="微软雅黑"/>
          <w:b/>
          <w:bCs/>
          <w:color w:val="auto"/>
          <w:sz w:val="44"/>
          <w:szCs w:val="44"/>
        </w:rPr>
      </w:pPr>
      <w:r>
        <w:rPr>
          <w:rFonts w:hint="eastAsia" w:ascii="方正小标宋简体" w:hAnsi="方正小标宋简体" w:eastAsia="方正小标宋简体" w:cs="方正小标宋简体"/>
          <w:b/>
          <w:bCs/>
          <w:color w:val="auto"/>
          <w:sz w:val="44"/>
          <w:szCs w:val="44"/>
        </w:rPr>
        <w:t>2023年</w:t>
      </w:r>
      <w:r>
        <w:rPr>
          <w:rFonts w:hint="eastAsia" w:ascii="方正小标宋简体" w:hAnsi="方正小标宋简体" w:eastAsia="方正小标宋简体" w:cs="方正小标宋简体"/>
          <w:b/>
          <w:bCs/>
          <w:color w:val="auto"/>
          <w:sz w:val="44"/>
          <w:szCs w:val="44"/>
          <w:lang w:val="en-US" w:eastAsia="zh-CN"/>
        </w:rPr>
        <w:t>8</w:t>
      </w:r>
      <w:r>
        <w:rPr>
          <w:rFonts w:hint="eastAsia" w:ascii="方正小标宋简体" w:hAnsi="方正小标宋简体" w:eastAsia="方正小标宋简体" w:cs="方正小标宋简体"/>
          <w:b/>
          <w:bCs/>
          <w:color w:val="auto"/>
          <w:sz w:val="44"/>
          <w:szCs w:val="44"/>
        </w:rPr>
        <w:t>月</w:t>
      </w:r>
      <w:r>
        <w:rPr>
          <w:rFonts w:hint="eastAsia" w:ascii="方正小标宋简体" w:hAnsi="方正小标宋简体" w:eastAsia="方正小标宋简体" w:cs="方正小标宋简体"/>
          <w:b/>
          <w:bCs/>
          <w:color w:val="auto"/>
          <w:sz w:val="44"/>
          <w:szCs w:val="44"/>
          <w:lang w:val="en-US" w:eastAsia="zh-CN"/>
        </w:rPr>
        <w:t>15</w:t>
      </w:r>
      <w:r>
        <w:rPr>
          <w:rFonts w:hint="eastAsia" w:ascii="方正小标宋简体" w:hAnsi="方正小标宋简体" w:eastAsia="方正小标宋简体" w:cs="方正小标宋简体"/>
          <w:b/>
          <w:bCs/>
          <w:color w:val="auto"/>
          <w:sz w:val="44"/>
          <w:szCs w:val="44"/>
        </w:rPr>
        <w:t>日</w:t>
      </w:r>
    </w:p>
    <w:p w14:paraId="034A9C2C">
      <w:pPr>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rPr>
          <w:rFonts w:hint="eastAsia" w:ascii="宋体" w:hAnsi="宋体" w:eastAsia="宋体" w:cs="宋体"/>
          <w:b/>
          <w:bCs/>
          <w:color w:val="auto"/>
          <w:kern w:val="2"/>
          <w:sz w:val="32"/>
          <w:szCs w:val="32"/>
          <w:lang w:val="en-US" w:eastAsia="zh-CN" w:bidi="ar-SA"/>
        </w:rPr>
        <w:sectPr>
          <w:pgSz w:w="11905" w:h="16838"/>
          <w:pgMar w:top="2098" w:right="1474" w:bottom="1984" w:left="1587" w:header="851" w:footer="992" w:gutter="0"/>
          <w:pgNumType w:fmt="decimal"/>
          <w:cols w:space="0" w:num="1"/>
          <w:rtlGutter w:val="0"/>
          <w:docGrid w:type="lines" w:linePitch="317" w:charSpace="0"/>
        </w:sectPr>
      </w:pPr>
    </w:p>
    <w:sdt>
      <w:sdtPr>
        <w:rPr>
          <w:rFonts w:hint="eastAsia" w:ascii="宋体" w:hAnsi="宋体" w:eastAsia="宋体" w:cs="宋体"/>
          <w:b/>
          <w:bCs/>
          <w:color w:val="auto"/>
          <w:kern w:val="2"/>
          <w:sz w:val="32"/>
          <w:szCs w:val="32"/>
          <w:lang w:val="en-US" w:eastAsia="zh-CN" w:bidi="ar-SA"/>
        </w:rPr>
        <w:id w:val="147456702"/>
        <w15:color w:val="DBDBDB"/>
        <w:docPartObj>
          <w:docPartGallery w:val="Table of Contents"/>
          <w:docPartUnique/>
        </w:docPartObj>
      </w:sdtPr>
      <w:sdtEndPr>
        <w:rPr>
          <w:rFonts w:hint="eastAsia" w:ascii="微软雅黑" w:hAnsi="微软雅黑" w:eastAsia="微软雅黑" w:cs="微软雅黑"/>
          <w:b/>
          <w:bCs w:val="0"/>
          <w:color w:val="auto"/>
          <w:kern w:val="2"/>
          <w:sz w:val="21"/>
          <w:szCs w:val="44"/>
          <w:lang w:val="en-US" w:eastAsia="zh-CN" w:bidi="ar-SA"/>
        </w:rPr>
      </w:sdtEndPr>
      <w:sdtContent>
        <w:p w14:paraId="23C45BA6">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center"/>
            <w:textAlignment w:val="auto"/>
            <w:rPr>
              <w:rFonts w:hint="eastAsia" w:ascii="宋体" w:hAnsi="宋体" w:eastAsia="宋体" w:cs="宋体"/>
              <w:bCs/>
              <w:color w:val="auto"/>
              <w:kern w:val="2"/>
              <w:sz w:val="32"/>
              <w:szCs w:val="32"/>
              <w:lang w:val="en-US" w:eastAsia="zh-CN" w:bidi="ar-SA"/>
            </w:rPr>
          </w:pPr>
          <w:r>
            <w:rPr>
              <w:rFonts w:hint="eastAsia" w:ascii="宋体" w:hAnsi="宋体" w:eastAsia="宋体" w:cs="宋体"/>
              <w:b/>
              <w:bCs/>
              <w:color w:val="auto"/>
              <w:sz w:val="32"/>
              <w:szCs w:val="32"/>
            </w:rPr>
            <w:t>目</w:t>
          </w:r>
          <w:r>
            <w:rPr>
              <w:rFonts w:hint="eastAsia" w:eastAsia="宋体" w:cs="宋体"/>
              <w:b/>
              <w:bCs/>
              <w:color w:val="auto"/>
              <w:sz w:val="32"/>
              <w:szCs w:val="32"/>
              <w:lang w:val="en-US" w:eastAsia="zh-CN"/>
            </w:rPr>
            <w:t xml:space="preserve"> </w:t>
          </w:r>
          <w:r>
            <w:rPr>
              <w:rFonts w:hint="eastAsia" w:ascii="宋体" w:hAnsi="宋体" w:eastAsia="宋体" w:cs="宋体"/>
              <w:b/>
              <w:bCs/>
              <w:color w:val="auto"/>
              <w:sz w:val="32"/>
              <w:szCs w:val="32"/>
            </w:rPr>
            <w:t>录</w:t>
          </w:r>
          <w:r>
            <w:rPr>
              <w:rFonts w:hint="eastAsia" w:ascii="宋体" w:hAnsi="宋体" w:eastAsia="宋体" w:cs="宋体"/>
              <w:b/>
              <w:bCs/>
              <w:color w:val="auto"/>
              <w:sz w:val="32"/>
              <w:szCs w:val="32"/>
            </w:rPr>
            <w:fldChar w:fldCharType="begin"/>
          </w:r>
          <w:r>
            <w:rPr>
              <w:rFonts w:hint="eastAsia" w:ascii="宋体" w:hAnsi="宋体" w:eastAsia="宋体" w:cs="宋体"/>
              <w:b/>
              <w:bCs/>
              <w:color w:val="auto"/>
              <w:sz w:val="32"/>
              <w:szCs w:val="32"/>
            </w:rPr>
            <w:instrText xml:space="preserve">TOC \o "1-3" \h \u </w:instrText>
          </w:r>
          <w:r>
            <w:rPr>
              <w:rFonts w:hint="eastAsia" w:ascii="宋体" w:hAnsi="宋体" w:eastAsia="宋体" w:cs="宋体"/>
              <w:b/>
              <w:bCs/>
              <w:color w:val="auto"/>
              <w:sz w:val="32"/>
              <w:szCs w:val="32"/>
            </w:rPr>
            <w:fldChar w:fldCharType="separate"/>
          </w:r>
        </w:p>
        <w:p w14:paraId="18842F8A">
          <w:pPr>
            <w:pStyle w:val="12"/>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HYPERLINK \l _Toc12731 </w:instrText>
          </w:r>
          <w:r>
            <w:rPr>
              <w:rFonts w:hint="eastAsia" w:ascii="黑体" w:hAnsi="黑体" w:eastAsia="黑体" w:cs="黑体"/>
              <w:bCs/>
              <w:color w:val="auto"/>
              <w:sz w:val="24"/>
              <w:szCs w:val="24"/>
            </w:rPr>
            <w:fldChar w:fldCharType="separate"/>
          </w:r>
          <w:r>
            <w:rPr>
              <w:rFonts w:hint="eastAsia" w:ascii="黑体" w:hAnsi="黑体" w:eastAsia="黑体" w:cs="黑体"/>
              <w:color w:val="auto"/>
              <w:sz w:val="24"/>
              <w:szCs w:val="24"/>
              <w:lang w:val="en-US" w:eastAsia="zh-CN"/>
            </w:rPr>
            <w:t>一、 事故基本情况</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_Toc12731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w:t>
          </w:r>
          <w:r>
            <w:rPr>
              <w:rFonts w:hint="eastAsia" w:ascii="黑体" w:hAnsi="黑体" w:eastAsia="黑体" w:cs="黑体"/>
              <w:color w:val="auto"/>
              <w:sz w:val="24"/>
              <w:szCs w:val="24"/>
            </w:rPr>
            <w:fldChar w:fldCharType="end"/>
          </w:r>
          <w:r>
            <w:rPr>
              <w:rFonts w:hint="eastAsia" w:ascii="黑体" w:hAnsi="黑体" w:eastAsia="黑体" w:cs="黑体"/>
              <w:bCs/>
              <w:color w:val="auto"/>
              <w:sz w:val="24"/>
              <w:szCs w:val="24"/>
            </w:rPr>
            <w:fldChar w:fldCharType="end"/>
          </w:r>
        </w:p>
        <w:p w14:paraId="29AB258C">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_Toc25052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（一）</w:t>
          </w:r>
          <w:r>
            <w:rPr>
              <w:rFonts w:hint="eastAsia" w:ascii="宋体" w:hAnsi="宋体" w:eastAsia="宋体" w:cs="宋体"/>
              <w:color w:val="auto"/>
              <w:sz w:val="24"/>
              <w:szCs w:val="24"/>
              <w:lang w:val="en-US" w:eastAsia="zh-CN"/>
            </w:rPr>
            <w:t>事故发生单位及相关单位概况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_Toc25052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2D65CEA9">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_Toc698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1.建设单位：鹰潭虎航公司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_Toc698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20B383EE">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_Toc31949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2.施工总承包单位：湖南兴旺公司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_Toc31949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5B4DDC68">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_Toc26431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3.施工分包单位：南昌创仁公司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_Toc26431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2EF21E4B">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_Toc4564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4.监理单位：河南晟华公司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_Toc4564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BA56611">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_Toc14467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5.商品混凝土供应商：江西喜鹏商品混凝土有限公司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_Toc14467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1928B416">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_Toc25757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（二）事故发生经过</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_Toc25757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5229312D">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_Toc1422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（三）人员伤亡和直接经济损失情况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_Toc1422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4C56E31">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_Toc25070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1.人员伤亡情况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_Toc25070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B0B3EBA">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_Toc16998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2.直接经济损失情况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_Toc16998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47367313">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left="0" w:leftChars="0" w:firstLine="480" w:firstLineChars="200"/>
            <w:textAlignment w:val="auto"/>
            <w:rPr>
              <w:rFonts w:hint="eastAsia" w:ascii="黑体" w:hAnsi="黑体" w:eastAsia="黑体" w:cs="黑体"/>
              <w:color w:val="auto"/>
              <w:sz w:val="24"/>
              <w:szCs w:val="24"/>
            </w:rPr>
          </w:pP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HYPERLINK \l _Toc26280 </w:instrText>
          </w:r>
          <w:r>
            <w:rPr>
              <w:rFonts w:hint="eastAsia" w:ascii="黑体" w:hAnsi="黑体" w:eastAsia="黑体" w:cs="黑体"/>
              <w:bCs/>
              <w:color w:val="auto"/>
              <w:sz w:val="24"/>
              <w:szCs w:val="24"/>
            </w:rPr>
            <w:fldChar w:fldCharType="separate"/>
          </w:r>
          <w:r>
            <w:rPr>
              <w:rFonts w:hint="eastAsia" w:ascii="黑体" w:hAnsi="黑体" w:eastAsia="黑体" w:cs="黑体"/>
              <w:color w:val="auto"/>
              <w:sz w:val="24"/>
              <w:szCs w:val="24"/>
              <w:lang w:val="en-US" w:eastAsia="zh-CN"/>
            </w:rPr>
            <w:t>二、事故应急处置及评估情况</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_Toc26280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5</w:t>
          </w:r>
          <w:r>
            <w:rPr>
              <w:rFonts w:hint="eastAsia" w:ascii="黑体" w:hAnsi="黑体" w:eastAsia="黑体" w:cs="黑体"/>
              <w:color w:val="auto"/>
              <w:sz w:val="24"/>
              <w:szCs w:val="24"/>
            </w:rPr>
            <w:fldChar w:fldCharType="end"/>
          </w:r>
          <w:r>
            <w:rPr>
              <w:rFonts w:hint="eastAsia" w:ascii="黑体" w:hAnsi="黑体" w:eastAsia="黑体" w:cs="黑体"/>
              <w:bCs/>
              <w:color w:val="auto"/>
              <w:sz w:val="24"/>
              <w:szCs w:val="24"/>
            </w:rPr>
            <w:fldChar w:fldCharType="end"/>
          </w:r>
        </w:p>
        <w:p w14:paraId="750AB0CA">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_Toc30098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（一）事故信息接报及响应情况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_Toc30098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1DF8134C">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_Toc12218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（二）事故现场应急处置情况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_Toc12218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BCF8250">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_Toc32444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（三）医疗救治和善后情况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_Toc32444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83248C1">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_Toc17076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（四）地方政府和相关部门单位应急响应情况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_Toc17076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0A45D95">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left="0" w:leftChars="0" w:firstLine="480" w:firstLineChars="200"/>
            <w:textAlignment w:val="auto"/>
            <w:rPr>
              <w:rFonts w:hint="eastAsia" w:ascii="黑体" w:hAnsi="黑体" w:eastAsia="黑体" w:cs="黑体"/>
              <w:bCs/>
              <w:color w:val="auto"/>
              <w:sz w:val="24"/>
              <w:szCs w:val="24"/>
            </w:rPr>
          </w:pP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HYPERLINK \l _Toc10118 </w:instrText>
          </w:r>
          <w:r>
            <w:rPr>
              <w:rFonts w:hint="eastAsia" w:ascii="黑体" w:hAnsi="黑体" w:eastAsia="黑体" w:cs="黑体"/>
              <w:bCs/>
              <w:color w:val="auto"/>
              <w:sz w:val="24"/>
              <w:szCs w:val="24"/>
            </w:rPr>
            <w:fldChar w:fldCharType="separate"/>
          </w:r>
          <w:r>
            <w:rPr>
              <w:rFonts w:hint="eastAsia" w:ascii="黑体" w:hAnsi="黑体" w:eastAsia="黑体" w:cs="黑体"/>
              <w:bCs/>
              <w:color w:val="auto"/>
              <w:sz w:val="24"/>
              <w:szCs w:val="24"/>
            </w:rPr>
            <w:t>三、</w:t>
          </w:r>
          <w:r>
            <w:rPr>
              <w:rFonts w:hint="eastAsia" w:ascii="黑体" w:hAnsi="黑体" w:eastAsia="黑体" w:cs="黑体"/>
              <w:bCs/>
              <w:color w:val="auto"/>
              <w:sz w:val="24"/>
              <w:szCs w:val="24"/>
              <w:lang w:val="en-US" w:eastAsia="zh-CN"/>
            </w:rPr>
            <w:t>事故发生的原因</w:t>
          </w:r>
          <w:r>
            <w:rPr>
              <w:rFonts w:hint="eastAsia" w:ascii="黑体" w:hAnsi="黑体" w:eastAsia="黑体" w:cs="黑体"/>
              <w:bCs/>
              <w:color w:val="auto"/>
              <w:sz w:val="24"/>
              <w:szCs w:val="24"/>
            </w:rPr>
            <w:tab/>
          </w: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PAGEREF _Toc10118 \h </w:instrText>
          </w:r>
          <w:r>
            <w:rPr>
              <w:rFonts w:hint="eastAsia" w:ascii="黑体" w:hAnsi="黑体" w:eastAsia="黑体" w:cs="黑体"/>
              <w:bCs/>
              <w:color w:val="auto"/>
              <w:sz w:val="24"/>
              <w:szCs w:val="24"/>
            </w:rPr>
            <w:fldChar w:fldCharType="separate"/>
          </w:r>
          <w:r>
            <w:rPr>
              <w:rFonts w:hint="eastAsia" w:ascii="黑体" w:hAnsi="黑体" w:eastAsia="黑体" w:cs="黑体"/>
              <w:bCs/>
              <w:color w:val="auto"/>
              <w:sz w:val="24"/>
              <w:szCs w:val="24"/>
            </w:rPr>
            <w:t>6</w:t>
          </w:r>
          <w:r>
            <w:rPr>
              <w:rFonts w:hint="eastAsia" w:ascii="黑体" w:hAnsi="黑体" w:eastAsia="黑体" w:cs="黑体"/>
              <w:bCs/>
              <w:color w:val="auto"/>
              <w:sz w:val="24"/>
              <w:szCs w:val="24"/>
            </w:rPr>
            <w:fldChar w:fldCharType="end"/>
          </w:r>
          <w:r>
            <w:rPr>
              <w:rFonts w:hint="eastAsia" w:ascii="黑体" w:hAnsi="黑体" w:eastAsia="黑体" w:cs="黑体"/>
              <w:bCs/>
              <w:color w:val="auto"/>
              <w:sz w:val="24"/>
              <w:szCs w:val="24"/>
            </w:rPr>
            <w:fldChar w:fldCharType="end"/>
          </w:r>
        </w:p>
        <w:p w14:paraId="0693367C">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黑体" w:hAnsi="黑体" w:eastAsia="黑体" w:cs="黑体"/>
              <w:bCs/>
              <w:color w:val="auto"/>
              <w:sz w:val="24"/>
              <w:szCs w:val="24"/>
            </w:rPr>
            <w:t>四、</w:t>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_Toc30657 </w:instrText>
          </w:r>
          <w:r>
            <w:rPr>
              <w:rFonts w:hint="eastAsia" w:ascii="宋体" w:hAnsi="宋体" w:eastAsia="宋体" w:cs="宋体"/>
              <w:bCs/>
              <w:color w:val="auto"/>
              <w:sz w:val="24"/>
              <w:szCs w:val="24"/>
            </w:rPr>
            <w:fldChar w:fldCharType="separate"/>
          </w:r>
          <w:r>
            <w:rPr>
              <w:rFonts w:hint="eastAsia" w:ascii="黑体" w:hAnsi="黑体" w:eastAsia="黑体" w:cs="黑体"/>
              <w:color w:val="auto"/>
              <w:sz w:val="24"/>
              <w:szCs w:val="24"/>
              <w:lang w:val="en-US" w:eastAsia="zh-CN"/>
            </w:rPr>
            <w:t>有关责任单位存在的主要问题</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_Toc30657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74EDCE0">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left="0" w:leftChars="0" w:firstLine="1200" w:firstLineChars="5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w:t>
          </w:r>
          <w:r>
            <w:rPr>
              <w:rFonts w:hint="eastAsia" w:eastAsia="宋体" w:cs="宋体"/>
              <w:color w:val="auto"/>
              <w:sz w:val="24"/>
              <w:szCs w:val="24"/>
              <w:lang w:val="en-US" w:eastAsia="zh-CN"/>
            </w:rPr>
            <w:t>商品混凝土供应商.........................................6</w:t>
          </w:r>
        </w:p>
        <w:p w14:paraId="6A05C5A9">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_Toc5595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江西喜鹏公司</w:t>
          </w:r>
          <w:r>
            <w:rPr>
              <w:rFonts w:hint="eastAsia" w:eastAsia="宋体" w:cs="宋体"/>
              <w:color w:val="auto"/>
              <w:sz w:val="24"/>
              <w:szCs w:val="24"/>
              <w:lang w:val="en-US" w:eastAsia="zh-CN"/>
            </w:rPr>
            <w:t>...</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_Toc5595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5EC47B1">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default"/>
              <w:lang w:val="en-US"/>
            </w:rPr>
          </w:pPr>
          <w:r>
            <w:rPr>
              <w:rFonts w:hint="eastAsia" w:ascii="宋体" w:hAnsi="宋体" w:eastAsia="宋体" w:cs="宋体"/>
              <w:color w:val="auto"/>
              <w:sz w:val="24"/>
              <w:szCs w:val="24"/>
              <w:lang w:val="en-US" w:eastAsia="zh-CN"/>
            </w:rPr>
            <w:t>（</w:t>
          </w:r>
          <w:r>
            <w:rPr>
              <w:rFonts w:hint="eastAsia" w:eastAsia="宋体" w:cs="宋体"/>
              <w:color w:val="auto"/>
              <w:sz w:val="24"/>
              <w:szCs w:val="24"/>
              <w:lang w:val="en-US" w:eastAsia="zh-CN"/>
            </w:rPr>
            <w:t>二</w:t>
          </w:r>
          <w:r>
            <w:rPr>
              <w:rFonts w:hint="eastAsia" w:ascii="宋体" w:hAnsi="宋体" w:eastAsia="宋体" w:cs="宋体"/>
              <w:color w:val="auto"/>
              <w:sz w:val="24"/>
              <w:szCs w:val="24"/>
              <w:lang w:val="en-US" w:eastAsia="zh-CN"/>
            </w:rPr>
            <w:t>）</w:t>
          </w:r>
          <w:r>
            <w:rPr>
              <w:rFonts w:hint="eastAsia" w:eastAsia="宋体" w:cs="宋体"/>
              <w:color w:val="auto"/>
              <w:sz w:val="24"/>
              <w:szCs w:val="24"/>
              <w:lang w:val="en-US" w:eastAsia="zh-CN"/>
            </w:rPr>
            <w:t>建设施工分包单位.........................................6</w:t>
          </w:r>
        </w:p>
        <w:p w14:paraId="05ABC611">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_Toc20652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南昌创仁公司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_Toc20652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4E99484C">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left="0" w:leftChars="0" w:firstLine="480" w:firstLineChars="200"/>
            <w:textAlignment w:val="auto"/>
            <w:rPr>
              <w:rFonts w:hint="eastAsia" w:ascii="黑体" w:hAnsi="黑体" w:eastAsia="黑体" w:cs="黑体"/>
              <w:bCs/>
              <w:color w:val="auto"/>
              <w:sz w:val="24"/>
              <w:szCs w:val="24"/>
            </w:rPr>
          </w:pP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HYPERLINK \l _Toc24778 </w:instrText>
          </w:r>
          <w:r>
            <w:rPr>
              <w:rFonts w:hint="eastAsia" w:ascii="黑体" w:hAnsi="黑体" w:eastAsia="黑体" w:cs="黑体"/>
              <w:bCs/>
              <w:color w:val="auto"/>
              <w:sz w:val="24"/>
              <w:szCs w:val="24"/>
            </w:rPr>
            <w:fldChar w:fldCharType="separate"/>
          </w:r>
          <w:r>
            <w:rPr>
              <w:rFonts w:hint="eastAsia" w:ascii="黑体" w:hAnsi="黑体" w:eastAsia="黑体" w:cs="黑体"/>
              <w:bCs/>
              <w:color w:val="auto"/>
              <w:sz w:val="24"/>
              <w:szCs w:val="24"/>
              <w:lang w:val="en-US" w:eastAsia="zh-CN"/>
            </w:rPr>
            <w:t>五</w:t>
          </w:r>
          <w:r>
            <w:rPr>
              <w:rFonts w:hint="eastAsia" w:ascii="黑体" w:hAnsi="黑体" w:eastAsia="黑体" w:cs="黑体"/>
              <w:bCs/>
              <w:color w:val="auto"/>
              <w:sz w:val="24"/>
              <w:szCs w:val="24"/>
            </w:rPr>
            <w:t>、对相关责任人及责任单位的处理建议</w:t>
          </w:r>
          <w:r>
            <w:rPr>
              <w:rFonts w:hint="eastAsia" w:ascii="黑体" w:hAnsi="黑体" w:eastAsia="黑体" w:cs="黑体"/>
              <w:bCs/>
              <w:color w:val="auto"/>
              <w:sz w:val="24"/>
              <w:szCs w:val="24"/>
            </w:rPr>
            <w:tab/>
          </w: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PAGEREF _Toc24778 \h </w:instrText>
          </w:r>
          <w:r>
            <w:rPr>
              <w:rFonts w:hint="eastAsia" w:ascii="黑体" w:hAnsi="黑体" w:eastAsia="黑体" w:cs="黑体"/>
              <w:bCs/>
              <w:color w:val="auto"/>
              <w:sz w:val="24"/>
              <w:szCs w:val="24"/>
            </w:rPr>
            <w:fldChar w:fldCharType="separate"/>
          </w:r>
          <w:r>
            <w:rPr>
              <w:rFonts w:hint="eastAsia" w:ascii="黑体" w:hAnsi="黑体" w:eastAsia="黑体" w:cs="黑体"/>
              <w:bCs/>
              <w:color w:val="auto"/>
              <w:sz w:val="24"/>
              <w:szCs w:val="24"/>
            </w:rPr>
            <w:t>7</w:t>
          </w:r>
          <w:r>
            <w:rPr>
              <w:rFonts w:hint="eastAsia" w:ascii="黑体" w:hAnsi="黑体" w:eastAsia="黑体" w:cs="黑体"/>
              <w:bCs/>
              <w:color w:val="auto"/>
              <w:sz w:val="24"/>
              <w:szCs w:val="24"/>
            </w:rPr>
            <w:fldChar w:fldCharType="end"/>
          </w:r>
          <w:r>
            <w:rPr>
              <w:rFonts w:hint="eastAsia" w:ascii="黑体" w:hAnsi="黑体" w:eastAsia="黑体" w:cs="黑体"/>
              <w:bCs/>
              <w:color w:val="auto"/>
              <w:sz w:val="24"/>
              <w:szCs w:val="24"/>
            </w:rPr>
            <w:fldChar w:fldCharType="end"/>
          </w:r>
        </w:p>
        <w:p w14:paraId="092EC240">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_Toc12010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（一）对</w:t>
          </w:r>
          <w:r>
            <w:rPr>
              <w:rFonts w:hint="eastAsia" w:ascii="宋体" w:hAnsi="宋体" w:eastAsia="宋体" w:cs="宋体"/>
              <w:color w:val="auto"/>
              <w:sz w:val="24"/>
              <w:szCs w:val="24"/>
            </w:rPr>
            <w:t>相关</w:t>
          </w:r>
          <w:r>
            <w:rPr>
              <w:rFonts w:hint="eastAsia" w:ascii="宋体" w:hAnsi="宋体" w:eastAsia="宋体" w:cs="宋体"/>
              <w:color w:val="auto"/>
              <w:sz w:val="24"/>
              <w:szCs w:val="24"/>
              <w:lang w:val="en-US" w:eastAsia="zh-CN"/>
            </w:rPr>
            <w:t>责任人的处理建议</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_Toc12010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9452768">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_Toc18575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胡辉堂.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_Toc18575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318512F">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_Toc12611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2.罗宸清</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_Toc12611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0CA306C">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_Toc20785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3.胡京松</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_Toc20785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79172BFE">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_Toc12921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孙霆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_Toc12921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89C597E">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_Toc7644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（二）对</w:t>
          </w:r>
          <w:r>
            <w:rPr>
              <w:rFonts w:hint="eastAsia" w:ascii="宋体" w:hAnsi="宋体" w:eastAsia="宋体" w:cs="宋体"/>
              <w:color w:val="auto"/>
              <w:sz w:val="24"/>
              <w:szCs w:val="24"/>
            </w:rPr>
            <w:t>相关责任单位的处理建议</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_Toc7644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06C5EB9">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_Toc30388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1.江西喜鹏公司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_Toc30388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532F879D">
          <w:pPr>
            <w:pStyle w:val="8"/>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_Toc282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南昌创仁公司</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9</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AF3C6B7">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left="0" w:leftChars="0" w:firstLine="480" w:firstLineChars="200"/>
            <w:textAlignment w:val="auto"/>
            <w:rPr>
              <w:rFonts w:hint="default" w:ascii="黑体" w:hAnsi="黑体" w:eastAsia="黑体" w:cs="黑体"/>
              <w:bCs/>
              <w:color w:val="auto"/>
              <w:sz w:val="24"/>
              <w:szCs w:val="24"/>
              <w:lang w:val="en-US" w:eastAsia="zh-CN"/>
            </w:rPr>
          </w:pP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HYPERLINK \l _Toc12622 </w:instrText>
          </w:r>
          <w:r>
            <w:rPr>
              <w:rFonts w:hint="eastAsia" w:ascii="黑体" w:hAnsi="黑体" w:eastAsia="黑体" w:cs="黑体"/>
              <w:bCs/>
              <w:color w:val="auto"/>
              <w:sz w:val="24"/>
              <w:szCs w:val="24"/>
            </w:rPr>
            <w:fldChar w:fldCharType="separate"/>
          </w:r>
          <w:r>
            <w:rPr>
              <w:rFonts w:hint="eastAsia" w:ascii="黑体" w:hAnsi="黑体" w:eastAsia="黑体" w:cs="黑体"/>
              <w:bCs/>
              <w:color w:val="auto"/>
              <w:sz w:val="24"/>
              <w:szCs w:val="24"/>
              <w:lang w:val="en-US" w:eastAsia="zh-CN"/>
            </w:rPr>
            <w:t>六、事故主要教训</w:t>
          </w:r>
          <w:r>
            <w:rPr>
              <w:rFonts w:hint="eastAsia" w:ascii="黑体" w:hAnsi="黑体" w:eastAsia="黑体" w:cs="黑体"/>
              <w:bCs/>
              <w:color w:val="auto"/>
              <w:sz w:val="24"/>
              <w:szCs w:val="24"/>
            </w:rPr>
            <w:tab/>
          </w:r>
          <w:r>
            <w:rPr>
              <w:rFonts w:hint="eastAsia" w:ascii="黑体" w:hAnsi="黑体" w:eastAsia="黑体" w:cs="黑体"/>
              <w:bCs/>
              <w:color w:val="auto"/>
              <w:sz w:val="24"/>
              <w:szCs w:val="24"/>
              <w:lang w:val="en-US" w:eastAsia="zh-CN"/>
            </w:rPr>
            <w:t>.</w:t>
          </w:r>
          <w:r>
            <w:rPr>
              <w:rFonts w:hint="eastAsia" w:ascii="黑体" w:hAnsi="黑体" w:eastAsia="黑体" w:cs="黑体"/>
              <w:bCs/>
              <w:color w:val="auto"/>
              <w:sz w:val="24"/>
              <w:szCs w:val="24"/>
            </w:rPr>
            <w:fldChar w:fldCharType="end"/>
          </w:r>
          <w:r>
            <w:rPr>
              <w:rFonts w:hint="eastAsia" w:ascii="黑体" w:hAnsi="黑体" w:eastAsia="黑体" w:cs="黑体"/>
              <w:bCs/>
              <w:color w:val="auto"/>
              <w:sz w:val="24"/>
              <w:szCs w:val="24"/>
              <w:lang w:val="en-US" w:eastAsia="zh-CN"/>
            </w:rPr>
            <w:t>10</w:t>
          </w:r>
        </w:p>
        <w:p w14:paraId="32C28CDD">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left="0" w:leftChars="0" w:firstLine="480" w:firstLineChars="200"/>
            <w:textAlignment w:val="auto"/>
            <w:rPr>
              <w:rFonts w:hint="default" w:ascii="黑体" w:hAnsi="黑体" w:eastAsia="黑体" w:cs="黑体"/>
              <w:bCs/>
              <w:color w:val="auto"/>
              <w:sz w:val="24"/>
              <w:szCs w:val="24"/>
              <w:lang w:val="en-US" w:eastAsia="zh-CN"/>
            </w:rPr>
          </w:pPr>
          <w:r>
            <w:rPr>
              <w:rFonts w:hint="eastAsia" w:ascii="黑体" w:hAnsi="黑体" w:eastAsia="黑体" w:cs="黑体"/>
              <w:bCs/>
              <w:color w:val="auto"/>
              <w:sz w:val="24"/>
              <w:szCs w:val="24"/>
            </w:rPr>
            <w:fldChar w:fldCharType="begin"/>
          </w:r>
          <w:r>
            <w:rPr>
              <w:rFonts w:hint="eastAsia" w:ascii="黑体" w:hAnsi="黑体" w:eastAsia="黑体" w:cs="黑体"/>
              <w:bCs/>
              <w:color w:val="auto"/>
              <w:sz w:val="24"/>
              <w:szCs w:val="24"/>
            </w:rPr>
            <w:instrText xml:space="preserve"> HYPERLINK \l _Toc18413 </w:instrText>
          </w:r>
          <w:r>
            <w:rPr>
              <w:rFonts w:hint="eastAsia" w:ascii="黑体" w:hAnsi="黑体" w:eastAsia="黑体" w:cs="黑体"/>
              <w:bCs/>
              <w:color w:val="auto"/>
              <w:sz w:val="24"/>
              <w:szCs w:val="24"/>
            </w:rPr>
            <w:fldChar w:fldCharType="separate"/>
          </w:r>
          <w:r>
            <w:rPr>
              <w:rFonts w:hint="eastAsia" w:ascii="黑体" w:hAnsi="黑体" w:eastAsia="黑体" w:cs="黑体"/>
              <w:bCs/>
              <w:color w:val="auto"/>
              <w:sz w:val="24"/>
              <w:szCs w:val="24"/>
              <w:lang w:val="en-US" w:eastAsia="zh-CN"/>
            </w:rPr>
            <w:t>七</w:t>
          </w:r>
          <w:r>
            <w:rPr>
              <w:rFonts w:hint="eastAsia" w:ascii="黑体" w:hAnsi="黑体" w:eastAsia="黑体" w:cs="黑体"/>
              <w:bCs/>
              <w:color w:val="auto"/>
              <w:sz w:val="24"/>
              <w:szCs w:val="24"/>
            </w:rPr>
            <w:t>、整改防范措施建议</w:t>
          </w:r>
          <w:r>
            <w:rPr>
              <w:rFonts w:hint="eastAsia" w:ascii="黑体" w:hAnsi="黑体" w:eastAsia="黑体" w:cs="黑体"/>
              <w:bCs/>
              <w:color w:val="auto"/>
              <w:sz w:val="24"/>
              <w:szCs w:val="24"/>
            </w:rPr>
            <w:tab/>
          </w:r>
          <w:r>
            <w:rPr>
              <w:rFonts w:hint="eastAsia" w:ascii="黑体" w:hAnsi="黑体" w:eastAsia="黑体" w:cs="黑体"/>
              <w:bCs/>
              <w:color w:val="auto"/>
              <w:sz w:val="24"/>
              <w:szCs w:val="24"/>
              <w:lang w:val="en-US" w:eastAsia="zh-CN"/>
            </w:rPr>
            <w:t>.</w:t>
          </w:r>
          <w:r>
            <w:rPr>
              <w:rFonts w:hint="eastAsia" w:ascii="黑体" w:hAnsi="黑体" w:eastAsia="黑体" w:cs="黑体"/>
              <w:bCs/>
              <w:color w:val="auto"/>
              <w:sz w:val="24"/>
              <w:szCs w:val="24"/>
            </w:rPr>
            <w:fldChar w:fldCharType="end"/>
          </w:r>
          <w:r>
            <w:rPr>
              <w:rFonts w:hint="eastAsia" w:ascii="黑体" w:hAnsi="黑体" w:eastAsia="黑体" w:cs="黑体"/>
              <w:bCs/>
              <w:color w:val="auto"/>
              <w:sz w:val="24"/>
              <w:szCs w:val="24"/>
              <w:lang w:val="en-US" w:eastAsia="zh-CN"/>
            </w:rPr>
            <w:t>.10</w:t>
          </w:r>
        </w:p>
        <w:p w14:paraId="0A72CB52">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_Toc3596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（一）持续压实企业的安全生产主体责任</w:t>
          </w:r>
          <w:r>
            <w:rPr>
              <w:rFonts w:hint="eastAsia" w:ascii="宋体" w:hAnsi="宋体" w:eastAsia="宋体" w:cs="宋体"/>
              <w:color w:val="auto"/>
              <w:sz w:val="24"/>
              <w:szCs w:val="24"/>
            </w:rPr>
            <w:tab/>
          </w:r>
          <w:r>
            <w:rPr>
              <w:rFonts w:hint="eastAsia" w:eastAsia="宋体" w:cs="宋体"/>
              <w:color w:val="auto"/>
              <w:sz w:val="24"/>
              <w:szCs w:val="24"/>
              <w:lang w:val="en-US" w:eastAsia="zh-CN"/>
            </w:rPr>
            <w:t>.</w:t>
          </w:r>
          <w:r>
            <w:rPr>
              <w:rFonts w:hint="eastAsia" w:ascii="宋体" w:hAnsi="宋体" w:eastAsia="宋体" w:cs="宋体"/>
              <w:bCs/>
              <w:color w:val="auto"/>
              <w:sz w:val="24"/>
              <w:szCs w:val="24"/>
            </w:rPr>
            <w:fldChar w:fldCharType="end"/>
          </w:r>
          <w:r>
            <w:rPr>
              <w:rFonts w:hint="eastAsia" w:eastAsia="宋体" w:cs="宋体"/>
              <w:bCs/>
              <w:color w:val="auto"/>
              <w:sz w:val="24"/>
              <w:szCs w:val="24"/>
              <w:lang w:val="en-US" w:eastAsia="zh-CN"/>
            </w:rPr>
            <w:t>10</w:t>
          </w:r>
        </w:p>
        <w:p w14:paraId="39243C0E">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_Toc24237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（二）扎实开展安全生产知识教育培训</w:t>
          </w:r>
          <w:r>
            <w:rPr>
              <w:rFonts w:hint="eastAsia" w:ascii="宋体" w:hAnsi="宋体" w:eastAsia="宋体" w:cs="宋体"/>
              <w:color w:val="auto"/>
              <w:sz w:val="24"/>
              <w:szCs w:val="24"/>
            </w:rPr>
            <w:tab/>
          </w:r>
          <w:r>
            <w:rPr>
              <w:rFonts w:hint="eastAsia" w:eastAsia="宋体" w:cs="宋体"/>
              <w:color w:val="auto"/>
              <w:sz w:val="24"/>
              <w:szCs w:val="24"/>
              <w:lang w:val="en-US" w:eastAsia="zh-CN"/>
            </w:rPr>
            <w:t>.</w:t>
          </w:r>
          <w:r>
            <w:rPr>
              <w:rFonts w:hint="eastAsia" w:ascii="宋体" w:hAnsi="宋体" w:eastAsia="宋体" w:cs="宋体"/>
              <w:bCs/>
              <w:color w:val="auto"/>
              <w:sz w:val="24"/>
              <w:szCs w:val="24"/>
            </w:rPr>
            <w:fldChar w:fldCharType="end"/>
          </w:r>
          <w:r>
            <w:rPr>
              <w:rFonts w:hint="eastAsia" w:eastAsia="宋体" w:cs="宋体"/>
              <w:bCs/>
              <w:color w:val="auto"/>
              <w:sz w:val="24"/>
              <w:szCs w:val="24"/>
              <w:lang w:val="en-US" w:eastAsia="zh-CN"/>
            </w:rPr>
            <w:t>11</w:t>
          </w:r>
        </w:p>
        <w:p w14:paraId="4E6473C2">
          <w:pPr>
            <w:pStyle w:val="14"/>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_Toc256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（三）举一反三抓好重点领域安全专项整治</w:t>
          </w:r>
          <w:r>
            <w:rPr>
              <w:rFonts w:hint="eastAsia" w:eastAsia="宋体" w:cs="宋体"/>
              <w:color w:val="auto"/>
              <w:sz w:val="24"/>
              <w:szCs w:val="24"/>
              <w:lang w:val="en-US" w:eastAsia="zh-CN"/>
            </w:rPr>
            <w:t>.</w:t>
          </w:r>
          <w:r>
            <w:rPr>
              <w:rFonts w:hint="eastAsia" w:ascii="宋体" w:hAnsi="宋体" w:eastAsia="宋体" w:cs="宋体"/>
              <w:bCs/>
              <w:color w:val="auto"/>
              <w:sz w:val="24"/>
              <w:szCs w:val="24"/>
            </w:rPr>
            <w:fldChar w:fldCharType="end"/>
          </w:r>
          <w:r>
            <w:rPr>
              <w:rFonts w:hint="eastAsia" w:eastAsia="宋体" w:cs="宋体"/>
              <w:bCs/>
              <w:color w:val="auto"/>
              <w:sz w:val="24"/>
              <w:szCs w:val="24"/>
              <w:lang w:val="en-US" w:eastAsia="zh-CN"/>
            </w:rPr>
            <w:t>........................11</w:t>
          </w:r>
        </w:p>
        <w:p w14:paraId="4CADDD3B">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center"/>
            <w:textAlignment w:val="auto"/>
            <w:rPr>
              <w:rFonts w:hint="eastAsia" w:ascii="微软雅黑" w:hAnsi="微软雅黑" w:eastAsia="微软雅黑" w:cs="微软雅黑"/>
              <w:b w:val="0"/>
              <w:bCs w:val="0"/>
              <w:color w:val="auto"/>
              <w:sz w:val="44"/>
              <w:szCs w:val="44"/>
            </w:rPr>
          </w:pPr>
          <w:r>
            <w:rPr>
              <w:rFonts w:hint="eastAsia" w:ascii="宋体" w:hAnsi="宋体" w:eastAsia="宋体" w:cs="宋体"/>
              <w:bCs/>
              <w:color w:val="auto"/>
              <w:szCs w:val="32"/>
            </w:rPr>
            <w:fldChar w:fldCharType="end"/>
          </w:r>
        </w:p>
      </w:sdtContent>
    </w:sdt>
    <w:p w14:paraId="01774FB0">
      <w:pPr>
        <w:pStyle w:val="5"/>
        <w:keepNext/>
        <w:keepLines/>
        <w:pageBreakBefore w:val="0"/>
        <w:widowControl w:val="0"/>
        <w:kinsoku/>
        <w:wordWrap/>
        <w:overflowPunct/>
        <w:topLinePunct w:val="0"/>
        <w:autoSpaceDE/>
        <w:autoSpaceDN/>
        <w:bidi w:val="0"/>
        <w:adjustRightInd/>
        <w:snapToGrid/>
        <w:spacing w:beforeLines="0" w:afterLines="0" w:line="560" w:lineRule="exact"/>
        <w:ind w:left="0" w:leftChars="0" w:firstLine="0" w:firstLineChars="0"/>
        <w:jc w:val="both"/>
        <w:textAlignment w:val="auto"/>
        <w:rPr>
          <w:rFonts w:hint="eastAsia" w:ascii="方正小标宋简体" w:hAnsi="方正小标宋简体" w:eastAsia="方正小标宋简体" w:cs="方正小标宋简体"/>
          <w:color w:val="auto"/>
          <w:sz w:val="44"/>
          <w:szCs w:val="44"/>
          <w:lang w:val="en-US" w:eastAsia="zh-CN"/>
        </w:rPr>
      </w:pPr>
      <w:bookmarkStart w:id="0" w:name="_Toc16487"/>
      <w:bookmarkStart w:id="1" w:name="_Toc32443"/>
    </w:p>
    <w:p w14:paraId="427514B5">
      <w:pPr>
        <w:rPr>
          <w:rFonts w:hint="eastAsia"/>
          <w:color w:val="auto"/>
          <w:lang w:val="en-US" w:eastAsia="zh-CN"/>
        </w:rPr>
      </w:pPr>
    </w:p>
    <w:p w14:paraId="1D6C7ED9">
      <w:pPr>
        <w:rPr>
          <w:rFonts w:hint="eastAsia"/>
          <w:color w:val="auto"/>
          <w:lang w:val="en-US" w:eastAsia="zh-CN"/>
        </w:rPr>
      </w:pPr>
    </w:p>
    <w:p w14:paraId="4978A7C9">
      <w:pPr>
        <w:rPr>
          <w:rFonts w:hint="eastAsia"/>
          <w:color w:val="auto"/>
          <w:lang w:val="en-US" w:eastAsia="zh-CN"/>
        </w:rPr>
      </w:pPr>
    </w:p>
    <w:p w14:paraId="49A28884">
      <w:pPr>
        <w:rPr>
          <w:rFonts w:hint="eastAsia"/>
          <w:color w:val="auto"/>
          <w:lang w:val="en-US" w:eastAsia="zh-CN"/>
        </w:rPr>
      </w:pPr>
    </w:p>
    <w:p w14:paraId="6D6DC35F">
      <w:pPr>
        <w:rPr>
          <w:rFonts w:hint="eastAsia"/>
          <w:color w:val="auto"/>
          <w:lang w:val="en-US" w:eastAsia="zh-CN"/>
        </w:rPr>
      </w:pPr>
    </w:p>
    <w:p w14:paraId="44DAD77F">
      <w:pPr>
        <w:rPr>
          <w:rFonts w:hint="eastAsia"/>
          <w:color w:val="auto"/>
          <w:lang w:val="en-US" w:eastAsia="zh-CN"/>
        </w:rPr>
      </w:pPr>
    </w:p>
    <w:p w14:paraId="62129CA8">
      <w:pPr>
        <w:rPr>
          <w:rFonts w:hint="eastAsia"/>
          <w:color w:val="auto"/>
          <w:lang w:val="en-US" w:eastAsia="zh-CN"/>
        </w:rPr>
      </w:pPr>
    </w:p>
    <w:p w14:paraId="35D88AA5">
      <w:pPr>
        <w:pStyle w:val="2"/>
        <w:rPr>
          <w:rFonts w:hint="eastAsia"/>
          <w:color w:val="auto"/>
          <w:lang w:val="en-US" w:eastAsia="zh-CN"/>
        </w:rPr>
      </w:pPr>
    </w:p>
    <w:p w14:paraId="0F064056">
      <w:pPr>
        <w:pStyle w:val="2"/>
        <w:rPr>
          <w:rFonts w:hint="eastAsia"/>
          <w:color w:val="auto"/>
          <w:lang w:val="en-US" w:eastAsia="zh-CN"/>
        </w:rPr>
      </w:pPr>
    </w:p>
    <w:p w14:paraId="0C3289E9">
      <w:pPr>
        <w:pStyle w:val="5"/>
        <w:keepNext/>
        <w:keepLines/>
        <w:pageBreakBefore w:val="0"/>
        <w:widowControl w:val="0"/>
        <w:kinsoku/>
        <w:wordWrap/>
        <w:overflowPunct/>
        <w:topLinePunct w:val="0"/>
        <w:autoSpaceDE/>
        <w:autoSpaceDN/>
        <w:bidi w:val="0"/>
        <w:adjustRightInd/>
        <w:snapToGrid/>
        <w:spacing w:beforeLines="0" w:afterLines="0" w:line="560" w:lineRule="exact"/>
        <w:ind w:left="0" w:leftChars="0" w:firstLine="0" w:firstLineChars="0"/>
        <w:jc w:val="center"/>
        <w:textAlignment w:val="auto"/>
        <w:rPr>
          <w:rFonts w:hint="eastAsia" w:ascii="方正小标宋简体" w:hAnsi="方正小标宋简体" w:eastAsia="方正小标宋简体" w:cs="方正小标宋简体"/>
          <w:color w:val="auto"/>
          <w:sz w:val="44"/>
          <w:szCs w:val="44"/>
          <w:lang w:val="en-US" w:eastAsia="zh-CN"/>
        </w:rPr>
        <w:sectPr>
          <w:footerReference r:id="rId5" w:type="default"/>
          <w:pgSz w:w="11905" w:h="16838"/>
          <w:pgMar w:top="2098" w:right="1474" w:bottom="1984" w:left="1587" w:header="851" w:footer="992" w:gutter="0"/>
          <w:pgNumType w:fmt="decimal" w:start="1"/>
          <w:cols w:space="0" w:num="1"/>
          <w:rtlGutter w:val="0"/>
          <w:docGrid w:type="lines" w:linePitch="317" w:charSpace="0"/>
        </w:sectPr>
      </w:pPr>
      <w:bookmarkStart w:id="2" w:name="_Toc17406"/>
      <w:bookmarkStart w:id="3" w:name="_Toc31106"/>
    </w:p>
    <w:p w14:paraId="04522159">
      <w:pPr>
        <w:pStyle w:val="5"/>
        <w:keepNext/>
        <w:keepLines/>
        <w:pageBreakBefore w:val="0"/>
        <w:widowControl w:val="0"/>
        <w:kinsoku/>
        <w:wordWrap/>
        <w:overflowPunct/>
        <w:topLinePunct w:val="0"/>
        <w:autoSpaceDE/>
        <w:autoSpaceDN/>
        <w:bidi w:val="0"/>
        <w:adjustRightInd/>
        <w:snapToGrid/>
        <w:spacing w:beforeLines="0" w:afterLines="0" w:line="560" w:lineRule="exact"/>
        <w:ind w:left="0" w:leftChars="0" w:firstLine="0" w:firstLineChars="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鹰潭余江江西喜鹏商品混凝土有限公司</w:t>
      </w:r>
      <w:bookmarkEnd w:id="2"/>
      <w:bookmarkEnd w:id="3"/>
    </w:p>
    <w:p w14:paraId="1ADF7A7F">
      <w:pPr>
        <w:pStyle w:val="5"/>
        <w:keepNext/>
        <w:keepLines/>
        <w:pageBreakBefore w:val="0"/>
        <w:widowControl w:val="0"/>
        <w:kinsoku/>
        <w:wordWrap/>
        <w:overflowPunct/>
        <w:topLinePunct w:val="0"/>
        <w:autoSpaceDE/>
        <w:autoSpaceDN/>
        <w:bidi w:val="0"/>
        <w:adjustRightInd/>
        <w:snapToGrid/>
        <w:spacing w:beforeLines="0" w:afterLines="0" w:line="560" w:lineRule="exact"/>
        <w:ind w:left="0" w:leftChars="0" w:firstLine="0" w:firstLineChars="0"/>
        <w:jc w:val="center"/>
        <w:textAlignment w:val="auto"/>
        <w:rPr>
          <w:rFonts w:hint="eastAsia" w:ascii="方正小标宋简体" w:hAnsi="方正小标宋简体" w:eastAsia="方正小标宋简体" w:cs="方正小标宋简体"/>
          <w:color w:val="auto"/>
          <w:sz w:val="44"/>
          <w:szCs w:val="44"/>
          <w:lang w:val="en-US" w:eastAsia="zh-CN"/>
        </w:rPr>
      </w:pPr>
      <w:bookmarkStart w:id="4" w:name="_Toc23101"/>
      <w:bookmarkStart w:id="5" w:name="_Toc23553"/>
      <w:r>
        <w:rPr>
          <w:rFonts w:hint="eastAsia" w:ascii="方正小标宋简体" w:hAnsi="方正小标宋简体" w:eastAsia="方正小标宋简体" w:cs="方正小标宋简体"/>
          <w:color w:val="auto"/>
          <w:sz w:val="44"/>
          <w:szCs w:val="44"/>
          <w:lang w:val="en-US" w:eastAsia="zh-CN"/>
        </w:rPr>
        <w:t>“1·18”</w:t>
      </w:r>
      <w:bookmarkEnd w:id="0"/>
      <w:bookmarkEnd w:id="1"/>
      <w:bookmarkStart w:id="6" w:name="_Toc17064"/>
      <w:bookmarkStart w:id="7" w:name="_Toc13305"/>
      <w:r>
        <w:rPr>
          <w:rFonts w:hint="eastAsia" w:ascii="方正小标宋简体" w:hAnsi="方正小标宋简体" w:eastAsia="方正小标宋简体" w:cs="方正小标宋简体"/>
          <w:color w:val="auto"/>
          <w:sz w:val="44"/>
          <w:szCs w:val="44"/>
          <w:lang w:val="en-US" w:eastAsia="zh-CN"/>
        </w:rPr>
        <w:t>一般物体打击事故调查报告</w:t>
      </w:r>
      <w:bookmarkEnd w:id="4"/>
      <w:bookmarkEnd w:id="5"/>
      <w:bookmarkEnd w:id="6"/>
      <w:bookmarkEnd w:id="7"/>
    </w:p>
    <w:p w14:paraId="04C9BD3B">
      <w:pPr>
        <w:pageBreakBefore w:val="0"/>
        <w:widowControl w:val="0"/>
        <w:kinsoku/>
        <w:wordWrap/>
        <w:overflowPunct/>
        <w:topLinePunct w:val="0"/>
        <w:autoSpaceDE/>
        <w:autoSpaceDN/>
        <w:bidi w:val="0"/>
        <w:adjustRightInd/>
        <w:snapToGrid/>
        <w:textAlignment w:val="auto"/>
        <w:rPr>
          <w:rFonts w:hint="eastAsia"/>
          <w:color w:val="auto"/>
          <w:lang w:val="en-US" w:eastAsia="zh-CN"/>
        </w:rPr>
      </w:pPr>
    </w:p>
    <w:p w14:paraId="77FCF441">
      <w:pPr>
        <w:pageBreakBefore w:val="0"/>
        <w:widowControl w:val="0"/>
        <w:kinsoku/>
        <w:wordWrap/>
        <w:overflowPunct/>
        <w:topLinePunct w:val="0"/>
        <w:autoSpaceDE/>
        <w:autoSpaceDN/>
        <w:bidi w:val="0"/>
        <w:adjustRightInd/>
        <w:snapToGrid/>
        <w:textAlignment w:val="auto"/>
        <w:rPr>
          <w:rFonts w:hint="eastAsia"/>
          <w:color w:val="auto"/>
          <w:lang w:val="en-US" w:eastAsia="zh-CN"/>
        </w:rPr>
      </w:pPr>
      <w:r>
        <w:rPr>
          <w:rFonts w:hint="eastAsia"/>
          <w:color w:val="auto"/>
          <w:lang w:val="en-US" w:eastAsia="zh-CN"/>
        </w:rPr>
        <w:t>2021年1月18日16时10分许，位于鹰潭市余江工业园区虎山片区的鹰潭市虎航实业有限公司 （以下简称“鹰潭虎航公司”）</w:t>
      </w:r>
      <w:r>
        <w:rPr>
          <w:rFonts w:hint="eastAsia" w:ascii="宋体" w:hAnsi="宋体"/>
          <w:color w:val="auto"/>
          <w:lang w:val="en-US" w:eastAsia="zh-CN"/>
        </w:rPr>
        <w:t>5#</w:t>
      </w:r>
      <w:r>
        <w:rPr>
          <w:rFonts w:hint="eastAsia"/>
          <w:color w:val="auto"/>
          <w:lang w:val="en-US" w:eastAsia="zh-CN"/>
        </w:rPr>
        <w:t>厂房建设项目建筑工地施工现场，发生一起混凝土浇筑泵车侧翻，布料杆输送臂击中施工作业人员头部，造成1人死亡事故，</w:t>
      </w:r>
      <w:r>
        <w:rPr>
          <w:rFonts w:hint="eastAsia"/>
          <w:color w:val="auto"/>
        </w:rPr>
        <w:t>直接经济损失15</w:t>
      </w:r>
      <w:r>
        <w:rPr>
          <w:rFonts w:hint="eastAsia"/>
          <w:color w:val="auto"/>
          <w:lang w:val="en-US" w:eastAsia="zh-CN"/>
        </w:rPr>
        <w:t>0余</w:t>
      </w:r>
      <w:r>
        <w:rPr>
          <w:rFonts w:hint="eastAsia"/>
          <w:color w:val="auto"/>
        </w:rPr>
        <w:t>万元</w:t>
      </w:r>
      <w:r>
        <w:rPr>
          <w:rFonts w:hint="eastAsia"/>
          <w:color w:val="auto"/>
          <w:lang w:val="en-US" w:eastAsia="zh-CN"/>
        </w:rPr>
        <w:t>。</w:t>
      </w:r>
    </w:p>
    <w:p w14:paraId="0884170B">
      <w:pPr>
        <w:pageBreakBefore w:val="0"/>
        <w:widowControl w:val="0"/>
        <w:kinsoku/>
        <w:wordWrap/>
        <w:overflowPunct/>
        <w:topLinePunct w:val="0"/>
        <w:autoSpaceDE/>
        <w:autoSpaceDN/>
        <w:bidi w:val="0"/>
        <w:adjustRightInd/>
        <w:snapToGrid/>
        <w:textAlignment w:val="auto"/>
        <w:rPr>
          <w:rFonts w:hint="eastAsia"/>
          <w:color w:val="auto"/>
          <w:lang w:val="en-US" w:eastAsia="zh-CN"/>
        </w:rPr>
      </w:pPr>
      <w:r>
        <w:rPr>
          <w:rFonts w:hint="eastAsia"/>
          <w:color w:val="auto"/>
          <w:lang w:val="en-US" w:eastAsia="zh-CN"/>
        </w:rPr>
        <w:t>2022年12月，省委巡视组在余江区巡视期间，接群众举报，反映余江工业园区虎山片区2021年1月18日下午发生的生产安全事故，工业园区并未向相关部门报告，事故未经调查处理，涉嫌事故漏报。根据《生产安全事故报告和调查处理条例》（国务院令第493号）和《江西省生产安全事故提级调查与挂牌督办办法》（赣安〔2020〕15号）相关规定，2023年3月3日，经市政府同意，成立了江西喜鹏商品混凝土有限公司“1·18”物体打击事故调查组，对该起事故进行调查。</w:t>
      </w:r>
    </w:p>
    <w:p w14:paraId="26450484">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事故调查组按照“科学严谨、依法依规、实事求是、注重实效”原则和“四不放过”要求，通过调查询问和多方取证，查清了事故发生的经过、原因和性质，认定了事故性质和责任，并提出了对有关责任人员和责任单位的处理建议，针对事故暴露出的问题提出了防范和整改措施建议。</w:t>
      </w:r>
    </w:p>
    <w:p w14:paraId="6ABC19DC">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经调查认定，江西喜鹏商品混凝土有限公司“1·18”物体打击事故是一起因作业人员违规操作、施工现场安全管理不到位造成的一般生产安全责任事故。现将有关情况报告如下：</w:t>
      </w:r>
    </w:p>
    <w:p w14:paraId="6E3A7629">
      <w:pPr>
        <w:pStyle w:val="5"/>
        <w:pageBreakBefore w:val="0"/>
        <w:widowControl w:val="0"/>
        <w:numPr>
          <w:ilvl w:val="0"/>
          <w:numId w:val="1"/>
        </w:numPr>
        <w:kinsoku/>
        <w:wordWrap/>
        <w:overflowPunct/>
        <w:topLinePunct w:val="0"/>
        <w:autoSpaceDE/>
        <w:autoSpaceDN/>
        <w:bidi w:val="0"/>
        <w:adjustRightInd/>
        <w:snapToGrid/>
        <w:spacing w:beforeLines="0" w:afterLines="0" w:line="560" w:lineRule="exact"/>
        <w:textAlignment w:val="auto"/>
        <w:rPr>
          <w:rFonts w:hint="eastAsia"/>
          <w:color w:val="auto"/>
          <w:lang w:val="en-US" w:eastAsia="zh-CN"/>
        </w:rPr>
      </w:pPr>
      <w:bookmarkStart w:id="8" w:name="_Toc12731"/>
      <w:r>
        <w:rPr>
          <w:rFonts w:hint="eastAsia"/>
          <w:color w:val="auto"/>
          <w:lang w:val="en-US" w:eastAsia="zh-CN"/>
        </w:rPr>
        <w:t>事故基本情况</w:t>
      </w:r>
      <w:bookmarkEnd w:id="8"/>
    </w:p>
    <w:p w14:paraId="3B56910C">
      <w:pPr>
        <w:pStyle w:val="6"/>
        <w:pageBreakBefore w:val="0"/>
        <w:widowControl w:val="0"/>
        <w:kinsoku/>
        <w:wordWrap/>
        <w:overflowPunct/>
        <w:topLinePunct w:val="0"/>
        <w:autoSpaceDE/>
        <w:autoSpaceDN/>
        <w:bidi w:val="0"/>
        <w:adjustRightInd/>
        <w:snapToGrid/>
        <w:spacing w:beforeLines="0" w:afterLines="0"/>
        <w:textAlignment w:val="auto"/>
        <w:rPr>
          <w:rFonts w:hint="eastAsia"/>
          <w:color w:val="auto"/>
          <w:lang w:val="en-US" w:eastAsia="zh-CN"/>
        </w:rPr>
      </w:pPr>
      <w:bookmarkStart w:id="9" w:name="_Toc25052"/>
      <w:r>
        <w:rPr>
          <w:rFonts w:hint="eastAsia"/>
          <w:color w:val="auto"/>
        </w:rPr>
        <w:t>（一）</w:t>
      </w:r>
      <w:r>
        <w:rPr>
          <w:rFonts w:hint="eastAsia"/>
          <w:color w:val="auto"/>
          <w:lang w:val="en-US" w:eastAsia="zh-CN"/>
        </w:rPr>
        <w:t>事故发生单位及相关单位概况</w:t>
      </w:r>
      <w:bookmarkEnd w:id="9"/>
    </w:p>
    <w:p w14:paraId="2096CC2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鹰</w:t>
      </w:r>
      <w:r>
        <w:rPr>
          <w:rFonts w:hint="eastAsia" w:ascii="宋体" w:hAnsi="宋体"/>
          <w:color w:val="auto"/>
          <w:lang w:val="en-US" w:eastAsia="zh-CN"/>
        </w:rPr>
        <w:t>潭虎航公司厂房建设项目，位于江西省鹰潭市余江工业园区虎山片区内，建设规模约107583.69平方米，占地面积53861.92平方米，合同总价15085.985万元。项目建设单位为鹰潭虎航公司，施工总承包单位为湖南兴旺建设有限公司（以下简称湖南兴旺公司），涉事的5#厂房基础建设施工分包单位为南昌市创仁建筑工程有限公司（以下简称南昌创仁公司），设计单位为重庆银桥工程设计（集团）有限公司，监理单位为河南晟华工程管理有限公司（以下简称河南晟华公司）</w:t>
      </w:r>
      <w:r>
        <w:rPr>
          <w:rFonts w:hint="eastAsia"/>
          <w:color w:val="auto"/>
          <w:lang w:val="en-US" w:eastAsia="zh-CN"/>
        </w:rPr>
        <w:t>，</w:t>
      </w:r>
      <w:r>
        <w:rPr>
          <w:rFonts w:hint="eastAsia" w:ascii="宋体" w:hAnsi="宋体"/>
          <w:color w:val="auto"/>
          <w:lang w:val="en-US" w:eastAsia="zh-CN"/>
        </w:rPr>
        <w:t>商品混凝土供应商</w:t>
      </w:r>
      <w:r>
        <w:rPr>
          <w:rFonts w:hint="eastAsia"/>
          <w:color w:val="auto"/>
          <w:lang w:val="en-US" w:eastAsia="zh-CN"/>
        </w:rPr>
        <w:t>为</w:t>
      </w:r>
      <w:r>
        <w:rPr>
          <w:rFonts w:hint="eastAsia" w:ascii="宋体" w:hAnsi="宋体"/>
          <w:color w:val="auto"/>
          <w:lang w:val="en-US" w:eastAsia="zh-CN"/>
        </w:rPr>
        <w:t>江西喜鹏商品混凝土有限公司（以下简称江西喜鹏公司）</w:t>
      </w:r>
      <w:r>
        <w:rPr>
          <w:rFonts w:hint="eastAsia"/>
          <w:color w:val="auto"/>
          <w:lang w:val="en-US" w:eastAsia="zh-CN"/>
        </w:rPr>
        <w:t>，</w:t>
      </w:r>
      <w:r>
        <w:rPr>
          <w:rFonts w:hint="eastAsia" w:ascii="宋体" w:hAnsi="宋体"/>
          <w:color w:val="auto"/>
          <w:lang w:val="en-US" w:eastAsia="zh-CN"/>
        </w:rPr>
        <w:t>《建筑工程施工许可证》编号：36062</w:t>
      </w:r>
      <w:r>
        <w:rPr>
          <w:rFonts w:hint="eastAsia"/>
          <w:color w:val="auto"/>
          <w:lang w:val="en-US" w:eastAsia="zh-CN"/>
        </w:rPr>
        <w:t>*************</w:t>
      </w:r>
      <w:r>
        <w:rPr>
          <w:rFonts w:hint="eastAsia" w:ascii="宋体" w:hAnsi="宋体"/>
          <w:color w:val="auto"/>
          <w:lang w:val="en-US" w:eastAsia="zh-CN"/>
        </w:rPr>
        <w:t>。</w:t>
      </w:r>
    </w:p>
    <w:p w14:paraId="0335624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宋体" w:hAnsi="宋体"/>
          <w:color w:val="auto"/>
          <w:lang w:val="en-US" w:eastAsia="zh-CN"/>
        </w:rPr>
      </w:pPr>
      <w:bookmarkStart w:id="10" w:name="_Toc698"/>
      <w:r>
        <w:rPr>
          <w:rStyle w:val="20"/>
          <w:rFonts w:hint="eastAsia"/>
          <w:color w:val="auto"/>
          <w:lang w:val="en-US" w:eastAsia="zh-CN"/>
        </w:rPr>
        <w:t>1.建设单位：鹰潭虎航公司</w:t>
      </w:r>
      <w:bookmarkEnd w:id="10"/>
      <w:r>
        <w:rPr>
          <w:rFonts w:hint="eastAsia"/>
          <w:color w:val="auto"/>
          <w:lang w:val="en-US" w:eastAsia="zh-CN"/>
        </w:rPr>
        <w:t>。</w:t>
      </w:r>
      <w:r>
        <w:rPr>
          <w:rFonts w:hint="eastAsia" w:ascii="宋体" w:hAnsi="宋体"/>
          <w:color w:val="auto"/>
          <w:lang w:val="en-US" w:eastAsia="zh-CN"/>
        </w:rPr>
        <w:t>公司成立于2015年7月17日，法定代表人为淦家智。注册资本为21500万元人民币，统一社会信用代码：913606223328949285，企业类型为地方国有企业，经营范围为:建设工程施工，住宅室内装饰装修，建设工程设计等。</w:t>
      </w:r>
    </w:p>
    <w:p w14:paraId="5C24038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宋体" w:hAnsi="宋体"/>
          <w:color w:val="auto"/>
          <w:lang w:val="en-US" w:eastAsia="zh-CN"/>
        </w:rPr>
      </w:pPr>
      <w:bookmarkStart w:id="11" w:name="_Toc31949"/>
      <w:r>
        <w:rPr>
          <w:rStyle w:val="20"/>
          <w:rFonts w:hint="eastAsia"/>
          <w:color w:val="auto"/>
          <w:lang w:val="en-US" w:eastAsia="zh-CN"/>
        </w:rPr>
        <w:t>2.施工总承包单位：湖南兴旺公司</w:t>
      </w:r>
      <w:bookmarkEnd w:id="11"/>
      <w:r>
        <w:rPr>
          <w:rFonts w:hint="eastAsia"/>
          <w:color w:val="auto"/>
          <w:lang w:val="en-US" w:eastAsia="zh-CN"/>
        </w:rPr>
        <w:t>。</w:t>
      </w:r>
      <w:r>
        <w:rPr>
          <w:rFonts w:hint="eastAsia" w:ascii="宋体" w:hAnsi="宋体"/>
          <w:color w:val="auto"/>
          <w:lang w:val="en-US" w:eastAsia="zh-CN"/>
        </w:rPr>
        <w:t>公司成立于2005年12月1日，法定代表人为唐庆，注册资本为30000万元人民币，统一社会信用代码为91430000782852231J，所属行业为建筑业，经营范围为：建筑工程施工总承包、市政公用工程施工总承包、水利水电工程施工总承包等。</w:t>
      </w:r>
    </w:p>
    <w:p w14:paraId="1261A59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宋体" w:hAnsi="宋体"/>
          <w:color w:val="auto"/>
          <w:lang w:val="en-US" w:eastAsia="zh-CN"/>
        </w:rPr>
      </w:pPr>
      <w:bookmarkStart w:id="12" w:name="_Toc26431"/>
      <w:r>
        <w:rPr>
          <w:rStyle w:val="20"/>
          <w:rFonts w:hint="eastAsia"/>
          <w:color w:val="auto"/>
          <w:lang w:val="en-US" w:eastAsia="zh-CN"/>
        </w:rPr>
        <w:t>3.施工分包单位：南昌创仁公司</w:t>
      </w:r>
      <w:bookmarkEnd w:id="12"/>
      <w:r>
        <w:rPr>
          <w:rFonts w:hint="eastAsia" w:ascii="宋体" w:hAnsi="宋体"/>
          <w:color w:val="auto"/>
          <w:lang w:val="en-US" w:eastAsia="zh-CN"/>
        </w:rPr>
        <w:t>。公司成立于2017年11月6日，法定代表人为刘伟平，注册资本为1000万元人民币，统一社会信用代码为91360103MA36WXWN4J。经营范围包括：房屋建筑工程；地基与基础工程；建筑装饰工程；土石方工程等。</w:t>
      </w:r>
    </w:p>
    <w:p w14:paraId="586F130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宋体" w:hAnsi="宋体"/>
          <w:color w:val="auto"/>
          <w:lang w:val="en-US" w:eastAsia="zh-CN"/>
        </w:rPr>
      </w:pPr>
      <w:bookmarkStart w:id="13" w:name="_Toc4564"/>
      <w:r>
        <w:rPr>
          <w:rStyle w:val="20"/>
          <w:rFonts w:hint="eastAsia"/>
          <w:color w:val="auto"/>
          <w:lang w:val="en-US" w:eastAsia="zh-CN"/>
        </w:rPr>
        <w:t>4.监理单位：河南晟华公司</w:t>
      </w:r>
      <w:bookmarkEnd w:id="13"/>
      <w:r>
        <w:rPr>
          <w:rFonts w:hint="eastAsia"/>
          <w:color w:val="auto"/>
          <w:lang w:val="en-US" w:eastAsia="zh-CN"/>
        </w:rPr>
        <w:t>。</w:t>
      </w:r>
      <w:r>
        <w:rPr>
          <w:rFonts w:hint="eastAsia" w:ascii="宋体" w:hAnsi="宋体"/>
          <w:color w:val="auto"/>
          <w:lang w:val="en-US" w:eastAsia="zh-CN"/>
        </w:rPr>
        <w:t>公司</w:t>
      </w:r>
      <w:r>
        <w:rPr>
          <w:rFonts w:hint="eastAsia"/>
          <w:color w:val="auto"/>
          <w:lang w:val="en-US" w:eastAsia="zh-CN"/>
        </w:rPr>
        <w:t>成立于</w:t>
      </w:r>
      <w:r>
        <w:rPr>
          <w:rFonts w:hint="eastAsia" w:ascii="宋体" w:hAnsi="宋体"/>
          <w:color w:val="auto"/>
          <w:lang w:val="en-US" w:eastAsia="zh-CN"/>
        </w:rPr>
        <w:t>2013年5月17日</w:t>
      </w:r>
      <w:r>
        <w:rPr>
          <w:rFonts w:hint="eastAsia"/>
          <w:color w:val="auto"/>
          <w:lang w:val="en-US" w:eastAsia="zh-CN"/>
        </w:rPr>
        <w:t>，</w:t>
      </w:r>
      <w:r>
        <w:rPr>
          <w:rFonts w:hint="eastAsia" w:ascii="宋体" w:hAnsi="宋体"/>
          <w:color w:val="auto"/>
          <w:lang w:val="en-US" w:eastAsia="zh-CN"/>
        </w:rPr>
        <w:t>法定代表人为赵国富，注册资本为306万元人民币，统一社会信用代码：91410700068939663M，经营范围包括：土木工程建筑业，服务领域为房屋建筑工程监理、市政公用工程监理等。</w:t>
      </w:r>
    </w:p>
    <w:p w14:paraId="076B04F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宋体" w:hAnsi="宋体"/>
          <w:color w:val="auto"/>
          <w:lang w:val="en-US" w:eastAsia="zh-CN"/>
        </w:rPr>
      </w:pPr>
      <w:bookmarkStart w:id="14" w:name="_Toc14467"/>
      <w:r>
        <w:rPr>
          <w:rStyle w:val="20"/>
          <w:rFonts w:hint="eastAsia"/>
          <w:color w:val="auto"/>
          <w:lang w:val="en-US" w:eastAsia="zh-CN"/>
        </w:rPr>
        <w:t>5.商品混凝土供应商：江西喜鹏公司</w:t>
      </w:r>
      <w:bookmarkEnd w:id="14"/>
      <w:r>
        <w:rPr>
          <w:rFonts w:hint="eastAsia" w:ascii="宋体" w:hAnsi="宋体"/>
          <w:color w:val="auto"/>
          <w:lang w:val="en-US" w:eastAsia="zh-CN"/>
        </w:rPr>
        <w:t>。公司成立于2010年4月16日，法定代表人为罗宸清，注册资本为1000万人民币，统一社会信用代码：913606225535201291，经营范围包括：水泥制品制造</w:t>
      </w:r>
      <w:r>
        <w:rPr>
          <w:rFonts w:hint="eastAsia"/>
          <w:color w:val="auto"/>
          <w:lang w:val="en-US" w:eastAsia="zh-CN"/>
        </w:rPr>
        <w:t>、</w:t>
      </w:r>
      <w:r>
        <w:rPr>
          <w:rFonts w:hint="eastAsia" w:ascii="宋体" w:hAnsi="宋体"/>
          <w:color w:val="auto"/>
          <w:lang w:val="en-US" w:eastAsia="zh-CN"/>
        </w:rPr>
        <w:t>销售，砼结构构件制造</w:t>
      </w:r>
      <w:r>
        <w:rPr>
          <w:rFonts w:hint="eastAsia"/>
          <w:color w:val="auto"/>
          <w:lang w:val="en-US" w:eastAsia="zh-CN"/>
        </w:rPr>
        <w:t>、</w:t>
      </w:r>
      <w:r>
        <w:rPr>
          <w:rFonts w:hint="eastAsia" w:ascii="宋体" w:hAnsi="宋体"/>
          <w:color w:val="auto"/>
          <w:lang w:val="en-US" w:eastAsia="zh-CN"/>
        </w:rPr>
        <w:t>销售，非金属矿物制品制造</w:t>
      </w:r>
      <w:r>
        <w:rPr>
          <w:rFonts w:hint="eastAsia"/>
          <w:color w:val="auto"/>
          <w:lang w:val="en-US" w:eastAsia="zh-CN"/>
        </w:rPr>
        <w:t>、</w:t>
      </w:r>
      <w:r>
        <w:rPr>
          <w:rFonts w:hint="eastAsia" w:ascii="宋体" w:hAnsi="宋体"/>
          <w:color w:val="auto"/>
          <w:lang w:val="en-US" w:eastAsia="zh-CN"/>
        </w:rPr>
        <w:t>销售</w:t>
      </w:r>
      <w:r>
        <w:rPr>
          <w:rFonts w:hint="eastAsia"/>
          <w:color w:val="auto"/>
          <w:lang w:val="en-US" w:eastAsia="zh-CN"/>
        </w:rPr>
        <w:t>等</w:t>
      </w:r>
      <w:r>
        <w:rPr>
          <w:rFonts w:hint="eastAsia" w:ascii="宋体" w:hAnsi="宋体"/>
          <w:color w:val="auto"/>
          <w:lang w:val="en-US" w:eastAsia="zh-CN"/>
        </w:rPr>
        <w:t>。</w:t>
      </w:r>
    </w:p>
    <w:p w14:paraId="59F25AF6">
      <w:pPr>
        <w:pStyle w:val="6"/>
        <w:pageBreakBefore w:val="0"/>
        <w:widowControl w:val="0"/>
        <w:kinsoku/>
        <w:wordWrap/>
        <w:overflowPunct/>
        <w:topLinePunct w:val="0"/>
        <w:autoSpaceDE/>
        <w:autoSpaceDN/>
        <w:bidi w:val="0"/>
        <w:adjustRightInd/>
        <w:snapToGrid/>
        <w:spacing w:beforeLines="0" w:afterLines="0"/>
        <w:textAlignment w:val="auto"/>
        <w:rPr>
          <w:rFonts w:hint="eastAsia"/>
          <w:color w:val="auto"/>
          <w:lang w:val="en-US" w:eastAsia="zh-CN"/>
        </w:rPr>
      </w:pPr>
      <w:bookmarkStart w:id="15" w:name="_Toc25757"/>
      <w:r>
        <w:rPr>
          <w:rFonts w:hint="eastAsia"/>
          <w:color w:val="auto"/>
          <w:lang w:val="en-US" w:eastAsia="zh-CN"/>
        </w:rPr>
        <w:t>（二）事故发生经过</w:t>
      </w:r>
      <w:bookmarkEnd w:id="15"/>
    </w:p>
    <w:p w14:paraId="5510CEFB">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2021年1月18日15时30分左右，江西喜鹏公司</w:t>
      </w:r>
      <w:r>
        <w:rPr>
          <w:rFonts w:hint="eastAsia"/>
          <w:color w:val="auto"/>
          <w:lang w:val="en-US" w:eastAsia="zh-CN"/>
        </w:rPr>
        <w:t>混凝土浇筑</w:t>
      </w:r>
      <w:r>
        <w:rPr>
          <w:rFonts w:hint="eastAsia" w:ascii="宋体" w:hAnsi="宋体"/>
          <w:color w:val="auto"/>
          <w:lang w:val="en-US" w:eastAsia="zh-CN"/>
        </w:rPr>
        <w:t>泵车操作员胡京松，驾驶车牌号为赣L52886的商品</w:t>
      </w:r>
      <w:r>
        <w:rPr>
          <w:rFonts w:hint="eastAsia"/>
          <w:color w:val="auto"/>
          <w:lang w:val="en-US" w:eastAsia="zh-CN"/>
        </w:rPr>
        <w:t>混凝土浇筑</w:t>
      </w:r>
      <w:r>
        <w:rPr>
          <w:rFonts w:hint="eastAsia" w:ascii="宋体" w:hAnsi="宋体"/>
          <w:color w:val="auto"/>
          <w:lang w:val="en-US" w:eastAsia="zh-CN"/>
        </w:rPr>
        <w:t>泵车开进鹰潭虎航公司5#厂房基础建设施工工地，停靠在施工现场的北面，准备对地基桩</w:t>
      </w:r>
      <w:r>
        <w:rPr>
          <w:rFonts w:hint="eastAsia"/>
          <w:color w:val="auto"/>
          <w:lang w:val="en-US" w:eastAsia="zh-CN"/>
        </w:rPr>
        <w:t>浇筑</w:t>
      </w:r>
      <w:r>
        <w:rPr>
          <w:rFonts w:hint="eastAsia" w:ascii="宋体" w:hAnsi="宋体"/>
          <w:color w:val="auto"/>
          <w:lang w:val="en-US" w:eastAsia="zh-CN"/>
        </w:rPr>
        <w:t>混凝土。胡京松</w:t>
      </w:r>
      <w:r>
        <w:rPr>
          <w:rFonts w:hint="eastAsia"/>
          <w:color w:val="auto"/>
          <w:lang w:val="en-US" w:eastAsia="zh-CN"/>
        </w:rPr>
        <w:t>用</w:t>
      </w:r>
      <w:r>
        <w:rPr>
          <w:rFonts w:hint="eastAsia" w:ascii="宋体" w:hAnsi="宋体"/>
          <w:color w:val="auto"/>
          <w:lang w:val="en-US" w:eastAsia="zh-CN"/>
        </w:rPr>
        <w:t>多根短钢管纵横铺设作支护腿垫脚面，初步具备使用条件后，便开始对地基桩进行</w:t>
      </w:r>
      <w:r>
        <w:rPr>
          <w:rFonts w:hint="eastAsia"/>
          <w:color w:val="auto"/>
          <w:lang w:val="en-US" w:eastAsia="zh-CN"/>
        </w:rPr>
        <w:t>混凝土浇筑</w:t>
      </w:r>
      <w:r>
        <w:rPr>
          <w:rFonts w:hint="eastAsia" w:ascii="宋体" w:hAnsi="宋体"/>
          <w:color w:val="auto"/>
          <w:lang w:val="en-US" w:eastAsia="zh-CN"/>
        </w:rPr>
        <w:t>作业，约16时许，完成第一车</w:t>
      </w:r>
      <w:r>
        <w:rPr>
          <w:rFonts w:hint="eastAsia"/>
          <w:color w:val="auto"/>
          <w:lang w:val="en-US" w:eastAsia="zh-CN"/>
        </w:rPr>
        <w:t>混凝土浇筑</w:t>
      </w:r>
      <w:r>
        <w:rPr>
          <w:rFonts w:hint="eastAsia" w:ascii="宋体" w:hAnsi="宋体"/>
          <w:color w:val="auto"/>
          <w:lang w:val="en-US" w:eastAsia="zh-CN"/>
        </w:rPr>
        <w:t>。</w:t>
      </w:r>
    </w:p>
    <w:p w14:paraId="5172F08F">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在等待第二车混凝土运输车与</w:t>
      </w:r>
      <w:r>
        <w:rPr>
          <w:rFonts w:hint="eastAsia"/>
          <w:color w:val="auto"/>
          <w:lang w:val="en-US" w:eastAsia="zh-CN"/>
        </w:rPr>
        <w:t>浇筑</w:t>
      </w:r>
      <w:r>
        <w:rPr>
          <w:rFonts w:hint="eastAsia" w:ascii="宋体" w:hAnsi="宋体"/>
          <w:color w:val="auto"/>
          <w:lang w:val="en-US" w:eastAsia="zh-CN"/>
        </w:rPr>
        <w:t>泵车接驳间隙，胡京松操作布料杆展臂由北向南横向伸展到最大半径约48米，准备对地基桩进行混凝土远程</w:t>
      </w:r>
      <w:r>
        <w:rPr>
          <w:rFonts w:hint="eastAsia"/>
          <w:color w:val="auto"/>
          <w:lang w:val="en-US" w:eastAsia="zh-CN"/>
        </w:rPr>
        <w:t>浇筑</w:t>
      </w:r>
      <w:r>
        <w:rPr>
          <w:rFonts w:hint="eastAsia" w:ascii="宋体" w:hAnsi="宋体"/>
          <w:color w:val="auto"/>
          <w:lang w:val="en-US" w:eastAsia="zh-CN"/>
        </w:rPr>
        <w:t>。接驳完成后，胡京松刚启动</w:t>
      </w:r>
      <w:r>
        <w:rPr>
          <w:rFonts w:hint="eastAsia"/>
          <w:color w:val="auto"/>
          <w:lang w:val="en-US" w:eastAsia="zh-CN"/>
        </w:rPr>
        <w:t>浇筑</w:t>
      </w:r>
      <w:r>
        <w:rPr>
          <w:rFonts w:hint="eastAsia" w:ascii="宋体" w:hAnsi="宋体"/>
          <w:color w:val="auto"/>
          <w:lang w:val="en-US" w:eastAsia="zh-CN"/>
        </w:rPr>
        <w:t>程序，横向伸展的布料杆因满灌混凝土，瞬间使泵车重心整体偏移，导致泵车及臂架整体倾斜半侧翻，倾塌下坠的布料杆输送臂击中了正在牵引混凝土输送管的施工作业人员黄细和头部。现场人员紧急将其送至余江区人民医院进行急救，当晚17点30分左右，伤者黄细和经全力抢救无效后死亡。事故现场详见图1、图2。</w:t>
      </w:r>
    </w:p>
    <w:p w14:paraId="17858B08">
      <w:pPr>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color w:val="auto"/>
          <w:lang w:val="en-US" w:eastAsia="zh-CN"/>
        </w:rPr>
      </w:pPr>
      <w:r>
        <w:rPr>
          <w:rFonts w:hint="eastAsia" w:ascii="宋体" w:hAnsi="宋体"/>
          <w:color w:val="auto"/>
          <w:lang w:val="en-US" w:eastAsia="zh-CN"/>
        </w:rPr>
        <w:drawing>
          <wp:anchor distT="0" distB="0" distL="114300" distR="114300" simplePos="0" relativeHeight="251662336" behindDoc="0" locked="0" layoutInCell="1" allowOverlap="1">
            <wp:simplePos x="0" y="0"/>
            <wp:positionH relativeFrom="column">
              <wp:posOffset>728980</wp:posOffset>
            </wp:positionH>
            <wp:positionV relativeFrom="page">
              <wp:posOffset>7105650</wp:posOffset>
            </wp:positionV>
            <wp:extent cx="4006850" cy="1913890"/>
            <wp:effectExtent l="0" t="0" r="12700" b="1016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4006850" cy="1913890"/>
                    </a:xfrm>
                    <a:prstGeom prst="rect">
                      <a:avLst/>
                    </a:prstGeom>
                    <a:noFill/>
                    <a:ln>
                      <a:noFill/>
                    </a:ln>
                  </pic:spPr>
                </pic:pic>
              </a:graphicData>
            </a:graphic>
          </wp:anchor>
        </w:drawing>
      </w:r>
      <w:r>
        <w:rPr>
          <w:rFonts w:hint="eastAsia" w:ascii="宋体" w:hAnsi="宋体"/>
          <w:color w:val="auto"/>
          <w:lang w:val="en-US" w:eastAsia="zh-CN"/>
        </w:rPr>
        <w:drawing>
          <wp:anchor distT="0" distB="0" distL="114300" distR="114300" simplePos="0" relativeHeight="251660288" behindDoc="0" locked="0" layoutInCell="1" allowOverlap="1">
            <wp:simplePos x="0" y="0"/>
            <wp:positionH relativeFrom="column">
              <wp:posOffset>706755</wp:posOffset>
            </wp:positionH>
            <wp:positionV relativeFrom="page">
              <wp:posOffset>4423410</wp:posOffset>
            </wp:positionV>
            <wp:extent cx="3984625" cy="2145665"/>
            <wp:effectExtent l="0" t="0" r="15875" b="6985"/>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3984625" cy="2145665"/>
                    </a:xfrm>
                    <a:prstGeom prst="rect">
                      <a:avLst/>
                    </a:prstGeom>
                    <a:noFill/>
                    <a:ln>
                      <a:noFill/>
                    </a:ln>
                  </pic:spPr>
                </pic:pic>
              </a:graphicData>
            </a:graphic>
          </wp:anchor>
        </w:drawing>
      </w:r>
      <w:r>
        <w:rPr>
          <w:rFonts w:hint="eastAsia" w:ascii="宋体" w:hAnsi="宋体"/>
          <w:color w:val="auto"/>
          <w:lang w:val="en-US" w:eastAsia="zh-CN"/>
        </w:rPr>
        <w:t>图1</w:t>
      </w:r>
    </w:p>
    <w:p w14:paraId="5BA975B1">
      <w:pPr>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color w:val="auto"/>
          <w:lang w:val="en-US" w:eastAsia="zh-CN"/>
        </w:rPr>
      </w:pPr>
      <w:r>
        <w:rPr>
          <w:rFonts w:hint="eastAsia" w:ascii="宋体" w:hAnsi="宋体"/>
          <w:color w:val="auto"/>
          <w:lang w:val="en-US" w:eastAsia="zh-CN"/>
        </w:rPr>
        <w:t>图2</w:t>
      </w:r>
    </w:p>
    <w:p w14:paraId="175FB092">
      <w:pPr>
        <w:pStyle w:val="6"/>
        <w:pageBreakBefore w:val="0"/>
        <w:widowControl w:val="0"/>
        <w:kinsoku/>
        <w:wordWrap/>
        <w:overflowPunct/>
        <w:topLinePunct w:val="0"/>
        <w:autoSpaceDE/>
        <w:autoSpaceDN/>
        <w:bidi w:val="0"/>
        <w:adjustRightInd/>
        <w:snapToGrid/>
        <w:spacing w:beforeLines="0" w:afterLines="0"/>
        <w:textAlignment w:val="auto"/>
        <w:rPr>
          <w:rFonts w:hint="eastAsia"/>
          <w:color w:val="auto"/>
          <w:lang w:val="en-US" w:eastAsia="zh-CN"/>
        </w:rPr>
      </w:pPr>
      <w:bookmarkStart w:id="16" w:name="_Toc1422"/>
      <w:r>
        <w:rPr>
          <w:rFonts w:hint="eastAsia"/>
          <w:color w:val="auto"/>
          <w:lang w:val="en-US" w:eastAsia="zh-CN"/>
        </w:rPr>
        <w:t>（三）人员伤亡和直接经济损失情况</w:t>
      </w:r>
      <w:bookmarkEnd w:id="16"/>
      <w:r>
        <w:rPr>
          <w:rFonts w:hint="eastAsia"/>
          <w:color w:val="auto"/>
          <w:lang w:val="en-US" w:eastAsia="zh-CN"/>
        </w:rPr>
        <w:t xml:space="preserve"> </w:t>
      </w:r>
    </w:p>
    <w:p w14:paraId="53B7A85D">
      <w:pPr>
        <w:pStyle w:val="7"/>
        <w:pageBreakBefore w:val="0"/>
        <w:widowControl w:val="0"/>
        <w:kinsoku/>
        <w:wordWrap/>
        <w:overflowPunct/>
        <w:topLinePunct w:val="0"/>
        <w:autoSpaceDE/>
        <w:autoSpaceDN/>
        <w:bidi w:val="0"/>
        <w:adjustRightInd/>
        <w:snapToGrid/>
        <w:spacing w:beforeLines="0" w:afterLines="0"/>
        <w:textAlignment w:val="auto"/>
        <w:rPr>
          <w:rFonts w:hint="eastAsia"/>
          <w:color w:val="auto"/>
          <w:lang w:val="en-US" w:eastAsia="zh-CN"/>
        </w:rPr>
      </w:pPr>
      <w:bookmarkStart w:id="17" w:name="_Toc25070"/>
      <w:r>
        <w:rPr>
          <w:rFonts w:hint="eastAsia"/>
          <w:color w:val="auto"/>
          <w:lang w:val="en-US" w:eastAsia="zh-CN"/>
        </w:rPr>
        <w:t>1.人员伤亡情况</w:t>
      </w:r>
      <w:bookmarkEnd w:id="17"/>
    </w:p>
    <w:p w14:paraId="3D375792">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事故造成</w:t>
      </w:r>
      <w:r>
        <w:rPr>
          <w:rFonts w:hint="eastAsia"/>
          <w:color w:val="auto"/>
          <w:lang w:val="en-US" w:eastAsia="zh-CN"/>
        </w:rPr>
        <w:t>南昌创仁公司</w:t>
      </w:r>
      <w:r>
        <w:rPr>
          <w:rFonts w:hint="eastAsia" w:ascii="宋体" w:hAnsi="宋体"/>
          <w:color w:val="auto"/>
          <w:lang w:val="en-US" w:eastAsia="zh-CN"/>
        </w:rPr>
        <w:t>现场施工</w:t>
      </w:r>
      <w:r>
        <w:rPr>
          <w:rFonts w:hint="eastAsia"/>
          <w:color w:val="auto"/>
          <w:lang w:val="en-US" w:eastAsia="zh-CN"/>
        </w:rPr>
        <w:t>作业人</w:t>
      </w:r>
      <w:r>
        <w:rPr>
          <w:rFonts w:hint="eastAsia" w:ascii="宋体" w:hAnsi="宋体"/>
          <w:color w:val="auto"/>
          <w:lang w:val="en-US" w:eastAsia="zh-CN"/>
        </w:rPr>
        <w:t>员黄细和（男，36062</w:t>
      </w:r>
      <w:r>
        <w:rPr>
          <w:rFonts w:hint="eastAsia"/>
          <w:color w:val="auto"/>
          <w:lang w:val="en-US" w:eastAsia="zh-CN"/>
        </w:rPr>
        <w:t>*************</w:t>
      </w:r>
      <w:r>
        <w:rPr>
          <w:rFonts w:hint="eastAsia" w:ascii="宋体" w:hAnsi="宋体"/>
          <w:color w:val="auto"/>
          <w:lang w:val="en-US" w:eastAsia="zh-CN"/>
        </w:rPr>
        <w:t>）</w:t>
      </w:r>
      <w:r>
        <w:rPr>
          <w:rFonts w:hint="eastAsia"/>
          <w:color w:val="auto"/>
          <w:lang w:val="en-US" w:eastAsia="zh-CN"/>
        </w:rPr>
        <w:t>1</w:t>
      </w:r>
      <w:r>
        <w:rPr>
          <w:rFonts w:hint="eastAsia" w:ascii="宋体" w:hAnsi="宋体"/>
          <w:color w:val="auto"/>
          <w:lang w:val="en-US" w:eastAsia="zh-CN"/>
        </w:rPr>
        <w:t>人死亡。</w:t>
      </w:r>
    </w:p>
    <w:p w14:paraId="234AEE3E">
      <w:pPr>
        <w:pStyle w:val="7"/>
        <w:pageBreakBefore w:val="0"/>
        <w:widowControl w:val="0"/>
        <w:kinsoku/>
        <w:wordWrap/>
        <w:overflowPunct/>
        <w:topLinePunct w:val="0"/>
        <w:autoSpaceDE/>
        <w:autoSpaceDN/>
        <w:bidi w:val="0"/>
        <w:adjustRightInd/>
        <w:snapToGrid/>
        <w:spacing w:beforeLines="0" w:afterLines="0"/>
        <w:textAlignment w:val="auto"/>
        <w:rPr>
          <w:rFonts w:hint="eastAsia"/>
          <w:color w:val="auto"/>
          <w:lang w:val="en-US" w:eastAsia="zh-CN"/>
        </w:rPr>
      </w:pPr>
      <w:bookmarkStart w:id="18" w:name="_Toc16998"/>
      <w:r>
        <w:rPr>
          <w:rFonts w:hint="eastAsia"/>
          <w:color w:val="auto"/>
          <w:lang w:val="en-US" w:eastAsia="zh-CN"/>
        </w:rPr>
        <w:t>2.直接经济损失情况</w:t>
      </w:r>
      <w:bookmarkEnd w:id="18"/>
    </w:p>
    <w:p w14:paraId="76D0EDF7">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根据《企业职工伤亡事故经济损失统计标准》(GB/T 6721)核定事故直接经济损失150万元。</w:t>
      </w:r>
    </w:p>
    <w:p w14:paraId="6E02B131">
      <w:pPr>
        <w:pStyle w:val="6"/>
        <w:pageBreakBefore w:val="0"/>
        <w:widowControl w:val="0"/>
        <w:kinsoku/>
        <w:wordWrap/>
        <w:overflowPunct/>
        <w:topLinePunct w:val="0"/>
        <w:autoSpaceDE/>
        <w:autoSpaceDN/>
        <w:bidi w:val="0"/>
        <w:adjustRightInd/>
        <w:snapToGrid/>
        <w:spacing w:beforeLines="0" w:afterLines="0" w:line="560" w:lineRule="exact"/>
        <w:textAlignment w:val="auto"/>
        <w:rPr>
          <w:rFonts w:hint="eastAsia"/>
          <w:color w:val="auto"/>
          <w:lang w:val="en-US" w:eastAsia="zh-CN"/>
        </w:rPr>
      </w:pPr>
      <w:bookmarkStart w:id="19" w:name="_Toc26280"/>
      <w:r>
        <w:rPr>
          <w:rFonts w:hint="eastAsia"/>
          <w:color w:val="auto"/>
          <w:lang w:val="en-US" w:eastAsia="zh-CN"/>
        </w:rPr>
        <w:t>二、事故应急处置及评估情况</w:t>
      </w:r>
      <w:bookmarkEnd w:id="19"/>
      <w:r>
        <w:rPr>
          <w:rFonts w:hint="eastAsia"/>
          <w:color w:val="auto"/>
          <w:lang w:val="en-US" w:eastAsia="zh-CN"/>
        </w:rPr>
        <w:t xml:space="preserve"> </w:t>
      </w:r>
    </w:p>
    <w:p w14:paraId="63695768">
      <w:pPr>
        <w:pStyle w:val="6"/>
        <w:pageBreakBefore w:val="0"/>
        <w:widowControl w:val="0"/>
        <w:kinsoku/>
        <w:wordWrap/>
        <w:overflowPunct/>
        <w:topLinePunct w:val="0"/>
        <w:autoSpaceDE/>
        <w:autoSpaceDN/>
        <w:bidi w:val="0"/>
        <w:adjustRightInd/>
        <w:snapToGrid/>
        <w:spacing w:beforeLines="0" w:afterLines="0" w:line="560" w:lineRule="exact"/>
        <w:textAlignment w:val="auto"/>
        <w:rPr>
          <w:rFonts w:hint="eastAsia"/>
          <w:color w:val="auto"/>
          <w:lang w:val="en-US" w:eastAsia="zh-CN"/>
        </w:rPr>
      </w:pPr>
      <w:bookmarkStart w:id="20" w:name="_Toc30098"/>
      <w:r>
        <w:rPr>
          <w:rFonts w:hint="eastAsia"/>
          <w:color w:val="auto"/>
          <w:lang w:val="en-US" w:eastAsia="zh-CN"/>
        </w:rPr>
        <w:t>（一）事故信息接报及响应情况</w:t>
      </w:r>
      <w:bookmarkEnd w:id="20"/>
    </w:p>
    <w:p w14:paraId="12FFD60A">
      <w:pPr>
        <w:pageBreakBefore w:val="0"/>
        <w:widowControl w:val="0"/>
        <w:kinsoku/>
        <w:wordWrap/>
        <w:overflowPunct/>
        <w:topLinePunct w:val="0"/>
        <w:autoSpaceDE/>
        <w:autoSpaceDN/>
        <w:bidi w:val="0"/>
        <w:adjustRightInd/>
        <w:snapToGrid/>
        <w:ind w:left="0" w:firstLine="640"/>
        <w:textAlignment w:val="auto"/>
        <w:rPr>
          <w:rFonts w:hint="default" w:ascii="宋体" w:hAnsi="宋体"/>
          <w:color w:val="auto"/>
          <w:lang w:val="en-US" w:eastAsia="zh-CN"/>
        </w:rPr>
      </w:pPr>
      <w:r>
        <w:rPr>
          <w:rFonts w:hint="eastAsia"/>
          <w:color w:val="auto"/>
          <w:lang w:val="en-US" w:eastAsia="zh-CN"/>
        </w:rPr>
        <w:t>事故发生后，</w:t>
      </w:r>
      <w:r>
        <w:rPr>
          <w:rFonts w:hint="eastAsia" w:ascii="宋体" w:hAnsi="宋体"/>
          <w:color w:val="auto"/>
          <w:lang w:val="en-US" w:eastAsia="zh-CN"/>
        </w:rPr>
        <w:t>江西喜鹏公司</w:t>
      </w:r>
      <w:r>
        <w:rPr>
          <w:rFonts w:hint="eastAsia"/>
          <w:color w:val="auto"/>
          <w:lang w:val="en-US" w:eastAsia="zh-CN"/>
        </w:rPr>
        <w:t>泵车操作员胡京松、南昌创仁公司的现场负责人孙霆在第一时间分别向各自公司报告情况，并拨打了120急救电话。</w:t>
      </w:r>
      <w:r>
        <w:rPr>
          <w:rFonts w:hint="eastAsia" w:ascii="宋体" w:hAnsi="宋体"/>
          <w:color w:val="auto"/>
          <w:lang w:val="en-US" w:eastAsia="zh-CN"/>
        </w:rPr>
        <w:t>江西喜鹏公司</w:t>
      </w:r>
      <w:r>
        <w:rPr>
          <w:rFonts w:hint="eastAsia"/>
          <w:color w:val="auto"/>
          <w:lang w:val="en-US" w:eastAsia="zh-CN"/>
        </w:rPr>
        <w:t>负责人、南昌创仁公司在接到电话后也立即向</w:t>
      </w:r>
      <w:r>
        <w:rPr>
          <w:rFonts w:hint="eastAsia" w:ascii="宋体" w:hAnsi="宋体"/>
          <w:color w:val="auto"/>
          <w:lang w:val="en-US" w:eastAsia="zh-CN"/>
        </w:rPr>
        <w:t>余江工业园区虎山片区负责人胡辉堂</w:t>
      </w:r>
      <w:r>
        <w:rPr>
          <w:rFonts w:hint="eastAsia"/>
          <w:color w:val="auto"/>
          <w:lang w:val="en-US" w:eastAsia="zh-CN"/>
        </w:rPr>
        <w:t>报告了事故。胡辉堂立即赶赴事发现场进行指挥救援。当晚，胡辉堂</w:t>
      </w:r>
      <w:r>
        <w:rPr>
          <w:rFonts w:hint="eastAsia" w:ascii="宋体" w:hAnsi="宋体"/>
          <w:color w:val="auto"/>
          <w:lang w:val="en-US" w:eastAsia="zh-CN"/>
        </w:rPr>
        <w:t>主持参与事故善后赔偿。胡辉堂认为此事系车辆侧翻致人死亡，思想固有</w:t>
      </w:r>
      <w:r>
        <w:rPr>
          <w:rFonts w:hint="eastAsia"/>
          <w:color w:val="auto"/>
          <w:lang w:val="en-US" w:eastAsia="zh-CN"/>
        </w:rPr>
        <w:t>地</w:t>
      </w:r>
      <w:r>
        <w:rPr>
          <w:rFonts w:hint="eastAsia" w:ascii="宋体" w:hAnsi="宋体"/>
          <w:color w:val="auto"/>
          <w:lang w:val="en-US" w:eastAsia="zh-CN"/>
        </w:rPr>
        <w:t>认为该事故为一般性交通事故，并没有向余江工业园区主要领导汇报，也未向相关单位进行报告。</w:t>
      </w:r>
    </w:p>
    <w:p w14:paraId="6E94A273">
      <w:pPr>
        <w:pStyle w:val="6"/>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3" w:firstLineChars="200"/>
        <w:textAlignment w:val="auto"/>
        <w:rPr>
          <w:rFonts w:hint="eastAsia"/>
          <w:color w:val="auto"/>
          <w:lang w:val="en-US" w:eastAsia="zh-CN"/>
        </w:rPr>
      </w:pPr>
      <w:bookmarkStart w:id="21" w:name="_Toc12218"/>
      <w:r>
        <w:rPr>
          <w:rFonts w:hint="eastAsia" w:ascii="宋体" w:hAnsi="宋体" w:eastAsia="楷体_GB2312" w:cstheme="minorBidi"/>
          <w:b/>
          <w:color w:val="auto"/>
          <w:kern w:val="2"/>
          <w:sz w:val="32"/>
          <w:szCs w:val="24"/>
          <w:lang w:val="en-US" w:eastAsia="zh-CN" w:bidi="ar-SA"/>
        </w:rPr>
        <w:t>（二）</w:t>
      </w:r>
      <w:r>
        <w:rPr>
          <w:rFonts w:hint="eastAsia"/>
          <w:color w:val="auto"/>
          <w:lang w:val="en-US" w:eastAsia="zh-CN"/>
        </w:rPr>
        <w:t>事故现场应急处置情况</w:t>
      </w:r>
      <w:bookmarkEnd w:id="21"/>
    </w:p>
    <w:p w14:paraId="17A9C47B">
      <w:pPr>
        <w:pageBreakBefore w:val="0"/>
        <w:widowControl w:val="0"/>
        <w:kinsoku/>
        <w:wordWrap/>
        <w:overflowPunct/>
        <w:topLinePunct w:val="0"/>
        <w:autoSpaceDE/>
        <w:autoSpaceDN/>
        <w:bidi w:val="0"/>
        <w:adjustRightInd/>
        <w:snapToGrid/>
        <w:ind w:left="0" w:firstLine="640"/>
        <w:jc w:val="left"/>
        <w:textAlignment w:val="auto"/>
        <w:rPr>
          <w:rFonts w:hint="eastAsia"/>
          <w:color w:val="auto"/>
          <w:lang w:val="en-US" w:eastAsia="zh-CN"/>
        </w:rPr>
      </w:pPr>
      <w:bookmarkStart w:id="22" w:name="_Toc32444"/>
      <w:r>
        <w:rPr>
          <w:rFonts w:hint="eastAsia"/>
          <w:color w:val="auto"/>
          <w:lang w:val="en-US" w:eastAsia="zh-CN"/>
        </w:rPr>
        <w:t>急速下坠的</w:t>
      </w:r>
      <w:r>
        <w:rPr>
          <w:rFonts w:hint="eastAsia" w:ascii="宋体" w:hAnsi="宋体"/>
          <w:color w:val="auto"/>
          <w:lang w:val="en-US" w:eastAsia="zh-CN"/>
        </w:rPr>
        <w:t>吊臂击中</w:t>
      </w:r>
      <w:r>
        <w:rPr>
          <w:rFonts w:hint="eastAsia"/>
          <w:color w:val="auto"/>
          <w:lang w:val="en-US" w:eastAsia="zh-CN"/>
        </w:rPr>
        <w:t>了</w:t>
      </w:r>
      <w:r>
        <w:rPr>
          <w:rFonts w:hint="eastAsia" w:ascii="宋体" w:hAnsi="宋体"/>
          <w:color w:val="auto"/>
          <w:lang w:val="en-US" w:eastAsia="zh-CN"/>
        </w:rPr>
        <w:t>黄细和的头部，黄细和受伤倒地，现场人员迅速跑过来查看伤情，及时对受伤部位进行简单处置</w:t>
      </w:r>
      <w:r>
        <w:rPr>
          <w:rFonts w:hint="eastAsia"/>
          <w:color w:val="auto"/>
          <w:lang w:val="en-US" w:eastAsia="zh-CN"/>
        </w:rPr>
        <w:t>，</w:t>
      </w:r>
      <w:r>
        <w:rPr>
          <w:rFonts w:hint="eastAsia" w:ascii="宋体" w:hAnsi="宋体"/>
          <w:color w:val="auto"/>
          <w:lang w:val="en-US" w:eastAsia="zh-CN"/>
        </w:rPr>
        <w:t>并</w:t>
      </w:r>
      <w:r>
        <w:rPr>
          <w:rFonts w:hint="eastAsia"/>
          <w:color w:val="auto"/>
          <w:lang w:val="en-US" w:eastAsia="zh-CN"/>
        </w:rPr>
        <w:t>将伤员转移到路边安全处等待救援，同时，</w:t>
      </w:r>
      <w:r>
        <w:rPr>
          <w:rFonts w:hint="eastAsia" w:ascii="宋体" w:hAnsi="宋体"/>
          <w:color w:val="auto"/>
          <w:lang w:val="en-US" w:eastAsia="zh-CN"/>
        </w:rPr>
        <w:t>第一时间拨打120急救电话请求救援。</w:t>
      </w:r>
      <w:r>
        <w:rPr>
          <w:rFonts w:hint="eastAsia"/>
          <w:color w:val="auto"/>
          <w:lang w:val="en-US" w:eastAsia="zh-CN"/>
        </w:rPr>
        <w:t xml:space="preserve">      </w:t>
      </w:r>
      <w:bookmarkEnd w:id="22"/>
    </w:p>
    <w:p w14:paraId="43F0B087">
      <w:pPr>
        <w:pageBreakBefore w:val="0"/>
        <w:widowControl w:val="0"/>
        <w:numPr>
          <w:ilvl w:val="0"/>
          <w:numId w:val="0"/>
        </w:numPr>
        <w:kinsoku/>
        <w:wordWrap/>
        <w:overflowPunct/>
        <w:topLinePunct w:val="0"/>
        <w:autoSpaceDE/>
        <w:autoSpaceDN/>
        <w:bidi w:val="0"/>
        <w:adjustRightInd/>
        <w:snapToGrid/>
        <w:ind w:left="0" w:leftChars="0" w:firstLine="643" w:firstLineChars="200"/>
        <w:textAlignment w:val="auto"/>
        <w:rPr>
          <w:rFonts w:hint="eastAsia" w:ascii="楷体" w:hAnsi="楷体" w:eastAsia="楷体" w:cs="楷体"/>
          <w:b/>
          <w:bCs/>
          <w:color w:val="auto"/>
          <w:lang w:val="en-US" w:eastAsia="zh-CN"/>
        </w:rPr>
      </w:pPr>
      <w:r>
        <w:rPr>
          <w:rFonts w:hint="eastAsia" w:ascii="楷体" w:hAnsi="楷体" w:eastAsia="楷体" w:cs="楷体"/>
          <w:b/>
          <w:bCs/>
          <w:color w:val="auto"/>
          <w:kern w:val="2"/>
          <w:sz w:val="32"/>
          <w:szCs w:val="24"/>
          <w:lang w:val="en-US" w:eastAsia="zh-CN" w:bidi="ar-SA"/>
        </w:rPr>
        <w:t>（三）</w:t>
      </w:r>
      <w:r>
        <w:rPr>
          <w:rFonts w:hint="eastAsia" w:ascii="楷体" w:hAnsi="楷体" w:eastAsia="楷体" w:cs="楷体"/>
          <w:b/>
          <w:bCs/>
          <w:color w:val="auto"/>
          <w:lang w:val="en-US" w:eastAsia="zh-CN"/>
        </w:rPr>
        <w:t>医疗救治和善后情况</w:t>
      </w:r>
    </w:p>
    <w:p w14:paraId="3FD46D90">
      <w:pPr>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宋体" w:hAnsi="宋体"/>
          <w:color w:val="auto"/>
          <w:lang w:val="en-US" w:eastAsia="zh-CN"/>
        </w:rPr>
      </w:pPr>
      <w:r>
        <w:rPr>
          <w:rFonts w:hint="eastAsia"/>
          <w:color w:val="auto"/>
          <w:lang w:val="en-US" w:eastAsia="zh-CN"/>
        </w:rPr>
        <w:t>接到报警后，</w:t>
      </w:r>
      <w:r>
        <w:rPr>
          <w:rFonts w:hint="eastAsia" w:ascii="宋体" w:hAnsi="宋体"/>
          <w:color w:val="auto"/>
          <w:lang w:val="en-US" w:eastAsia="zh-CN"/>
        </w:rPr>
        <w:t>余江120急救车</w:t>
      </w:r>
      <w:r>
        <w:rPr>
          <w:rFonts w:hint="eastAsia"/>
          <w:color w:val="auto"/>
          <w:lang w:val="en-US" w:eastAsia="zh-CN"/>
        </w:rPr>
        <w:t>紧急出动赶赴事发现场，火速</w:t>
      </w:r>
      <w:r>
        <w:rPr>
          <w:rFonts w:hint="eastAsia" w:ascii="宋体" w:hAnsi="宋体"/>
          <w:color w:val="auto"/>
          <w:lang w:val="en-US" w:eastAsia="zh-CN"/>
        </w:rPr>
        <w:t>将伤员送至</w:t>
      </w:r>
      <w:r>
        <w:rPr>
          <w:rFonts w:hint="eastAsia"/>
          <w:color w:val="auto"/>
          <w:lang w:val="en-US" w:eastAsia="zh-CN"/>
        </w:rPr>
        <w:t>区</w:t>
      </w:r>
      <w:r>
        <w:rPr>
          <w:rFonts w:hint="eastAsia" w:ascii="宋体" w:hAnsi="宋体"/>
          <w:color w:val="auto"/>
          <w:lang w:val="en-US" w:eastAsia="zh-CN"/>
        </w:rPr>
        <w:t>人民医院进行抢救</w:t>
      </w:r>
      <w:r>
        <w:rPr>
          <w:rFonts w:hint="eastAsia"/>
          <w:color w:val="auto"/>
          <w:lang w:val="en-US" w:eastAsia="zh-CN"/>
        </w:rPr>
        <w:t>。</w:t>
      </w:r>
      <w:r>
        <w:rPr>
          <w:rFonts w:hint="eastAsia" w:ascii="宋体" w:hAnsi="宋体"/>
          <w:color w:val="auto"/>
          <w:lang w:val="en-US" w:eastAsia="zh-CN"/>
        </w:rPr>
        <w:t>由于伤者头部受伤严重，虽经全力抢救，伤者仍于</w:t>
      </w:r>
      <w:r>
        <w:rPr>
          <w:rFonts w:hint="eastAsia"/>
          <w:color w:val="auto"/>
          <w:lang w:val="en-US" w:eastAsia="zh-CN"/>
        </w:rPr>
        <w:t>17时30分许</w:t>
      </w:r>
      <w:r>
        <w:rPr>
          <w:rFonts w:hint="eastAsia" w:ascii="宋体" w:hAnsi="宋体"/>
          <w:color w:val="auto"/>
          <w:lang w:val="en-US" w:eastAsia="zh-CN"/>
        </w:rPr>
        <w:t>死亡。当天晚上，</w:t>
      </w:r>
      <w:r>
        <w:rPr>
          <w:rFonts w:hint="eastAsia"/>
          <w:color w:val="auto"/>
          <w:lang w:val="en-US" w:eastAsia="zh-CN"/>
        </w:rPr>
        <w:t>余江工业</w:t>
      </w:r>
      <w:r>
        <w:rPr>
          <w:rFonts w:hint="eastAsia" w:ascii="宋体" w:hAnsi="宋体"/>
          <w:color w:val="auto"/>
          <w:lang w:val="en-US" w:eastAsia="zh-CN"/>
        </w:rPr>
        <w:t>园区虎山片区负责人胡辉堂</w:t>
      </w:r>
      <w:r>
        <w:rPr>
          <w:rFonts w:hint="eastAsia"/>
          <w:color w:val="auto"/>
          <w:lang w:val="en-US" w:eastAsia="zh-CN"/>
        </w:rPr>
        <w:t>，</w:t>
      </w:r>
      <w:r>
        <w:rPr>
          <w:rFonts w:hint="eastAsia" w:ascii="宋体" w:hAnsi="宋体"/>
          <w:color w:val="auto"/>
          <w:lang w:val="en-US" w:eastAsia="zh-CN"/>
        </w:rPr>
        <w:t>召集江西喜鹏公司与施工单位南昌创仁公司等单位</w:t>
      </w:r>
      <w:r>
        <w:rPr>
          <w:rFonts w:hint="eastAsia"/>
          <w:color w:val="auto"/>
          <w:lang w:val="en-US" w:eastAsia="zh-CN"/>
        </w:rPr>
        <w:t>，</w:t>
      </w:r>
      <w:r>
        <w:rPr>
          <w:rFonts w:hint="eastAsia" w:ascii="宋体" w:hAnsi="宋体"/>
          <w:color w:val="auto"/>
          <w:lang w:val="en-US" w:eastAsia="zh-CN"/>
        </w:rPr>
        <w:t>就善后赔偿与</w:t>
      </w:r>
      <w:r>
        <w:rPr>
          <w:rFonts w:hint="eastAsia"/>
          <w:color w:val="auto"/>
          <w:lang w:val="en-US" w:eastAsia="zh-CN"/>
        </w:rPr>
        <w:t>死</w:t>
      </w:r>
      <w:r>
        <w:rPr>
          <w:rFonts w:hint="eastAsia" w:ascii="宋体" w:hAnsi="宋体"/>
          <w:color w:val="auto"/>
          <w:lang w:val="en-US" w:eastAsia="zh-CN"/>
        </w:rPr>
        <w:t>者家属积极协商，</w:t>
      </w:r>
      <w:r>
        <w:rPr>
          <w:rFonts w:hint="eastAsia"/>
          <w:color w:val="auto"/>
          <w:lang w:val="en-US" w:eastAsia="zh-CN"/>
        </w:rPr>
        <w:t>并达成一致，签订赔偿协议，死者遗体于次日已火化，</w:t>
      </w:r>
      <w:r>
        <w:rPr>
          <w:rFonts w:hint="eastAsia" w:ascii="宋体" w:hAnsi="宋体"/>
          <w:color w:val="auto"/>
          <w:lang w:val="en-US" w:eastAsia="zh-CN"/>
        </w:rPr>
        <w:t>善后工作处置结束。</w:t>
      </w:r>
    </w:p>
    <w:p w14:paraId="6C4D5EA2">
      <w:pPr>
        <w:pStyle w:val="6"/>
        <w:pageBreakBefore w:val="0"/>
        <w:widowControl w:val="0"/>
        <w:kinsoku/>
        <w:wordWrap/>
        <w:overflowPunct/>
        <w:topLinePunct w:val="0"/>
        <w:autoSpaceDE/>
        <w:autoSpaceDN/>
        <w:bidi w:val="0"/>
        <w:adjustRightInd/>
        <w:snapToGrid/>
        <w:spacing w:beforeLines="0" w:afterLines="0" w:line="560" w:lineRule="exact"/>
        <w:textAlignment w:val="auto"/>
        <w:rPr>
          <w:rFonts w:hint="eastAsia"/>
          <w:color w:val="auto"/>
          <w:lang w:val="en-US" w:eastAsia="zh-CN"/>
        </w:rPr>
      </w:pPr>
      <w:bookmarkStart w:id="23" w:name="_Toc17076"/>
      <w:r>
        <w:rPr>
          <w:rFonts w:hint="eastAsia"/>
          <w:color w:val="auto"/>
          <w:lang w:val="en-US" w:eastAsia="zh-CN"/>
        </w:rPr>
        <w:t>（四）地方政府和相关部门单位应急响应情况</w:t>
      </w:r>
      <w:bookmarkEnd w:id="23"/>
    </w:p>
    <w:p w14:paraId="5FBD619D">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接到报警电话后，余江区人民医院120急救中心、余江区交警大队、</w:t>
      </w:r>
      <w:r>
        <w:rPr>
          <w:rFonts w:hint="eastAsia"/>
          <w:color w:val="auto"/>
          <w:lang w:val="en-US" w:eastAsia="zh-CN"/>
        </w:rPr>
        <w:t>余江</w:t>
      </w:r>
      <w:r>
        <w:rPr>
          <w:rFonts w:hint="eastAsia" w:ascii="宋体" w:hAnsi="宋体"/>
          <w:color w:val="auto"/>
          <w:lang w:val="en-US" w:eastAsia="zh-CN"/>
        </w:rPr>
        <w:t>工业园区等单位相继赶到事发现场，协助抢救伤者。</w:t>
      </w:r>
    </w:p>
    <w:p w14:paraId="3A2FE346">
      <w:pPr>
        <w:pStyle w:val="5"/>
        <w:pageBreakBefore w:val="0"/>
        <w:widowControl w:val="0"/>
        <w:kinsoku/>
        <w:wordWrap/>
        <w:overflowPunct/>
        <w:topLinePunct w:val="0"/>
        <w:autoSpaceDE/>
        <w:autoSpaceDN/>
        <w:bidi w:val="0"/>
        <w:adjustRightInd/>
        <w:snapToGrid/>
        <w:spacing w:beforeLines="0" w:afterLines="0" w:line="560" w:lineRule="exact"/>
        <w:textAlignment w:val="auto"/>
        <w:rPr>
          <w:rFonts w:hint="eastAsia"/>
          <w:color w:val="auto"/>
          <w:lang w:val="en-US" w:eastAsia="zh-CN"/>
        </w:rPr>
      </w:pPr>
      <w:bookmarkStart w:id="24" w:name="_Toc10118"/>
      <w:r>
        <w:rPr>
          <w:rFonts w:hint="eastAsia"/>
          <w:color w:val="auto"/>
        </w:rPr>
        <w:t>三、</w:t>
      </w:r>
      <w:r>
        <w:rPr>
          <w:rFonts w:hint="eastAsia"/>
          <w:color w:val="auto"/>
          <w:lang w:val="en-US" w:eastAsia="zh-CN"/>
        </w:rPr>
        <w:t>事故发生的原因</w:t>
      </w:r>
      <w:bookmarkEnd w:id="24"/>
    </w:p>
    <w:p w14:paraId="58EC769C">
      <w:pPr>
        <w:pageBreakBefore w:val="0"/>
        <w:widowControl w:val="0"/>
        <w:kinsoku/>
        <w:wordWrap/>
        <w:overflowPunct/>
        <w:topLinePunct w:val="0"/>
        <w:autoSpaceDE/>
        <w:autoSpaceDN/>
        <w:bidi w:val="0"/>
        <w:adjustRightInd/>
        <w:snapToGrid/>
        <w:ind w:left="0" w:firstLine="640"/>
        <w:textAlignment w:val="auto"/>
        <w:rPr>
          <w:rFonts w:hint="eastAsia" w:ascii="宋体" w:hAnsi="宋体"/>
          <w:color w:val="auto"/>
          <w:lang w:val="en-US" w:eastAsia="zh-CN"/>
        </w:rPr>
      </w:pPr>
      <w:r>
        <w:rPr>
          <w:rFonts w:hint="eastAsia" w:ascii="宋体" w:hAnsi="宋体"/>
          <w:color w:val="auto"/>
          <w:lang w:val="en-US" w:eastAsia="zh-CN"/>
        </w:rPr>
        <w:t>江西喜鹏公司</w:t>
      </w:r>
      <w:r>
        <w:rPr>
          <w:rFonts w:hint="eastAsia"/>
          <w:color w:val="auto"/>
          <w:lang w:val="en-US" w:eastAsia="zh-CN"/>
        </w:rPr>
        <w:t>混凝土浇筑</w:t>
      </w:r>
      <w:r>
        <w:rPr>
          <w:rFonts w:hint="eastAsia" w:ascii="宋体" w:hAnsi="宋体"/>
          <w:color w:val="auto"/>
          <w:lang w:val="en-US" w:eastAsia="zh-CN"/>
        </w:rPr>
        <w:t>操作员胡京松违规操作泵车</w:t>
      </w:r>
      <w:r>
        <w:rPr>
          <w:rFonts w:hint="eastAsia"/>
          <w:color w:val="auto"/>
          <w:lang w:val="en-US" w:eastAsia="zh-CN"/>
        </w:rPr>
        <w:t>浇筑</w:t>
      </w:r>
      <w:r>
        <w:rPr>
          <w:rFonts w:hint="eastAsia" w:ascii="宋体" w:hAnsi="宋体"/>
          <w:color w:val="auto"/>
          <w:lang w:val="en-US" w:eastAsia="zh-CN"/>
        </w:rPr>
        <w:t>混凝土，在支护脚未确认安全可靠的情况下，将布料杆输送臂伸展到最大半径，引发泵车半侧翻，导致牵引混凝土输送管的施工</w:t>
      </w:r>
      <w:r>
        <w:rPr>
          <w:rFonts w:hint="eastAsia"/>
          <w:color w:val="auto"/>
          <w:lang w:val="en-US" w:eastAsia="zh-CN"/>
        </w:rPr>
        <w:t>作业人</w:t>
      </w:r>
      <w:r>
        <w:rPr>
          <w:rFonts w:hint="eastAsia" w:ascii="宋体" w:hAnsi="宋体"/>
          <w:color w:val="auto"/>
          <w:lang w:val="en-US" w:eastAsia="zh-CN"/>
        </w:rPr>
        <w:t>员黄细和被坠落的布料杆输送臂击中头部受伤致死。</w:t>
      </w:r>
    </w:p>
    <w:p w14:paraId="5DA7EEC1">
      <w:pPr>
        <w:pStyle w:val="6"/>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3" w:firstLineChars="200"/>
        <w:textAlignment w:val="auto"/>
        <w:rPr>
          <w:rFonts w:hint="eastAsia" w:ascii="黑体" w:hAnsi="黑体" w:eastAsia="黑体" w:cs="黑体"/>
          <w:color w:val="auto"/>
          <w:lang w:val="en-US" w:eastAsia="zh-CN"/>
        </w:rPr>
      </w:pPr>
      <w:bookmarkStart w:id="25" w:name="_Toc30657"/>
      <w:r>
        <w:rPr>
          <w:rFonts w:hint="eastAsia" w:ascii="黑体" w:hAnsi="黑体" w:eastAsia="黑体" w:cs="黑体"/>
          <w:b/>
          <w:color w:val="auto"/>
          <w:kern w:val="2"/>
          <w:sz w:val="32"/>
          <w:szCs w:val="24"/>
          <w:lang w:val="en-US" w:eastAsia="zh-CN" w:bidi="ar-SA"/>
        </w:rPr>
        <w:t>四、</w:t>
      </w:r>
      <w:r>
        <w:rPr>
          <w:rFonts w:hint="eastAsia" w:ascii="黑体" w:hAnsi="黑体" w:eastAsia="黑体" w:cs="黑体"/>
          <w:color w:val="auto"/>
          <w:lang w:val="en-US" w:eastAsia="zh-CN"/>
        </w:rPr>
        <w:t>有关责任单位存在的主要问题</w:t>
      </w:r>
      <w:bookmarkEnd w:id="25"/>
    </w:p>
    <w:p w14:paraId="7B2BDB7C">
      <w:pPr>
        <w:pageBreakBefore w:val="0"/>
        <w:widowControl w:val="0"/>
        <w:numPr>
          <w:ilvl w:val="0"/>
          <w:numId w:val="0"/>
        </w:numPr>
        <w:kinsoku/>
        <w:wordWrap/>
        <w:overflowPunct/>
        <w:topLinePunct w:val="0"/>
        <w:autoSpaceDE/>
        <w:autoSpaceDN/>
        <w:bidi w:val="0"/>
        <w:adjustRightInd/>
        <w:snapToGrid/>
        <w:ind w:left="0" w:leftChars="0" w:firstLine="643" w:firstLineChars="200"/>
        <w:textAlignment w:val="auto"/>
        <w:rPr>
          <w:rFonts w:hint="eastAsia"/>
          <w:b/>
          <w:bCs/>
        </w:rPr>
      </w:pPr>
      <w:r>
        <w:rPr>
          <w:rFonts w:hint="eastAsia" w:ascii="楷体" w:hAnsi="楷体" w:eastAsia="楷体" w:cs="楷体"/>
          <w:b/>
          <w:bCs/>
          <w:lang w:val="en-US" w:eastAsia="zh-CN"/>
        </w:rPr>
        <w:t>（一）商品混凝土供应商</w:t>
      </w:r>
    </w:p>
    <w:p w14:paraId="1A2E906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宋体" w:hAnsi="宋体"/>
          <w:color w:val="auto"/>
          <w:lang w:val="en-US" w:eastAsia="zh-CN"/>
        </w:rPr>
      </w:pPr>
      <w:bookmarkStart w:id="26" w:name="_Toc5595"/>
      <w:r>
        <w:rPr>
          <w:rStyle w:val="20"/>
          <w:rFonts w:hint="eastAsia"/>
          <w:color w:val="auto"/>
          <w:lang w:val="en-US" w:eastAsia="zh-CN"/>
        </w:rPr>
        <w:t>江西喜鹏公司</w:t>
      </w:r>
      <w:bookmarkEnd w:id="26"/>
      <w:r>
        <w:rPr>
          <w:rFonts w:hint="eastAsia"/>
          <w:color w:val="auto"/>
          <w:lang w:val="en-US" w:eastAsia="zh-CN"/>
        </w:rPr>
        <w:t>。</w:t>
      </w:r>
      <w:r>
        <w:rPr>
          <w:rFonts w:hint="eastAsia" w:ascii="宋体" w:hAnsi="宋体"/>
          <w:color w:val="auto"/>
          <w:lang w:val="en-US" w:eastAsia="zh-CN"/>
        </w:rPr>
        <w:t>未严格落实全员安全生产责任制；对从业人员进行安全生产教育培训不到位；</w:t>
      </w:r>
      <w:r>
        <w:rPr>
          <w:rFonts w:hint="eastAsia"/>
          <w:color w:val="auto"/>
          <w:lang w:val="en-US" w:eastAsia="zh-CN"/>
        </w:rPr>
        <w:t>混凝土浇筑</w:t>
      </w:r>
      <w:r>
        <w:rPr>
          <w:rFonts w:hint="eastAsia" w:ascii="宋体" w:hAnsi="宋体"/>
          <w:color w:val="auto"/>
          <w:lang w:val="en-US" w:eastAsia="zh-CN"/>
        </w:rPr>
        <w:t>操作员胡京松在支护脚未确认安全可靠的情况下，违规操作泵车</w:t>
      </w:r>
      <w:r>
        <w:rPr>
          <w:rFonts w:hint="eastAsia"/>
          <w:color w:val="auto"/>
          <w:lang w:val="en-US" w:eastAsia="zh-CN"/>
        </w:rPr>
        <w:t>浇筑</w:t>
      </w:r>
      <w:r>
        <w:rPr>
          <w:rFonts w:hint="eastAsia" w:ascii="宋体" w:hAnsi="宋体"/>
          <w:color w:val="auto"/>
          <w:lang w:val="en-US" w:eastAsia="zh-CN"/>
        </w:rPr>
        <w:t>混凝土，将布料杆伸展到最大半径，未及时发现和消除事故隐患。</w:t>
      </w:r>
    </w:p>
    <w:p w14:paraId="010B8E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color w:val="auto"/>
          <w:sz w:val="32"/>
          <w:szCs w:val="32"/>
          <w:lang w:val="en-US" w:eastAsia="zh-CN"/>
        </w:rPr>
      </w:pPr>
      <w:r>
        <w:rPr>
          <w:rFonts w:hint="eastAsia" w:ascii="楷体" w:hAnsi="楷体" w:eastAsia="楷体" w:cs="楷体"/>
          <w:b/>
          <w:bCs/>
          <w:color w:val="auto"/>
          <w:sz w:val="32"/>
          <w:szCs w:val="32"/>
          <w:lang w:val="en-US" w:eastAsia="zh-CN"/>
        </w:rPr>
        <w:t>（二）建设施工分包单位</w:t>
      </w:r>
    </w:p>
    <w:p w14:paraId="31D4243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宋体" w:hAnsi="宋体"/>
          <w:color w:val="auto"/>
          <w:lang w:val="en-US" w:eastAsia="zh-CN"/>
        </w:rPr>
      </w:pPr>
      <w:bookmarkStart w:id="27" w:name="_Toc20652"/>
      <w:r>
        <w:rPr>
          <w:rStyle w:val="20"/>
          <w:rFonts w:hint="eastAsia"/>
          <w:color w:val="auto"/>
          <w:lang w:val="en-US" w:eastAsia="zh-CN"/>
        </w:rPr>
        <w:t>南昌创仁公司</w:t>
      </w:r>
      <w:bookmarkEnd w:id="27"/>
      <w:r>
        <w:rPr>
          <w:rFonts w:hint="eastAsia"/>
          <w:color w:val="auto"/>
          <w:lang w:val="en-US" w:eastAsia="zh-CN"/>
        </w:rPr>
        <w:t>。</w:t>
      </w:r>
      <w:r>
        <w:rPr>
          <w:rFonts w:hint="eastAsia" w:ascii="宋体" w:hAnsi="宋体"/>
          <w:color w:val="auto"/>
          <w:lang w:val="en-US" w:eastAsia="zh-CN"/>
        </w:rPr>
        <w:t>未认真落实安全生产责任制，未加强施工现场的安全管理，对外包单位泵车进场作业监督管理不到位，</w:t>
      </w:r>
      <w:r>
        <w:rPr>
          <w:rFonts w:hint="eastAsia"/>
          <w:color w:val="auto"/>
          <w:lang w:val="en-US" w:eastAsia="zh-CN"/>
        </w:rPr>
        <w:t>相关</w:t>
      </w:r>
      <w:r>
        <w:rPr>
          <w:rFonts w:hint="eastAsia" w:ascii="宋体" w:hAnsi="宋体"/>
          <w:color w:val="auto"/>
          <w:lang w:val="en-US" w:eastAsia="zh-CN"/>
        </w:rPr>
        <w:t>作业未进行安全技术交底，未指派专人进行现场安全管理和指挥。</w:t>
      </w:r>
    </w:p>
    <w:p w14:paraId="029C5A7B">
      <w:pPr>
        <w:pStyle w:val="5"/>
        <w:pageBreakBefore w:val="0"/>
        <w:widowControl w:val="0"/>
        <w:kinsoku/>
        <w:wordWrap/>
        <w:overflowPunct/>
        <w:topLinePunct w:val="0"/>
        <w:autoSpaceDE/>
        <w:autoSpaceDN/>
        <w:bidi w:val="0"/>
        <w:adjustRightInd/>
        <w:snapToGrid/>
        <w:spacing w:beforeLines="0" w:afterLines="0" w:line="560" w:lineRule="exact"/>
        <w:textAlignment w:val="auto"/>
        <w:rPr>
          <w:rFonts w:hint="eastAsia"/>
          <w:color w:val="auto"/>
        </w:rPr>
      </w:pPr>
      <w:bookmarkStart w:id="28" w:name="_Toc24778"/>
      <w:r>
        <w:rPr>
          <w:rFonts w:hint="eastAsia"/>
          <w:color w:val="auto"/>
          <w:lang w:val="en-US" w:eastAsia="zh-CN"/>
        </w:rPr>
        <w:t>五</w:t>
      </w:r>
      <w:r>
        <w:rPr>
          <w:rFonts w:hint="eastAsia"/>
          <w:color w:val="auto"/>
        </w:rPr>
        <w:t>、对相关责任人及责任单位的处理建议</w:t>
      </w:r>
      <w:bookmarkEnd w:id="28"/>
    </w:p>
    <w:p w14:paraId="62A1BEDE">
      <w:pPr>
        <w:pStyle w:val="6"/>
        <w:pageBreakBefore w:val="0"/>
        <w:widowControl w:val="0"/>
        <w:kinsoku/>
        <w:wordWrap/>
        <w:overflowPunct/>
        <w:topLinePunct w:val="0"/>
        <w:autoSpaceDE/>
        <w:autoSpaceDN/>
        <w:bidi w:val="0"/>
        <w:adjustRightInd/>
        <w:snapToGrid/>
        <w:spacing w:beforeLines="0" w:afterLines="0" w:line="560" w:lineRule="exact"/>
        <w:textAlignment w:val="auto"/>
        <w:rPr>
          <w:rFonts w:hint="eastAsia"/>
          <w:color w:val="auto"/>
          <w:lang w:val="en-US" w:eastAsia="zh-CN"/>
        </w:rPr>
      </w:pPr>
      <w:bookmarkStart w:id="29" w:name="_Toc12010"/>
      <w:r>
        <w:rPr>
          <w:rFonts w:hint="eastAsia"/>
          <w:color w:val="auto"/>
          <w:lang w:val="en-US" w:eastAsia="zh-CN"/>
        </w:rPr>
        <w:t>（一）对</w:t>
      </w:r>
      <w:r>
        <w:rPr>
          <w:rFonts w:hint="eastAsia"/>
          <w:color w:val="auto"/>
        </w:rPr>
        <w:t>相关</w:t>
      </w:r>
      <w:r>
        <w:rPr>
          <w:rFonts w:hint="eastAsia"/>
          <w:color w:val="auto"/>
          <w:lang w:val="en-US" w:eastAsia="zh-CN"/>
        </w:rPr>
        <w:t>责任人的处理建议</w:t>
      </w:r>
      <w:bookmarkEnd w:id="29"/>
    </w:p>
    <w:p w14:paraId="18FB6041">
      <w:pPr>
        <w:rPr>
          <w:rFonts w:hint="eastAsia"/>
          <w:lang w:val="en-US" w:eastAsia="zh-CN"/>
        </w:rPr>
      </w:pPr>
      <w:r>
        <w:rPr>
          <w:rFonts w:hint="eastAsia"/>
          <w:b/>
          <w:bCs/>
          <w:color w:val="auto"/>
          <w:lang w:val="en-US" w:eastAsia="zh-CN"/>
        </w:rPr>
        <w:t>1.胡辉堂</w:t>
      </w:r>
      <w:r>
        <w:rPr>
          <w:rFonts w:hint="eastAsia"/>
          <w:color w:val="auto"/>
          <w:lang w:val="en-US" w:eastAsia="zh-CN"/>
        </w:rPr>
        <w:t>，</w:t>
      </w:r>
      <w:r>
        <w:rPr>
          <w:rFonts w:hint="eastAsia" w:ascii="仿宋_GB2312" w:hAnsi="仿宋_GB2312" w:eastAsia="仿宋_GB2312" w:cs="仿宋_GB2312"/>
          <w:sz w:val="32"/>
          <w:szCs w:val="32"/>
        </w:rPr>
        <w:t>中共党员，</w:t>
      </w:r>
      <w:r>
        <w:rPr>
          <w:rFonts w:hint="eastAsia"/>
          <w:color w:val="auto"/>
          <w:lang w:val="en-US" w:eastAsia="zh-CN"/>
        </w:rPr>
        <w:t>时任余江工业园区管委会党工委委员，负责虎山片区，参与了事故救援及善后处置。由于事故起因为泵车倾斜侧翻致人死亡，胡辉堂误认为该事故性质为车辆交通肇事，未向余江工业园区主要领导汇报情况，也未按规定向相关部门报告事故，导致该起事故漏报，建议移送纪检监察机关调查处理。</w:t>
      </w:r>
    </w:p>
    <w:p w14:paraId="64F99F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color w:val="auto"/>
          <w:lang w:val="en-US" w:eastAsia="zh-CN"/>
        </w:rPr>
      </w:pPr>
      <w:bookmarkStart w:id="30" w:name="_Toc18575"/>
      <w:r>
        <w:rPr>
          <w:rStyle w:val="20"/>
          <w:rFonts w:hint="eastAsia"/>
          <w:color w:val="auto"/>
          <w:lang w:val="en-US" w:eastAsia="zh-CN"/>
        </w:rPr>
        <w:t>2</w:t>
      </w:r>
      <w:r>
        <w:rPr>
          <w:rStyle w:val="20"/>
          <w:rFonts w:hint="eastAsia"/>
          <w:color w:val="auto"/>
        </w:rPr>
        <w:t>.</w:t>
      </w:r>
      <w:r>
        <w:rPr>
          <w:rStyle w:val="20"/>
          <w:rFonts w:hint="eastAsia"/>
          <w:color w:val="auto"/>
          <w:lang w:val="en-US" w:eastAsia="zh-CN"/>
        </w:rPr>
        <w:t>罗宸清</w:t>
      </w:r>
      <w:bookmarkEnd w:id="30"/>
      <w:r>
        <w:rPr>
          <w:rFonts w:hint="eastAsia"/>
          <w:color w:val="auto"/>
          <w:lang w:eastAsia="zh-CN"/>
        </w:rPr>
        <w:t>，</w:t>
      </w:r>
      <w:bookmarkStart w:id="31" w:name="_Toc12611"/>
      <w:r>
        <w:rPr>
          <w:rFonts w:hint="eastAsia"/>
          <w:color w:val="auto"/>
          <w:lang w:eastAsia="zh-CN"/>
        </w:rPr>
        <w:t>男，身份证：36242</w:t>
      </w:r>
      <w:r>
        <w:rPr>
          <w:rFonts w:hint="eastAsia"/>
          <w:color w:val="auto"/>
          <w:lang w:val="en-US" w:eastAsia="zh-CN"/>
        </w:rPr>
        <w:t>*************</w:t>
      </w:r>
      <w:r>
        <w:rPr>
          <w:rFonts w:hint="eastAsia"/>
          <w:color w:val="auto"/>
          <w:lang w:eastAsia="zh-CN"/>
        </w:rPr>
        <w:t>，江西喜鹏公司法定代表人。未认真履行安全生产第一责任人职责，未严格落实安全生产责任制，未严格实施安全生产教育和培训计划，未认</w:t>
      </w:r>
      <w:r>
        <w:rPr>
          <w:rFonts w:hint="eastAsia"/>
          <w:color w:val="auto"/>
          <w:lang w:val="en-US" w:eastAsia="zh-CN"/>
        </w:rPr>
        <w:t>真</w:t>
      </w:r>
      <w:r>
        <w:rPr>
          <w:rFonts w:hint="eastAsia"/>
          <w:color w:val="auto"/>
          <w:lang w:eastAsia="zh-CN"/>
        </w:rPr>
        <w:t>督促、检查安全生产工作，及时消除生产安全事故隐患，对主要负责人法定的安全生产工作职责不明，违反了《中华人民共和国安全生产法》（2014修订版，下同）第十八条</w:t>
      </w:r>
      <w:r>
        <w:rPr>
          <w:rFonts w:hint="eastAsia"/>
          <w:color w:val="auto"/>
          <w:vertAlign w:val="superscript"/>
          <w:lang w:val="en-US" w:eastAsia="zh-CN"/>
        </w:rPr>
        <w:t>1</w:t>
      </w:r>
      <w:r>
        <w:rPr>
          <w:rStyle w:val="18"/>
          <w:rFonts w:hint="eastAsia"/>
          <w:vanish/>
          <w:color w:val="auto"/>
          <w:sz w:val="18"/>
          <w:vertAlign w:val="subscript"/>
          <w:lang w:val="en-US" w:eastAsia="zh-CN"/>
        </w:rPr>
        <w:footnoteReference w:id="0"/>
      </w:r>
      <w:r>
        <w:rPr>
          <w:rFonts w:hint="eastAsia"/>
          <w:color w:val="auto"/>
          <w:lang w:eastAsia="zh-CN"/>
        </w:rPr>
        <w:t>第（一）、（三）、（五）项之规定。对事故的发生负有主要领导责任，建议由余江</w:t>
      </w:r>
      <w:r>
        <w:rPr>
          <w:rFonts w:hint="eastAsia"/>
          <w:color w:val="auto"/>
          <w:lang w:val="en-US" w:eastAsia="zh-CN"/>
        </w:rPr>
        <w:t>区</w:t>
      </w:r>
      <w:r>
        <w:rPr>
          <w:rFonts w:hint="eastAsia"/>
          <w:color w:val="auto"/>
          <w:lang w:eastAsia="zh-CN"/>
        </w:rPr>
        <w:t>应急管理局依据《安全生产法》第九十二条</w:t>
      </w:r>
      <w:r>
        <w:rPr>
          <w:rFonts w:hint="eastAsia"/>
          <w:color w:val="auto"/>
          <w:vertAlign w:val="superscript"/>
          <w:lang w:val="en-US" w:eastAsia="zh-CN"/>
        </w:rPr>
        <w:t>2</w:t>
      </w:r>
      <w:r>
        <w:rPr>
          <w:rStyle w:val="18"/>
          <w:rFonts w:hint="eastAsia"/>
          <w:vanish/>
          <w:color w:val="auto"/>
          <w:sz w:val="18"/>
          <w:vertAlign w:val="subscript"/>
          <w:lang w:val="en-US" w:eastAsia="zh-CN"/>
        </w:rPr>
        <w:footnoteReference w:id="1"/>
      </w:r>
      <w:r>
        <w:rPr>
          <w:rFonts w:hint="eastAsia"/>
          <w:color w:val="auto"/>
          <w:lang w:eastAsia="zh-CN"/>
        </w:rPr>
        <w:t>之规定给予其处罚。</w:t>
      </w:r>
      <w:r>
        <w:rPr>
          <w:rFonts w:hint="eastAsia"/>
          <w:color w:val="auto"/>
          <w:lang w:val="en-US" w:eastAsia="zh-CN"/>
        </w:rPr>
        <w:t xml:space="preserve">      </w:t>
      </w:r>
    </w:p>
    <w:p w14:paraId="63F7D7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color w:val="auto"/>
          <w:lang w:val="en-US" w:eastAsia="zh-CN"/>
        </w:rPr>
      </w:pPr>
      <w:r>
        <w:rPr>
          <w:rFonts w:hint="eastAsia"/>
          <w:b/>
          <w:bCs/>
          <w:color w:val="auto"/>
          <w:lang w:val="en-US" w:eastAsia="zh-CN"/>
        </w:rPr>
        <w:t>3.胡京松</w:t>
      </w:r>
      <w:bookmarkEnd w:id="31"/>
      <w:r>
        <w:rPr>
          <w:rFonts w:hint="eastAsia"/>
          <w:b/>
          <w:bCs/>
          <w:color w:val="auto"/>
          <w:lang w:val="en-US" w:eastAsia="zh-CN"/>
        </w:rPr>
        <w:t>，</w:t>
      </w:r>
      <w:r>
        <w:rPr>
          <w:rFonts w:hint="eastAsia"/>
          <w:color w:val="auto"/>
          <w:lang w:val="en-US" w:eastAsia="zh-CN"/>
        </w:rPr>
        <w:t>男，身份证：36062*************，江西喜鹏公司泵车操作员。安全意识淡薄，未对施工现场事故隐患作全面排查；对泵车浇筑混凝土施工布料杆横向伸展至最大半径对车辆重心造成整体偏移判断不足、违章作业，对机械大跨度作业的危险性判断不足，泵车终因重心不平衡发生半侧翻，吊臂击中施工作业人员致其死亡，对事故的发生负有直接责任，建议江西喜鹏公司依据公司内部相关制度对其予以解除聘用。</w:t>
      </w:r>
    </w:p>
    <w:p w14:paraId="5424A3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color w:val="auto"/>
          <w:lang w:val="en-US" w:eastAsia="zh-CN"/>
        </w:rPr>
      </w:pPr>
      <w:bookmarkStart w:id="32" w:name="_Toc20785"/>
      <w:r>
        <w:rPr>
          <w:rFonts w:hint="eastAsia"/>
          <w:b/>
          <w:bCs/>
          <w:color w:val="auto"/>
          <w:lang w:val="en-US" w:eastAsia="zh-CN"/>
        </w:rPr>
        <w:t>4.孙霆</w:t>
      </w:r>
      <w:bookmarkEnd w:id="32"/>
      <w:r>
        <w:rPr>
          <w:rFonts w:hint="eastAsia"/>
          <w:b/>
          <w:bCs/>
          <w:color w:val="auto"/>
          <w:lang w:val="en-US" w:eastAsia="zh-CN"/>
        </w:rPr>
        <w:t>，</w:t>
      </w:r>
      <w:r>
        <w:rPr>
          <w:rFonts w:hint="eastAsia"/>
          <w:color w:val="auto"/>
          <w:lang w:val="en-US" w:eastAsia="zh-CN"/>
        </w:rPr>
        <w:t>男，身份证号：36062*************，南昌创仁公司施工现场负责人。未加强施工现场安全管理；未能及时发现和制止江西喜鹏公司操作员胡京松在施工现场违章</w:t>
      </w:r>
      <w:bookmarkStart w:id="36" w:name="_GoBack"/>
      <w:bookmarkEnd w:id="36"/>
      <w:r>
        <w:rPr>
          <w:rFonts w:hint="eastAsia"/>
          <w:color w:val="auto"/>
          <w:lang w:val="en-US" w:eastAsia="zh-CN"/>
        </w:rPr>
        <w:t>操作；未对混凝土浇筑作业人员进行安全技术交底，未指派专人进行现场安全管理和指挥，对事故的发生负主要领导责任，建议由南昌创仁公司依据公司内部相关制度给予其经济处罚。</w:t>
      </w:r>
    </w:p>
    <w:p w14:paraId="57A8DE3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color w:val="auto"/>
          <w:lang w:val="en-US" w:eastAsia="zh-CN"/>
        </w:rPr>
      </w:pPr>
      <w:bookmarkStart w:id="33" w:name="_Toc7644"/>
      <w:r>
        <w:rPr>
          <w:rFonts w:hint="eastAsia" w:ascii="楷体" w:hAnsi="楷体" w:eastAsia="楷体" w:cs="楷体"/>
          <w:b/>
          <w:bCs/>
          <w:color w:val="auto"/>
          <w:lang w:val="en-US" w:eastAsia="zh-CN"/>
        </w:rPr>
        <w:t>（二）对相关责任单位的处理建议</w:t>
      </w:r>
      <w:bookmarkEnd w:id="33"/>
    </w:p>
    <w:p w14:paraId="1EF5D2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color w:val="auto"/>
          <w:lang w:val="en-US" w:eastAsia="zh-CN"/>
        </w:rPr>
      </w:pPr>
      <w:bookmarkStart w:id="34" w:name="_Toc30388"/>
      <w:r>
        <w:rPr>
          <w:rFonts w:hint="eastAsia"/>
          <w:b/>
          <w:bCs/>
          <w:color w:val="auto"/>
          <w:lang w:val="en-US" w:eastAsia="zh-CN"/>
        </w:rPr>
        <w:t>1.江西喜鹏公司</w:t>
      </w:r>
      <w:bookmarkEnd w:id="34"/>
      <w:r>
        <w:rPr>
          <w:rFonts w:hint="eastAsia"/>
          <w:b/>
          <w:bCs/>
          <w:color w:val="auto"/>
          <w:lang w:val="en-US" w:eastAsia="zh-CN"/>
        </w:rPr>
        <w:t>。</w:t>
      </w:r>
      <w:r>
        <w:rPr>
          <w:rFonts w:hint="eastAsia" w:ascii="仿宋_GB2312" w:hAnsi="仿宋_GB2312" w:eastAsia="仿宋_GB2312" w:cs="仿宋_GB2312"/>
          <w:b w:val="0"/>
          <w:bCs w:val="0"/>
          <w:color w:val="auto"/>
          <w:lang w:val="en-US" w:eastAsia="zh-CN"/>
        </w:rPr>
        <w:t>未严格落实安全生产责任制；对从业人员进行安全生产教育培训不到位；</w:t>
      </w:r>
      <w:r>
        <w:rPr>
          <w:rFonts w:hint="eastAsia" w:ascii="仿宋_GB2312" w:hAnsi="仿宋_GB2312" w:cs="仿宋_GB2312"/>
          <w:b w:val="0"/>
          <w:bCs w:val="0"/>
          <w:color w:val="auto"/>
          <w:lang w:val="en-US" w:eastAsia="zh-CN"/>
        </w:rPr>
        <w:t>混凝土浇筑</w:t>
      </w:r>
      <w:r>
        <w:rPr>
          <w:rFonts w:hint="eastAsia" w:ascii="仿宋_GB2312" w:hAnsi="仿宋_GB2312" w:eastAsia="仿宋_GB2312" w:cs="仿宋_GB2312"/>
          <w:b w:val="0"/>
          <w:bCs w:val="0"/>
          <w:color w:val="auto"/>
          <w:lang w:val="en-US" w:eastAsia="zh-CN"/>
        </w:rPr>
        <w:t>操作员胡京松在支护脚未确认安全可靠的情况下，违规操作泵车</w:t>
      </w:r>
      <w:r>
        <w:rPr>
          <w:rFonts w:hint="eastAsia" w:ascii="仿宋_GB2312" w:hAnsi="仿宋_GB2312" w:cs="仿宋_GB2312"/>
          <w:b w:val="0"/>
          <w:bCs w:val="0"/>
          <w:color w:val="auto"/>
          <w:lang w:val="en-US" w:eastAsia="zh-CN"/>
        </w:rPr>
        <w:t>浇筑</w:t>
      </w:r>
      <w:r>
        <w:rPr>
          <w:rFonts w:hint="eastAsia" w:ascii="仿宋_GB2312" w:hAnsi="仿宋_GB2312" w:eastAsia="仿宋_GB2312" w:cs="仿宋_GB2312"/>
          <w:b w:val="0"/>
          <w:bCs w:val="0"/>
          <w:color w:val="auto"/>
          <w:lang w:val="en-US" w:eastAsia="zh-CN"/>
        </w:rPr>
        <w:t>混凝土，将布料杆伸展到最大半径，未</w:t>
      </w:r>
      <w:r>
        <w:rPr>
          <w:rFonts w:hint="eastAsia" w:ascii="仿宋_GB2312" w:hAnsi="仿宋_GB2312" w:cs="仿宋_GB2312"/>
          <w:b w:val="0"/>
          <w:bCs w:val="0"/>
          <w:color w:val="auto"/>
          <w:lang w:val="en-US" w:eastAsia="zh-CN"/>
        </w:rPr>
        <w:t>严格落实</w:t>
      </w:r>
      <w:r>
        <w:rPr>
          <w:rFonts w:hint="eastAsia" w:ascii="仿宋_GB2312" w:hAnsi="仿宋_GB2312" w:eastAsia="仿宋_GB2312" w:cs="仿宋_GB2312"/>
          <w:b w:val="0"/>
          <w:bCs w:val="0"/>
          <w:color w:val="auto"/>
          <w:lang w:val="en-US" w:eastAsia="zh-CN"/>
        </w:rPr>
        <w:t>事故隐患排查治理</w:t>
      </w:r>
      <w:r>
        <w:rPr>
          <w:rFonts w:hint="eastAsia" w:ascii="仿宋_GB2312" w:hAnsi="仿宋_GB2312" w:cs="仿宋_GB2312"/>
          <w:b w:val="0"/>
          <w:bCs w:val="0"/>
          <w:color w:val="auto"/>
          <w:lang w:val="en-US" w:eastAsia="zh-CN"/>
        </w:rPr>
        <w:t>制度</w:t>
      </w:r>
      <w:r>
        <w:rPr>
          <w:rFonts w:hint="eastAsia" w:ascii="仿宋_GB2312" w:hAnsi="仿宋_GB2312" w:eastAsia="仿宋_GB2312" w:cs="仿宋_GB2312"/>
          <w:b w:val="0"/>
          <w:bCs w:val="0"/>
          <w:color w:val="auto"/>
          <w:lang w:val="en-US" w:eastAsia="zh-CN"/>
        </w:rPr>
        <w:t>，及时发现</w:t>
      </w:r>
      <w:r>
        <w:rPr>
          <w:rFonts w:hint="eastAsia" w:ascii="仿宋_GB2312" w:hAnsi="仿宋_GB2312" w:cs="仿宋_GB2312"/>
          <w:b w:val="0"/>
          <w:bCs w:val="0"/>
          <w:color w:val="auto"/>
          <w:lang w:val="en-US" w:eastAsia="zh-CN"/>
        </w:rPr>
        <w:t>并</w:t>
      </w:r>
      <w:r>
        <w:rPr>
          <w:rFonts w:hint="eastAsia" w:ascii="仿宋_GB2312" w:hAnsi="仿宋_GB2312" w:eastAsia="仿宋_GB2312" w:cs="仿宋_GB2312"/>
          <w:b w:val="0"/>
          <w:bCs w:val="0"/>
          <w:color w:val="auto"/>
          <w:lang w:val="en-US" w:eastAsia="zh-CN"/>
        </w:rPr>
        <w:t>消除事故隐患，其行为违反了《中华人民共和国安全生产法》第十九条</w:t>
      </w:r>
      <w:r>
        <w:rPr>
          <w:rFonts w:hint="eastAsia" w:ascii="宋体" w:hAnsi="宋体" w:eastAsia="宋体" w:cs="宋体"/>
          <w:b w:val="0"/>
          <w:bCs w:val="0"/>
          <w:color w:val="auto"/>
          <w:vertAlign w:val="superscript"/>
          <w:lang w:val="en-US" w:eastAsia="zh-CN"/>
        </w:rPr>
        <w:t>3</w:t>
      </w:r>
      <w:r>
        <w:rPr>
          <w:rFonts w:hint="eastAsia" w:ascii="仿宋_GB2312" w:hAnsi="仿宋_GB2312" w:eastAsia="仿宋_GB2312" w:cs="仿宋_GB2312"/>
          <w:b w:val="0"/>
          <w:bCs w:val="0"/>
          <w:color w:val="auto"/>
          <w:lang w:val="en-US" w:eastAsia="zh-CN"/>
        </w:rPr>
        <w:t>、第二十五条</w:t>
      </w:r>
      <w:r>
        <w:rPr>
          <w:rFonts w:hint="eastAsia" w:ascii="宋体" w:hAnsi="宋体" w:eastAsia="宋体" w:cs="宋体"/>
          <w:b w:val="0"/>
          <w:bCs w:val="0"/>
          <w:color w:val="auto"/>
          <w:vertAlign w:val="superscript"/>
          <w:lang w:val="en-US" w:eastAsia="zh-CN"/>
        </w:rPr>
        <w:t>4</w:t>
      </w:r>
      <w:r>
        <w:rPr>
          <w:rFonts w:hint="eastAsia" w:ascii="仿宋_GB2312" w:hAnsi="仿宋_GB2312" w:eastAsia="仿宋_GB2312" w:cs="仿宋_GB2312"/>
          <w:b w:val="0"/>
          <w:bCs w:val="0"/>
          <w:color w:val="auto"/>
          <w:lang w:val="en-US" w:eastAsia="zh-CN"/>
        </w:rPr>
        <w:t>、第三十八条</w:t>
      </w:r>
      <w:r>
        <w:rPr>
          <w:rFonts w:hint="eastAsia" w:ascii="宋体" w:hAnsi="宋体" w:eastAsia="宋体" w:cs="宋体"/>
          <w:b w:val="0"/>
          <w:bCs w:val="0"/>
          <w:color w:val="auto"/>
          <w:vertAlign w:val="superscript"/>
          <w:lang w:val="en-US" w:eastAsia="zh-CN"/>
        </w:rPr>
        <w:t>5</w:t>
      </w:r>
      <w:r>
        <w:rPr>
          <w:rFonts w:hint="eastAsia" w:ascii="仿宋_GB2312" w:hAnsi="仿宋_GB2312" w:eastAsia="仿宋_GB2312" w:cs="仿宋_GB2312"/>
          <w:b w:val="0"/>
          <w:bCs w:val="0"/>
          <w:color w:val="auto"/>
          <w:lang w:val="en-US" w:eastAsia="zh-CN"/>
        </w:rPr>
        <w:t>，对事故的发生负主要责任，建议由余江区应急管理局依据《中华人民共和国安全生产法》第一百零九条</w:t>
      </w:r>
      <w:r>
        <w:rPr>
          <w:rFonts w:hint="eastAsia" w:ascii="宋体" w:hAnsi="宋体" w:eastAsia="宋体" w:cs="宋体"/>
          <w:b w:val="0"/>
          <w:bCs w:val="0"/>
          <w:color w:val="auto"/>
          <w:vertAlign w:val="superscript"/>
          <w:lang w:val="en-US" w:eastAsia="zh-CN"/>
        </w:rPr>
        <w:t>6</w:t>
      </w:r>
      <w:r>
        <w:rPr>
          <w:rStyle w:val="18"/>
          <w:rFonts w:hint="eastAsia" w:ascii="宋体" w:hAnsi="宋体" w:eastAsia="宋体" w:cs="宋体"/>
          <w:b w:val="0"/>
          <w:bCs w:val="0"/>
          <w:vanish/>
          <w:color w:val="auto"/>
          <w:sz w:val="18"/>
          <w:vertAlign w:val="subscript"/>
          <w:lang w:val="en-US" w:eastAsia="zh-CN"/>
        </w:rPr>
        <w:footnoteReference w:id="2"/>
      </w:r>
      <w:r>
        <w:rPr>
          <w:rFonts w:hint="eastAsia" w:ascii="仿宋_GB2312" w:hAnsi="仿宋_GB2312" w:eastAsia="仿宋_GB2312" w:cs="仿宋_GB2312"/>
          <w:b w:val="0"/>
          <w:bCs w:val="0"/>
          <w:color w:val="auto"/>
          <w:lang w:val="en-US" w:eastAsia="zh-CN"/>
        </w:rPr>
        <w:t>给予其处罚。</w:t>
      </w:r>
    </w:p>
    <w:p w14:paraId="448574EC">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仿宋_GB2312" w:cstheme="minorBidi"/>
          <w:color w:val="auto"/>
          <w:kern w:val="2"/>
          <w:sz w:val="32"/>
          <w:szCs w:val="24"/>
          <w:lang w:val="en-US" w:eastAsia="zh-CN" w:bidi="ar-SA"/>
        </w:rPr>
      </w:pPr>
      <w:bookmarkStart w:id="35" w:name="_Toc282"/>
      <w:r>
        <w:rPr>
          <w:rStyle w:val="20"/>
          <w:rFonts w:hint="eastAsia"/>
          <w:color w:val="auto"/>
        </w:rPr>
        <w:t>2.</w:t>
      </w:r>
      <w:r>
        <w:rPr>
          <w:rStyle w:val="20"/>
          <w:rFonts w:hint="eastAsia"/>
          <w:color w:val="auto"/>
          <w:lang w:eastAsia="zh-CN"/>
        </w:rPr>
        <w:t>南昌创仁公司</w:t>
      </w:r>
      <w:bookmarkEnd w:id="35"/>
      <w:r>
        <w:rPr>
          <w:rFonts w:hint="eastAsia"/>
          <w:color w:val="auto"/>
        </w:rPr>
        <w:t>。</w:t>
      </w:r>
      <w:r>
        <w:rPr>
          <w:rFonts w:hint="eastAsia"/>
          <w:color w:val="auto"/>
          <w:lang w:val="en-US" w:eastAsia="zh-CN"/>
        </w:rPr>
        <w:t>作为建设项目施工分包单位，应对所承揽分包建设项目的施工安全负总责。未认真落实安全生产责任制，未加强施工现场的安全管理，对外包单位泵车进场作业监督管理不到位，未指派专人对现场进行安全管理和指挥，相关作业未进行安全交底。其行为违反了《中华人民共和国安</w:t>
      </w:r>
      <w:r>
        <w:rPr>
          <w:rFonts w:hint="eastAsia" w:ascii="宋体" w:hAnsi="宋体" w:eastAsia="仿宋_GB2312" w:cstheme="minorBidi"/>
          <w:color w:val="auto"/>
          <w:kern w:val="2"/>
          <w:sz w:val="32"/>
          <w:szCs w:val="24"/>
          <w:lang w:val="en-US" w:eastAsia="zh-CN" w:bidi="ar-SA"/>
        </w:rPr>
        <w:t>全生产法》第二十五条、第三十八条、《建设工程安全生产管理条例》第二十一条</w:t>
      </w:r>
      <w:r>
        <w:rPr>
          <w:rFonts w:hint="eastAsia" w:ascii="宋体" w:hAnsi="宋体" w:eastAsia="仿宋_GB2312" w:cstheme="minorBidi"/>
          <w:color w:val="auto"/>
          <w:kern w:val="2"/>
          <w:sz w:val="32"/>
          <w:szCs w:val="24"/>
          <w:vertAlign w:val="superscript"/>
          <w:lang w:val="en-US" w:eastAsia="zh-CN" w:bidi="ar-SA"/>
        </w:rPr>
        <w:t>7</w:t>
      </w:r>
      <w:r>
        <w:rPr>
          <w:rFonts w:hint="eastAsia" w:ascii="宋体" w:hAnsi="宋体" w:eastAsia="仿宋_GB2312" w:cstheme="minorBidi"/>
          <w:color w:val="auto"/>
          <w:kern w:val="2"/>
          <w:sz w:val="32"/>
          <w:szCs w:val="24"/>
          <w:lang w:val="en-US" w:eastAsia="zh-CN" w:bidi="ar-SA"/>
        </w:rPr>
        <w:t>、第二十三条</w:t>
      </w:r>
      <w:r>
        <w:rPr>
          <w:rFonts w:hint="eastAsia" w:ascii="宋体" w:hAnsi="宋体" w:eastAsia="仿宋_GB2312" w:cstheme="minorBidi"/>
          <w:color w:val="auto"/>
          <w:kern w:val="2"/>
          <w:sz w:val="32"/>
          <w:szCs w:val="24"/>
          <w:vertAlign w:val="superscript"/>
          <w:lang w:val="en-US" w:eastAsia="zh-CN" w:bidi="ar-SA"/>
        </w:rPr>
        <w:t>8</w:t>
      </w:r>
      <w:r>
        <w:rPr>
          <w:rFonts w:hint="eastAsia" w:ascii="宋体" w:hAnsi="宋体" w:eastAsia="仿宋_GB2312" w:cstheme="minorBidi"/>
          <w:color w:val="auto"/>
          <w:kern w:val="2"/>
          <w:sz w:val="32"/>
          <w:szCs w:val="24"/>
          <w:lang w:val="en-US" w:eastAsia="zh-CN" w:bidi="ar-SA"/>
        </w:rPr>
        <w:t>、第三十七条</w:t>
      </w:r>
      <w:r>
        <w:rPr>
          <w:rFonts w:hint="eastAsia" w:ascii="宋体" w:hAnsi="宋体" w:eastAsia="仿宋_GB2312" w:cstheme="minorBidi"/>
          <w:color w:val="auto"/>
          <w:kern w:val="2"/>
          <w:sz w:val="32"/>
          <w:szCs w:val="24"/>
          <w:vertAlign w:val="superscript"/>
          <w:lang w:val="en-US" w:eastAsia="zh-CN" w:bidi="ar-SA"/>
        </w:rPr>
        <w:t>9</w:t>
      </w:r>
      <w:r>
        <w:rPr>
          <w:rStyle w:val="18"/>
          <w:rFonts w:hint="eastAsia" w:ascii="宋体" w:hAnsi="宋体" w:eastAsia="仿宋_GB2312" w:cstheme="minorBidi"/>
          <w:vanish/>
          <w:color w:val="auto"/>
          <w:kern w:val="2"/>
          <w:sz w:val="32"/>
          <w:szCs w:val="24"/>
          <w:vertAlign w:val="subscript"/>
          <w:lang w:val="en-US" w:eastAsia="zh-CN" w:bidi="ar-SA"/>
        </w:rPr>
        <w:footnoteReference w:id="3"/>
      </w:r>
      <w:r>
        <w:rPr>
          <w:rFonts w:hint="eastAsia" w:ascii="宋体" w:hAnsi="宋体" w:eastAsia="仿宋_GB2312" w:cstheme="minorBidi"/>
          <w:color w:val="auto"/>
          <w:kern w:val="2"/>
          <w:sz w:val="32"/>
          <w:szCs w:val="24"/>
          <w:lang w:val="en-US" w:eastAsia="zh-CN" w:bidi="ar-SA"/>
        </w:rPr>
        <w:t>的规定，对事故的发生负有重要责任，根据《安全生产法》第一百零九条之规定，建议由余江区应急管理局给予其行政处罚。</w:t>
      </w:r>
    </w:p>
    <w:p w14:paraId="35748BA8">
      <w:pPr>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kern w:val="2"/>
          <w:sz w:val="32"/>
          <w:szCs w:val="24"/>
          <w:lang w:val="en-US" w:eastAsia="zh-CN" w:bidi="ar-SA"/>
        </w:rPr>
      </w:pPr>
      <w:r>
        <w:rPr>
          <w:rFonts w:hint="eastAsia" w:ascii="黑体" w:hAnsi="黑体" w:eastAsia="黑体" w:cs="黑体"/>
          <w:color w:val="auto"/>
          <w:kern w:val="2"/>
          <w:sz w:val="32"/>
          <w:szCs w:val="24"/>
          <w:lang w:val="en-US" w:eastAsia="zh-CN" w:bidi="ar-SA"/>
        </w:rPr>
        <w:t xml:space="preserve">六、事故主要教训 </w:t>
      </w:r>
    </w:p>
    <w:p w14:paraId="31F49175">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仿宋_GB2312" w:cstheme="minorBidi"/>
          <w:color w:val="auto"/>
          <w:kern w:val="2"/>
          <w:sz w:val="32"/>
          <w:szCs w:val="24"/>
          <w:lang w:val="en-US" w:eastAsia="zh-CN" w:bidi="ar-SA"/>
        </w:rPr>
      </w:pPr>
      <w:r>
        <w:rPr>
          <w:rFonts w:hint="eastAsia" w:ascii="宋体" w:hAnsi="宋体" w:eastAsia="仿宋_GB2312" w:cstheme="minorBidi"/>
          <w:color w:val="auto"/>
          <w:kern w:val="2"/>
          <w:sz w:val="32"/>
          <w:szCs w:val="24"/>
          <w:lang w:val="en-US" w:eastAsia="zh-CN" w:bidi="ar-SA"/>
        </w:rPr>
        <w:t>江西喜鹏商品混凝土有限公司“1·18”物体打击事故教训深刻，充分暴露了企业落实安全生产主体责任不到位，安全管理混乱，责任体系不健全、安全管理制度不健全和操作规程制订不规范、执行不到位，安全隐患排查整改不到位，安全培训不到位，安全防范工作不细不实，排查检查事故隐患存在漏洞和盲区的问题。余江工业园区管委会工作人员业务不熟，造成</w:t>
      </w:r>
      <w:r>
        <w:rPr>
          <w:rFonts w:hint="eastAsia" w:cstheme="minorBidi"/>
          <w:color w:val="auto"/>
          <w:kern w:val="2"/>
          <w:sz w:val="32"/>
          <w:szCs w:val="24"/>
          <w:lang w:val="en-US" w:eastAsia="zh-CN" w:bidi="ar-SA"/>
        </w:rPr>
        <w:t>事故</w:t>
      </w:r>
      <w:r>
        <w:rPr>
          <w:rFonts w:hint="eastAsia" w:ascii="宋体" w:hAnsi="宋体" w:eastAsia="仿宋_GB2312" w:cstheme="minorBidi"/>
          <w:color w:val="auto"/>
          <w:kern w:val="2"/>
          <w:sz w:val="32"/>
          <w:szCs w:val="24"/>
          <w:lang w:val="en-US" w:eastAsia="zh-CN" w:bidi="ar-SA"/>
        </w:rPr>
        <w:t>漏报。</w:t>
      </w:r>
    </w:p>
    <w:p w14:paraId="3B9B799F">
      <w:pPr>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bCs/>
          <w:color w:val="auto"/>
          <w:kern w:val="2"/>
          <w:sz w:val="32"/>
          <w:szCs w:val="24"/>
          <w:lang w:val="en-US" w:eastAsia="zh-CN" w:bidi="ar-SA"/>
        </w:rPr>
      </w:pPr>
      <w:r>
        <w:rPr>
          <w:rFonts w:hint="eastAsia" w:ascii="黑体" w:hAnsi="黑体" w:eastAsia="黑体" w:cs="黑体"/>
          <w:b/>
          <w:bCs/>
          <w:color w:val="auto"/>
          <w:kern w:val="2"/>
          <w:sz w:val="32"/>
          <w:szCs w:val="24"/>
          <w:lang w:val="en-US" w:eastAsia="zh-CN" w:bidi="ar-SA"/>
        </w:rPr>
        <w:t>七、整改防范措施建议</w:t>
      </w:r>
    </w:p>
    <w:p w14:paraId="0D83C7F8">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仿宋_GB2312" w:cstheme="minorBidi"/>
          <w:color w:val="auto"/>
          <w:kern w:val="2"/>
          <w:sz w:val="32"/>
          <w:szCs w:val="24"/>
          <w:lang w:val="en-US" w:eastAsia="zh-CN" w:bidi="ar-SA"/>
        </w:rPr>
      </w:pPr>
      <w:r>
        <w:rPr>
          <w:rFonts w:hint="eastAsia" w:ascii="楷体" w:hAnsi="楷体" w:eastAsia="楷体" w:cs="楷体"/>
          <w:b/>
          <w:bCs/>
          <w:color w:val="auto"/>
          <w:kern w:val="2"/>
          <w:sz w:val="32"/>
          <w:szCs w:val="24"/>
          <w:lang w:val="en-US" w:eastAsia="zh-CN" w:bidi="ar-SA"/>
        </w:rPr>
        <w:t>（一）持续压实企业的安全生产主体责任。</w:t>
      </w:r>
      <w:r>
        <w:rPr>
          <w:rFonts w:hint="eastAsia" w:ascii="宋体" w:hAnsi="宋体" w:eastAsia="仿宋_GB2312" w:cstheme="minorBidi"/>
          <w:color w:val="auto"/>
          <w:kern w:val="2"/>
          <w:sz w:val="32"/>
          <w:szCs w:val="24"/>
          <w:lang w:val="en-US" w:eastAsia="zh-CN" w:bidi="ar-SA"/>
        </w:rPr>
        <w:t>各级各部门要多措并举压实企业安全生产主体责任。要进一步推动落实企业全员安全生产责任制。各行业主管部门要结合本行业领域特点，依法督促企业建立、健全全员安全生产责任制、安全生产规章制度和安全操作规程，层层压实从企业主要负责人到管理人员到各岗位各人员的安全生产责任；要进一步加强企业内部管理，严禁未经安全生产教育和培训就直接上岗作业的行为；加强生产经营现场安全管理，特别是高危作业等风险较大作业现场的管控，督促工人严格遵守安全生产规章制度和操作规程，遵章守纪，杜绝“三违”，坚决做到不安全不开工、不上岗。</w:t>
      </w:r>
    </w:p>
    <w:p w14:paraId="2A2864C5">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仿宋_GB2312" w:cstheme="minorBidi"/>
          <w:color w:val="auto"/>
          <w:kern w:val="2"/>
          <w:sz w:val="32"/>
          <w:szCs w:val="24"/>
          <w:lang w:val="en-US" w:eastAsia="zh-CN" w:bidi="ar-SA"/>
        </w:rPr>
      </w:pPr>
      <w:r>
        <w:rPr>
          <w:rFonts w:hint="eastAsia" w:ascii="楷体" w:hAnsi="楷体" w:eastAsia="楷体" w:cs="楷体"/>
          <w:b/>
          <w:bCs/>
          <w:color w:val="auto"/>
          <w:kern w:val="2"/>
          <w:sz w:val="32"/>
          <w:szCs w:val="24"/>
          <w:lang w:val="en-US" w:eastAsia="zh-CN" w:bidi="ar-SA"/>
        </w:rPr>
        <w:t>（二）扎实开展安全生产知识教育培训。</w:t>
      </w:r>
      <w:r>
        <w:rPr>
          <w:rFonts w:hint="eastAsia" w:ascii="宋体" w:hAnsi="宋体" w:eastAsia="仿宋_GB2312" w:cstheme="minorBidi"/>
          <w:color w:val="auto"/>
          <w:kern w:val="2"/>
          <w:sz w:val="32"/>
          <w:szCs w:val="24"/>
          <w:lang w:val="en-US" w:eastAsia="zh-CN" w:bidi="ar-SA"/>
        </w:rPr>
        <w:t>各类生产经营单位要严格按照《生产经营单位安全培训规定》（原国家安全监管总局令第3号）和《中华人民共和国安全生产法》的要求，加强从业人员安全教育培训工作力度，完善安全教育培训和考核制度，落实新工人和转岗换岗工人、特种作业人员等人员的安全知识、操作技能培训，切实增强全体员工的安全生产意识，提高安全生产技能，倒逼企业安全生产主体责任的进一步落实，促使其更加高度重视和积极主动做好安全生产工作，提升本质安全水平。</w:t>
      </w:r>
    </w:p>
    <w:p w14:paraId="55D227E0">
      <w:pPr>
        <w:pageBreakBefore w:val="0"/>
        <w:widowControl w:val="0"/>
        <w:kinsoku/>
        <w:wordWrap/>
        <w:overflowPunct/>
        <w:topLinePunct w:val="0"/>
        <w:autoSpaceDE/>
        <w:autoSpaceDN/>
        <w:bidi w:val="0"/>
        <w:adjustRightInd/>
        <w:snapToGrid/>
        <w:spacing w:line="560" w:lineRule="exact"/>
        <w:textAlignment w:val="auto"/>
        <w:rPr>
          <w:color w:val="auto"/>
        </w:rPr>
      </w:pPr>
      <w:r>
        <w:rPr>
          <w:rFonts w:hint="eastAsia" w:ascii="楷体" w:hAnsi="楷体" w:eastAsia="楷体" w:cs="楷体"/>
          <w:b/>
          <w:bCs/>
          <w:color w:val="auto"/>
          <w:kern w:val="2"/>
          <w:sz w:val="32"/>
          <w:szCs w:val="24"/>
          <w:lang w:val="en-US" w:eastAsia="zh-CN" w:bidi="ar-SA"/>
        </w:rPr>
        <w:t>（三）举一反三抓好重点领域安全专项整治。</w:t>
      </w:r>
      <w:r>
        <w:rPr>
          <w:rFonts w:hint="eastAsia" w:ascii="宋体" w:hAnsi="宋体" w:eastAsia="仿宋_GB2312" w:cstheme="minorBidi"/>
          <w:color w:val="auto"/>
          <w:kern w:val="2"/>
          <w:sz w:val="32"/>
          <w:szCs w:val="24"/>
          <w:lang w:val="en-US" w:eastAsia="zh-CN" w:bidi="ar-SA"/>
        </w:rPr>
        <w:t>各级、各有关部门要牢牢守住安全生产底线、红线，深刻吸取该起事故教训，结合安全生产专项整治三年行动和重大事故隐患专项排查整治2023年行动工作要求，持续深入开展重点行业领域安全大排查大整治，认真辨识管控风险、全面消除事故隐患，坚决防范遏制各类生产安全事故的发生。要深刻汲取此次事故教训，举一反三，对重点企业、重点部位、重点环节存在的安全风险进行研判，全面深入查摆隐患问题，扎实开展安全生产大排查大整治行动，对发现的隐患问题，要立行立改、整改到位，对存在重大安全隐患无法确保安全的，该停产的停产、该关闭的关闭，抓实抓细抓牢安全防范各项工作，全面提升各行业领域安全生产水平。</w:t>
      </w:r>
    </w:p>
    <w:sectPr>
      <w:footerReference r:id="rId6" w:type="default"/>
      <w:pgSz w:w="11905" w:h="16838"/>
      <w:pgMar w:top="2098" w:right="1474" w:bottom="1984" w:left="1587" w:header="851" w:footer="992" w:gutter="0"/>
      <w:pgNumType w:fmt="decimal" w:start="1"/>
      <w:cols w:space="0" w:num="1"/>
      <w:rtlGutter w:val="0"/>
      <w:docGrid w:type="lines" w:linePitch="31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原版宋体"/>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原版宋体">
    <w:panose1 w:val="02010600030101010101"/>
    <w:charset w:val="86"/>
    <w:family w:val="auto"/>
    <w:pitch w:val="default"/>
    <w:sig w:usb0="00000003" w:usb1="080E0000" w:usb2="00000000"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微软雅黑">
    <w:altName w:val="黑体"/>
    <w:panose1 w:val="020B0503020204020204"/>
    <w:charset w:val="86"/>
    <w:family w:val="auto"/>
    <w:pitch w:val="default"/>
    <w:sig w:usb0="00000000" w:usb1="00000000" w:usb2="00000016" w:usb3="00000000" w:csb0="0004001F"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文泉驿等宽正黑">
    <w:panose1 w:val="02000603000000000000"/>
    <w:charset w:val="86"/>
    <w:family w:val="auto"/>
    <w:pitch w:val="default"/>
    <w:sig w:usb0="900002BF" w:usb1="2BDF7DFB" w:usb2="00000036" w:usb3="00000000" w:csb0="603E000D" w:csb1="D2D70000"/>
  </w:font>
  <w:font w:name="DejaVu Sans">
    <w:panose1 w:val="020B0603030804020204"/>
    <w:charset w:val="00"/>
    <w:family w:val="auto"/>
    <w:pitch w:val="default"/>
    <w:sig w:usb0="E7006EFF" w:usb1="D200FDFF" w:usb2="0A246029" w:usb3="0400200C" w:csb0="600001FF" w:csb1="DFFF0000"/>
  </w:font>
  <w:font w:name="C059">
    <w:panose1 w:val="00000500000000000000"/>
    <w:charset w:val="00"/>
    <w:family w:val="auto"/>
    <w:pitch w:val="default"/>
    <w:sig w:usb0="00000287" w:usb1="00000800" w:usb2="00000000" w:usb3="00000000" w:csb0="6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CA16A">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F39F5">
                          <w:pPr>
                            <w:pStyle w:val="10"/>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F0F39F5">
                    <w:pPr>
                      <w:pStyle w:val="10"/>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D784A">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C2C93">
                          <w:pPr>
                            <w:pStyle w:val="10"/>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EDC2C93">
                    <w:pPr>
                      <w:pStyle w:val="10"/>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pPr>
        <w:spacing w:line="240" w:lineRule="auto"/>
        <w:ind w:firstLine="640"/>
      </w:pPr>
      <w:r>
        <w:separator/>
      </w:r>
    </w:p>
  </w:footnote>
  <w:footnote w:type="continuationSeparator" w:id="9">
    <w:p>
      <w:pPr>
        <w:spacing w:line="240" w:lineRule="auto"/>
        <w:ind w:firstLine="640"/>
      </w:pPr>
      <w:r>
        <w:continuationSeparator/>
      </w:r>
    </w:p>
  </w:footnote>
  <w:footnote w:id="0">
    <w:p w14:paraId="4C98C13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jc w:val="both"/>
        <w:textAlignment w:val="auto"/>
        <w:rPr>
          <w:rFonts w:hint="eastAsia" w:ascii="宋体" w:hAnsi="宋体" w:eastAsia="宋体" w:cs="宋体"/>
          <w:sz w:val="18"/>
          <w:szCs w:val="18"/>
          <w:lang w:val="en-US" w:eastAsia="zh-CN"/>
        </w:rPr>
      </w:pPr>
      <w:r>
        <w:rPr>
          <w:rFonts w:hint="eastAsia" w:ascii="宋体" w:hAnsi="宋体" w:eastAsia="宋体" w:cs="宋体"/>
          <w:kern w:val="2"/>
          <w:sz w:val="18"/>
          <w:szCs w:val="18"/>
          <w:lang w:val="en-US" w:eastAsia="zh-CN" w:bidi="ar-SA"/>
        </w:rPr>
        <w:t>[1]</w:t>
      </w:r>
      <w:r>
        <w:rPr>
          <w:rFonts w:hint="eastAsia" w:ascii="宋体" w:hAnsi="宋体" w:eastAsia="宋体" w:cs="宋体"/>
          <w:color w:val="auto"/>
          <w:sz w:val="18"/>
          <w:szCs w:val="18"/>
          <w:lang w:val="en-US" w:eastAsia="zh-CN"/>
        </w:rPr>
        <w:t>《中华人民共和国安全生产法》</w:t>
      </w:r>
      <w:r>
        <w:rPr>
          <w:rFonts w:hint="eastAsia" w:ascii="宋体" w:hAnsi="宋体" w:eastAsia="宋体" w:cs="宋体"/>
          <w:sz w:val="18"/>
          <w:szCs w:val="18"/>
          <w:lang w:val="en-US" w:eastAsia="zh-CN"/>
        </w:rPr>
        <w:t>第十八条 生产经营单位的主要负责人对本单位安全生产工作负有下列职责：</w:t>
      </w:r>
    </w:p>
    <w:p w14:paraId="570DB4EA">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180" w:firstLineChars="100"/>
        <w:jc w:val="both"/>
        <w:textAlignment w:val="auto"/>
        <w:rPr>
          <w:rFonts w:hint="eastAsia" w:ascii="宋体" w:hAnsi="宋体" w:eastAsia="宋体" w:cs="宋体"/>
          <w:sz w:val="18"/>
          <w:szCs w:val="18"/>
          <w:lang w:val="en-US" w:eastAsia="zh-CN"/>
        </w:rPr>
      </w:pPr>
      <w:r>
        <w:rPr>
          <w:rFonts w:hint="eastAsia" w:cs="宋体"/>
          <w:sz w:val="18"/>
          <w:szCs w:val="18"/>
          <w:lang w:val="en-US" w:eastAsia="zh-CN"/>
        </w:rPr>
        <w:t xml:space="preserve">  </w:t>
      </w:r>
      <w:r>
        <w:rPr>
          <w:rFonts w:hint="eastAsia" w:ascii="宋体" w:hAnsi="宋体" w:eastAsia="宋体" w:cs="宋体"/>
          <w:sz w:val="18"/>
          <w:szCs w:val="18"/>
          <w:lang w:val="en-US" w:eastAsia="zh-CN"/>
        </w:rPr>
        <w:t>（一）建立、健全本单位安全生产责任制；</w:t>
      </w:r>
    </w:p>
    <w:p w14:paraId="76CD903B">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360" w:firstLineChars="200"/>
        <w:jc w:val="both"/>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（二）组织制定本单位安全生产规章制度和操作规程；</w:t>
      </w:r>
    </w:p>
    <w:p w14:paraId="47F576F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360" w:firstLineChars="200"/>
        <w:jc w:val="both"/>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（三）组织制定并实施本单位安全生产教育和培训计划；</w:t>
      </w:r>
    </w:p>
    <w:p w14:paraId="01423AB4">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360" w:firstLineChars="200"/>
        <w:jc w:val="both"/>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（四）保证本单位安全生产投入的有效实施；</w:t>
      </w:r>
    </w:p>
    <w:p w14:paraId="7954B9DC">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360" w:firstLineChars="200"/>
        <w:jc w:val="both"/>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（五）督促、检查本单位的安全生产工作，及时消除生产安全事故隐患；</w:t>
      </w:r>
    </w:p>
    <w:p w14:paraId="7C27557E">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360" w:firstLineChars="200"/>
        <w:jc w:val="both"/>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（六）组织制定并实施本单位的生产安全事故应急救援预案；</w:t>
      </w:r>
    </w:p>
    <w:p w14:paraId="4BB3FD8A">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360" w:firstLineChars="200"/>
        <w:jc w:val="both"/>
        <w:textAlignment w:val="auto"/>
      </w:pPr>
      <w:r>
        <w:rPr>
          <w:rFonts w:hint="eastAsia" w:ascii="宋体" w:hAnsi="宋体" w:eastAsia="宋体" w:cs="宋体"/>
          <w:kern w:val="2"/>
          <w:sz w:val="18"/>
          <w:szCs w:val="18"/>
          <w:lang w:val="en-US" w:eastAsia="zh-CN" w:bidi="ar-SA"/>
        </w:rPr>
        <w:t>（七）</w:t>
      </w:r>
      <w:r>
        <w:rPr>
          <w:rFonts w:hint="eastAsia" w:ascii="宋体" w:hAnsi="宋体" w:eastAsia="宋体" w:cs="宋体"/>
          <w:sz w:val="18"/>
          <w:szCs w:val="18"/>
          <w:lang w:val="en-US" w:eastAsia="zh-CN"/>
        </w:rPr>
        <w:t>及时、如实报告生产安全事故</w:t>
      </w:r>
      <w:r>
        <w:rPr>
          <w:rFonts w:hint="eastAsia" w:eastAsia="宋体" w:cs="宋体"/>
          <w:sz w:val="18"/>
          <w:szCs w:val="18"/>
          <w:lang w:val="en-US" w:eastAsia="zh-CN"/>
        </w:rPr>
        <w:t>。</w:t>
      </w:r>
    </w:p>
  </w:footnote>
  <w:footnote w:id="1">
    <w:p w14:paraId="5B62E378">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jc w:val="both"/>
        <w:textAlignment w:val="auto"/>
        <w:rPr>
          <w:rFonts w:hint="eastAsia" w:ascii="宋体" w:hAnsi="宋体" w:eastAsia="宋体" w:cs="宋体"/>
          <w:sz w:val="18"/>
          <w:szCs w:val="18"/>
        </w:rPr>
      </w:pPr>
      <w:r>
        <w:rPr>
          <w:rFonts w:hint="default" w:ascii="Calibri" w:hAnsi="Calibri" w:cs="Calibri"/>
          <w:color w:val="auto"/>
          <w:sz w:val="18"/>
          <w:szCs w:val="18"/>
        </w:rPr>
        <w:t>[</w:t>
      </w:r>
      <w:r>
        <w:rPr>
          <w:rFonts w:hint="eastAsia" w:cs="宋体"/>
          <w:sz w:val="18"/>
          <w:szCs w:val="18"/>
          <w:lang w:val="en-US" w:eastAsia="zh-CN"/>
        </w:rPr>
        <w:t>2</w:t>
      </w:r>
      <w:r>
        <w:rPr>
          <w:rFonts w:hint="eastAsia" w:ascii="宋体" w:hAnsi="宋体" w:eastAsia="宋体" w:cs="宋体"/>
          <w:color w:val="auto"/>
          <w:sz w:val="18"/>
          <w:szCs w:val="18"/>
          <w:lang w:val="en-US" w:eastAsia="zh-CN"/>
        </w:rPr>
        <w:t>]</w:t>
      </w:r>
      <w:r>
        <w:rPr>
          <w:rFonts w:hint="eastAsia" w:ascii="宋体" w:hAnsi="宋体" w:eastAsia="宋体" w:cs="宋体"/>
          <w:sz w:val="18"/>
          <w:szCs w:val="18"/>
        </w:rPr>
        <w:t>《中华人民共和国安全生产法》第九十二条 生产经营单位的主要负责人未履行本法规定的安全生产管理职责，导致发生生产安全事故的，由安全生产监督管理部门依照下列规定处以罚款：</w:t>
      </w:r>
    </w:p>
    <w:p w14:paraId="19BD2F16">
      <w:pPr>
        <w:keepNext w:val="0"/>
        <w:keepLines w:val="0"/>
        <w:pageBreakBefore w:val="0"/>
        <w:widowControl w:val="0"/>
        <w:kinsoku/>
        <w:wordWrap/>
        <w:overflowPunct/>
        <w:topLinePunct w:val="0"/>
        <w:autoSpaceDE/>
        <w:autoSpaceDN/>
        <w:bidi w:val="0"/>
        <w:adjustRightInd/>
        <w:spacing w:line="240" w:lineRule="auto"/>
        <w:ind w:firstLine="360" w:firstLineChars="200"/>
        <w:textAlignment w:val="auto"/>
        <w:rPr>
          <w:rFonts w:hint="eastAsia" w:ascii="宋体" w:hAnsi="宋体" w:eastAsia="宋体" w:cs="宋体"/>
          <w:sz w:val="18"/>
          <w:szCs w:val="18"/>
          <w:lang w:eastAsia="zh-CN"/>
        </w:rPr>
      </w:pPr>
      <w:r>
        <w:rPr>
          <w:rFonts w:hint="eastAsia" w:ascii="宋体" w:hAnsi="宋体" w:eastAsia="宋体" w:cs="宋体"/>
          <w:sz w:val="18"/>
          <w:szCs w:val="18"/>
        </w:rPr>
        <w:t>（一）发生一般事故的，处上一年年收入百分之</w:t>
      </w:r>
      <w:r>
        <w:rPr>
          <w:rFonts w:hint="eastAsia" w:eastAsia="宋体" w:cs="宋体"/>
          <w:sz w:val="18"/>
          <w:szCs w:val="18"/>
          <w:lang w:val="en-US" w:eastAsia="zh-CN"/>
        </w:rPr>
        <w:t>三</w:t>
      </w:r>
      <w:r>
        <w:rPr>
          <w:rFonts w:hint="eastAsia" w:ascii="宋体" w:hAnsi="宋体" w:eastAsia="宋体" w:cs="宋体"/>
          <w:sz w:val="18"/>
          <w:szCs w:val="18"/>
        </w:rPr>
        <w:t>十的罚款</w:t>
      </w:r>
      <w:r>
        <w:rPr>
          <w:rFonts w:hint="eastAsia" w:eastAsia="宋体" w:cs="宋体"/>
          <w:sz w:val="18"/>
          <w:szCs w:val="18"/>
          <w:lang w:val="en-US" w:eastAsia="zh-CN"/>
        </w:rPr>
        <w:t>；</w:t>
      </w:r>
    </w:p>
    <w:p w14:paraId="0DD2D9E6">
      <w:pPr>
        <w:keepNext w:val="0"/>
        <w:keepLines w:val="0"/>
        <w:pageBreakBefore w:val="0"/>
        <w:widowControl w:val="0"/>
        <w:kinsoku/>
        <w:wordWrap/>
        <w:overflowPunct/>
        <w:topLinePunct w:val="0"/>
        <w:autoSpaceDE/>
        <w:autoSpaceDN/>
        <w:bidi w:val="0"/>
        <w:adjustRightInd/>
        <w:spacing w:line="240" w:lineRule="auto"/>
        <w:ind w:firstLine="360" w:firstLineChars="200"/>
        <w:textAlignment w:val="auto"/>
        <w:rPr>
          <w:rFonts w:hint="eastAsia" w:ascii="宋体" w:hAnsi="宋体" w:eastAsia="宋体" w:cs="宋体"/>
          <w:sz w:val="18"/>
          <w:szCs w:val="18"/>
          <w:lang w:eastAsia="zh-CN"/>
        </w:rPr>
      </w:pPr>
      <w:r>
        <w:rPr>
          <w:rFonts w:hint="eastAsia" w:ascii="宋体" w:hAnsi="宋体" w:eastAsia="宋体" w:cs="宋体"/>
          <w:sz w:val="18"/>
          <w:szCs w:val="18"/>
        </w:rPr>
        <w:t>（二）发生较大事故的，处上一年年收入百分之</w:t>
      </w:r>
      <w:r>
        <w:rPr>
          <w:rFonts w:hint="eastAsia" w:eastAsia="宋体" w:cs="宋体"/>
          <w:sz w:val="18"/>
          <w:szCs w:val="18"/>
          <w:lang w:val="en-US" w:eastAsia="zh-CN"/>
        </w:rPr>
        <w:t>四</w:t>
      </w:r>
      <w:r>
        <w:rPr>
          <w:rFonts w:hint="eastAsia" w:ascii="宋体" w:hAnsi="宋体" w:eastAsia="宋体" w:cs="宋体"/>
          <w:sz w:val="18"/>
          <w:szCs w:val="18"/>
        </w:rPr>
        <w:t>十的罚款</w:t>
      </w:r>
      <w:r>
        <w:rPr>
          <w:rFonts w:hint="eastAsia" w:eastAsia="宋体" w:cs="宋体"/>
          <w:sz w:val="18"/>
          <w:szCs w:val="18"/>
          <w:lang w:val="en-US" w:eastAsia="zh-CN"/>
        </w:rPr>
        <w:t>；</w:t>
      </w:r>
    </w:p>
    <w:p w14:paraId="2BF972E2">
      <w:pPr>
        <w:keepNext w:val="0"/>
        <w:keepLines w:val="0"/>
        <w:pageBreakBefore w:val="0"/>
        <w:widowControl w:val="0"/>
        <w:kinsoku/>
        <w:wordWrap/>
        <w:overflowPunct/>
        <w:topLinePunct w:val="0"/>
        <w:autoSpaceDE/>
        <w:autoSpaceDN/>
        <w:bidi w:val="0"/>
        <w:adjustRightInd/>
        <w:spacing w:line="240" w:lineRule="auto"/>
        <w:ind w:firstLine="360" w:firstLineChars="200"/>
        <w:textAlignment w:val="auto"/>
        <w:rPr>
          <w:rFonts w:hint="eastAsia" w:ascii="宋体" w:hAnsi="宋体" w:eastAsia="宋体" w:cs="宋体"/>
          <w:sz w:val="18"/>
          <w:szCs w:val="18"/>
          <w:lang w:eastAsia="zh-CN"/>
        </w:rPr>
      </w:pPr>
      <w:r>
        <w:rPr>
          <w:rFonts w:hint="eastAsia" w:ascii="宋体" w:hAnsi="宋体" w:eastAsia="宋体" w:cs="宋体"/>
          <w:sz w:val="18"/>
          <w:szCs w:val="18"/>
        </w:rPr>
        <w:t>（三）发生重大事故的，处上一年年收入百分之</w:t>
      </w:r>
      <w:r>
        <w:rPr>
          <w:rFonts w:hint="eastAsia" w:eastAsia="宋体" w:cs="宋体"/>
          <w:sz w:val="18"/>
          <w:szCs w:val="18"/>
          <w:lang w:val="en-US" w:eastAsia="zh-CN"/>
        </w:rPr>
        <w:t>六</w:t>
      </w:r>
      <w:r>
        <w:rPr>
          <w:rFonts w:hint="eastAsia" w:ascii="宋体" w:hAnsi="宋体" w:eastAsia="宋体" w:cs="宋体"/>
          <w:sz w:val="18"/>
          <w:szCs w:val="18"/>
        </w:rPr>
        <w:t>十的罚款</w:t>
      </w:r>
      <w:r>
        <w:rPr>
          <w:rFonts w:hint="eastAsia" w:eastAsia="宋体" w:cs="宋体"/>
          <w:sz w:val="18"/>
          <w:szCs w:val="18"/>
          <w:lang w:val="en-US" w:eastAsia="zh-CN"/>
        </w:rPr>
        <w:t>；</w:t>
      </w:r>
    </w:p>
    <w:p w14:paraId="27BC8328">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240" w:lineRule="auto"/>
        <w:ind w:firstLine="360" w:firstLineChars="200"/>
        <w:jc w:val="both"/>
        <w:textAlignment w:val="auto"/>
      </w:pPr>
      <w:r>
        <w:rPr>
          <w:rFonts w:hint="eastAsia" w:ascii="宋体" w:hAnsi="宋体" w:eastAsia="宋体" w:cs="宋体"/>
          <w:sz w:val="18"/>
          <w:szCs w:val="18"/>
        </w:rPr>
        <w:t>（四）发生特别重大事故的，处上一年年收入百分之八十的罚款。</w:t>
      </w:r>
    </w:p>
  </w:footnote>
  <w:footnote w:id="2">
    <w:p w14:paraId="455E7E5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rPr>
        <w:t>[</w:t>
      </w:r>
      <w:r>
        <w:rPr>
          <w:rFonts w:hint="eastAsia" w:ascii="宋体" w:hAnsi="宋体" w:eastAsia="宋体" w:cs="宋体"/>
          <w:sz w:val="18"/>
          <w:szCs w:val="18"/>
          <w:lang w:val="en-US" w:eastAsia="zh-CN"/>
        </w:rPr>
        <w:t>3</w:t>
      </w:r>
      <w:r>
        <w:rPr>
          <w:rFonts w:hint="eastAsia" w:ascii="宋体" w:hAnsi="宋体" w:eastAsia="宋体" w:cs="宋体"/>
          <w:color w:val="auto"/>
          <w:sz w:val="18"/>
          <w:szCs w:val="18"/>
          <w:lang w:val="en-US" w:eastAsia="zh-CN"/>
        </w:rPr>
        <w:t>]《中华人民共和国安全生产法》第十九条　生产经营单位的安全生产责任制应当明确各岗位的责任人员、责任范围和考核标准等内容。</w:t>
      </w:r>
    </w:p>
    <w:p w14:paraId="1CD96FB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生产经营单位应当建立相应的机制，加强对安全生产责任制落实情况的监督考核，保证安全生产责任制的落实。</w:t>
      </w:r>
    </w:p>
    <w:p w14:paraId="32DA346C">
      <w:pPr>
        <w:pStyle w:val="2"/>
        <w:keepNext w:val="0"/>
        <w:keepLines w:val="0"/>
        <w:pageBreakBefore w:val="0"/>
        <w:widowControl w:val="0"/>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4]《中华人民共和国安全生产法》第二十五条 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14:paraId="28F4025C">
      <w:pPr>
        <w:pStyle w:val="2"/>
        <w:keepNext w:val="0"/>
        <w:keepLines w:val="0"/>
        <w:pageBreakBefore w:val="0"/>
        <w:widowControl w:val="0"/>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5]《中华人民共和国安全生产法》</w:t>
      </w:r>
      <w:r>
        <w:rPr>
          <w:rFonts w:hint="eastAsia" w:ascii="宋体" w:hAnsi="宋体" w:eastAsia="宋体" w:cs="宋体"/>
          <w:color w:val="auto"/>
          <w:sz w:val="18"/>
          <w:szCs w:val="18"/>
        </w:rPr>
        <w:t>第三十八条 生产经营单位应当建立健全生产安全事故隐患排查治理制度，采取技术、管理措施，及时发现并消除事故隐患。事故隐患排查治理情况应当如实记录，并向从业人员通报。</w:t>
      </w:r>
    </w:p>
    <w:p w14:paraId="519CDBFB">
      <w:pPr>
        <w:pStyle w:val="2"/>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《中华人民共和国安全生产法》第一百</w:t>
      </w:r>
      <w:r>
        <w:rPr>
          <w:rFonts w:hint="eastAsia" w:ascii="宋体" w:hAnsi="宋体" w:eastAsia="宋体" w:cs="宋体"/>
          <w:color w:val="auto"/>
          <w:sz w:val="18"/>
          <w:szCs w:val="18"/>
          <w:lang w:val="en-US" w:eastAsia="zh-CN"/>
        </w:rPr>
        <w:t>零九</w:t>
      </w:r>
      <w:r>
        <w:rPr>
          <w:rFonts w:hint="eastAsia" w:ascii="宋体" w:hAnsi="宋体" w:eastAsia="宋体" w:cs="宋体"/>
          <w:color w:val="auto"/>
          <w:sz w:val="18"/>
          <w:szCs w:val="18"/>
        </w:rPr>
        <w:t>条 发生生产安全事故，对负有责任的生产经营单位除要求其依法承担相应的赔偿等责任外，由安全生产监督管理部门依照下列规定处以罚款：</w:t>
      </w:r>
    </w:p>
    <w:p w14:paraId="5C0B8F68">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360" w:firstLineChars="200"/>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（一）发生一般事故的，处</w:t>
      </w:r>
      <w:r>
        <w:rPr>
          <w:rFonts w:hint="eastAsia" w:ascii="宋体" w:hAnsi="宋体" w:eastAsia="宋体" w:cs="宋体"/>
          <w:color w:val="auto"/>
          <w:sz w:val="18"/>
          <w:szCs w:val="18"/>
          <w:lang w:val="en-US" w:eastAsia="zh-CN"/>
        </w:rPr>
        <w:t>二</w:t>
      </w:r>
      <w:r>
        <w:rPr>
          <w:rFonts w:hint="eastAsia" w:ascii="宋体" w:hAnsi="宋体" w:eastAsia="宋体" w:cs="宋体"/>
          <w:color w:val="auto"/>
          <w:sz w:val="18"/>
          <w:szCs w:val="18"/>
        </w:rPr>
        <w:t>十万元以上</w:t>
      </w:r>
      <w:r>
        <w:rPr>
          <w:rFonts w:hint="eastAsia" w:ascii="宋体" w:hAnsi="宋体" w:eastAsia="宋体" w:cs="宋体"/>
          <w:color w:val="auto"/>
          <w:sz w:val="18"/>
          <w:szCs w:val="18"/>
          <w:lang w:val="en-US" w:eastAsia="zh-CN"/>
        </w:rPr>
        <w:t>五十</w:t>
      </w:r>
      <w:r>
        <w:rPr>
          <w:rFonts w:hint="eastAsia" w:ascii="宋体" w:hAnsi="宋体" w:eastAsia="宋体" w:cs="宋体"/>
          <w:color w:val="auto"/>
          <w:sz w:val="18"/>
          <w:szCs w:val="18"/>
        </w:rPr>
        <w:t>万元以下的罚款</w:t>
      </w:r>
      <w:r>
        <w:rPr>
          <w:rFonts w:hint="eastAsia" w:ascii="宋体" w:hAnsi="宋体" w:eastAsia="宋体" w:cs="宋体"/>
          <w:color w:val="auto"/>
          <w:sz w:val="18"/>
          <w:szCs w:val="18"/>
          <w:lang w:val="en-US" w:eastAsia="zh-CN"/>
        </w:rPr>
        <w:t>；</w:t>
      </w:r>
    </w:p>
    <w:p w14:paraId="4C00D9C6">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360" w:firstLineChars="200"/>
        <w:textAlignment w:val="auto"/>
        <w:rPr>
          <w:rFonts w:hint="eastAsia" w:ascii="宋体" w:hAnsi="宋体" w:eastAsia="宋体" w:cs="宋体"/>
          <w:sz w:val="18"/>
          <w:szCs w:val="18"/>
          <w:lang w:eastAsia="zh-CN"/>
        </w:rPr>
      </w:pPr>
      <w:r>
        <w:rPr>
          <w:rFonts w:hint="eastAsia" w:ascii="宋体" w:hAnsi="宋体" w:eastAsia="宋体" w:cs="宋体"/>
          <w:sz w:val="18"/>
          <w:szCs w:val="18"/>
        </w:rPr>
        <w:t>（二）发生较大事故的，处</w:t>
      </w:r>
      <w:r>
        <w:rPr>
          <w:rFonts w:hint="eastAsia" w:ascii="宋体" w:hAnsi="宋体" w:eastAsia="宋体" w:cs="宋体"/>
          <w:sz w:val="18"/>
          <w:szCs w:val="18"/>
          <w:lang w:val="en-US" w:eastAsia="zh-CN"/>
        </w:rPr>
        <w:t>五十</w:t>
      </w:r>
      <w:r>
        <w:rPr>
          <w:rFonts w:hint="eastAsia" w:ascii="宋体" w:hAnsi="宋体" w:eastAsia="宋体" w:cs="宋体"/>
          <w:sz w:val="18"/>
          <w:szCs w:val="18"/>
        </w:rPr>
        <w:t>万元以上</w:t>
      </w:r>
      <w:r>
        <w:rPr>
          <w:rFonts w:hint="eastAsia" w:ascii="宋体" w:hAnsi="宋体" w:eastAsia="宋体" w:cs="宋体"/>
          <w:sz w:val="18"/>
          <w:szCs w:val="18"/>
          <w:lang w:val="en-US" w:eastAsia="zh-CN"/>
        </w:rPr>
        <w:t>一</w:t>
      </w:r>
      <w:r>
        <w:rPr>
          <w:rFonts w:hint="eastAsia" w:ascii="宋体" w:hAnsi="宋体" w:eastAsia="宋体" w:cs="宋体"/>
          <w:sz w:val="18"/>
          <w:szCs w:val="18"/>
        </w:rPr>
        <w:t>百万元以下的罚款</w:t>
      </w:r>
      <w:r>
        <w:rPr>
          <w:rFonts w:hint="eastAsia" w:ascii="宋体" w:hAnsi="宋体" w:eastAsia="宋体" w:cs="宋体"/>
          <w:sz w:val="18"/>
          <w:szCs w:val="18"/>
          <w:lang w:val="en-US" w:eastAsia="zh-CN"/>
        </w:rPr>
        <w:t>；</w:t>
      </w:r>
    </w:p>
    <w:p w14:paraId="09D5EE3C">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360" w:firstLineChars="200"/>
        <w:textAlignment w:val="auto"/>
        <w:rPr>
          <w:rFonts w:hint="eastAsia" w:ascii="宋体" w:hAnsi="宋体" w:eastAsia="宋体" w:cs="宋体"/>
          <w:sz w:val="18"/>
          <w:szCs w:val="18"/>
          <w:lang w:eastAsia="zh-CN"/>
        </w:rPr>
      </w:pPr>
      <w:r>
        <w:rPr>
          <w:rFonts w:hint="eastAsia" w:ascii="宋体" w:hAnsi="宋体" w:eastAsia="宋体" w:cs="宋体"/>
          <w:sz w:val="18"/>
          <w:szCs w:val="18"/>
        </w:rPr>
        <w:t>（三）发生重大事故的，处</w:t>
      </w:r>
      <w:r>
        <w:rPr>
          <w:rFonts w:hint="eastAsia" w:ascii="宋体" w:hAnsi="宋体" w:eastAsia="宋体" w:cs="宋体"/>
          <w:sz w:val="18"/>
          <w:szCs w:val="18"/>
          <w:lang w:val="en-US" w:eastAsia="zh-CN"/>
        </w:rPr>
        <w:t>一</w:t>
      </w:r>
      <w:r>
        <w:rPr>
          <w:rFonts w:hint="eastAsia" w:ascii="宋体" w:hAnsi="宋体" w:eastAsia="宋体" w:cs="宋体"/>
          <w:sz w:val="18"/>
          <w:szCs w:val="18"/>
        </w:rPr>
        <w:t>百万元以上</w:t>
      </w:r>
      <w:r>
        <w:rPr>
          <w:rFonts w:hint="eastAsia" w:ascii="宋体" w:hAnsi="宋体" w:eastAsia="宋体" w:cs="宋体"/>
          <w:sz w:val="18"/>
          <w:szCs w:val="18"/>
          <w:lang w:val="en-US" w:eastAsia="zh-CN"/>
        </w:rPr>
        <w:t>五百</w:t>
      </w:r>
      <w:r>
        <w:rPr>
          <w:rFonts w:hint="eastAsia" w:ascii="宋体" w:hAnsi="宋体" w:eastAsia="宋体" w:cs="宋体"/>
          <w:sz w:val="18"/>
          <w:szCs w:val="18"/>
        </w:rPr>
        <w:t>万元以下的罚款</w:t>
      </w:r>
      <w:r>
        <w:rPr>
          <w:rFonts w:hint="eastAsia" w:ascii="宋体" w:hAnsi="宋体" w:eastAsia="宋体" w:cs="宋体"/>
          <w:sz w:val="18"/>
          <w:szCs w:val="18"/>
          <w:lang w:val="en-US" w:eastAsia="zh-CN"/>
        </w:rPr>
        <w:t>；</w:t>
      </w:r>
    </w:p>
    <w:p w14:paraId="061B5338">
      <w:pPr>
        <w:pStyle w:val="2"/>
        <w:keepNext w:val="0"/>
        <w:keepLines w:val="0"/>
        <w:pageBreakBefore w:val="0"/>
        <w:widowControl w:val="0"/>
        <w:numPr>
          <w:ilvl w:val="0"/>
          <w:numId w:val="0"/>
        </w:numPr>
        <w:kinsoku/>
        <w:wordWrap/>
        <w:overflowPunct/>
        <w:topLinePunct w:val="0"/>
        <w:autoSpaceDE/>
        <w:autoSpaceDN/>
        <w:bidi w:val="0"/>
        <w:adjustRightInd/>
        <w:snapToGrid/>
        <w:spacing w:after="0" w:afterAutospacing="0" w:line="240" w:lineRule="auto"/>
        <w:ind w:firstLine="360" w:firstLineChars="200"/>
        <w:jc w:val="both"/>
        <w:textAlignment w:val="auto"/>
        <w:rPr>
          <w:rFonts w:hint="eastAsia" w:ascii="宋体" w:hAnsi="宋体" w:eastAsia="宋体" w:cs="宋体"/>
          <w:sz w:val="18"/>
          <w:szCs w:val="18"/>
        </w:rPr>
      </w:pPr>
      <w:r>
        <w:rPr>
          <w:rFonts w:hint="eastAsia" w:ascii="宋体" w:hAnsi="宋体" w:eastAsia="宋体" w:cs="宋体"/>
          <w:sz w:val="18"/>
          <w:szCs w:val="18"/>
        </w:rPr>
        <w:t>（四）发生特别重大事故的，处五百万元以上一千万元以下的罚款；情节特别严重的，处一千万元以上二千万元以下的罚款。</w:t>
      </w:r>
    </w:p>
    <w:p w14:paraId="452A24A1">
      <w:pPr>
        <w:pStyle w:val="13"/>
        <w:snapToGrid w:val="0"/>
        <w:ind w:left="0" w:leftChars="0" w:firstLine="0" w:firstLineChars="0"/>
      </w:pPr>
    </w:p>
  </w:footnote>
  <w:footnote w:id="3">
    <w:p w14:paraId="16DBD2FE">
      <w:pPr>
        <w:pStyle w:val="2"/>
        <w:keepNext w:val="0"/>
        <w:keepLines w:val="0"/>
        <w:pageBreakBefore w:val="0"/>
        <w:widowControl w:val="0"/>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7]《建设工程安全生产管理条例》第二十一条  施工单位主要负责人依法对本单位的安全生产工作全面负责。施工单位应当建立健全安全生产责任制度和安全生产教育培训制度，制定安全生产规章制度和操作规程，保证本单位安全生产条件所需资金的投入，对所承担的建设工程进行定期和专项安全检查，并做好安全检查记录。施工单位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及时、如实报告生产安全事故。</w:t>
      </w:r>
    </w:p>
    <w:p w14:paraId="4739F172">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[8]《建设工程安全生产管理条例》第二十三条  施工单位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专职安全生产管理人员的配备办法由国务院建设行政主管部门会同国务院其他有关部门制定。</w:t>
      </w:r>
    </w:p>
    <w:p w14:paraId="64D3257A">
      <w:pPr>
        <w:pStyle w:val="13"/>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9]《建设工程安全生产管理条例》第三十七条  作业人员进入新的岗位或者新的施工现场前，应当接受安全生产教育培训。未经教育培训或者教育培训考核不合格的人员，不得上岗作业。施工单位在采用新技术、新工艺、新设备、新材料时，应当对作业人员进行相应的安全生产教育培训。</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BBC968"/>
    <w:multiLevelType w:val="singleLevel"/>
    <w:tmpl w:val="98BBC96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8"/>
    <w:footnote w:id="9"/>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1MjAxY2JmNGJkNTcyZmJkMzkxYmYwNWM4OTI0M2MifQ=="/>
  </w:docVars>
  <w:rsids>
    <w:rsidRoot w:val="265B0079"/>
    <w:rsid w:val="00A3565D"/>
    <w:rsid w:val="00E553BD"/>
    <w:rsid w:val="010D4D5A"/>
    <w:rsid w:val="012478E6"/>
    <w:rsid w:val="01422176"/>
    <w:rsid w:val="02373E79"/>
    <w:rsid w:val="03122833"/>
    <w:rsid w:val="0340045E"/>
    <w:rsid w:val="034D3112"/>
    <w:rsid w:val="049A5916"/>
    <w:rsid w:val="050E5DB3"/>
    <w:rsid w:val="063F21DF"/>
    <w:rsid w:val="06884F1C"/>
    <w:rsid w:val="06CA30E2"/>
    <w:rsid w:val="07741E3E"/>
    <w:rsid w:val="078513E0"/>
    <w:rsid w:val="088C6B87"/>
    <w:rsid w:val="08EE04EE"/>
    <w:rsid w:val="098927AD"/>
    <w:rsid w:val="09E1178A"/>
    <w:rsid w:val="0A086CFC"/>
    <w:rsid w:val="0A3C3E95"/>
    <w:rsid w:val="0A8E049D"/>
    <w:rsid w:val="0B277754"/>
    <w:rsid w:val="0B782083"/>
    <w:rsid w:val="0B9E444D"/>
    <w:rsid w:val="0C647985"/>
    <w:rsid w:val="0CFA55B2"/>
    <w:rsid w:val="0D1374C5"/>
    <w:rsid w:val="0E176AC7"/>
    <w:rsid w:val="0ECC13F3"/>
    <w:rsid w:val="0F276507"/>
    <w:rsid w:val="0F3B0205"/>
    <w:rsid w:val="116C2DA6"/>
    <w:rsid w:val="11BF336F"/>
    <w:rsid w:val="11FE7D74"/>
    <w:rsid w:val="12C07113"/>
    <w:rsid w:val="13430FC8"/>
    <w:rsid w:val="13F02EB7"/>
    <w:rsid w:val="14FE7695"/>
    <w:rsid w:val="150C2E51"/>
    <w:rsid w:val="15C34E4E"/>
    <w:rsid w:val="16A039E1"/>
    <w:rsid w:val="16B8634D"/>
    <w:rsid w:val="17BB0C08"/>
    <w:rsid w:val="1889767C"/>
    <w:rsid w:val="18EB5D61"/>
    <w:rsid w:val="1A0148B8"/>
    <w:rsid w:val="1B0F4C20"/>
    <w:rsid w:val="1B8077ED"/>
    <w:rsid w:val="1C9869A3"/>
    <w:rsid w:val="1D2B19DA"/>
    <w:rsid w:val="1D581F12"/>
    <w:rsid w:val="1DF42526"/>
    <w:rsid w:val="1E870F62"/>
    <w:rsid w:val="20EE1F07"/>
    <w:rsid w:val="2331574F"/>
    <w:rsid w:val="24523BCF"/>
    <w:rsid w:val="24BB1774"/>
    <w:rsid w:val="261401B2"/>
    <w:rsid w:val="265B0079"/>
    <w:rsid w:val="26A5448A"/>
    <w:rsid w:val="26E41345"/>
    <w:rsid w:val="27279DBA"/>
    <w:rsid w:val="27530322"/>
    <w:rsid w:val="275D2FB6"/>
    <w:rsid w:val="278C1943"/>
    <w:rsid w:val="279E0A55"/>
    <w:rsid w:val="289875FC"/>
    <w:rsid w:val="28CC096E"/>
    <w:rsid w:val="29220014"/>
    <w:rsid w:val="29DE2975"/>
    <w:rsid w:val="29EC474C"/>
    <w:rsid w:val="2A1F724F"/>
    <w:rsid w:val="2B45623B"/>
    <w:rsid w:val="2C073613"/>
    <w:rsid w:val="2C267E1B"/>
    <w:rsid w:val="2C3E17CC"/>
    <w:rsid w:val="2DAB540D"/>
    <w:rsid w:val="2DCD1D03"/>
    <w:rsid w:val="2E360808"/>
    <w:rsid w:val="2F471516"/>
    <w:rsid w:val="2F526AE0"/>
    <w:rsid w:val="2F98045E"/>
    <w:rsid w:val="2FD03228"/>
    <w:rsid w:val="32AC3E33"/>
    <w:rsid w:val="32CB3418"/>
    <w:rsid w:val="331E20A0"/>
    <w:rsid w:val="33DA1FCE"/>
    <w:rsid w:val="3407590D"/>
    <w:rsid w:val="340A1DD0"/>
    <w:rsid w:val="34202881"/>
    <w:rsid w:val="34372F0D"/>
    <w:rsid w:val="3465020F"/>
    <w:rsid w:val="34E13990"/>
    <w:rsid w:val="35143F5C"/>
    <w:rsid w:val="358F5F88"/>
    <w:rsid w:val="36E74836"/>
    <w:rsid w:val="377A6FE4"/>
    <w:rsid w:val="37907662"/>
    <w:rsid w:val="37CF6C62"/>
    <w:rsid w:val="3AAC5B28"/>
    <w:rsid w:val="3CBD07D8"/>
    <w:rsid w:val="3D6B292F"/>
    <w:rsid w:val="3DDB593D"/>
    <w:rsid w:val="3DE513C8"/>
    <w:rsid w:val="3DF905D3"/>
    <w:rsid w:val="3E49205B"/>
    <w:rsid w:val="3E6A399B"/>
    <w:rsid w:val="3E6B2D08"/>
    <w:rsid w:val="3F2D2326"/>
    <w:rsid w:val="3F431ED1"/>
    <w:rsid w:val="3FAC4152"/>
    <w:rsid w:val="4033445D"/>
    <w:rsid w:val="40D73D5E"/>
    <w:rsid w:val="419635CD"/>
    <w:rsid w:val="421442AA"/>
    <w:rsid w:val="4226054F"/>
    <w:rsid w:val="42937513"/>
    <w:rsid w:val="43AF3F5A"/>
    <w:rsid w:val="448C766E"/>
    <w:rsid w:val="44B75376"/>
    <w:rsid w:val="46006793"/>
    <w:rsid w:val="465D3A1A"/>
    <w:rsid w:val="468D28B5"/>
    <w:rsid w:val="46EA63B1"/>
    <w:rsid w:val="47924127"/>
    <w:rsid w:val="495A5439"/>
    <w:rsid w:val="4B241572"/>
    <w:rsid w:val="4B94266B"/>
    <w:rsid w:val="4B9D582F"/>
    <w:rsid w:val="4BD41A86"/>
    <w:rsid w:val="4BEB70D0"/>
    <w:rsid w:val="4CCA3890"/>
    <w:rsid w:val="4CF5766A"/>
    <w:rsid w:val="4D2E321B"/>
    <w:rsid w:val="4E0E04A4"/>
    <w:rsid w:val="4EEA2366"/>
    <w:rsid w:val="4F0327B1"/>
    <w:rsid w:val="50024515"/>
    <w:rsid w:val="5010471B"/>
    <w:rsid w:val="50903C9A"/>
    <w:rsid w:val="51B722DE"/>
    <w:rsid w:val="52475899"/>
    <w:rsid w:val="52705CA9"/>
    <w:rsid w:val="52DD0457"/>
    <w:rsid w:val="53DE0ABD"/>
    <w:rsid w:val="54725F9A"/>
    <w:rsid w:val="55417F52"/>
    <w:rsid w:val="57907A84"/>
    <w:rsid w:val="57E43ED9"/>
    <w:rsid w:val="58242BB1"/>
    <w:rsid w:val="59325C83"/>
    <w:rsid w:val="596B5B77"/>
    <w:rsid w:val="5B0D5C97"/>
    <w:rsid w:val="5BD96822"/>
    <w:rsid w:val="5BDB1B07"/>
    <w:rsid w:val="5CDE624E"/>
    <w:rsid w:val="5DE54452"/>
    <w:rsid w:val="5DF66FD3"/>
    <w:rsid w:val="5E0B6315"/>
    <w:rsid w:val="604F3361"/>
    <w:rsid w:val="60A24FBB"/>
    <w:rsid w:val="618100D6"/>
    <w:rsid w:val="61A53528"/>
    <w:rsid w:val="61C9122E"/>
    <w:rsid w:val="62EA0854"/>
    <w:rsid w:val="645D66CE"/>
    <w:rsid w:val="649F76A9"/>
    <w:rsid w:val="64B72EDB"/>
    <w:rsid w:val="65433B3A"/>
    <w:rsid w:val="66D43089"/>
    <w:rsid w:val="67D10539"/>
    <w:rsid w:val="68355718"/>
    <w:rsid w:val="6A826A9D"/>
    <w:rsid w:val="6AB746E9"/>
    <w:rsid w:val="6DC41C0E"/>
    <w:rsid w:val="6F7F4719"/>
    <w:rsid w:val="6FFD592E"/>
    <w:rsid w:val="716C48F4"/>
    <w:rsid w:val="718D531F"/>
    <w:rsid w:val="728A51E8"/>
    <w:rsid w:val="73C50522"/>
    <w:rsid w:val="73FB025A"/>
    <w:rsid w:val="74593FC5"/>
    <w:rsid w:val="7521074C"/>
    <w:rsid w:val="75AD6686"/>
    <w:rsid w:val="75FC5F5A"/>
    <w:rsid w:val="76742CFF"/>
    <w:rsid w:val="768251EC"/>
    <w:rsid w:val="772A6B6C"/>
    <w:rsid w:val="77343C5C"/>
    <w:rsid w:val="789D27E0"/>
    <w:rsid w:val="78E008E7"/>
    <w:rsid w:val="79025FDF"/>
    <w:rsid w:val="796C5D0E"/>
    <w:rsid w:val="79D919EB"/>
    <w:rsid w:val="7A1FD617"/>
    <w:rsid w:val="7A99457D"/>
    <w:rsid w:val="7BFD106A"/>
    <w:rsid w:val="7D0E1E09"/>
    <w:rsid w:val="7D9C7BAC"/>
    <w:rsid w:val="7DFE3850"/>
    <w:rsid w:val="7E184802"/>
    <w:rsid w:val="7F304EF6"/>
    <w:rsid w:val="7FC82745"/>
    <w:rsid w:val="B97B3064"/>
    <w:rsid w:val="FF6F02B4"/>
    <w:rsid w:val="FF7C1C12"/>
    <w:rsid w:val="FFFDD0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1"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left="0" w:firstLine="640" w:firstLineChars="200"/>
      <w:jc w:val="both"/>
    </w:pPr>
    <w:rPr>
      <w:rFonts w:ascii="宋体" w:hAnsi="宋体" w:eastAsia="仿宋_GB2312" w:cstheme="minorBidi"/>
      <w:kern w:val="2"/>
      <w:sz w:val="32"/>
      <w:szCs w:val="24"/>
      <w:lang w:val="en-US" w:eastAsia="zh-CN" w:bidi="ar-SA"/>
    </w:rPr>
  </w:style>
  <w:style w:type="paragraph" w:styleId="5">
    <w:name w:val="heading 1"/>
    <w:basedOn w:val="1"/>
    <w:next w:val="1"/>
    <w:qFormat/>
    <w:uiPriority w:val="0"/>
    <w:pPr>
      <w:keepNext/>
      <w:keepLines/>
      <w:spacing w:beforeLines="0" w:beforeAutospacing="0" w:afterLines="0" w:afterAutospacing="0" w:line="560" w:lineRule="exact"/>
      <w:ind w:firstLine="420" w:firstLineChars="200"/>
      <w:outlineLvl w:val="0"/>
    </w:pPr>
    <w:rPr>
      <w:rFonts w:ascii="宋体" w:hAnsi="宋体" w:eastAsia="黑体"/>
      <w:kern w:val="44"/>
    </w:rPr>
  </w:style>
  <w:style w:type="paragraph" w:styleId="6">
    <w:name w:val="heading 2"/>
    <w:basedOn w:val="1"/>
    <w:next w:val="1"/>
    <w:link w:val="19"/>
    <w:unhideWhenUsed/>
    <w:qFormat/>
    <w:uiPriority w:val="0"/>
    <w:pPr>
      <w:keepNext/>
      <w:keepLines/>
      <w:spacing w:beforeLines="0" w:beforeAutospacing="0" w:afterLines="0" w:afterAutospacing="0" w:line="560" w:lineRule="exact"/>
      <w:ind w:firstLine="420" w:firstLineChars="200"/>
      <w:outlineLvl w:val="1"/>
    </w:pPr>
    <w:rPr>
      <w:rFonts w:ascii="宋体" w:hAnsi="宋体" w:eastAsia="楷体_GB2312"/>
      <w:b/>
    </w:rPr>
  </w:style>
  <w:style w:type="paragraph" w:styleId="7">
    <w:name w:val="heading 3"/>
    <w:basedOn w:val="1"/>
    <w:next w:val="1"/>
    <w:link w:val="20"/>
    <w:unhideWhenUsed/>
    <w:qFormat/>
    <w:uiPriority w:val="0"/>
    <w:pPr>
      <w:keepNext/>
      <w:keepLines/>
      <w:spacing w:beforeLines="0" w:beforeAutospacing="0" w:afterLines="0" w:afterAutospacing="0" w:line="560" w:lineRule="exact"/>
      <w:ind w:firstLine="420" w:firstLineChars="200"/>
      <w:outlineLvl w:val="2"/>
    </w:pPr>
    <w:rPr>
      <w:rFonts w:ascii="宋体" w:hAnsi="宋体"/>
      <w:b/>
    </w:rPr>
  </w:style>
  <w:style w:type="character" w:default="1" w:styleId="17">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0"/>
      <w:ind w:firstLine="420" w:firstLineChars="200"/>
    </w:pPr>
  </w:style>
  <w:style w:type="paragraph" w:styleId="3">
    <w:name w:val="Body Text Indent"/>
    <w:basedOn w:val="1"/>
    <w:next w:val="4"/>
    <w:qFormat/>
    <w:uiPriority w:val="0"/>
    <w:pPr>
      <w:spacing w:after="120"/>
      <w:ind w:left="420" w:leftChars="200"/>
    </w:pPr>
  </w:style>
  <w:style w:type="paragraph" w:styleId="4">
    <w:name w:val="Normal Indent"/>
    <w:basedOn w:val="1"/>
    <w:qFormat/>
    <w:uiPriority w:val="1"/>
    <w:pPr>
      <w:ind w:firstLine="420" w:firstLineChars="200"/>
    </w:pPr>
    <w:rPr>
      <w:rFonts w:eastAsia="仿宋"/>
      <w:sz w:val="32"/>
    </w:rPr>
  </w:style>
  <w:style w:type="paragraph" w:styleId="8">
    <w:name w:val="toc 3"/>
    <w:basedOn w:val="1"/>
    <w:next w:val="1"/>
    <w:qFormat/>
    <w:uiPriority w:val="0"/>
    <w:pPr>
      <w:ind w:left="840" w:leftChars="400"/>
    </w:pPr>
  </w:style>
  <w:style w:type="paragraph" w:styleId="9">
    <w:name w:val="Body Text Indent 2"/>
    <w:basedOn w:val="1"/>
    <w:next w:val="1"/>
    <w:qFormat/>
    <w:uiPriority w:val="99"/>
    <w:pPr>
      <w:spacing w:beforeAutospacing="1" w:after="120" w:line="480" w:lineRule="auto"/>
      <w:ind w:left="420"/>
    </w:pPr>
    <w:rPr>
      <w:rFonts w:ascii="Calibri" w:hAnsi="Calibri" w:cs="Times New Roman"/>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footnote text"/>
    <w:basedOn w:val="1"/>
    <w:qFormat/>
    <w:uiPriority w:val="0"/>
    <w:pPr>
      <w:snapToGrid w:val="0"/>
      <w:jc w:val="left"/>
    </w:pPr>
    <w:rPr>
      <w:sz w:val="18"/>
    </w:rPr>
  </w:style>
  <w:style w:type="paragraph" w:styleId="14">
    <w:name w:val="toc 2"/>
    <w:basedOn w:val="1"/>
    <w:next w:val="1"/>
    <w:qFormat/>
    <w:uiPriority w:val="0"/>
    <w:pPr>
      <w:ind w:left="420" w:leftChars="200"/>
    </w:p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8">
    <w:name w:val="footnote reference"/>
    <w:basedOn w:val="17"/>
    <w:qFormat/>
    <w:uiPriority w:val="0"/>
    <w:rPr>
      <w:rFonts w:ascii="Calibri" w:hAnsi="Calibri" w:eastAsia="宋体"/>
      <w:sz w:val="18"/>
      <w:vertAlign w:val="superscript"/>
    </w:rPr>
  </w:style>
  <w:style w:type="character" w:customStyle="1" w:styleId="19">
    <w:name w:val="标题 2 Char"/>
    <w:link w:val="6"/>
    <w:qFormat/>
    <w:uiPriority w:val="0"/>
    <w:rPr>
      <w:rFonts w:ascii="宋体" w:hAnsi="宋体" w:eastAsia="楷体_GB2312"/>
      <w:b/>
      <w:sz w:val="32"/>
    </w:rPr>
  </w:style>
  <w:style w:type="character" w:customStyle="1" w:styleId="20">
    <w:name w:val="标题 3 Char"/>
    <w:link w:val="7"/>
    <w:qFormat/>
    <w:uiPriority w:val="0"/>
    <w:rPr>
      <w:rFonts w:ascii="宋体" w:hAnsi="宋体" w:eastAsia="仿宋_GB2312"/>
      <w:b/>
      <w:sz w:val="32"/>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 w:type="paragraph" w:customStyle="1" w:styleId="22">
    <w:name w:val="WPSOffice手动目录 2"/>
    <w:qFormat/>
    <w:uiPriority w:val="0"/>
    <w:pPr>
      <w:ind w:leftChars="200"/>
    </w:pPr>
    <w:rPr>
      <w:rFonts w:asciiTheme="minorHAnsi" w:hAnsiTheme="minorHAnsi" w:eastAsiaTheme="minorEastAsia" w:cstheme="minorBidi"/>
      <w:sz w:val="20"/>
      <w:szCs w:val="20"/>
    </w:rPr>
  </w:style>
  <w:style w:type="paragraph" w:customStyle="1" w:styleId="23">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5353</Words>
  <Characters>5689</Characters>
  <Lines>0</Lines>
  <Paragraphs>0</Paragraphs>
  <TotalTime>16</TotalTime>
  <ScaleCrop>false</ScaleCrop>
  <LinksUpToDate>false</LinksUpToDate>
  <CharactersWithSpaces>5801</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2023-06-26T05:20:00Z</dcterms:created>
  <dc:creator>Administrator</dc:creator>
  <cp:lastModifiedBy>怿</cp:lastModifiedBy>
  <cp:lastPrinted>2023-07-29T13:15:00Z</cp:lastPrinted>
  <dcterms:modified xsi:type="dcterms:W3CDTF">2026-07-30T09:22:56Z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45094599E8E4FC5E70A76A6AED01DFFA_43</vt:lpwstr>
  </property>
</Properties>
</file>