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FC20C">
      <w:pPr>
        <w:jc w:val="center"/>
        <w:outlineLvl w:val="9"/>
        <w:rPr>
          <w:rFonts w:hint="eastAsia" w:ascii="Noto Serif Telugu" w:hAnsi="Noto Serif Telugu" w:eastAsia="黑体" w:cs="Noto Serif Telugu"/>
          <w:color w:val="FF0000"/>
          <w:sz w:val="32"/>
          <w:szCs w:val="32"/>
          <w:lang w:eastAsia="zh-CN"/>
        </w:rPr>
      </w:pPr>
      <w:r>
        <w:rPr>
          <w:rFonts w:hint="default" w:ascii="Noto Serif Telugu" w:hAnsi="Noto Serif Telugu" w:eastAsia="黑体" w:cs="Noto Serif Telugu"/>
          <w:b/>
          <w:bCs/>
          <w:sz w:val="44"/>
          <w:szCs w:val="52"/>
        </w:rPr>
        <w:t>都昌县</w:t>
      </w:r>
      <w:r>
        <w:rPr>
          <w:rFonts w:hint="default" w:ascii="Noto Serif Telugu" w:hAnsi="Noto Serif Telugu" w:eastAsia="黑体" w:cs="Noto Serif Telugu"/>
          <w:b/>
          <w:bCs/>
          <w:sz w:val="44"/>
          <w:szCs w:val="52"/>
          <w:lang w:val="en-US" w:eastAsia="zh-CN"/>
        </w:rPr>
        <w:t>生鲜一号超市</w:t>
      </w:r>
      <w:r>
        <w:rPr>
          <w:rFonts w:hint="eastAsia" w:ascii="Noto Serif Telugu" w:hAnsi="Noto Serif Telugu" w:eastAsia="黑体" w:cs="Noto Serif Telugu"/>
          <w:b/>
          <w:bCs/>
          <w:sz w:val="44"/>
          <w:szCs w:val="52"/>
          <w:lang w:val="en-US" w:eastAsia="zh-CN"/>
        </w:rPr>
        <w:t>（</w:t>
      </w:r>
      <w:r>
        <w:rPr>
          <w:rFonts w:hint="eastAsia" w:ascii="黑体" w:hAnsi="黑体" w:eastAsia="黑体" w:cs="黑体"/>
          <w:b/>
          <w:bCs/>
          <w:sz w:val="44"/>
          <w:szCs w:val="44"/>
        </w:rPr>
        <w:t>都昌峻翼超市</w:t>
      </w:r>
      <w:r>
        <w:rPr>
          <w:rFonts w:hint="eastAsia" w:ascii="Noto Serif Telugu" w:hAnsi="Noto Serif Telugu" w:eastAsia="黑体" w:cs="Noto Serif Telugu"/>
          <w:b/>
          <w:bCs/>
          <w:sz w:val="44"/>
          <w:szCs w:val="52"/>
          <w:lang w:val="en-US" w:eastAsia="zh-CN"/>
        </w:rPr>
        <w:t>）</w:t>
      </w:r>
      <w:r>
        <w:rPr>
          <w:rFonts w:hint="default" w:ascii="Noto Serif Telugu" w:hAnsi="Noto Serif Telugu" w:eastAsia="黑体" w:cs="Noto Serif Telugu"/>
          <w:b/>
          <w:bCs/>
          <w:sz w:val="44"/>
          <w:szCs w:val="52"/>
          <w:lang w:val="en-US" w:eastAsia="zh-CN"/>
        </w:rPr>
        <w:t>“7.29”</w:t>
      </w:r>
      <w:r>
        <w:rPr>
          <w:rFonts w:hint="default" w:ascii="Noto Serif Telugu" w:hAnsi="Noto Serif Telugu" w:eastAsia="黑体" w:cs="Noto Serif Telugu"/>
          <w:b/>
          <w:bCs/>
          <w:sz w:val="44"/>
          <w:szCs w:val="52"/>
        </w:rPr>
        <w:t>一般</w:t>
      </w:r>
      <w:r>
        <w:rPr>
          <w:rFonts w:hint="default" w:ascii="Noto Serif Telugu" w:hAnsi="Noto Serif Telugu" w:eastAsia="黑体" w:cs="Noto Serif Telugu"/>
          <w:b/>
          <w:bCs/>
          <w:sz w:val="44"/>
          <w:szCs w:val="52"/>
          <w:lang w:eastAsia="zh-CN"/>
        </w:rPr>
        <w:t>触电</w:t>
      </w:r>
      <w:r>
        <w:rPr>
          <w:rFonts w:hint="default" w:ascii="Noto Serif Telugu" w:hAnsi="Noto Serif Telugu" w:eastAsia="黑体" w:cs="Noto Serif Telugu"/>
          <w:b/>
          <w:bCs/>
          <w:sz w:val="44"/>
          <w:szCs w:val="52"/>
        </w:rPr>
        <w:t>事故调查报告</w:t>
      </w:r>
    </w:p>
    <w:p w14:paraId="5BD93F7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2025年7月29日19时30分许，</w:t>
      </w:r>
      <w:r>
        <w:rPr>
          <w:rFonts w:hint="eastAsia" w:ascii="仿宋" w:hAnsi="仿宋" w:eastAsia="仿宋" w:cs="仿宋"/>
          <w:b w:val="0"/>
          <w:bCs w:val="0"/>
          <w:sz w:val="32"/>
          <w:szCs w:val="32"/>
        </w:rPr>
        <w:t>都昌峻翼超市</w:t>
      </w:r>
      <w:r>
        <w:rPr>
          <w:rFonts w:hint="eastAsia" w:ascii="仿宋" w:hAnsi="仿宋" w:eastAsia="仿宋" w:cs="仿宋"/>
          <w:sz w:val="32"/>
          <w:szCs w:val="32"/>
        </w:rPr>
        <w:t>发生一起一般触电事故，造成1人死亡，直接经济损失约40万元。</w:t>
      </w:r>
    </w:p>
    <w:p w14:paraId="228BD65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安全生产法》和《生产安全事故报告和调查处理条例》（国务院令第493号）的有关规定，都昌县政府成立了由县应急管理局牵头，县公安局、县总工会、县城管局、县住建局、县市监局及都昌镇人民政府派员参加的事故调查组（以下简称“事故调查组”），全面负责事故调查工作。</w:t>
      </w:r>
    </w:p>
    <w:p w14:paraId="63727A2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事故调查组坚持“四不放过”和“科学严谨、依法依规、实事求是、注重实效”的原则，通过现场勘验、调查取证、资料查阅、综合分析，查明了事故经过、原因、人员伤亡和直接经济损失情况，认定了事故性质和责任，提出了对有关责任单位和责任人员的处理建议，并针对事故暴露的问题制定了防范整改措施。</w:t>
      </w:r>
    </w:p>
    <w:p w14:paraId="15C723B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事故调查组认定，</w:t>
      </w:r>
      <w:r>
        <w:rPr>
          <w:rFonts w:hint="eastAsia" w:ascii="仿宋" w:hAnsi="仿宋" w:eastAsia="仿宋" w:cs="仿宋"/>
          <w:b w:val="0"/>
          <w:bCs w:val="0"/>
          <w:sz w:val="32"/>
          <w:szCs w:val="32"/>
        </w:rPr>
        <w:t>都昌峻翼超市</w:t>
      </w:r>
      <w:r>
        <w:rPr>
          <w:rFonts w:hint="eastAsia" w:ascii="仿宋" w:hAnsi="仿宋" w:eastAsia="仿宋" w:cs="仿宋"/>
          <w:sz w:val="32"/>
          <w:szCs w:val="32"/>
        </w:rPr>
        <w:t>“7.29”触电事故是一起因违章作业导致的一般生产安全责任事故。</w:t>
      </w:r>
    </w:p>
    <w:p w14:paraId="6C1C803E">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一、事故基本情况</w:t>
      </w:r>
    </w:p>
    <w:p w14:paraId="0D8118E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（一）事故相关单位情况</w:t>
      </w:r>
    </w:p>
    <w:p w14:paraId="3D4ADA71">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1.项目发包方（业主单位）</w:t>
      </w:r>
      <w:r>
        <w:rPr>
          <w:rFonts w:hint="eastAsia" w:ascii="仿宋" w:hAnsi="仿宋" w:eastAsia="仿宋" w:cs="仿宋"/>
          <w:sz w:val="32"/>
          <w:szCs w:val="32"/>
          <w:lang w:val="en-US" w:eastAsia="zh-CN"/>
        </w:rPr>
        <w:t>。</w:t>
      </w:r>
      <w:r>
        <w:rPr>
          <w:rFonts w:hint="eastAsia" w:ascii="仿宋" w:hAnsi="仿宋" w:eastAsia="仿宋" w:cs="仿宋"/>
          <w:sz w:val="32"/>
          <w:szCs w:val="32"/>
        </w:rPr>
        <w:t>都昌峻翼超市（个体工商户），经营者为罗能，实际经营人为江成圆。经营范围包括食品销售、烟草制品零售等。</w:t>
      </w:r>
      <w:r>
        <w:rPr>
          <w:rFonts w:hint="eastAsia" w:ascii="仿宋" w:hAnsi="仿宋" w:eastAsia="仿宋" w:cs="仿宋"/>
          <w:sz w:val="32"/>
          <w:szCs w:val="32"/>
          <w:lang w:eastAsia="zh-CN"/>
        </w:rPr>
        <w:t>超市招牌为</w:t>
      </w:r>
      <w:r>
        <w:rPr>
          <w:rFonts w:hint="eastAsia" w:ascii="仿宋" w:hAnsi="仿宋" w:eastAsia="仿宋" w:cs="仿宋"/>
          <w:sz w:val="32"/>
          <w:szCs w:val="32"/>
        </w:rPr>
        <w:t>都昌县生鲜一号超市（东风大道三公里店）</w:t>
      </w:r>
      <w:r>
        <w:rPr>
          <w:rFonts w:hint="eastAsia" w:ascii="仿宋" w:hAnsi="仿宋" w:eastAsia="仿宋" w:cs="仿宋"/>
          <w:sz w:val="32"/>
          <w:szCs w:val="32"/>
          <w:lang w:eastAsia="zh-CN"/>
        </w:rPr>
        <w:t>。</w:t>
      </w:r>
    </w:p>
    <w:p w14:paraId="3AEBE898">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项目承接方</w:t>
      </w:r>
      <w:r>
        <w:rPr>
          <w:rFonts w:hint="eastAsia" w:ascii="仿宋" w:hAnsi="仿宋" w:eastAsia="仿宋" w:cs="仿宋"/>
          <w:b/>
          <w:bCs/>
          <w:sz w:val="32"/>
          <w:szCs w:val="32"/>
          <w:lang w:eastAsia="zh-CN"/>
        </w:rPr>
        <w:t>。</w:t>
      </w:r>
      <w:r>
        <w:rPr>
          <w:rFonts w:hint="eastAsia" w:ascii="仿宋" w:hAnsi="仿宋" w:eastAsia="仿宋" w:cs="仿宋"/>
          <w:sz w:val="32"/>
          <w:szCs w:val="32"/>
        </w:rPr>
        <w:t>李海辛</w:t>
      </w:r>
    </w:p>
    <w:p w14:paraId="49DE0863">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3.</w:t>
      </w:r>
      <w:r>
        <w:rPr>
          <w:rFonts w:hint="eastAsia" w:ascii="仿宋" w:hAnsi="仿宋" w:eastAsia="仿宋" w:cs="仿宋"/>
          <w:b/>
          <w:bCs/>
          <w:sz w:val="32"/>
          <w:szCs w:val="32"/>
        </w:rPr>
        <w:t>现场施工组织者</w:t>
      </w:r>
      <w:r>
        <w:rPr>
          <w:rFonts w:hint="eastAsia" w:ascii="仿宋" w:hAnsi="仿宋" w:eastAsia="仿宋" w:cs="仿宋"/>
          <w:b/>
          <w:bCs/>
          <w:sz w:val="32"/>
          <w:szCs w:val="32"/>
          <w:lang w:eastAsia="zh-CN"/>
        </w:rPr>
        <w:t>。</w:t>
      </w:r>
      <w:r>
        <w:rPr>
          <w:rFonts w:hint="eastAsia" w:ascii="仿宋" w:hAnsi="仿宋" w:eastAsia="仿宋" w:cs="仿宋"/>
          <w:sz w:val="32"/>
          <w:szCs w:val="32"/>
        </w:rPr>
        <w:t>陈国安</w:t>
      </w:r>
    </w:p>
    <w:p w14:paraId="01964A2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（二）项目</w:t>
      </w:r>
      <w:r>
        <w:rPr>
          <w:rFonts w:hint="eastAsia" w:ascii="仿宋" w:hAnsi="仿宋" w:eastAsia="仿宋" w:cs="仿宋"/>
          <w:b/>
          <w:bCs/>
          <w:sz w:val="32"/>
          <w:szCs w:val="32"/>
          <w:lang w:eastAsia="zh-CN"/>
        </w:rPr>
        <w:t>约定情况</w:t>
      </w:r>
    </w:p>
    <w:p w14:paraId="14554B1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超市实际经营人江成圆将广告招牌制作安装项目口头交由李海辛负责。双方未签订书面合同，也未签订专门的安全生产管理协议。李海辛随后将现场安装工作口头交由陈国安具体实施，约定安装费按35元/平方米计算，</w:t>
      </w:r>
      <w:r>
        <w:rPr>
          <w:rFonts w:hint="eastAsia" w:ascii="仿宋" w:hAnsi="仿宋" w:eastAsia="仿宋" w:cs="仿宋"/>
          <w:sz w:val="32"/>
          <w:szCs w:val="32"/>
        </w:rPr>
        <w:t>材料由李海辛提供，安装工具由陈国安自备。</w:t>
      </w:r>
    </w:p>
    <w:p w14:paraId="5FB54FB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（三）工程项目概况</w:t>
      </w:r>
    </w:p>
    <w:p w14:paraId="3244A4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项目名称：都昌峻翼超市广告招牌安装项目。</w:t>
      </w:r>
    </w:p>
    <w:p w14:paraId="3BF2FBD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项目地址：九江市都昌县东风大道154号商铺。</w:t>
      </w:r>
    </w:p>
    <w:p w14:paraId="385C239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项目内容：门店广告招牌设计与安装，合同总价约9000元。</w:t>
      </w:r>
    </w:p>
    <w:p w14:paraId="4EC6D63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（四）事故发生经过</w:t>
      </w:r>
    </w:p>
    <w:p w14:paraId="772FFE2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2025年7月29日，分包方陈国安邀请其合作者曹鹏松一同进行广告招牌安装施工。当晚19时许，招牌主体安装完毕，仅剩接线工作。超市装修电工在下班前曾向陈国安、曹鹏松告知了线路布局、控制开关位置及通电状态。</w:t>
      </w:r>
    </w:p>
    <w:p w14:paraId="78E4939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19时10分许，曹鹏松在未佩戴任何绝缘防护用品的情况下，使用铝质人字梯（梯子倚靠在铝合金招牌骨架上）进行作业。当攀至梯子第三格，试图将B区广告牌电线收纳至A区与B区交接处的钢架横梁时，其身体触碰到A区广告牌上绝缘胶布包裹不严、裸露在外的带电火线，导致触电。曹鹏松从梯上坠落，后经现场路人心肺复苏、120急救人员抢救无效，于当日19时30分被宣布死亡。</w:t>
      </w:r>
    </w:p>
    <w:p w14:paraId="3C00016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（五）事故现场相关情况</w:t>
      </w:r>
    </w:p>
    <w:p w14:paraId="5AB11C4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事故现场位于超市门前人行道。涉事广告牌分为A区（门店主招牌）和B区（门前立柱广告牌）。勘验发现：</w:t>
      </w:r>
    </w:p>
    <w:p w14:paraId="662804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A、B两区供电线路敷设极不规范，电线直接缠绕在金属骨架上，接头处绝缘胶布包裹不严、存在松脱。</w:t>
      </w:r>
    </w:p>
    <w:p w14:paraId="6D7FCBB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作业现场使用的铝质人字梯、广告牌钢结构均为导体，加剧了触电风险。</w:t>
      </w:r>
    </w:p>
    <w:p w14:paraId="46FC34D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店内配电箱虽装有漏电保护器，但控制A区广告牌的电源在事发时处于通电状态。</w:t>
      </w:r>
    </w:p>
    <w:p w14:paraId="5D3A8A6A">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drawing>
          <wp:anchor distT="0" distB="0" distL="114300" distR="114300" simplePos="0" relativeHeight="251659264" behindDoc="1" locked="0" layoutInCell="1" allowOverlap="1">
            <wp:simplePos x="0" y="0"/>
            <wp:positionH relativeFrom="column">
              <wp:posOffset>-100330</wp:posOffset>
            </wp:positionH>
            <wp:positionV relativeFrom="paragraph">
              <wp:posOffset>240665</wp:posOffset>
            </wp:positionV>
            <wp:extent cx="5880100" cy="2372360"/>
            <wp:effectExtent l="0" t="0" r="6350" b="8890"/>
            <wp:wrapNone/>
            <wp:docPr id="1" name="图片 2" descr="808f67abfbfbe14a3e33b35f8bb09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808f67abfbfbe14a3e33b35f8bb09ba"/>
                    <pic:cNvPicPr>
                      <a:picLocks noChangeAspect="1"/>
                    </pic:cNvPicPr>
                  </pic:nvPicPr>
                  <pic:blipFill>
                    <a:blip r:embed="rId8"/>
                    <a:stretch>
                      <a:fillRect/>
                    </a:stretch>
                  </pic:blipFill>
                  <pic:spPr>
                    <a:xfrm>
                      <a:off x="0" y="0"/>
                      <a:ext cx="5880100" cy="2372360"/>
                    </a:xfrm>
                    <a:prstGeom prst="rect">
                      <a:avLst/>
                    </a:prstGeom>
                    <a:noFill/>
                    <a:ln>
                      <a:noFill/>
                    </a:ln>
                  </pic:spPr>
                </pic:pic>
              </a:graphicData>
            </a:graphic>
          </wp:anchor>
        </w:drawing>
      </w:r>
      <w:r>
        <w:rPr>
          <w:rFonts w:hint="eastAsia" w:ascii="仿宋" w:hAnsi="仿宋" w:eastAsia="仿宋" w:cs="仿宋"/>
          <w:sz w:val="32"/>
          <w:szCs w:val="32"/>
        </w:rPr>
        <w:t>（图示：事故现场区域划分图）</w:t>
      </w:r>
    </w:p>
    <w:p w14:paraId="49B880C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63419BC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0293C01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2BDA71B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4A17EBEA">
      <w:pPr>
        <w:keepNext w:val="0"/>
        <w:keepLines w:val="0"/>
        <w:pageBreakBefore w:val="0"/>
        <w:kinsoku/>
        <w:wordWrap/>
        <w:overflowPunct/>
        <w:topLinePunct w:val="0"/>
        <w:autoSpaceDE/>
        <w:autoSpaceDN/>
        <w:bidi w:val="0"/>
        <w:adjustRightInd/>
        <w:snapToGrid/>
        <w:spacing w:line="560" w:lineRule="exact"/>
        <w:ind w:firstLine="2240" w:firstLineChars="700"/>
        <w:textAlignment w:val="auto"/>
        <w:rPr>
          <w:rFonts w:hint="eastAsia" w:ascii="仿宋" w:hAnsi="仿宋" w:eastAsia="仿宋" w:cs="仿宋"/>
          <w:sz w:val="32"/>
          <w:szCs w:val="32"/>
          <w:lang w:eastAsia="zh-CN"/>
        </w:rPr>
      </w:pPr>
      <w:r>
        <w:rPr>
          <w:rFonts w:hint="eastAsia" w:ascii="仿宋" w:hAnsi="仿宋" w:eastAsia="仿宋" w:cs="仿宋"/>
          <w:sz w:val="32"/>
          <w:szCs w:val="32"/>
        </w:rPr>
        <w:t>（图示：事故现场实景照片）</w:t>
      </w:r>
    </w:p>
    <w:p w14:paraId="6D26E66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r>
        <w:rPr>
          <w:rFonts w:hint="eastAsia" w:ascii="仿宋" w:hAnsi="仿宋" w:eastAsia="仿宋" w:cs="仿宋"/>
          <w:b/>
          <w:bCs/>
          <w:color w:val="auto"/>
          <w:sz w:val="32"/>
          <w:szCs w:val="32"/>
          <w:lang w:eastAsia="zh-CN"/>
        </w:rPr>
        <w:drawing>
          <wp:anchor distT="0" distB="0" distL="114300" distR="114300" simplePos="0" relativeHeight="251660288" behindDoc="0" locked="0" layoutInCell="1" allowOverlap="1">
            <wp:simplePos x="0" y="0"/>
            <wp:positionH relativeFrom="column">
              <wp:posOffset>196850</wp:posOffset>
            </wp:positionH>
            <wp:positionV relativeFrom="paragraph">
              <wp:posOffset>241300</wp:posOffset>
            </wp:positionV>
            <wp:extent cx="5140325" cy="2992120"/>
            <wp:effectExtent l="0" t="0" r="3175" b="17780"/>
            <wp:wrapNone/>
            <wp:docPr id="2" name="图片 3" descr="88df9b98c2e76bcfae1641cb6d3e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88df9b98c2e76bcfae1641cb6d3e339"/>
                    <pic:cNvPicPr>
                      <a:picLocks noChangeAspect="1"/>
                    </pic:cNvPicPr>
                  </pic:nvPicPr>
                  <pic:blipFill>
                    <a:blip r:embed="rId9"/>
                    <a:stretch>
                      <a:fillRect/>
                    </a:stretch>
                  </pic:blipFill>
                  <pic:spPr>
                    <a:xfrm>
                      <a:off x="0" y="0"/>
                      <a:ext cx="5140325" cy="2992120"/>
                    </a:xfrm>
                    <a:prstGeom prst="rect">
                      <a:avLst/>
                    </a:prstGeom>
                    <a:noFill/>
                    <a:ln>
                      <a:noFill/>
                    </a:ln>
                  </pic:spPr>
                </pic:pic>
              </a:graphicData>
            </a:graphic>
          </wp:anchor>
        </w:drawing>
      </w:r>
    </w:p>
    <w:p w14:paraId="2ADC796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12C3361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12DA86A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3F01199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（图示：事故现场实景照片）</w:t>
      </w:r>
    </w:p>
    <w:p w14:paraId="5C101D6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17680E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13176E8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5997FBF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B17D5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b/>
          <w:bCs/>
          <w:color w:val="auto"/>
          <w:sz w:val="32"/>
          <w:szCs w:val="32"/>
          <w:lang w:eastAsia="zh-CN"/>
        </w:rPr>
        <w:drawing>
          <wp:anchor distT="0" distB="0" distL="114300" distR="114300" simplePos="0" relativeHeight="251661312" behindDoc="0" locked="0" layoutInCell="1" allowOverlap="1">
            <wp:simplePos x="0" y="0"/>
            <wp:positionH relativeFrom="column">
              <wp:posOffset>186690</wp:posOffset>
            </wp:positionH>
            <wp:positionV relativeFrom="paragraph">
              <wp:posOffset>350520</wp:posOffset>
            </wp:positionV>
            <wp:extent cx="5116830" cy="3161030"/>
            <wp:effectExtent l="0" t="0" r="7620" b="1270"/>
            <wp:wrapNone/>
            <wp:docPr id="3" name="图片 4" descr="0126d6741e4a84f2074e09531705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0126d6741e4a84f2074e09531705e03"/>
                    <pic:cNvPicPr>
                      <a:picLocks noChangeAspect="1"/>
                    </pic:cNvPicPr>
                  </pic:nvPicPr>
                  <pic:blipFill>
                    <a:blip r:embed="rId10"/>
                    <a:stretch>
                      <a:fillRect/>
                    </a:stretch>
                  </pic:blipFill>
                  <pic:spPr>
                    <a:xfrm>
                      <a:off x="0" y="0"/>
                      <a:ext cx="5116830" cy="3161030"/>
                    </a:xfrm>
                    <a:prstGeom prst="rect">
                      <a:avLst/>
                    </a:prstGeom>
                    <a:noFill/>
                    <a:ln>
                      <a:noFill/>
                    </a:ln>
                  </pic:spPr>
                </pic:pic>
              </a:graphicData>
            </a:graphic>
          </wp:anchor>
        </w:drawing>
      </w:r>
    </w:p>
    <w:p w14:paraId="08C8E46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6F2F3A9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3341675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54528F0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6A81550E">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3FC042B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32"/>
          <w:szCs w:val="32"/>
        </w:rPr>
      </w:pPr>
    </w:p>
    <w:p w14:paraId="38FE3FA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760FDAC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3EFE190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1380E931">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7521E2A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442F25E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27E57B7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p>
    <w:p w14:paraId="658BA8E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（六）事故应急处置评估</w:t>
      </w:r>
    </w:p>
    <w:p w14:paraId="6B422A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事故发生后，现场人员立即拨打120求救并进行心肺复苏，医疗救援响应迅速，处置程序正确。都昌镇政府及县应急管理局接报后按规定上报，无迟报、漏报、瞒报。善后赔偿事宜已协商解决。经评估，现场应急响应及时、有效。</w:t>
      </w:r>
    </w:p>
    <w:p w14:paraId="7A0B46D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七</w:t>
      </w:r>
      <w:r>
        <w:rPr>
          <w:rFonts w:hint="eastAsia" w:ascii="仿宋" w:hAnsi="仿宋" w:eastAsia="仿宋" w:cs="仿宋"/>
          <w:b/>
          <w:bCs/>
          <w:sz w:val="32"/>
          <w:szCs w:val="32"/>
        </w:rPr>
        <w:t>）人员伤亡和直接经济损失</w:t>
      </w:r>
    </w:p>
    <w:p w14:paraId="009E567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死亡人员：曹鹏松，男，汉族，未取得电工作业证。</w:t>
      </w:r>
    </w:p>
    <w:p w14:paraId="303C536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直接经济损失：依据《企业职工伤亡事故经济损失统计标准》（</w:t>
      </w:r>
      <w:r>
        <w:rPr>
          <w:rFonts w:hint="eastAsia" w:ascii="仿宋" w:hAnsi="仿宋" w:eastAsia="仿宋" w:cs="仿宋"/>
          <w:color w:val="auto"/>
          <w:spacing w:val="0"/>
          <w:kern w:val="2"/>
          <w:sz w:val="32"/>
          <w:szCs w:val="32"/>
          <w:highlight w:val="none"/>
          <w:lang w:val="en-US" w:eastAsia="zh-CN" w:bidi="ar-SA"/>
        </w:rPr>
        <w:t>GB/T 6721-1986</w:t>
      </w:r>
      <w:r>
        <w:rPr>
          <w:rFonts w:hint="eastAsia" w:ascii="仿宋" w:hAnsi="仿宋" w:eastAsia="仿宋" w:cs="仿宋"/>
          <w:sz w:val="32"/>
          <w:szCs w:val="32"/>
        </w:rPr>
        <w:t>）核定，直接经济损失为40万元（详见附件3）。</w:t>
      </w:r>
    </w:p>
    <w:p w14:paraId="082BF28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二、事故原因分析</w:t>
      </w:r>
    </w:p>
    <w:p w14:paraId="2CD7C1A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（一）直接原因</w:t>
      </w:r>
    </w:p>
    <w:p w14:paraId="0ED72BB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作业人员曹鹏松无证进行电工作业，在未切断A区广告牌电源、未佩戴绝缘防护用品的情况下，使用导电的铝质梯子进行带电线路作业，身体直接接触至A区广告牌上绝缘失效的裸露火线，导致触电身亡。</w:t>
      </w:r>
    </w:p>
    <w:p w14:paraId="0742A3F9">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i w:val="0"/>
          <w:iCs w:val="0"/>
          <w:caps w:val="0"/>
          <w:color w:val="333333"/>
          <w:spacing w:val="0"/>
          <w:sz w:val="32"/>
          <w:szCs w:val="32"/>
          <w:shd w:val="clear" w:color="auto" w:fill="FFFFFF"/>
        </w:rPr>
        <w:t>事故发生相关</w:t>
      </w:r>
      <w:r>
        <w:rPr>
          <w:rFonts w:hint="eastAsia" w:ascii="仿宋" w:hAnsi="仿宋" w:eastAsia="仿宋" w:cs="仿宋"/>
          <w:b/>
          <w:bCs/>
          <w:i w:val="0"/>
          <w:iCs w:val="0"/>
          <w:caps w:val="0"/>
          <w:color w:val="333333"/>
          <w:spacing w:val="0"/>
          <w:sz w:val="32"/>
          <w:szCs w:val="32"/>
          <w:shd w:val="clear" w:color="auto" w:fill="FFFFFF"/>
          <w:lang w:eastAsia="zh-CN"/>
        </w:rPr>
        <w:t>方</w:t>
      </w:r>
      <w:r>
        <w:rPr>
          <w:rFonts w:hint="eastAsia" w:ascii="仿宋" w:hAnsi="仿宋" w:eastAsia="仿宋" w:cs="仿宋"/>
          <w:b/>
          <w:bCs/>
          <w:i w:val="0"/>
          <w:iCs w:val="0"/>
          <w:caps w:val="0"/>
          <w:color w:val="333333"/>
          <w:spacing w:val="0"/>
          <w:sz w:val="32"/>
          <w:szCs w:val="32"/>
          <w:shd w:val="clear" w:color="auto" w:fill="FFFFFF"/>
        </w:rPr>
        <w:t>存在</w:t>
      </w:r>
      <w:r>
        <w:rPr>
          <w:rFonts w:hint="eastAsia" w:ascii="仿宋" w:hAnsi="仿宋" w:eastAsia="仿宋" w:cs="仿宋"/>
          <w:b/>
          <w:bCs/>
          <w:i w:val="0"/>
          <w:iCs w:val="0"/>
          <w:caps w:val="0"/>
          <w:color w:val="333333"/>
          <w:spacing w:val="0"/>
          <w:sz w:val="32"/>
          <w:szCs w:val="32"/>
          <w:shd w:val="clear" w:color="auto" w:fill="FFFFFF"/>
          <w:lang w:eastAsia="zh-CN"/>
        </w:rPr>
        <w:t>的</w:t>
      </w:r>
      <w:r>
        <w:rPr>
          <w:rFonts w:hint="eastAsia" w:ascii="仿宋" w:hAnsi="仿宋" w:eastAsia="仿宋" w:cs="仿宋"/>
          <w:b/>
          <w:bCs/>
          <w:i w:val="0"/>
          <w:iCs w:val="0"/>
          <w:caps w:val="0"/>
          <w:color w:val="333333"/>
          <w:spacing w:val="0"/>
          <w:sz w:val="32"/>
          <w:szCs w:val="32"/>
          <w:shd w:val="clear" w:color="auto" w:fill="FFFFFF"/>
        </w:rPr>
        <w:t>问题</w:t>
      </w:r>
    </w:p>
    <w:p w14:paraId="4F2AB4B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bCs/>
          <w:sz w:val="32"/>
          <w:szCs w:val="32"/>
        </w:rPr>
        <w:t>现场施工组织者陈国安</w:t>
      </w:r>
      <w:r>
        <w:rPr>
          <w:rFonts w:hint="eastAsia" w:ascii="仿宋" w:hAnsi="仿宋" w:eastAsia="仿宋" w:cs="仿宋"/>
          <w:b/>
          <w:bCs/>
          <w:sz w:val="32"/>
          <w:szCs w:val="32"/>
          <w:lang w:eastAsia="zh-CN"/>
        </w:rPr>
        <w:t>。</w:t>
      </w:r>
      <w:r>
        <w:rPr>
          <w:rFonts w:hint="eastAsia" w:ascii="仿宋" w:hAnsi="仿宋" w:eastAsia="仿宋" w:cs="仿宋"/>
          <w:sz w:val="32"/>
          <w:szCs w:val="32"/>
        </w:rPr>
        <w:t>无视安全生产法规，</w:t>
      </w:r>
      <w:r>
        <w:rPr>
          <w:rFonts w:hint="eastAsia" w:ascii="仿宋" w:hAnsi="仿宋" w:eastAsia="仿宋" w:cs="仿宋"/>
          <w:sz w:val="32"/>
          <w:szCs w:val="32"/>
          <w:lang w:eastAsia="zh-CN"/>
        </w:rPr>
        <w:t>明知曹鹏松</w:t>
      </w:r>
      <w:r>
        <w:rPr>
          <w:rFonts w:hint="eastAsia" w:ascii="仿宋" w:hAnsi="仿宋" w:eastAsia="仿宋" w:cs="仿宋"/>
          <w:sz w:val="32"/>
          <w:szCs w:val="32"/>
        </w:rPr>
        <w:t>无特种作业资格从事危险的电工作业</w:t>
      </w:r>
      <w:r>
        <w:rPr>
          <w:rFonts w:hint="eastAsia" w:ascii="仿宋" w:hAnsi="仿宋" w:eastAsia="仿宋" w:cs="仿宋"/>
          <w:sz w:val="32"/>
          <w:szCs w:val="32"/>
          <w:lang w:eastAsia="zh-CN"/>
        </w:rPr>
        <w:t>，未提供绝缘手套、绝缘鞋等必要的符合安全标准个人劳动防护用品，</w:t>
      </w:r>
      <w:r>
        <w:rPr>
          <w:rFonts w:hint="eastAsia" w:ascii="仿宋" w:hAnsi="仿宋" w:eastAsia="仿宋" w:cs="仿宋"/>
          <w:sz w:val="32"/>
          <w:szCs w:val="32"/>
        </w:rPr>
        <w:t>对作业人员</w:t>
      </w:r>
      <w:r>
        <w:rPr>
          <w:rFonts w:hint="eastAsia" w:ascii="仿宋" w:hAnsi="仿宋" w:eastAsia="仿宋" w:cs="仿宋"/>
          <w:sz w:val="32"/>
          <w:szCs w:val="32"/>
          <w:lang w:eastAsia="zh-CN"/>
        </w:rPr>
        <w:t>违规使用铝质导电楼梯</w:t>
      </w:r>
      <w:r>
        <w:rPr>
          <w:rFonts w:hint="eastAsia" w:ascii="仿宋" w:hAnsi="仿宋" w:eastAsia="仿宋" w:cs="仿宋"/>
          <w:sz w:val="32"/>
          <w:szCs w:val="32"/>
        </w:rPr>
        <w:t>冒险违章行为未加制止，在现场未能履行安全监督职责，</w:t>
      </w:r>
      <w:r>
        <w:rPr>
          <w:rFonts w:hint="eastAsia" w:ascii="仿宋" w:hAnsi="仿宋" w:eastAsia="仿宋" w:cs="仿宋"/>
          <w:sz w:val="32"/>
          <w:szCs w:val="32"/>
          <w:lang w:eastAsia="zh-CN"/>
        </w:rPr>
        <w:t>未尽到共同经营中的安全生产管理义务</w:t>
      </w:r>
      <w:r>
        <w:rPr>
          <w:rFonts w:hint="eastAsia" w:ascii="仿宋" w:hAnsi="仿宋" w:eastAsia="仿宋" w:cs="仿宋"/>
          <w:sz w:val="32"/>
          <w:szCs w:val="32"/>
        </w:rPr>
        <w:t>。</w:t>
      </w:r>
    </w:p>
    <w:p w14:paraId="745DBE9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项目承接人李海辛</w:t>
      </w:r>
      <w:r>
        <w:rPr>
          <w:rFonts w:hint="eastAsia" w:ascii="仿宋" w:hAnsi="仿宋" w:eastAsia="仿宋" w:cs="仿宋"/>
          <w:b/>
          <w:bCs/>
          <w:sz w:val="32"/>
          <w:szCs w:val="32"/>
          <w:lang w:eastAsia="zh-CN"/>
        </w:rPr>
        <w:t>。</w:t>
      </w:r>
      <w:r>
        <w:rPr>
          <w:rFonts w:hint="eastAsia" w:ascii="仿宋" w:hAnsi="仿宋" w:eastAsia="仿宋" w:cs="仿宋"/>
          <w:sz w:val="32"/>
          <w:szCs w:val="32"/>
        </w:rPr>
        <w:t>将</w:t>
      </w:r>
      <w:r>
        <w:rPr>
          <w:rFonts w:hint="eastAsia" w:ascii="仿宋" w:hAnsi="仿宋" w:eastAsia="仿宋" w:cs="仿宋"/>
          <w:sz w:val="32"/>
          <w:szCs w:val="32"/>
          <w:lang w:eastAsia="zh-CN"/>
        </w:rPr>
        <w:t>工程安装部分</w:t>
      </w:r>
      <w:r>
        <w:rPr>
          <w:rFonts w:hint="eastAsia" w:ascii="仿宋" w:hAnsi="仿宋" w:eastAsia="仿宋" w:cs="仿宋"/>
          <w:sz w:val="32"/>
          <w:szCs w:val="32"/>
        </w:rPr>
        <w:t>包给个人（陈国安）</w:t>
      </w:r>
      <w:r>
        <w:rPr>
          <w:rFonts w:hint="eastAsia" w:ascii="仿宋" w:hAnsi="仿宋" w:eastAsia="仿宋" w:cs="仿宋"/>
          <w:sz w:val="32"/>
          <w:szCs w:val="32"/>
          <w:lang w:eastAsia="zh-CN"/>
        </w:rPr>
        <w:t>，未对施工人员特种作业资质审查；</w:t>
      </w:r>
      <w:r>
        <w:rPr>
          <w:rFonts w:hint="eastAsia" w:ascii="仿宋" w:hAnsi="仿宋" w:eastAsia="仿宋" w:cs="仿宋"/>
          <w:i w:val="0"/>
          <w:iCs w:val="0"/>
          <w:caps w:val="0"/>
          <w:color w:val="525353"/>
          <w:spacing w:val="0"/>
          <w:sz w:val="32"/>
          <w:szCs w:val="32"/>
          <w:shd w:val="clear" w:fill="FFFFFF"/>
        </w:rPr>
        <w:t>未按规定签订安全生产管理协议</w:t>
      </w:r>
      <w:r>
        <w:rPr>
          <w:rFonts w:hint="eastAsia" w:ascii="仿宋" w:hAnsi="仿宋" w:eastAsia="仿宋" w:cs="仿宋"/>
          <w:i w:val="0"/>
          <w:iCs w:val="0"/>
          <w:caps w:val="0"/>
          <w:color w:val="525353"/>
          <w:spacing w:val="0"/>
          <w:sz w:val="32"/>
          <w:szCs w:val="32"/>
          <w:shd w:val="clear" w:fill="FFFFFF"/>
          <w:lang w:eastAsia="zh-CN"/>
        </w:rPr>
        <w:t>，未明确各自安全生产职责</w:t>
      </w:r>
      <w:r>
        <w:rPr>
          <w:rFonts w:hint="eastAsia" w:ascii="仿宋" w:hAnsi="仿宋" w:eastAsia="仿宋" w:cs="仿宋"/>
          <w:i w:val="0"/>
          <w:iCs w:val="0"/>
          <w:caps w:val="0"/>
          <w:color w:val="525353"/>
          <w:spacing w:val="0"/>
          <w:sz w:val="32"/>
          <w:szCs w:val="32"/>
          <w:shd w:val="clear" w:fill="FFFFFF"/>
        </w:rPr>
        <w:t>；未对承包单位的安全生产工作统一协调、管理，未</w:t>
      </w:r>
      <w:r>
        <w:rPr>
          <w:rFonts w:hint="eastAsia" w:ascii="仿宋" w:hAnsi="仿宋" w:eastAsia="仿宋" w:cs="仿宋"/>
          <w:i w:val="0"/>
          <w:iCs w:val="0"/>
          <w:caps w:val="0"/>
          <w:color w:val="525353"/>
          <w:spacing w:val="0"/>
          <w:sz w:val="32"/>
          <w:szCs w:val="32"/>
          <w:shd w:val="clear" w:fill="FFFFFF"/>
          <w:lang w:eastAsia="zh-CN"/>
        </w:rPr>
        <w:t>在现场进行安全监督管理</w:t>
      </w:r>
      <w:r>
        <w:rPr>
          <w:rFonts w:hint="eastAsia" w:ascii="仿宋" w:hAnsi="仿宋" w:eastAsia="仿宋" w:cs="仿宋"/>
          <w:i w:val="0"/>
          <w:iCs w:val="0"/>
          <w:caps w:val="0"/>
          <w:color w:val="525353"/>
          <w:spacing w:val="0"/>
          <w:sz w:val="32"/>
          <w:szCs w:val="32"/>
          <w:shd w:val="clear" w:fill="FFFFFF"/>
        </w:rPr>
        <w:t>，未及时督促消除</w:t>
      </w:r>
      <w:r>
        <w:rPr>
          <w:rFonts w:hint="eastAsia" w:ascii="仿宋" w:hAnsi="仿宋" w:eastAsia="仿宋" w:cs="仿宋"/>
          <w:i w:val="0"/>
          <w:iCs w:val="0"/>
          <w:caps w:val="0"/>
          <w:color w:val="525353"/>
          <w:spacing w:val="0"/>
          <w:sz w:val="32"/>
          <w:szCs w:val="32"/>
          <w:shd w:val="clear" w:fill="FFFFFF"/>
          <w:lang w:eastAsia="zh-CN"/>
        </w:rPr>
        <w:t>用电作业等环节的</w:t>
      </w:r>
      <w:r>
        <w:rPr>
          <w:rFonts w:hint="eastAsia" w:ascii="仿宋" w:hAnsi="仿宋" w:eastAsia="仿宋" w:cs="仿宋"/>
          <w:i w:val="0"/>
          <w:iCs w:val="0"/>
          <w:caps w:val="0"/>
          <w:color w:val="525353"/>
          <w:spacing w:val="0"/>
          <w:sz w:val="32"/>
          <w:szCs w:val="32"/>
          <w:shd w:val="clear" w:fill="FFFFFF"/>
        </w:rPr>
        <w:t>安全隐患</w:t>
      </w:r>
      <w:r>
        <w:rPr>
          <w:rFonts w:hint="eastAsia" w:ascii="仿宋" w:hAnsi="仿宋" w:eastAsia="仿宋" w:cs="仿宋"/>
          <w:sz w:val="32"/>
          <w:szCs w:val="32"/>
        </w:rPr>
        <w:t>。</w:t>
      </w:r>
    </w:p>
    <w:p w14:paraId="361D4A7C">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3.</w:t>
      </w:r>
      <w:r>
        <w:rPr>
          <w:rFonts w:hint="eastAsia" w:ascii="仿宋" w:hAnsi="仿宋" w:eastAsia="仿宋" w:cs="仿宋"/>
          <w:b/>
          <w:bCs/>
          <w:sz w:val="32"/>
          <w:szCs w:val="32"/>
        </w:rPr>
        <w:t>项目发包方都昌峻翼超市</w:t>
      </w:r>
      <w:r>
        <w:rPr>
          <w:rFonts w:hint="eastAsia" w:ascii="仿宋" w:hAnsi="仿宋" w:eastAsia="仿宋" w:cs="仿宋"/>
          <w:b/>
          <w:bCs/>
          <w:sz w:val="32"/>
          <w:szCs w:val="32"/>
          <w:lang w:eastAsia="zh-CN"/>
        </w:rPr>
        <w:t>。</w:t>
      </w:r>
      <w:r>
        <w:rPr>
          <w:rFonts w:hint="eastAsia" w:ascii="仿宋" w:hAnsi="仿宋" w:eastAsia="仿宋" w:cs="仿宋"/>
          <w:kern w:val="0"/>
          <w:sz w:val="32"/>
          <w:szCs w:val="32"/>
          <w:lang w:val="en-US" w:eastAsia="zh-CN" w:bidi="ar"/>
        </w:rPr>
        <w:t>未与承揽方李海辛签订书面合同及专门的安全生产管理协议，仅以口头约定方式确定合作关系，导致安全生产责任边界模糊；未履行对整个项目的安全生产统一协调、管理职责，</w:t>
      </w:r>
      <w:r>
        <w:rPr>
          <w:rFonts w:hint="eastAsia" w:ascii="仿宋" w:hAnsi="仿宋" w:eastAsia="仿宋" w:cs="仿宋"/>
          <w:sz w:val="32"/>
          <w:szCs w:val="32"/>
        </w:rPr>
        <w:t>超市实际负责人江成圆安全履职不到位，虽口头提示风险，但未采取断电、隔离作业区域等实质性安全管控措施，对承包方违规夜间作业行为制止不力</w:t>
      </w:r>
      <w:r>
        <w:rPr>
          <w:rFonts w:hint="eastAsia" w:ascii="仿宋" w:hAnsi="仿宋" w:eastAsia="仿宋" w:cs="仿宋"/>
          <w:sz w:val="32"/>
          <w:szCs w:val="32"/>
          <w:lang w:eastAsia="zh-CN"/>
        </w:rPr>
        <w:t>，</w:t>
      </w:r>
      <w:r>
        <w:rPr>
          <w:rFonts w:hint="eastAsia" w:ascii="仿宋" w:hAnsi="仿宋" w:eastAsia="仿宋" w:cs="仿宋"/>
          <w:kern w:val="0"/>
          <w:sz w:val="32"/>
          <w:szCs w:val="32"/>
          <w:lang w:val="en-US" w:eastAsia="zh-CN" w:bidi="ar"/>
        </w:rPr>
        <w:t>对作业现场存在违法违规作业行为监督检查不到位。</w:t>
      </w:r>
    </w:p>
    <w:p w14:paraId="6DF53B2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三、对有关责任单位和人员的处理建议</w:t>
      </w:r>
    </w:p>
    <w:p w14:paraId="1DE08F7C">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（一）免予追究责任人员</w:t>
      </w:r>
    </w:p>
    <w:p w14:paraId="3A58B28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曹鹏松</w:t>
      </w:r>
      <w:r>
        <w:rPr>
          <w:rFonts w:hint="eastAsia" w:ascii="仿宋" w:hAnsi="仿宋" w:eastAsia="仿宋" w:cs="仿宋"/>
          <w:sz w:val="32"/>
          <w:szCs w:val="32"/>
        </w:rPr>
        <w:t>，不具备电工作业资格，非法从</w:t>
      </w:r>
      <w:r>
        <w:rPr>
          <w:rFonts w:hint="eastAsia" w:ascii="仿宋" w:hAnsi="仿宋" w:eastAsia="仿宋" w:cs="仿宋"/>
          <w:sz w:val="32"/>
          <w:szCs w:val="32"/>
          <w:lang w:val="en-US" w:eastAsia="zh-CN"/>
        </w:rPr>
        <w:t>事广告牌安</w:t>
      </w:r>
      <w:r>
        <w:rPr>
          <w:rFonts w:hint="eastAsia" w:ascii="仿宋" w:hAnsi="仿宋" w:eastAsia="仿宋" w:cs="仿宋"/>
          <w:sz w:val="32"/>
          <w:szCs w:val="32"/>
        </w:rPr>
        <w:t>装工作</w:t>
      </w:r>
      <w:r>
        <w:rPr>
          <w:rFonts w:hint="eastAsia" w:ascii="仿宋" w:hAnsi="仿宋" w:eastAsia="仿宋" w:cs="仿宋"/>
          <w:sz w:val="32"/>
          <w:szCs w:val="32"/>
          <w:lang w:eastAsia="zh-CN"/>
        </w:rPr>
        <w:t>和电工作业</w:t>
      </w:r>
      <w:r>
        <w:rPr>
          <w:rFonts w:hint="eastAsia" w:ascii="仿宋" w:hAnsi="仿宋" w:eastAsia="仿宋" w:cs="仿宋"/>
          <w:sz w:val="32"/>
          <w:szCs w:val="32"/>
        </w:rPr>
        <w:t>，作业过程中未全部断开连接</w:t>
      </w:r>
      <w:r>
        <w:rPr>
          <w:rFonts w:hint="eastAsia" w:ascii="仿宋" w:hAnsi="仿宋" w:eastAsia="仿宋" w:cs="仿宋"/>
          <w:sz w:val="32"/>
          <w:szCs w:val="32"/>
          <w:lang w:val="en-US" w:eastAsia="zh-CN"/>
        </w:rPr>
        <w:t>广告牌</w:t>
      </w:r>
      <w:r>
        <w:rPr>
          <w:rFonts w:hint="eastAsia" w:ascii="仿宋" w:hAnsi="仿宋" w:eastAsia="仿宋" w:cs="仿宋"/>
          <w:sz w:val="32"/>
          <w:szCs w:val="32"/>
        </w:rPr>
        <w:t>电源开关。</w:t>
      </w:r>
      <w:r>
        <w:rPr>
          <w:rFonts w:hint="eastAsia" w:ascii="仿宋" w:hAnsi="仿宋" w:eastAsia="仿宋" w:cs="仿宋"/>
          <w:color w:val="auto"/>
          <w:sz w:val="32"/>
          <w:szCs w:val="32"/>
        </w:rPr>
        <w:t>其</w:t>
      </w:r>
      <w:r>
        <w:rPr>
          <w:rFonts w:hint="eastAsia" w:ascii="仿宋" w:hAnsi="仿宋" w:eastAsia="仿宋" w:cs="仿宋"/>
          <w:sz w:val="32"/>
          <w:szCs w:val="32"/>
        </w:rPr>
        <w:t>对此次事故负有直接责任</w:t>
      </w:r>
      <w:r>
        <w:rPr>
          <w:rFonts w:hint="eastAsia" w:ascii="仿宋" w:hAnsi="仿宋" w:eastAsia="仿宋" w:cs="仿宋"/>
          <w:sz w:val="32"/>
          <w:szCs w:val="32"/>
          <w:lang w:eastAsia="zh-CN"/>
        </w:rPr>
        <w:t>，</w:t>
      </w:r>
      <w:r>
        <w:rPr>
          <w:rFonts w:hint="eastAsia" w:ascii="仿宋" w:hAnsi="仿宋" w:eastAsia="仿宋" w:cs="仿宋"/>
          <w:sz w:val="32"/>
          <w:szCs w:val="32"/>
        </w:rPr>
        <w:t>鉴于其已在事故中死亡，免予追究责任。</w:t>
      </w:r>
    </w:p>
    <w:p w14:paraId="30B19D3E">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（二）建议予以追究的责任单位及人员</w:t>
      </w:r>
    </w:p>
    <w:p w14:paraId="21A2EB1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陈国安</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作为现场施工组织者</w:t>
      </w:r>
      <w:r>
        <w:rPr>
          <w:rFonts w:hint="eastAsia" w:ascii="仿宋" w:hAnsi="仿宋" w:eastAsia="仿宋" w:cs="仿宋"/>
          <w:sz w:val="32"/>
          <w:szCs w:val="32"/>
        </w:rPr>
        <w:t>，现场管理失控，明知曹鹏松无电工证仍</w:t>
      </w:r>
      <w:r>
        <w:rPr>
          <w:rFonts w:hint="eastAsia" w:ascii="仿宋" w:hAnsi="仿宋" w:eastAsia="仿宋" w:cs="仿宋"/>
          <w:sz w:val="32"/>
          <w:szCs w:val="32"/>
          <w:lang w:eastAsia="zh-CN"/>
        </w:rPr>
        <w:t>由</w:t>
      </w:r>
      <w:r>
        <w:rPr>
          <w:rFonts w:hint="eastAsia" w:ascii="仿宋" w:hAnsi="仿宋" w:eastAsia="仿宋" w:cs="仿宋"/>
          <w:sz w:val="32"/>
          <w:szCs w:val="32"/>
        </w:rPr>
        <w:t>其从事危险的电工作业</w:t>
      </w:r>
      <w:r>
        <w:rPr>
          <w:rFonts w:hint="eastAsia" w:ascii="仿宋" w:hAnsi="仿宋" w:eastAsia="仿宋" w:cs="仿宋"/>
          <w:sz w:val="32"/>
          <w:szCs w:val="32"/>
          <w:lang w:eastAsia="zh-CN"/>
        </w:rPr>
        <w:t>，未保证安全生产所必需符合安全标准的防护用品和劳动工具的投入，</w:t>
      </w:r>
      <w:r>
        <w:rPr>
          <w:rFonts w:hint="eastAsia" w:ascii="仿宋" w:hAnsi="仿宋" w:eastAsia="仿宋" w:cs="仿宋"/>
          <w:sz w:val="32"/>
          <w:szCs w:val="32"/>
        </w:rPr>
        <w:t>对事故负有</w:t>
      </w:r>
      <w:r>
        <w:rPr>
          <w:rFonts w:hint="eastAsia" w:ascii="仿宋" w:hAnsi="仿宋" w:eastAsia="仿宋" w:cs="仿宋"/>
          <w:sz w:val="32"/>
          <w:szCs w:val="32"/>
          <w:lang w:eastAsia="zh-CN"/>
        </w:rPr>
        <w:t>主要</w:t>
      </w:r>
      <w:r>
        <w:rPr>
          <w:rFonts w:hint="eastAsia" w:ascii="仿宋" w:hAnsi="仿宋" w:eastAsia="仿宋" w:cs="仿宋"/>
          <w:sz w:val="32"/>
          <w:szCs w:val="32"/>
        </w:rPr>
        <w:t>责任。违反了《中华人民共和国安全生产法》第</w:t>
      </w:r>
      <w:r>
        <w:rPr>
          <w:rFonts w:hint="eastAsia" w:ascii="仿宋" w:hAnsi="仿宋" w:eastAsia="仿宋" w:cs="仿宋"/>
          <w:sz w:val="32"/>
          <w:szCs w:val="32"/>
          <w:lang w:eastAsia="zh-CN"/>
        </w:rPr>
        <w:t>二十三条第一款</w:t>
      </w:r>
      <w:r>
        <w:rPr>
          <w:rStyle w:val="11"/>
          <w:rFonts w:hint="eastAsia" w:ascii="仿宋" w:hAnsi="仿宋" w:eastAsia="仿宋" w:cs="仿宋"/>
          <w:sz w:val="32"/>
          <w:szCs w:val="32"/>
          <w:lang w:eastAsia="zh-CN"/>
        </w:rPr>
        <w:footnoteReference w:id="0"/>
      </w:r>
      <w:r>
        <w:rPr>
          <w:rFonts w:hint="eastAsia" w:ascii="仿宋" w:hAnsi="仿宋" w:eastAsia="仿宋" w:cs="仿宋"/>
          <w:sz w:val="32"/>
          <w:szCs w:val="32"/>
          <w:lang w:eastAsia="zh-CN"/>
        </w:rPr>
        <w:t>的规定。建议由都昌县应急管理局依据</w:t>
      </w:r>
      <w:r>
        <w:rPr>
          <w:rFonts w:hint="eastAsia" w:ascii="仿宋" w:hAnsi="仿宋" w:eastAsia="仿宋" w:cs="仿宋"/>
          <w:sz w:val="32"/>
          <w:szCs w:val="32"/>
        </w:rPr>
        <w:t>《中华人民共和国安全生产法</w:t>
      </w:r>
      <w:r>
        <w:rPr>
          <w:rFonts w:hint="eastAsia" w:ascii="仿宋" w:hAnsi="仿宋" w:eastAsia="仿宋" w:cs="仿宋"/>
          <w:sz w:val="32"/>
          <w:szCs w:val="32"/>
          <w:lang w:eastAsia="zh-CN"/>
        </w:rPr>
        <w:t>》第九十三条第</w:t>
      </w:r>
      <w:r>
        <w:rPr>
          <w:rFonts w:hint="eastAsia" w:ascii="仿宋" w:hAnsi="仿宋" w:eastAsia="仿宋" w:cs="仿宋"/>
          <w:sz w:val="32"/>
          <w:szCs w:val="32"/>
          <w:vertAlign w:val="baseline"/>
          <w:lang w:eastAsia="zh-CN"/>
        </w:rPr>
        <w:t>二款</w:t>
      </w:r>
      <w:r>
        <w:rPr>
          <w:rStyle w:val="11"/>
          <w:rFonts w:hint="eastAsia" w:ascii="仿宋" w:hAnsi="仿宋" w:eastAsia="仿宋" w:cs="仿宋"/>
          <w:sz w:val="32"/>
          <w:szCs w:val="32"/>
          <w:lang w:eastAsia="zh-CN"/>
        </w:rPr>
        <w:footnoteReference w:id="1"/>
      </w:r>
      <w:r>
        <w:rPr>
          <w:rFonts w:hint="eastAsia" w:ascii="仿宋" w:hAnsi="仿宋" w:eastAsia="仿宋" w:cs="仿宋"/>
          <w:sz w:val="32"/>
          <w:szCs w:val="32"/>
          <w:lang w:eastAsia="zh-CN"/>
        </w:rPr>
        <w:t>，给予行政处罚。</w:t>
      </w:r>
    </w:p>
    <w:p w14:paraId="6C8FD7C2">
      <w:pPr>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640" w:firstLineChars="200"/>
        <w:jc w:val="left"/>
        <w:textAlignment w:val="auto"/>
        <w:rPr>
          <w:rFonts w:hint="eastAsia" w:ascii="仿宋" w:hAnsi="仿宋" w:eastAsia="仿宋" w:cs="仿宋"/>
          <w:strike/>
          <w:dstrike w:val="0"/>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李海辛</w:t>
      </w:r>
      <w:r>
        <w:rPr>
          <w:rFonts w:hint="eastAsia" w:ascii="仿宋" w:hAnsi="仿宋" w:eastAsia="仿宋" w:cs="仿宋"/>
          <w:sz w:val="32"/>
          <w:szCs w:val="32"/>
          <w:lang w:eastAsia="zh-CN"/>
        </w:rPr>
        <w:t>。安全管理不到位</w:t>
      </w:r>
      <w:r>
        <w:rPr>
          <w:rFonts w:hint="eastAsia" w:ascii="仿宋" w:hAnsi="仿宋" w:eastAsia="仿宋" w:cs="仿宋"/>
          <w:sz w:val="32"/>
          <w:szCs w:val="32"/>
        </w:rPr>
        <w:t>，对事故负有</w:t>
      </w:r>
      <w:r>
        <w:rPr>
          <w:rFonts w:hint="eastAsia" w:ascii="仿宋" w:hAnsi="仿宋" w:eastAsia="仿宋" w:cs="仿宋"/>
          <w:b w:val="0"/>
          <w:bCs w:val="0"/>
          <w:color w:val="auto"/>
          <w:sz w:val="32"/>
          <w:szCs w:val="32"/>
          <w:lang w:eastAsia="zh-CN"/>
        </w:rPr>
        <w:t>管理</w:t>
      </w:r>
      <w:r>
        <w:rPr>
          <w:rFonts w:hint="eastAsia" w:ascii="仿宋" w:hAnsi="仿宋" w:eastAsia="仿宋" w:cs="仿宋"/>
          <w:sz w:val="32"/>
          <w:szCs w:val="32"/>
        </w:rPr>
        <w:t>责任。</w:t>
      </w:r>
      <w:r>
        <w:rPr>
          <w:rFonts w:hint="eastAsia" w:ascii="仿宋" w:hAnsi="仿宋" w:eastAsia="仿宋" w:cs="仿宋"/>
          <w:i w:val="0"/>
          <w:iCs w:val="0"/>
          <w:caps w:val="0"/>
          <w:color w:val="525353"/>
          <w:spacing w:val="0"/>
          <w:sz w:val="32"/>
          <w:szCs w:val="32"/>
          <w:shd w:val="clear" w:fill="FFFFFF"/>
        </w:rPr>
        <w:t>根据《安全生产违法行为行政处罚办法》（原安监总局第15号令）第六十八条“本办法所称的生产经营单位，是指合法和非法从事生产或者经营活动的基本单元，包括企业法人、不具备企业法人资格的合伙组织、个体工商户和自然人等生产经营主体”的规定，经事故调查组调查认定，</w:t>
      </w:r>
      <w:r>
        <w:rPr>
          <w:rFonts w:hint="eastAsia" w:ascii="仿宋" w:hAnsi="仿宋" w:eastAsia="仿宋" w:cs="仿宋"/>
          <w:i w:val="0"/>
          <w:iCs w:val="0"/>
          <w:caps w:val="0"/>
          <w:color w:val="525353"/>
          <w:spacing w:val="0"/>
          <w:sz w:val="32"/>
          <w:szCs w:val="32"/>
          <w:shd w:val="clear" w:fill="FFFFFF"/>
          <w:lang w:eastAsia="zh-CN"/>
        </w:rPr>
        <w:t>李海辛</w:t>
      </w:r>
      <w:r>
        <w:rPr>
          <w:rFonts w:hint="eastAsia" w:ascii="仿宋" w:hAnsi="仿宋" w:eastAsia="仿宋" w:cs="仿宋"/>
          <w:kern w:val="0"/>
          <w:sz w:val="32"/>
          <w:szCs w:val="32"/>
          <w:lang w:val="en-US" w:eastAsia="zh-CN" w:bidi="ar"/>
        </w:rPr>
        <w:t>承接涉案广告牌工程，独立开展生产经营活动，具备生产经营单位的实质属性，</w:t>
      </w:r>
      <w:r>
        <w:rPr>
          <w:rFonts w:hint="eastAsia" w:ascii="仿宋" w:hAnsi="仿宋" w:eastAsia="仿宋" w:cs="仿宋"/>
          <w:i w:val="0"/>
          <w:iCs w:val="0"/>
          <w:caps w:val="0"/>
          <w:color w:val="525353"/>
          <w:spacing w:val="0"/>
          <w:sz w:val="32"/>
          <w:szCs w:val="32"/>
          <w:shd w:val="clear" w:fill="FFFFFF"/>
        </w:rPr>
        <w:t>应视为自然人生产经营主体。</w:t>
      </w:r>
      <w:r>
        <w:rPr>
          <w:rFonts w:hint="eastAsia" w:ascii="仿宋" w:hAnsi="仿宋" w:eastAsia="仿宋" w:cs="仿宋"/>
          <w:sz w:val="32"/>
          <w:szCs w:val="32"/>
        </w:rPr>
        <w:t>其行为违反了《中华人民共和国安全生产法》</w:t>
      </w:r>
      <w:r>
        <w:rPr>
          <w:rFonts w:hint="eastAsia" w:ascii="仿宋" w:hAnsi="仿宋" w:eastAsia="仿宋" w:cs="仿宋"/>
          <w:strike w:val="0"/>
          <w:dstrike w:val="0"/>
          <w:sz w:val="32"/>
          <w:szCs w:val="32"/>
        </w:rPr>
        <w:t>四十九条第</w:t>
      </w:r>
      <w:r>
        <w:rPr>
          <w:rFonts w:hint="eastAsia" w:ascii="仿宋" w:hAnsi="仿宋" w:eastAsia="仿宋" w:cs="仿宋"/>
          <w:strike w:val="0"/>
          <w:dstrike w:val="0"/>
          <w:sz w:val="32"/>
          <w:szCs w:val="32"/>
          <w:lang w:eastAsia="zh-CN"/>
        </w:rPr>
        <w:t>二</w:t>
      </w:r>
      <w:r>
        <w:rPr>
          <w:rFonts w:hint="eastAsia" w:ascii="仿宋" w:hAnsi="仿宋" w:eastAsia="仿宋" w:cs="仿宋"/>
          <w:strike w:val="0"/>
          <w:dstrike w:val="0"/>
          <w:sz w:val="32"/>
          <w:szCs w:val="32"/>
        </w:rPr>
        <w:t>款</w:t>
      </w:r>
      <w:r>
        <w:rPr>
          <w:rStyle w:val="11"/>
          <w:rFonts w:hint="eastAsia" w:ascii="仿宋" w:hAnsi="仿宋" w:eastAsia="仿宋" w:cs="仿宋"/>
          <w:strike w:val="0"/>
          <w:dstrike w:val="0"/>
          <w:sz w:val="32"/>
          <w:szCs w:val="32"/>
        </w:rPr>
        <w:footnoteReference w:id="2"/>
      </w:r>
      <w:r>
        <w:rPr>
          <w:rFonts w:hint="eastAsia" w:ascii="仿宋" w:hAnsi="仿宋" w:eastAsia="仿宋" w:cs="仿宋"/>
          <w:sz w:val="32"/>
          <w:szCs w:val="32"/>
        </w:rPr>
        <w:t>的规定。</w:t>
      </w:r>
      <w:r>
        <w:rPr>
          <w:rFonts w:hint="eastAsia" w:ascii="仿宋" w:hAnsi="仿宋" w:eastAsia="仿宋" w:cs="仿宋"/>
          <w:kern w:val="2"/>
          <w:sz w:val="32"/>
          <w:szCs w:val="32"/>
          <w:lang w:val="en-US" w:eastAsia="zh-CN" w:bidi="ar-SA"/>
        </w:rPr>
        <w:t>建议由都昌县应急管理局依据《中华人民共和国安全生产法》第一百零三条第二款</w:t>
      </w:r>
      <w:r>
        <w:rPr>
          <w:rStyle w:val="11"/>
          <w:rFonts w:hint="eastAsia" w:ascii="仿宋" w:hAnsi="仿宋" w:eastAsia="仿宋" w:cs="仿宋"/>
          <w:kern w:val="2"/>
          <w:sz w:val="32"/>
          <w:szCs w:val="32"/>
          <w:lang w:val="en-US" w:eastAsia="zh-CN" w:bidi="ar-SA"/>
        </w:rPr>
        <w:footnoteReference w:id="3"/>
      </w:r>
      <w:r>
        <w:rPr>
          <w:rFonts w:hint="eastAsia" w:ascii="仿宋" w:hAnsi="仿宋" w:eastAsia="仿宋" w:cs="仿宋"/>
          <w:kern w:val="2"/>
          <w:sz w:val="32"/>
          <w:szCs w:val="32"/>
          <w:lang w:val="en-US" w:eastAsia="zh-CN" w:bidi="ar-SA"/>
        </w:rPr>
        <w:t>，给予行政处罚。</w:t>
      </w:r>
    </w:p>
    <w:p w14:paraId="1895B501">
      <w:pPr>
        <w:pStyle w:val="12"/>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都昌峻翼超市</w:t>
      </w:r>
      <w:r>
        <w:rPr>
          <w:rFonts w:hint="eastAsia" w:ascii="仿宋" w:hAnsi="仿宋" w:eastAsia="仿宋" w:cs="仿宋"/>
          <w:sz w:val="32"/>
          <w:szCs w:val="32"/>
          <w:lang w:eastAsia="zh-CN"/>
        </w:rPr>
        <w:t>。</w:t>
      </w:r>
      <w:r>
        <w:rPr>
          <w:rFonts w:hint="eastAsia" w:ascii="仿宋" w:hAnsi="仿宋" w:eastAsia="仿宋" w:cs="仿宋"/>
          <w:sz w:val="32"/>
          <w:szCs w:val="32"/>
        </w:rPr>
        <w:t>对事故发生负有</w:t>
      </w:r>
      <w:r>
        <w:rPr>
          <w:rFonts w:hint="eastAsia" w:ascii="仿宋" w:hAnsi="仿宋" w:eastAsia="仿宋" w:cs="仿宋"/>
          <w:sz w:val="32"/>
          <w:szCs w:val="32"/>
          <w:lang w:eastAsia="zh-CN"/>
        </w:rPr>
        <w:t>管理</w:t>
      </w:r>
      <w:r>
        <w:rPr>
          <w:rFonts w:hint="eastAsia" w:ascii="仿宋" w:hAnsi="仿宋" w:eastAsia="仿宋" w:cs="仿宋"/>
          <w:sz w:val="32"/>
          <w:szCs w:val="32"/>
        </w:rPr>
        <w:t>责任。其行为违反了《中华人民共和国安全生产法》</w:t>
      </w:r>
      <w:r>
        <w:rPr>
          <w:rFonts w:hint="eastAsia" w:ascii="仿宋" w:hAnsi="仿宋" w:eastAsia="仿宋" w:cs="仿宋"/>
          <w:sz w:val="32"/>
          <w:szCs w:val="32"/>
          <w:lang w:eastAsia="zh-CN"/>
        </w:rPr>
        <w:t>第</w:t>
      </w:r>
      <w:r>
        <w:rPr>
          <w:rFonts w:hint="eastAsia" w:ascii="仿宋" w:hAnsi="仿宋" w:eastAsia="仿宋" w:cs="仿宋"/>
          <w:strike w:val="0"/>
          <w:dstrike w:val="0"/>
          <w:sz w:val="32"/>
          <w:szCs w:val="32"/>
        </w:rPr>
        <w:t>四十九条第</w:t>
      </w:r>
      <w:r>
        <w:rPr>
          <w:rFonts w:hint="eastAsia" w:ascii="仿宋" w:hAnsi="仿宋" w:eastAsia="仿宋" w:cs="仿宋"/>
          <w:strike w:val="0"/>
          <w:dstrike w:val="0"/>
          <w:sz w:val="32"/>
          <w:szCs w:val="32"/>
          <w:lang w:eastAsia="zh-CN"/>
        </w:rPr>
        <w:t>二</w:t>
      </w:r>
      <w:r>
        <w:rPr>
          <w:rFonts w:hint="eastAsia" w:ascii="仿宋" w:hAnsi="仿宋" w:eastAsia="仿宋" w:cs="仿宋"/>
          <w:strike w:val="0"/>
          <w:dstrike w:val="0"/>
          <w:sz w:val="32"/>
          <w:szCs w:val="32"/>
        </w:rPr>
        <w:t>款</w:t>
      </w:r>
      <w:r>
        <w:rPr>
          <w:rFonts w:hint="eastAsia" w:ascii="仿宋" w:hAnsi="仿宋" w:eastAsia="仿宋" w:cs="仿宋"/>
          <w:sz w:val="32"/>
          <w:szCs w:val="32"/>
        </w:rPr>
        <w:t>的规定。</w:t>
      </w:r>
      <w:r>
        <w:rPr>
          <w:rFonts w:hint="eastAsia" w:ascii="仿宋" w:hAnsi="仿宋" w:eastAsia="仿宋" w:cs="仿宋"/>
          <w:kern w:val="2"/>
          <w:sz w:val="32"/>
          <w:szCs w:val="32"/>
          <w:lang w:val="en-US" w:eastAsia="zh-CN" w:bidi="ar-SA"/>
        </w:rPr>
        <w:t>建议由都昌县应急管理局依据《中华人民共和国安全生产法》第一百零三条第二款，给予行政处罚。</w:t>
      </w:r>
    </w:p>
    <w:p w14:paraId="49DE5A3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四</w:t>
      </w:r>
      <w:r>
        <w:rPr>
          <w:rFonts w:hint="eastAsia" w:ascii="宋体" w:hAnsi="宋体" w:eastAsia="宋体" w:cs="宋体"/>
          <w:b/>
          <w:bCs/>
          <w:sz w:val="32"/>
          <w:szCs w:val="32"/>
          <w:lang w:eastAsia="zh-CN"/>
        </w:rPr>
        <w:t>、</w:t>
      </w:r>
      <w:r>
        <w:rPr>
          <w:rFonts w:hint="eastAsia" w:ascii="宋体" w:hAnsi="宋体" w:eastAsia="宋体" w:cs="宋体"/>
          <w:b/>
          <w:bCs/>
          <w:sz w:val="32"/>
          <w:szCs w:val="32"/>
        </w:rPr>
        <w:t>事故防范和整改措施建议</w:t>
      </w:r>
    </w:p>
    <w:p w14:paraId="6F117CA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为深刻吸取教训，严防类似事故再次发生，特提出以下措施建议：</w:t>
      </w:r>
    </w:p>
    <w:p w14:paraId="2EB1D869">
      <w:pPr>
        <w:keepNext w:val="0"/>
        <w:keepLines w:val="0"/>
        <w:pageBreakBefore w:val="0"/>
        <w:numPr>
          <w:ilvl w:val="0"/>
          <w:numId w:val="0"/>
        </w:numPr>
        <w:kinsoku/>
        <w:overflowPunct/>
        <w:topLinePunct w:val="0"/>
        <w:bidi w:val="0"/>
        <w:spacing w:beforeAutospacing="0" w:line="24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（一）县城市管理</w:t>
      </w:r>
      <w:r>
        <w:rPr>
          <w:rFonts w:hint="eastAsia" w:ascii="仿宋" w:hAnsi="仿宋" w:eastAsia="仿宋" w:cs="仿宋"/>
          <w:sz w:val="32"/>
          <w:szCs w:val="32"/>
        </w:rPr>
        <w:t>局依法履行</w:t>
      </w:r>
      <w:r>
        <w:rPr>
          <w:rFonts w:hint="eastAsia" w:ascii="仿宋" w:hAnsi="仿宋" w:eastAsia="仿宋" w:cs="仿宋"/>
          <w:sz w:val="32"/>
          <w:szCs w:val="32"/>
          <w:lang w:val="en-US" w:eastAsia="zh-CN"/>
        </w:rPr>
        <w:t>广告安装</w:t>
      </w:r>
      <w:r>
        <w:rPr>
          <w:rFonts w:hint="eastAsia" w:ascii="仿宋" w:hAnsi="仿宋" w:eastAsia="仿宋" w:cs="仿宋"/>
          <w:sz w:val="32"/>
          <w:szCs w:val="32"/>
        </w:rPr>
        <w:t>监督管理职责，对</w:t>
      </w:r>
      <w:r>
        <w:rPr>
          <w:rFonts w:hint="eastAsia" w:ascii="仿宋" w:hAnsi="仿宋" w:eastAsia="仿宋" w:cs="仿宋"/>
          <w:sz w:val="32"/>
          <w:szCs w:val="32"/>
          <w:lang w:val="en-US" w:eastAsia="zh-CN"/>
        </w:rPr>
        <w:t>广告安装</w:t>
      </w:r>
      <w:r>
        <w:rPr>
          <w:rFonts w:hint="eastAsia" w:ascii="仿宋" w:hAnsi="仿宋" w:eastAsia="仿宋" w:cs="仿宋"/>
          <w:sz w:val="32"/>
          <w:szCs w:val="32"/>
        </w:rPr>
        <w:t>行业执行有关安全生产法律、法规和国家标准或者行业标准情况进行监督检查。</w:t>
      </w:r>
      <w:r>
        <w:rPr>
          <w:rFonts w:hint="eastAsia" w:ascii="仿宋" w:hAnsi="仿宋" w:eastAsia="仿宋" w:cs="仿宋"/>
          <w:i w:val="0"/>
          <w:iCs w:val="0"/>
          <w:caps w:val="0"/>
          <w:color w:val="000000"/>
          <w:spacing w:val="0"/>
          <w:sz w:val="32"/>
          <w:szCs w:val="32"/>
          <w:shd w:val="clear" w:color="auto" w:fill="FFFFFF"/>
        </w:rPr>
        <w:t>严格落实限额以下建设工程申报登记、完工告知制度，统一协调工程安全管理工作，做好安全隐患排查整改闭环管理</w:t>
      </w:r>
      <w:r>
        <w:rPr>
          <w:rFonts w:hint="eastAsia" w:ascii="仿宋" w:hAnsi="仿宋" w:eastAsia="仿宋" w:cs="仿宋"/>
          <w:i w:val="0"/>
          <w:iCs w:val="0"/>
          <w:caps w:val="0"/>
          <w:color w:val="000000"/>
          <w:spacing w:val="0"/>
          <w:sz w:val="32"/>
          <w:szCs w:val="32"/>
          <w:shd w:val="clear" w:color="auto" w:fill="FFFFFF"/>
          <w:lang w:eastAsia="zh-CN"/>
        </w:rPr>
        <w:t>。</w:t>
      </w:r>
    </w:p>
    <w:p w14:paraId="454CD492">
      <w:pPr>
        <w:keepNext w:val="0"/>
        <w:keepLines w:val="0"/>
        <w:pageBreakBefore w:val="0"/>
        <w:kinsoku/>
        <w:overflowPunct/>
        <w:topLinePunct w:val="0"/>
        <w:bidi w:val="0"/>
        <w:spacing w:before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（二）县</w:t>
      </w:r>
      <w:r>
        <w:rPr>
          <w:rFonts w:hint="eastAsia" w:ascii="仿宋" w:hAnsi="仿宋" w:eastAsia="仿宋" w:cs="仿宋"/>
          <w:sz w:val="32"/>
          <w:szCs w:val="32"/>
        </w:rPr>
        <w:t>商务局按照管行业必须管安全的原则，加强商贸行业的日常管理，指导、督促其建立并落实安全风险分级管控和隐患排查治理双重预防工作机制，及时消除事故隐患。</w:t>
      </w:r>
    </w:p>
    <w:p w14:paraId="32FAC14C">
      <w:pPr>
        <w:keepNext w:val="0"/>
        <w:keepLines w:val="0"/>
        <w:pageBreakBefore w:val="0"/>
        <w:kinsoku/>
        <w:overflowPunct/>
        <w:topLinePunct w:val="0"/>
        <w:bidi w:val="0"/>
        <w:spacing w:beforeAutospacing="0" w:line="24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（三）县住建部门要按照</w:t>
      </w:r>
      <w:r>
        <w:rPr>
          <w:rFonts w:hint="eastAsia" w:ascii="仿宋" w:hAnsi="仿宋" w:eastAsia="仿宋" w:cs="仿宋"/>
          <w:b w:val="0"/>
          <w:bCs w:val="0"/>
          <w:sz w:val="32"/>
          <w:szCs w:val="32"/>
          <w:lang w:val="en-US" w:eastAsia="zh-CN"/>
        </w:rPr>
        <w:t>《</w:t>
      </w:r>
      <w:r>
        <w:rPr>
          <w:rFonts w:hint="eastAsia" w:ascii="仿宋" w:hAnsi="仿宋" w:eastAsia="仿宋" w:cs="仿宋"/>
          <w:b w:val="0"/>
          <w:bCs w:val="0"/>
          <w:i w:val="0"/>
          <w:iCs w:val="0"/>
          <w:caps w:val="0"/>
          <w:color w:val="333333"/>
          <w:spacing w:val="0"/>
          <w:sz w:val="32"/>
          <w:szCs w:val="32"/>
          <w:shd w:val="clear" w:fill="FFFFFF"/>
        </w:rPr>
        <w:t>江西省安委会办公室 江西省住房和城乡建设厅关于健全完善限额以下建设工程安全监管机制的通知</w:t>
      </w:r>
      <w:r>
        <w:rPr>
          <w:rFonts w:hint="eastAsia" w:ascii="仿宋" w:hAnsi="仿宋" w:eastAsia="仿宋" w:cs="仿宋"/>
          <w:b w:val="0"/>
          <w:bCs w:val="0"/>
          <w:i w:val="0"/>
          <w:iCs w:val="0"/>
          <w:caps w:val="0"/>
          <w:color w:val="333333"/>
          <w:spacing w:val="0"/>
          <w:sz w:val="32"/>
          <w:szCs w:val="32"/>
          <w:shd w:val="clear" w:fill="FFFFFF"/>
          <w:lang w:eastAsia="zh-CN"/>
        </w:rPr>
        <w:t>》要求，</w:t>
      </w:r>
      <w:r>
        <w:rPr>
          <w:rFonts w:hint="eastAsia" w:ascii="仿宋" w:hAnsi="仿宋" w:eastAsia="仿宋" w:cs="仿宋"/>
          <w:i w:val="0"/>
          <w:iCs w:val="0"/>
          <w:caps w:val="0"/>
          <w:color w:val="000000"/>
          <w:spacing w:val="0"/>
          <w:sz w:val="32"/>
          <w:szCs w:val="32"/>
          <w:shd w:val="clear" w:fill="FFFFFF"/>
        </w:rPr>
        <w:t>负责督促指导房屋建筑和市政基础设施限额以下建设工程安全生产监督管理，开展施工安全相关业务培训。对辖区内限额以下建设工程安全生产进行监督管理，指导乡（镇）、街道办制定施工安全告知书，对乡（镇）、街道办上报或群众举报的安全生产隐患和违法违规行为依法进行调查处理。</w:t>
      </w:r>
    </w:p>
    <w:p w14:paraId="317A9082">
      <w:pPr>
        <w:pStyle w:val="6"/>
        <w:keepNext w:val="0"/>
        <w:keepLines w:val="0"/>
        <w:pageBreakBefore w:val="0"/>
        <w:widowControl/>
        <w:suppressLineNumbers w:val="0"/>
        <w:kinsoku/>
        <w:overflowPunct/>
        <w:topLinePunct w:val="0"/>
        <w:bidi w:val="0"/>
        <w:spacing w:beforeAutospacing="0" w:afterAutospacing="0" w:line="240" w:lineRule="auto"/>
        <w:ind w:firstLine="640" w:firstLineChars="200"/>
        <w:textAlignment w:val="auto"/>
        <w:rPr>
          <w:rFonts w:hint="eastAsia" w:ascii="仿宋" w:hAnsi="仿宋" w:eastAsia="仿宋" w:cs="仿宋"/>
          <w:sz w:val="32"/>
          <w:szCs w:val="32"/>
        </w:rPr>
      </w:pPr>
      <w:bookmarkStart w:id="0" w:name="_Toc1347_WPSOffice_Level1"/>
      <w:bookmarkStart w:id="1" w:name="_Toc21622_WPSOffice_Level1"/>
      <w:bookmarkStart w:id="2" w:name="_Toc16558_WPSOffice_Level1"/>
      <w:bookmarkStart w:id="3" w:name="_Toc24265_WPSOffice_Level1"/>
      <w:r>
        <w:rPr>
          <w:rFonts w:hint="eastAsia" w:ascii="仿宋" w:hAnsi="仿宋" w:eastAsia="仿宋" w:cs="仿宋"/>
          <w:sz w:val="32"/>
          <w:szCs w:val="32"/>
          <w:lang w:val="en-US" w:eastAsia="zh-CN"/>
        </w:rPr>
        <w:t>（四）都昌县都昌镇政府要</w:t>
      </w:r>
      <w:r>
        <w:rPr>
          <w:rFonts w:hint="eastAsia" w:ascii="仿宋" w:hAnsi="仿宋" w:eastAsia="仿宋" w:cs="仿宋"/>
          <w:sz w:val="32"/>
          <w:szCs w:val="32"/>
        </w:rPr>
        <w:t>按照安全生产属地管理原则，持续开展辖区内生产经营单位的安全隐患排查治理工作，确保辖区内生产经营单位安全生产主体责任落实到位。</w:t>
      </w:r>
      <w:r>
        <w:rPr>
          <w:rFonts w:hint="eastAsia" w:ascii="仿宋" w:hAnsi="仿宋" w:eastAsia="仿宋" w:cs="仿宋"/>
          <w:i w:val="0"/>
          <w:iCs w:val="0"/>
          <w:caps w:val="0"/>
          <w:color w:val="000000"/>
          <w:spacing w:val="0"/>
          <w:sz w:val="32"/>
          <w:szCs w:val="32"/>
          <w:shd w:val="clear" w:color="auto" w:fill="FFFFFF"/>
        </w:rPr>
        <w:t>对限额以下建设工程，发放施工安全告知书，明确安全生产注意事项和禁止行为，对不符合规定要求的提醒整改。按照履职清单和现有安全管理体制、网格化管理制度，做好辖区内限额以下建设工程日常安全巡查特种作业人员是否持证上岗、消防设施是否配备、安全防护用品和防护措施是否落实等情况，并做好工作记录，实行闭环管理。</w:t>
      </w:r>
    </w:p>
    <w:p w14:paraId="10EF5852">
      <w:pPr>
        <w:keepNext w:val="0"/>
        <w:keepLines w:val="0"/>
        <w:pageBreakBefore w:val="0"/>
        <w:widowControl w:val="0"/>
        <w:kinsoku/>
        <w:wordWrap/>
        <w:overflowPunct/>
        <w:topLinePunct w:val="0"/>
        <w:autoSpaceDE/>
        <w:autoSpaceDN/>
        <w:bidi w:val="0"/>
        <w:adjustRightInd/>
        <w:snapToGrid/>
        <w:spacing w:beforeAutospacing="0" w:line="240" w:lineRule="auto"/>
        <w:ind w:firstLine="640" w:firstLineChars="200"/>
        <w:jc w:val="left"/>
        <w:textAlignment w:val="auto"/>
        <w:outlineLvl w:val="9"/>
        <w:rPr>
          <w:rFonts w:hint="eastAsia" w:ascii="仿宋" w:hAnsi="仿宋" w:eastAsia="仿宋" w:cs="仿宋"/>
          <w:sz w:val="32"/>
          <w:szCs w:val="32"/>
        </w:rPr>
      </w:pPr>
    </w:p>
    <w:p w14:paraId="0B99F5A7">
      <w:pPr>
        <w:keepNext w:val="0"/>
        <w:keepLines w:val="0"/>
        <w:pageBreakBefore w:val="0"/>
        <w:widowControl w:val="0"/>
        <w:kinsoku/>
        <w:wordWrap/>
        <w:overflowPunct/>
        <w:topLinePunct w:val="0"/>
        <w:autoSpaceDE/>
        <w:autoSpaceDN/>
        <w:bidi w:val="0"/>
        <w:adjustRightInd/>
        <w:snapToGrid/>
        <w:spacing w:beforeAutospacing="0" w:line="240" w:lineRule="auto"/>
        <w:ind w:firstLine="640" w:firstLineChars="200"/>
        <w:jc w:val="left"/>
        <w:textAlignment w:val="auto"/>
        <w:outlineLvl w:val="9"/>
        <w:rPr>
          <w:rFonts w:hint="eastAsia" w:ascii="仿宋" w:hAnsi="仿宋" w:eastAsia="仿宋" w:cs="仿宋"/>
          <w:b w:val="0"/>
          <w:bCs w:val="0"/>
          <w:color w:val="auto"/>
          <w:sz w:val="32"/>
          <w:szCs w:val="32"/>
        </w:rPr>
      </w:pPr>
      <w:r>
        <w:rPr>
          <w:rFonts w:hint="eastAsia" w:ascii="仿宋" w:hAnsi="仿宋" w:eastAsia="仿宋" w:cs="仿宋"/>
          <w:sz w:val="32"/>
          <w:szCs w:val="32"/>
        </w:rPr>
        <w:t>附件：1.</w:t>
      </w:r>
      <w:bookmarkEnd w:id="0"/>
      <w:bookmarkEnd w:id="1"/>
      <w:bookmarkEnd w:id="2"/>
      <w:bookmarkEnd w:id="3"/>
      <w:r>
        <w:rPr>
          <w:rFonts w:hint="eastAsia" w:ascii="仿宋" w:hAnsi="仿宋" w:eastAsia="仿宋" w:cs="仿宋"/>
          <w:sz w:val="32"/>
          <w:szCs w:val="32"/>
          <w:lang w:val="en-US" w:eastAsia="zh-CN"/>
        </w:rPr>
        <w:t>事故调查组成员名单</w:t>
      </w:r>
    </w:p>
    <w:p w14:paraId="0FBDB648">
      <w:pPr>
        <w:keepNext w:val="0"/>
        <w:keepLines w:val="0"/>
        <w:pageBreakBefore w:val="0"/>
        <w:widowControl w:val="0"/>
        <w:kinsoku/>
        <w:wordWrap/>
        <w:overflowPunct/>
        <w:topLinePunct w:val="0"/>
        <w:autoSpaceDE/>
        <w:autoSpaceDN/>
        <w:bidi w:val="0"/>
        <w:adjustRightInd/>
        <w:snapToGrid/>
        <w:spacing w:beforeAutospacing="0" w:line="240" w:lineRule="auto"/>
        <w:ind w:firstLine="1600" w:firstLineChars="5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2.事故调查报告讨论意见签到表</w:t>
      </w:r>
    </w:p>
    <w:p w14:paraId="3F623114">
      <w:pPr>
        <w:keepNext w:val="0"/>
        <w:keepLines w:val="0"/>
        <w:pageBreakBefore w:val="0"/>
        <w:widowControl/>
        <w:kinsoku/>
        <w:overflowPunct/>
        <w:topLinePunct w:val="0"/>
        <w:autoSpaceDE/>
        <w:autoSpaceDN/>
        <w:bidi w:val="0"/>
        <w:adjustRightInd/>
        <w:snapToGrid/>
        <w:spacing w:beforeAutospacing="0" w:line="240" w:lineRule="auto"/>
        <w:ind w:firstLine="1600" w:firstLineChars="500"/>
        <w:textAlignment w:val="auto"/>
        <w:outlineLvl w:val="9"/>
        <w:rPr>
          <w:rFonts w:hint="eastAsia" w:ascii="黑体" w:hAnsi="黑体" w:eastAsia="黑体" w:cs="黑体"/>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.事故直接经济损失</w:t>
      </w:r>
      <w:r>
        <w:rPr>
          <w:rFonts w:hint="eastAsia" w:ascii="仿宋" w:hAnsi="仿宋" w:eastAsia="仿宋" w:cs="仿宋"/>
          <w:sz w:val="32"/>
          <w:szCs w:val="32"/>
          <w:lang w:val="en-US" w:eastAsia="zh-CN"/>
        </w:rPr>
        <w:t>统计表</w:t>
      </w:r>
      <w:r>
        <w:rPr>
          <w:rFonts w:hint="eastAsia" w:ascii="仿宋" w:hAnsi="仿宋" w:eastAsia="仿宋" w:cs="仿宋"/>
          <w:sz w:val="32"/>
          <w:szCs w:val="32"/>
        </w:rPr>
        <w:t xml:space="preserve">       </w:t>
      </w:r>
      <w:bookmarkStart w:id="4" w:name="_Toc3469_WPSOffice_Level1"/>
    </w:p>
    <w:p w14:paraId="21B6F9E7">
      <w:pPr>
        <w:pStyle w:val="3"/>
        <w:outlineLvl w:val="0"/>
        <w:rPr>
          <w:rFonts w:hint="eastAsia" w:ascii="黑体" w:hAnsi="黑体" w:eastAsia="黑体" w:cs="黑体"/>
          <w:sz w:val="32"/>
          <w:szCs w:val="32"/>
        </w:rPr>
      </w:pPr>
    </w:p>
    <w:p w14:paraId="54599692">
      <w:pPr>
        <w:pStyle w:val="3"/>
        <w:outlineLvl w:val="0"/>
        <w:rPr>
          <w:rFonts w:hint="eastAsia" w:ascii="黑体" w:hAnsi="黑体" w:eastAsia="黑体" w:cs="黑体"/>
          <w:sz w:val="32"/>
          <w:szCs w:val="32"/>
        </w:rPr>
      </w:pPr>
    </w:p>
    <w:p w14:paraId="6AB7A338">
      <w:pPr>
        <w:pStyle w:val="3"/>
        <w:outlineLvl w:val="0"/>
        <w:rPr>
          <w:rFonts w:hint="eastAsia" w:ascii="黑体" w:hAnsi="黑体" w:eastAsia="黑体" w:cs="黑体"/>
          <w:sz w:val="32"/>
          <w:szCs w:val="32"/>
        </w:rPr>
      </w:pPr>
    </w:p>
    <w:p w14:paraId="0F571F92">
      <w:pPr>
        <w:pStyle w:val="3"/>
        <w:outlineLvl w:val="0"/>
        <w:rPr>
          <w:rFonts w:hint="eastAsia" w:ascii="黑体" w:hAnsi="黑体" w:eastAsia="黑体" w:cs="黑体"/>
          <w:sz w:val="32"/>
          <w:szCs w:val="32"/>
        </w:rPr>
      </w:pPr>
    </w:p>
    <w:p w14:paraId="7C1D525B">
      <w:pPr>
        <w:pStyle w:val="3"/>
        <w:outlineLvl w:val="0"/>
        <w:rPr>
          <w:rFonts w:hint="eastAsia" w:ascii="黑体" w:hAnsi="黑体" w:eastAsia="黑体" w:cs="黑体"/>
          <w:sz w:val="32"/>
          <w:szCs w:val="32"/>
        </w:rPr>
      </w:pPr>
    </w:p>
    <w:p w14:paraId="65754EB8">
      <w:pPr>
        <w:pStyle w:val="3"/>
        <w:outlineLvl w:val="0"/>
        <w:rPr>
          <w:rFonts w:hint="eastAsia" w:ascii="黑体" w:hAnsi="黑体" w:eastAsia="黑体" w:cs="黑体"/>
          <w:sz w:val="32"/>
          <w:szCs w:val="32"/>
        </w:rPr>
      </w:pPr>
    </w:p>
    <w:p w14:paraId="52DF20DA">
      <w:pPr>
        <w:pStyle w:val="3"/>
        <w:outlineLvl w:val="0"/>
        <w:rPr>
          <w:rFonts w:hint="eastAsia" w:ascii="黑体" w:hAnsi="黑体" w:eastAsia="黑体" w:cs="黑体"/>
          <w:sz w:val="32"/>
          <w:szCs w:val="32"/>
        </w:rPr>
      </w:pPr>
    </w:p>
    <w:p w14:paraId="4173B30A">
      <w:pPr>
        <w:pStyle w:val="3"/>
        <w:outlineLvl w:val="0"/>
        <w:rPr>
          <w:rFonts w:hint="eastAsia" w:ascii="黑体" w:hAnsi="黑体" w:eastAsia="黑体" w:cs="黑体"/>
          <w:sz w:val="32"/>
          <w:szCs w:val="32"/>
        </w:rPr>
      </w:pPr>
    </w:p>
    <w:p w14:paraId="769940B3">
      <w:pPr>
        <w:pStyle w:val="3"/>
        <w:outlineLvl w:val="0"/>
        <w:rPr>
          <w:rFonts w:hint="eastAsia" w:ascii="黑体" w:hAnsi="黑体" w:eastAsia="黑体" w:cs="黑体"/>
          <w:sz w:val="32"/>
          <w:szCs w:val="32"/>
        </w:rPr>
      </w:pPr>
    </w:p>
    <w:p w14:paraId="1C2D5E92">
      <w:pPr>
        <w:pStyle w:val="3"/>
        <w:outlineLvl w:val="0"/>
        <w:rPr>
          <w:rFonts w:hint="eastAsia" w:ascii="黑体" w:hAnsi="黑体" w:eastAsia="黑体" w:cs="黑体"/>
          <w:sz w:val="32"/>
          <w:szCs w:val="32"/>
        </w:rPr>
      </w:pPr>
    </w:p>
    <w:p w14:paraId="46BD9FAA">
      <w:pPr>
        <w:pStyle w:val="3"/>
        <w:outlineLvl w:val="0"/>
        <w:rPr>
          <w:rFonts w:hint="eastAsia" w:ascii="黑体" w:hAnsi="黑体" w:eastAsia="黑体" w:cs="黑体"/>
          <w:sz w:val="32"/>
          <w:szCs w:val="32"/>
        </w:rPr>
      </w:pPr>
    </w:p>
    <w:p w14:paraId="02719265">
      <w:pPr>
        <w:pStyle w:val="3"/>
        <w:outlineLvl w:val="0"/>
        <w:rPr>
          <w:rFonts w:hint="eastAsia" w:ascii="黑体" w:hAnsi="黑体" w:eastAsia="黑体" w:cs="黑体"/>
          <w:sz w:val="32"/>
          <w:szCs w:val="32"/>
        </w:rPr>
      </w:pPr>
    </w:p>
    <w:p w14:paraId="7F598374">
      <w:pPr>
        <w:pStyle w:val="3"/>
        <w:outlineLvl w:val="0"/>
        <w:rPr>
          <w:rFonts w:hint="eastAsia" w:ascii="黑体" w:hAnsi="黑体" w:eastAsia="黑体" w:cs="黑体"/>
          <w:sz w:val="32"/>
          <w:szCs w:val="32"/>
        </w:rPr>
      </w:pPr>
    </w:p>
    <w:p w14:paraId="7FD437D1">
      <w:pPr>
        <w:pStyle w:val="3"/>
        <w:outlineLvl w:val="0"/>
        <w:rPr>
          <w:rFonts w:hint="eastAsia" w:ascii="黑体" w:hAnsi="黑体" w:eastAsia="黑体" w:cs="黑体"/>
          <w:sz w:val="32"/>
          <w:szCs w:val="32"/>
        </w:rPr>
      </w:pPr>
    </w:p>
    <w:p w14:paraId="599C5459">
      <w:pPr>
        <w:pStyle w:val="3"/>
        <w:outlineLvl w:val="0"/>
        <w:rPr>
          <w:rFonts w:hint="eastAsia" w:ascii="黑体" w:hAnsi="黑体" w:eastAsia="黑体" w:cs="黑体"/>
          <w:sz w:val="32"/>
          <w:szCs w:val="32"/>
        </w:rPr>
      </w:pPr>
    </w:p>
    <w:p w14:paraId="45398B34">
      <w:pPr>
        <w:pStyle w:val="3"/>
        <w:outlineLvl w:val="0"/>
        <w:rPr>
          <w:rFonts w:hint="eastAsia" w:ascii="黑体" w:hAnsi="黑体" w:eastAsia="黑体" w:cs="黑体"/>
          <w:sz w:val="32"/>
          <w:szCs w:val="32"/>
        </w:rPr>
      </w:pPr>
    </w:p>
    <w:p w14:paraId="70991AD4">
      <w:pPr>
        <w:pStyle w:val="3"/>
        <w:outlineLvl w:val="0"/>
        <w:rPr>
          <w:rFonts w:hint="eastAsia" w:ascii="黑体" w:hAnsi="黑体" w:eastAsia="黑体" w:cs="黑体"/>
          <w:sz w:val="32"/>
          <w:szCs w:val="32"/>
        </w:rPr>
      </w:pPr>
    </w:p>
    <w:p w14:paraId="50BE6356">
      <w:pPr>
        <w:pStyle w:val="3"/>
        <w:outlineLvl w:val="0"/>
        <w:rPr>
          <w:rFonts w:hint="eastAsia" w:ascii="黑体" w:hAnsi="黑体" w:eastAsia="黑体" w:cs="黑体"/>
          <w:sz w:val="32"/>
          <w:szCs w:val="32"/>
        </w:rPr>
      </w:pPr>
    </w:p>
    <w:p w14:paraId="65F12D9C">
      <w:pPr>
        <w:pStyle w:val="3"/>
        <w:outlineLvl w:val="0"/>
        <w:rPr>
          <w:rFonts w:hint="eastAsia" w:ascii="黑体" w:hAnsi="黑体" w:eastAsia="黑体" w:cs="黑体"/>
          <w:sz w:val="32"/>
          <w:szCs w:val="32"/>
        </w:rPr>
      </w:pPr>
    </w:p>
    <w:p w14:paraId="0F9F180A">
      <w:pPr>
        <w:pStyle w:val="3"/>
        <w:outlineLvl w:val="0"/>
        <w:rPr>
          <w:rFonts w:hint="eastAsia" w:ascii="黑体" w:hAnsi="黑体" w:eastAsia="黑体" w:cs="黑体"/>
          <w:sz w:val="32"/>
          <w:szCs w:val="32"/>
        </w:rPr>
      </w:pPr>
    </w:p>
    <w:p w14:paraId="13FD4EF4">
      <w:pPr>
        <w:pStyle w:val="3"/>
        <w:outlineLvl w:val="0"/>
        <w:rPr>
          <w:rFonts w:hint="eastAsia" w:ascii="黑体" w:hAnsi="黑体" w:eastAsia="黑体" w:cs="黑体"/>
          <w:sz w:val="32"/>
          <w:szCs w:val="32"/>
        </w:rPr>
      </w:pPr>
    </w:p>
    <w:p w14:paraId="47D68D79">
      <w:pPr>
        <w:pStyle w:val="3"/>
        <w:outlineLvl w:val="0"/>
        <w:rPr>
          <w:rFonts w:hint="eastAsia" w:ascii="黑体" w:hAnsi="黑体" w:eastAsia="黑体" w:cs="黑体"/>
          <w:sz w:val="32"/>
          <w:szCs w:val="32"/>
        </w:rPr>
      </w:pPr>
    </w:p>
    <w:p w14:paraId="0EF3461B">
      <w:pPr>
        <w:pStyle w:val="3"/>
        <w:outlineLvl w:val="0"/>
        <w:rPr>
          <w:rFonts w:hint="eastAsia" w:ascii="黑体" w:hAnsi="黑体" w:eastAsia="黑体" w:cs="黑体"/>
          <w:sz w:val="32"/>
          <w:szCs w:val="32"/>
        </w:rPr>
      </w:pPr>
    </w:p>
    <w:p w14:paraId="715F0652">
      <w:pPr>
        <w:pStyle w:val="3"/>
        <w:outlineLvl w:val="0"/>
        <w:rPr>
          <w:rFonts w:hint="eastAsia" w:ascii="黑体" w:hAnsi="黑体" w:eastAsia="黑体" w:cs="黑体"/>
          <w:sz w:val="32"/>
          <w:szCs w:val="32"/>
          <w:lang w:val="en-US" w:eastAsia="zh-CN"/>
        </w:rPr>
      </w:pPr>
      <w:r>
        <w:rPr>
          <w:rFonts w:hint="eastAsia" w:ascii="黑体" w:hAnsi="黑体" w:eastAsia="黑体" w:cs="黑体"/>
          <w:sz w:val="32"/>
          <w:szCs w:val="32"/>
        </w:rPr>
        <w:t>附件1</w:t>
      </w:r>
      <w:r>
        <w:rPr>
          <w:rFonts w:hint="eastAsia" w:ascii="黑体" w:hAnsi="黑体" w:eastAsia="黑体" w:cs="黑体"/>
          <w:sz w:val="32"/>
          <w:szCs w:val="32"/>
          <w:lang w:val="en-US" w:eastAsia="zh-CN"/>
        </w:rPr>
        <w:t xml:space="preserve"> ：事故调查组成员名单</w:t>
      </w:r>
      <w:bookmarkEnd w:id="4"/>
    </w:p>
    <w:p w14:paraId="23DAABC9">
      <w:pPr>
        <w:pStyle w:val="3"/>
        <w:rPr>
          <w:rFonts w:hint="eastAsia" w:ascii="黑体" w:hAnsi="黑体" w:eastAsia="黑体" w:cs="黑体"/>
          <w:sz w:val="32"/>
          <w:szCs w:val="32"/>
        </w:rPr>
      </w:pPr>
    </w:p>
    <w:p w14:paraId="705B3A6B">
      <w:pPr>
        <w:keepNext/>
        <w:keepLines/>
        <w:pageBreakBefore w:val="0"/>
        <w:widowControl w:val="0"/>
        <w:kinsoku/>
        <w:wordWrap/>
        <w:overflowPunct/>
        <w:topLinePunct w:val="0"/>
        <w:autoSpaceDE/>
        <w:autoSpaceDN/>
        <w:bidi w:val="0"/>
        <w:adjustRightInd/>
        <w:snapToGrid/>
        <w:spacing w:before="0" w:after="0" w:line="560" w:lineRule="exact"/>
        <w:jc w:val="center"/>
        <w:textAlignment w:val="auto"/>
        <w:outlineLvl w:val="9"/>
        <w:rPr>
          <w:rFonts w:hint="eastAsia" w:ascii="仿宋" w:hAnsi="仿宋" w:eastAsia="仿宋" w:cs="仿宋"/>
          <w:b w:val="0"/>
          <w:bCs w:val="0"/>
          <w:color w:val="auto"/>
          <w:sz w:val="32"/>
          <w:szCs w:val="32"/>
        </w:rPr>
      </w:pPr>
      <w:r>
        <w:rPr>
          <w:rFonts w:hint="eastAsia" w:ascii="仿宋" w:hAnsi="仿宋" w:eastAsia="仿宋" w:cs="仿宋"/>
          <w:kern w:val="2"/>
          <w:sz w:val="32"/>
          <w:szCs w:val="32"/>
          <w:lang w:val="en-US" w:eastAsia="zh-CN" w:bidi="ar-SA"/>
        </w:rPr>
        <w:t>都昌县生鲜一号超市（东风大道三公里）</w:t>
      </w: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val="en-US" w:eastAsia="zh-CN"/>
        </w:rPr>
        <w:t>7</w:t>
      </w: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val="en-US" w:eastAsia="zh-CN"/>
        </w:rPr>
        <w:t>29</w:t>
      </w:r>
      <w:bookmarkStart w:id="9" w:name="_GoBack"/>
      <w:bookmarkEnd w:id="9"/>
      <w:r>
        <w:rPr>
          <w:rFonts w:hint="eastAsia" w:ascii="仿宋" w:hAnsi="仿宋" w:eastAsia="仿宋" w:cs="仿宋"/>
          <w:b w:val="0"/>
          <w:bCs w:val="0"/>
          <w:color w:val="auto"/>
          <w:sz w:val="32"/>
          <w:szCs w:val="32"/>
        </w:rPr>
        <w:t>”</w:t>
      </w:r>
    </w:p>
    <w:p w14:paraId="685CDE27">
      <w:pPr>
        <w:keepNext/>
        <w:keepLines/>
        <w:pageBreakBefore w:val="0"/>
        <w:widowControl w:val="0"/>
        <w:kinsoku/>
        <w:wordWrap/>
        <w:overflowPunct/>
        <w:topLinePunct w:val="0"/>
        <w:autoSpaceDE/>
        <w:autoSpaceDN/>
        <w:bidi w:val="0"/>
        <w:adjustRightInd/>
        <w:snapToGrid/>
        <w:spacing w:before="0" w:after="0" w:line="560" w:lineRule="exact"/>
        <w:jc w:val="center"/>
        <w:textAlignment w:val="auto"/>
        <w:outlineLvl w:val="9"/>
        <w:rPr>
          <w:rFonts w:hint="default" w:ascii="宋体" w:hAnsi="宋体" w:eastAsia="仿宋" w:cs="宋体"/>
          <w:bCs/>
          <w:kern w:val="2"/>
          <w:sz w:val="28"/>
          <w:szCs w:val="56"/>
          <w:lang w:val="en-US" w:eastAsia="zh-CN"/>
        </w:rPr>
      </w:pPr>
      <w:r>
        <w:rPr>
          <w:rFonts w:hint="eastAsia" w:ascii="仿宋" w:hAnsi="仿宋" w:eastAsia="仿宋" w:cs="仿宋"/>
          <w:b w:val="0"/>
          <w:bCs w:val="0"/>
          <w:color w:val="auto"/>
          <w:sz w:val="32"/>
          <w:szCs w:val="32"/>
          <w:lang w:val="en-US" w:eastAsia="zh-CN"/>
        </w:rPr>
        <w:t>一般触电事故</w:t>
      </w:r>
    </w:p>
    <w:tbl>
      <w:tblPr>
        <w:tblStyle w:val="8"/>
        <w:tblpPr w:leftFromText="180" w:rightFromText="180" w:vertAnchor="text" w:horzAnchor="page" w:tblpX="1929" w:tblpY="50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2491"/>
        <w:gridCol w:w="2491"/>
        <w:gridCol w:w="2491"/>
      </w:tblGrid>
      <w:tr w14:paraId="0BA3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435" w:type="dxa"/>
            <w:noWrap w:val="0"/>
            <w:vAlign w:val="center"/>
          </w:tcPr>
          <w:p w14:paraId="7C5F0F44">
            <w:pPr>
              <w:spacing w:line="560" w:lineRule="exact"/>
              <w:jc w:val="center"/>
              <w:rPr>
                <w:rFonts w:hint="eastAsia" w:ascii="黑体" w:hAnsi="黑体" w:eastAsia="黑体" w:cs="黑体"/>
                <w:b/>
                <w:sz w:val="32"/>
                <w:szCs w:val="32"/>
                <w:lang w:eastAsia="zh-CN"/>
              </w:rPr>
            </w:pPr>
            <w:r>
              <w:rPr>
                <w:rFonts w:hint="eastAsia" w:ascii="黑体" w:hAnsi="黑体" w:eastAsia="黑体" w:cs="黑体"/>
                <w:b/>
                <w:sz w:val="32"/>
                <w:szCs w:val="32"/>
                <w:lang w:eastAsia="zh-CN"/>
              </w:rPr>
              <w:t>姓名</w:t>
            </w:r>
          </w:p>
        </w:tc>
        <w:tc>
          <w:tcPr>
            <w:tcW w:w="2491" w:type="dxa"/>
            <w:noWrap w:val="0"/>
            <w:vAlign w:val="center"/>
          </w:tcPr>
          <w:p w14:paraId="67755C98">
            <w:pPr>
              <w:spacing w:line="560" w:lineRule="exact"/>
              <w:jc w:val="both"/>
              <w:rPr>
                <w:rFonts w:hint="default" w:ascii="黑体" w:hAnsi="黑体" w:eastAsia="黑体" w:cs="黑体"/>
                <w:b/>
                <w:sz w:val="32"/>
                <w:szCs w:val="32"/>
                <w:lang w:val="en-US" w:eastAsia="zh-CN"/>
              </w:rPr>
            </w:pPr>
            <w:r>
              <w:rPr>
                <w:rFonts w:hint="eastAsia" w:ascii="黑体" w:hAnsi="黑体" w:eastAsia="黑体" w:cs="黑体"/>
                <w:b/>
                <w:sz w:val="32"/>
                <w:szCs w:val="32"/>
                <w:lang w:val="en-US" w:eastAsia="zh-CN"/>
              </w:rPr>
              <w:t xml:space="preserve"> 单位</w:t>
            </w:r>
          </w:p>
        </w:tc>
        <w:tc>
          <w:tcPr>
            <w:tcW w:w="2491" w:type="dxa"/>
            <w:noWrap w:val="0"/>
            <w:vAlign w:val="center"/>
          </w:tcPr>
          <w:p w14:paraId="173EFD9D">
            <w:pPr>
              <w:spacing w:line="560" w:lineRule="exact"/>
              <w:jc w:val="center"/>
              <w:rPr>
                <w:rFonts w:hint="eastAsia" w:ascii="黑体" w:hAnsi="黑体" w:eastAsia="黑体" w:cs="黑体"/>
                <w:b/>
                <w:sz w:val="32"/>
                <w:szCs w:val="32"/>
                <w:lang w:eastAsia="zh-CN"/>
              </w:rPr>
            </w:pPr>
            <w:r>
              <w:rPr>
                <w:rFonts w:hint="eastAsia" w:ascii="黑体" w:hAnsi="黑体" w:eastAsia="黑体" w:cs="黑体"/>
                <w:b/>
                <w:sz w:val="32"/>
                <w:szCs w:val="32"/>
                <w:lang w:eastAsia="zh-CN"/>
              </w:rPr>
              <w:t>职务</w:t>
            </w:r>
          </w:p>
        </w:tc>
        <w:tc>
          <w:tcPr>
            <w:tcW w:w="2491" w:type="dxa"/>
            <w:noWrap w:val="0"/>
            <w:vAlign w:val="center"/>
          </w:tcPr>
          <w:p w14:paraId="257C1FE6">
            <w:pPr>
              <w:spacing w:line="560" w:lineRule="exact"/>
              <w:jc w:val="center"/>
              <w:rPr>
                <w:rFonts w:hint="eastAsia" w:ascii="黑体" w:hAnsi="黑体" w:eastAsia="黑体" w:cs="黑体"/>
                <w:b/>
                <w:sz w:val="32"/>
                <w:szCs w:val="32"/>
                <w:lang w:eastAsia="zh-CN"/>
              </w:rPr>
            </w:pPr>
            <w:r>
              <w:rPr>
                <w:rFonts w:hint="eastAsia" w:ascii="黑体" w:hAnsi="黑体" w:eastAsia="黑体" w:cs="黑体"/>
                <w:b/>
                <w:sz w:val="32"/>
                <w:szCs w:val="32"/>
                <w:lang w:eastAsia="zh-CN"/>
              </w:rPr>
              <w:t>备注</w:t>
            </w:r>
          </w:p>
        </w:tc>
      </w:tr>
      <w:tr w14:paraId="52BE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138CF407">
            <w:pPr>
              <w:snapToGrid w:val="0"/>
              <w:spacing w:line="5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万小璜</w:t>
            </w:r>
          </w:p>
        </w:tc>
        <w:tc>
          <w:tcPr>
            <w:tcW w:w="567" w:type="dxa"/>
            <w:noWrap w:val="0"/>
            <w:vAlign w:val="center"/>
          </w:tcPr>
          <w:p w14:paraId="750C64FA">
            <w:pPr>
              <w:snapToGrid w:val="0"/>
              <w:spacing w:line="560" w:lineRule="exact"/>
              <w:jc w:val="center"/>
              <w:rPr>
                <w:rFonts w:hint="eastAsia" w:ascii="仿宋" w:hAnsi="仿宋" w:eastAsia="仿宋" w:cs="仿宋"/>
                <w:sz w:val="24"/>
                <w:szCs w:val="24"/>
              </w:rPr>
            </w:pPr>
            <w:r>
              <w:rPr>
                <w:rFonts w:hint="eastAsia" w:ascii="仿宋" w:hAnsi="仿宋" w:eastAsia="仿宋" w:cs="仿宋"/>
                <w:sz w:val="24"/>
                <w:szCs w:val="24"/>
              </w:rPr>
              <w:t>县应急管理局</w:t>
            </w:r>
          </w:p>
        </w:tc>
        <w:tc>
          <w:tcPr>
            <w:tcW w:w="567" w:type="dxa"/>
            <w:noWrap w:val="0"/>
            <w:vAlign w:val="center"/>
          </w:tcPr>
          <w:p w14:paraId="3D96CB1D">
            <w:pPr>
              <w:snapToGrid w:val="0"/>
              <w:spacing w:line="56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书记、局长</w:t>
            </w:r>
          </w:p>
        </w:tc>
        <w:tc>
          <w:tcPr>
            <w:tcW w:w="567" w:type="dxa"/>
            <w:noWrap w:val="0"/>
            <w:vAlign w:val="center"/>
          </w:tcPr>
          <w:p w14:paraId="3182DAA4">
            <w:pPr>
              <w:snapToGrid w:val="0"/>
              <w:spacing w:line="560" w:lineRule="exact"/>
              <w:jc w:val="center"/>
              <w:rPr>
                <w:rFonts w:hint="eastAsia" w:ascii="仿宋" w:hAnsi="仿宋" w:eastAsia="仿宋" w:cs="仿宋"/>
                <w:sz w:val="24"/>
                <w:szCs w:val="24"/>
              </w:rPr>
            </w:pPr>
          </w:p>
        </w:tc>
      </w:tr>
      <w:tr w14:paraId="2E79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13F319FA">
            <w:pPr>
              <w:snapToGrid w:val="0"/>
              <w:spacing w:line="560" w:lineRule="exact"/>
              <w:jc w:val="center"/>
              <w:rPr>
                <w:rFonts w:hint="eastAsia" w:ascii="仿宋" w:hAnsi="仿宋" w:eastAsia="仿宋" w:cs="仿宋"/>
                <w:sz w:val="24"/>
                <w:szCs w:val="24"/>
              </w:rPr>
            </w:pPr>
            <w:r>
              <w:rPr>
                <w:rFonts w:hint="eastAsia" w:ascii="仿宋" w:hAnsi="仿宋" w:eastAsia="仿宋" w:cs="仿宋"/>
                <w:sz w:val="24"/>
                <w:szCs w:val="24"/>
              </w:rPr>
              <w:t>彭  玮</w:t>
            </w:r>
          </w:p>
        </w:tc>
        <w:tc>
          <w:tcPr>
            <w:tcW w:w="567" w:type="dxa"/>
            <w:noWrap w:val="0"/>
            <w:vAlign w:val="center"/>
          </w:tcPr>
          <w:p w14:paraId="3394E4C1">
            <w:pPr>
              <w:snapToGrid w:val="0"/>
              <w:spacing w:line="560" w:lineRule="exact"/>
              <w:jc w:val="center"/>
              <w:rPr>
                <w:rFonts w:hint="eastAsia" w:ascii="仿宋" w:hAnsi="仿宋" w:eastAsia="仿宋" w:cs="仿宋"/>
                <w:sz w:val="24"/>
                <w:szCs w:val="24"/>
              </w:rPr>
            </w:pPr>
            <w:r>
              <w:rPr>
                <w:rFonts w:hint="eastAsia" w:ascii="仿宋" w:hAnsi="仿宋" w:eastAsia="仿宋" w:cs="仿宋"/>
                <w:sz w:val="24"/>
                <w:szCs w:val="24"/>
              </w:rPr>
              <w:t>县应急管理局</w:t>
            </w:r>
          </w:p>
        </w:tc>
        <w:tc>
          <w:tcPr>
            <w:tcW w:w="567" w:type="dxa"/>
            <w:noWrap w:val="0"/>
            <w:vAlign w:val="center"/>
          </w:tcPr>
          <w:p w14:paraId="102EFBF7">
            <w:pPr>
              <w:snapToGrid w:val="0"/>
              <w:spacing w:line="560" w:lineRule="exact"/>
              <w:jc w:val="center"/>
              <w:rPr>
                <w:rFonts w:hint="eastAsia" w:ascii="仿宋" w:hAnsi="仿宋" w:eastAsia="仿宋" w:cs="仿宋"/>
                <w:sz w:val="24"/>
                <w:szCs w:val="24"/>
              </w:rPr>
            </w:pPr>
            <w:r>
              <w:rPr>
                <w:rFonts w:hint="eastAsia" w:ascii="仿宋" w:hAnsi="仿宋" w:eastAsia="仿宋" w:cs="仿宋"/>
                <w:sz w:val="24"/>
                <w:szCs w:val="24"/>
              </w:rPr>
              <w:t>三级主任科员</w:t>
            </w:r>
          </w:p>
        </w:tc>
        <w:tc>
          <w:tcPr>
            <w:tcW w:w="567" w:type="dxa"/>
            <w:noWrap w:val="0"/>
            <w:vAlign w:val="center"/>
          </w:tcPr>
          <w:p w14:paraId="43E613B5">
            <w:pPr>
              <w:snapToGrid w:val="0"/>
              <w:spacing w:line="560" w:lineRule="exact"/>
              <w:jc w:val="center"/>
              <w:rPr>
                <w:rFonts w:hint="eastAsia" w:ascii="仿宋" w:hAnsi="仿宋" w:eastAsia="仿宋" w:cs="仿宋"/>
                <w:sz w:val="24"/>
                <w:szCs w:val="24"/>
              </w:rPr>
            </w:pPr>
          </w:p>
        </w:tc>
      </w:tr>
      <w:tr w14:paraId="53EB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5ADA61A4">
            <w:pPr>
              <w:snapToGrid w:val="0"/>
              <w:spacing w:line="56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谭建华</w:t>
            </w:r>
          </w:p>
        </w:tc>
        <w:tc>
          <w:tcPr>
            <w:tcW w:w="567" w:type="dxa"/>
            <w:noWrap w:val="0"/>
            <w:vAlign w:val="center"/>
          </w:tcPr>
          <w:p w14:paraId="70C43C3E">
            <w:pPr>
              <w:snapToGrid w:val="0"/>
              <w:spacing w:line="560" w:lineRule="exact"/>
              <w:ind w:firstLine="480" w:firstLineChars="200"/>
              <w:jc w:val="both"/>
              <w:rPr>
                <w:rFonts w:hint="eastAsia" w:ascii="仿宋" w:hAnsi="仿宋" w:eastAsia="仿宋" w:cs="仿宋"/>
                <w:sz w:val="24"/>
                <w:szCs w:val="24"/>
                <w:lang w:eastAsia="zh-CN"/>
              </w:rPr>
            </w:pPr>
            <w:r>
              <w:rPr>
                <w:rFonts w:hint="eastAsia" w:ascii="仿宋" w:hAnsi="仿宋" w:eastAsia="仿宋" w:cs="仿宋"/>
                <w:sz w:val="24"/>
                <w:szCs w:val="24"/>
              </w:rPr>
              <w:t>县公安局</w:t>
            </w:r>
          </w:p>
        </w:tc>
        <w:tc>
          <w:tcPr>
            <w:tcW w:w="567" w:type="dxa"/>
            <w:noWrap w:val="0"/>
            <w:vAlign w:val="center"/>
          </w:tcPr>
          <w:p w14:paraId="571841EF">
            <w:pPr>
              <w:snapToGrid w:val="0"/>
              <w:spacing w:line="560" w:lineRule="exact"/>
              <w:ind w:firstLine="240" w:firstLineChars="100"/>
              <w:jc w:val="both"/>
              <w:rPr>
                <w:rFonts w:hint="eastAsia" w:ascii="仿宋" w:hAnsi="仿宋" w:eastAsia="仿宋" w:cs="仿宋"/>
                <w:sz w:val="24"/>
                <w:szCs w:val="24"/>
              </w:rPr>
            </w:pPr>
            <w:r>
              <w:rPr>
                <w:rFonts w:hint="eastAsia" w:ascii="仿宋" w:hAnsi="仿宋" w:eastAsia="仿宋" w:cs="仿宋"/>
                <w:sz w:val="24"/>
                <w:szCs w:val="24"/>
              </w:rPr>
              <w:t>副</w:t>
            </w:r>
            <w:r>
              <w:rPr>
                <w:rFonts w:hint="eastAsia" w:ascii="仿宋" w:hAnsi="仿宋" w:eastAsia="仿宋" w:cs="仿宋"/>
                <w:sz w:val="24"/>
                <w:szCs w:val="24"/>
                <w:lang w:eastAsia="zh-CN"/>
              </w:rPr>
              <w:t>政委</w:t>
            </w:r>
          </w:p>
        </w:tc>
        <w:tc>
          <w:tcPr>
            <w:tcW w:w="567" w:type="dxa"/>
            <w:noWrap w:val="0"/>
            <w:vAlign w:val="center"/>
          </w:tcPr>
          <w:p w14:paraId="67F56EB9">
            <w:pPr>
              <w:snapToGrid w:val="0"/>
              <w:spacing w:line="560" w:lineRule="exact"/>
              <w:ind w:firstLine="960" w:firstLineChars="400"/>
              <w:jc w:val="both"/>
              <w:rPr>
                <w:rFonts w:hint="eastAsia" w:ascii="仿宋" w:hAnsi="仿宋" w:eastAsia="仿宋" w:cs="仿宋"/>
                <w:sz w:val="24"/>
                <w:szCs w:val="24"/>
              </w:rPr>
            </w:pPr>
          </w:p>
        </w:tc>
      </w:tr>
      <w:tr w14:paraId="5DF7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0F634EF4">
            <w:pPr>
              <w:snapToGrid w:val="0"/>
              <w:spacing w:line="5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王文明</w:t>
            </w:r>
          </w:p>
        </w:tc>
        <w:tc>
          <w:tcPr>
            <w:tcW w:w="567" w:type="dxa"/>
            <w:noWrap w:val="0"/>
            <w:vAlign w:val="center"/>
          </w:tcPr>
          <w:p w14:paraId="5190C498">
            <w:pPr>
              <w:spacing w:line="12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rPr>
              <w:t>县</w:t>
            </w:r>
            <w:r>
              <w:rPr>
                <w:rFonts w:hint="eastAsia" w:ascii="仿宋" w:hAnsi="仿宋" w:eastAsia="仿宋" w:cs="仿宋"/>
                <w:sz w:val="24"/>
                <w:szCs w:val="24"/>
                <w:lang w:val="en-US" w:eastAsia="zh-CN"/>
              </w:rPr>
              <w:t>总工会</w:t>
            </w:r>
          </w:p>
        </w:tc>
        <w:tc>
          <w:tcPr>
            <w:tcW w:w="567" w:type="dxa"/>
            <w:noWrap w:val="0"/>
            <w:vAlign w:val="center"/>
          </w:tcPr>
          <w:p w14:paraId="08F6D165">
            <w:pPr>
              <w:spacing w:line="120" w:lineRule="auto"/>
              <w:ind w:firstLine="240" w:firstLineChars="100"/>
              <w:rPr>
                <w:rFonts w:hint="eastAsia" w:ascii="仿宋" w:hAnsi="仿宋" w:eastAsia="仿宋" w:cs="仿宋"/>
                <w:sz w:val="24"/>
                <w:szCs w:val="24"/>
              </w:rPr>
            </w:pPr>
            <w:r>
              <w:rPr>
                <w:rFonts w:hint="eastAsia" w:ascii="仿宋" w:hAnsi="仿宋" w:eastAsia="仿宋" w:cs="仿宋"/>
                <w:sz w:val="24"/>
                <w:szCs w:val="24"/>
                <w:lang w:val="en-US" w:eastAsia="zh-CN"/>
              </w:rPr>
              <w:t>副主席</w:t>
            </w:r>
          </w:p>
        </w:tc>
        <w:tc>
          <w:tcPr>
            <w:tcW w:w="567" w:type="dxa"/>
            <w:noWrap w:val="0"/>
            <w:vAlign w:val="center"/>
          </w:tcPr>
          <w:p w14:paraId="6CD1E71A">
            <w:pPr>
              <w:spacing w:line="120" w:lineRule="auto"/>
              <w:ind w:firstLine="960" w:firstLineChars="400"/>
              <w:rPr>
                <w:rFonts w:hint="eastAsia" w:ascii="仿宋" w:hAnsi="仿宋" w:eastAsia="仿宋" w:cs="仿宋"/>
                <w:sz w:val="24"/>
                <w:szCs w:val="24"/>
              </w:rPr>
            </w:pPr>
          </w:p>
        </w:tc>
      </w:tr>
      <w:tr w14:paraId="35FB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5B32FA85">
            <w:pPr>
              <w:snapToGrid w:val="0"/>
              <w:spacing w:line="5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张孔圣</w:t>
            </w:r>
          </w:p>
        </w:tc>
        <w:tc>
          <w:tcPr>
            <w:tcW w:w="567" w:type="dxa"/>
            <w:noWrap w:val="0"/>
            <w:vAlign w:val="center"/>
          </w:tcPr>
          <w:p w14:paraId="17FB8A0C">
            <w:pPr>
              <w:spacing w:line="120" w:lineRule="auto"/>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都昌镇</w:t>
            </w:r>
          </w:p>
        </w:tc>
        <w:tc>
          <w:tcPr>
            <w:tcW w:w="567" w:type="dxa"/>
            <w:noWrap w:val="0"/>
            <w:vAlign w:val="center"/>
          </w:tcPr>
          <w:p w14:paraId="5D9569AC">
            <w:pPr>
              <w:spacing w:line="120" w:lineRule="auto"/>
              <w:ind w:firstLine="240" w:firstLineChars="1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常务副镇长</w:t>
            </w:r>
          </w:p>
        </w:tc>
        <w:tc>
          <w:tcPr>
            <w:tcW w:w="567" w:type="dxa"/>
            <w:noWrap w:val="0"/>
            <w:vAlign w:val="center"/>
          </w:tcPr>
          <w:p w14:paraId="4CAE1008">
            <w:pPr>
              <w:spacing w:line="120" w:lineRule="auto"/>
              <w:ind w:firstLine="960" w:firstLineChars="400"/>
              <w:rPr>
                <w:rFonts w:hint="default" w:ascii="仿宋" w:hAnsi="仿宋" w:eastAsia="仿宋" w:cs="仿宋"/>
                <w:sz w:val="24"/>
                <w:szCs w:val="24"/>
                <w:lang w:val="en-US" w:eastAsia="zh-CN"/>
              </w:rPr>
            </w:pPr>
          </w:p>
        </w:tc>
      </w:tr>
      <w:tr w14:paraId="44C7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5BC5D122">
            <w:pPr>
              <w:snapToGrid w:val="0"/>
              <w:spacing w:line="56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刘辉</w:t>
            </w:r>
          </w:p>
        </w:tc>
        <w:tc>
          <w:tcPr>
            <w:tcW w:w="567" w:type="dxa"/>
            <w:noWrap w:val="0"/>
            <w:vAlign w:val="center"/>
          </w:tcPr>
          <w:p w14:paraId="2468E27F">
            <w:pPr>
              <w:snapToGrid w:val="0"/>
              <w:spacing w:line="56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都昌镇</w:t>
            </w:r>
          </w:p>
        </w:tc>
        <w:tc>
          <w:tcPr>
            <w:tcW w:w="567" w:type="dxa"/>
            <w:noWrap w:val="0"/>
            <w:vAlign w:val="center"/>
          </w:tcPr>
          <w:p w14:paraId="74F208D0">
            <w:pPr>
              <w:snapToGrid w:val="0"/>
              <w:spacing w:line="560" w:lineRule="exact"/>
              <w:jc w:val="center"/>
              <w:rPr>
                <w:rFonts w:hint="eastAsia" w:ascii="仿宋" w:hAnsi="仿宋" w:eastAsia="仿宋" w:cs="仿宋"/>
                <w:sz w:val="24"/>
                <w:szCs w:val="24"/>
                <w:lang w:eastAsia="zh-CN"/>
              </w:rPr>
            </w:pPr>
          </w:p>
        </w:tc>
        <w:tc>
          <w:tcPr>
            <w:tcW w:w="567" w:type="dxa"/>
            <w:noWrap w:val="0"/>
            <w:vAlign w:val="center"/>
          </w:tcPr>
          <w:p w14:paraId="02E53317">
            <w:pPr>
              <w:snapToGrid w:val="0"/>
              <w:spacing w:line="56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9月份之后负责</w:t>
            </w:r>
          </w:p>
        </w:tc>
      </w:tr>
      <w:tr w14:paraId="235B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38A5E04A">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eastAsia="zh-CN"/>
              </w:rPr>
              <w:t>占</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旭</w:t>
            </w:r>
          </w:p>
        </w:tc>
        <w:tc>
          <w:tcPr>
            <w:tcW w:w="567" w:type="dxa"/>
            <w:noWrap w:val="0"/>
            <w:vAlign w:val="center"/>
          </w:tcPr>
          <w:p w14:paraId="524E42A6">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eastAsia="zh-CN"/>
              </w:rPr>
              <w:t>县住建局</w:t>
            </w:r>
          </w:p>
        </w:tc>
        <w:tc>
          <w:tcPr>
            <w:tcW w:w="567" w:type="dxa"/>
            <w:noWrap w:val="0"/>
            <w:vAlign w:val="center"/>
          </w:tcPr>
          <w:p w14:paraId="045F63A2">
            <w:pPr>
              <w:snapToGrid w:val="0"/>
              <w:spacing w:line="5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副局长</w:t>
            </w:r>
          </w:p>
        </w:tc>
        <w:tc>
          <w:tcPr>
            <w:tcW w:w="567" w:type="dxa"/>
            <w:noWrap w:val="0"/>
            <w:vAlign w:val="center"/>
          </w:tcPr>
          <w:p w14:paraId="2D129649">
            <w:pPr>
              <w:snapToGrid w:val="0"/>
              <w:spacing w:line="560" w:lineRule="exact"/>
              <w:jc w:val="center"/>
              <w:rPr>
                <w:rFonts w:hint="eastAsia" w:ascii="仿宋" w:hAnsi="仿宋" w:eastAsia="仿宋" w:cs="仿宋"/>
                <w:sz w:val="24"/>
                <w:szCs w:val="24"/>
                <w:lang w:val="en-US" w:eastAsia="zh-CN"/>
              </w:rPr>
            </w:pPr>
          </w:p>
        </w:tc>
      </w:tr>
      <w:tr w14:paraId="6AE7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61F7750F">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余文锋</w:t>
            </w:r>
          </w:p>
        </w:tc>
        <w:tc>
          <w:tcPr>
            <w:tcW w:w="567" w:type="dxa"/>
            <w:noWrap w:val="0"/>
            <w:vAlign w:val="center"/>
          </w:tcPr>
          <w:p w14:paraId="6488DF91">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县市监局</w:t>
            </w:r>
          </w:p>
        </w:tc>
        <w:tc>
          <w:tcPr>
            <w:tcW w:w="567" w:type="dxa"/>
            <w:noWrap w:val="0"/>
            <w:vAlign w:val="center"/>
          </w:tcPr>
          <w:p w14:paraId="594C75D9">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检验检测中心主任</w:t>
            </w:r>
          </w:p>
        </w:tc>
        <w:tc>
          <w:tcPr>
            <w:tcW w:w="567" w:type="dxa"/>
            <w:noWrap w:val="0"/>
            <w:vAlign w:val="center"/>
          </w:tcPr>
          <w:p w14:paraId="6B4771CA">
            <w:pPr>
              <w:snapToGrid w:val="0"/>
              <w:spacing w:line="560" w:lineRule="exact"/>
              <w:jc w:val="center"/>
              <w:rPr>
                <w:rFonts w:hint="eastAsia" w:ascii="仿宋" w:hAnsi="仿宋" w:eastAsia="仿宋" w:cs="仿宋"/>
                <w:kern w:val="2"/>
                <w:sz w:val="24"/>
                <w:szCs w:val="24"/>
                <w:lang w:val="en-US" w:eastAsia="zh-CN" w:bidi="ar-SA"/>
              </w:rPr>
            </w:pPr>
          </w:p>
        </w:tc>
      </w:tr>
      <w:tr w14:paraId="54A3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2E8CCA04">
            <w:pPr>
              <w:snapToGrid w:val="0"/>
              <w:spacing w:line="56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徐伟华</w:t>
            </w:r>
          </w:p>
        </w:tc>
        <w:tc>
          <w:tcPr>
            <w:tcW w:w="567" w:type="dxa"/>
            <w:noWrap w:val="0"/>
            <w:vAlign w:val="center"/>
          </w:tcPr>
          <w:p w14:paraId="41AF0672">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县市监局</w:t>
            </w:r>
          </w:p>
        </w:tc>
        <w:tc>
          <w:tcPr>
            <w:tcW w:w="567" w:type="dxa"/>
            <w:noWrap w:val="0"/>
            <w:vAlign w:val="center"/>
          </w:tcPr>
          <w:p w14:paraId="64DFA1C9">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副局长</w:t>
            </w:r>
          </w:p>
        </w:tc>
        <w:tc>
          <w:tcPr>
            <w:tcW w:w="567" w:type="dxa"/>
            <w:noWrap w:val="0"/>
            <w:vAlign w:val="center"/>
          </w:tcPr>
          <w:p w14:paraId="75867409">
            <w:pPr>
              <w:snapToGrid w:val="0"/>
              <w:spacing w:line="56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10月份之后负责</w:t>
            </w:r>
          </w:p>
        </w:tc>
      </w:tr>
      <w:tr w14:paraId="69F4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26399868">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江品毅</w:t>
            </w:r>
          </w:p>
        </w:tc>
        <w:tc>
          <w:tcPr>
            <w:tcW w:w="567" w:type="dxa"/>
            <w:noWrap w:val="0"/>
            <w:vAlign w:val="center"/>
          </w:tcPr>
          <w:p w14:paraId="71DE786B">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县应急管理局</w:t>
            </w:r>
          </w:p>
        </w:tc>
        <w:tc>
          <w:tcPr>
            <w:tcW w:w="567" w:type="dxa"/>
            <w:noWrap w:val="0"/>
            <w:vAlign w:val="center"/>
          </w:tcPr>
          <w:p w14:paraId="1D9161DD">
            <w:pPr>
              <w:snapToGrid w:val="0"/>
              <w:spacing w:line="560" w:lineRule="exact"/>
              <w:jc w:val="center"/>
              <w:rPr>
                <w:rFonts w:hint="eastAsia" w:ascii="仿宋" w:hAnsi="仿宋" w:eastAsia="仿宋" w:cs="仿宋"/>
                <w:sz w:val="24"/>
                <w:szCs w:val="24"/>
              </w:rPr>
            </w:pPr>
            <w:r>
              <w:rPr>
                <w:rFonts w:hint="eastAsia" w:ascii="仿宋" w:hAnsi="仿宋" w:eastAsia="仿宋" w:cs="仿宋"/>
                <w:sz w:val="24"/>
                <w:szCs w:val="24"/>
                <w:lang w:val="en-US" w:eastAsia="zh-CN"/>
              </w:rPr>
              <w:t>非煤矿山</w:t>
            </w:r>
            <w:r>
              <w:rPr>
                <w:rFonts w:hint="eastAsia" w:ascii="仿宋" w:hAnsi="仿宋" w:eastAsia="仿宋" w:cs="仿宋"/>
                <w:sz w:val="24"/>
                <w:szCs w:val="24"/>
              </w:rPr>
              <w:t>股负责人</w:t>
            </w:r>
          </w:p>
        </w:tc>
        <w:tc>
          <w:tcPr>
            <w:tcW w:w="567" w:type="dxa"/>
            <w:noWrap w:val="0"/>
            <w:vAlign w:val="center"/>
          </w:tcPr>
          <w:p w14:paraId="7729F2F6">
            <w:pPr>
              <w:snapToGrid w:val="0"/>
              <w:spacing w:line="560" w:lineRule="exact"/>
              <w:jc w:val="center"/>
              <w:rPr>
                <w:rFonts w:hint="eastAsia" w:ascii="仿宋" w:hAnsi="仿宋" w:eastAsia="仿宋" w:cs="仿宋"/>
                <w:sz w:val="24"/>
                <w:szCs w:val="24"/>
              </w:rPr>
            </w:pPr>
          </w:p>
        </w:tc>
      </w:tr>
      <w:tr w14:paraId="05E7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67" w:type="dxa"/>
            <w:noWrap w:val="0"/>
            <w:vAlign w:val="center"/>
          </w:tcPr>
          <w:p w14:paraId="5BFB1167">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江训硕</w:t>
            </w:r>
          </w:p>
        </w:tc>
        <w:tc>
          <w:tcPr>
            <w:tcW w:w="567" w:type="dxa"/>
            <w:noWrap w:val="0"/>
            <w:vAlign w:val="center"/>
          </w:tcPr>
          <w:p w14:paraId="396FB249">
            <w:pPr>
              <w:snapToGrid w:val="0"/>
              <w:spacing w:line="5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县应急管理局</w:t>
            </w:r>
          </w:p>
        </w:tc>
        <w:tc>
          <w:tcPr>
            <w:tcW w:w="567" w:type="dxa"/>
            <w:noWrap w:val="0"/>
            <w:vAlign w:val="center"/>
          </w:tcPr>
          <w:p w14:paraId="2F43C51E">
            <w:pPr>
              <w:snapToGrid w:val="0"/>
              <w:spacing w:line="560" w:lineRule="exact"/>
              <w:jc w:val="center"/>
              <w:rPr>
                <w:rFonts w:hint="eastAsia" w:ascii="仿宋" w:hAnsi="仿宋" w:eastAsia="仿宋" w:cs="仿宋"/>
                <w:sz w:val="24"/>
                <w:szCs w:val="24"/>
              </w:rPr>
            </w:pPr>
            <w:r>
              <w:rPr>
                <w:rFonts w:hint="eastAsia" w:ascii="仿宋" w:hAnsi="仿宋" w:eastAsia="仿宋" w:cs="仿宋"/>
                <w:sz w:val="24"/>
                <w:szCs w:val="24"/>
                <w:lang w:val="en-US" w:eastAsia="zh-CN"/>
              </w:rPr>
              <w:t>危化股负责人</w:t>
            </w:r>
          </w:p>
        </w:tc>
        <w:tc>
          <w:tcPr>
            <w:tcW w:w="567" w:type="dxa"/>
            <w:noWrap w:val="0"/>
            <w:vAlign w:val="center"/>
          </w:tcPr>
          <w:p w14:paraId="1571B2E3">
            <w:pPr>
              <w:snapToGrid w:val="0"/>
              <w:spacing w:line="560" w:lineRule="exact"/>
              <w:jc w:val="center"/>
              <w:rPr>
                <w:rFonts w:hint="eastAsia" w:ascii="仿宋" w:hAnsi="仿宋" w:eastAsia="仿宋" w:cs="仿宋"/>
                <w:sz w:val="24"/>
                <w:szCs w:val="24"/>
              </w:rPr>
            </w:pPr>
          </w:p>
        </w:tc>
      </w:tr>
    </w:tbl>
    <w:p w14:paraId="063999EB">
      <w:pPr>
        <w:pStyle w:val="3"/>
        <w:spacing w:line="560" w:lineRule="exact"/>
        <w:rPr>
          <w:rFonts w:ascii="Times New Roman" w:hAnsi="Times New Roman" w:eastAsia="仿宋_GB2312" w:cs="仿宋_GB2312"/>
          <w:spacing w:val="-6"/>
          <w:sz w:val="32"/>
          <w:szCs w:val="32"/>
        </w:rPr>
        <w:sectPr>
          <w:footerReference r:id="rId4" w:type="default"/>
          <w:pgSz w:w="11906" w:h="16838"/>
          <w:pgMar w:top="2098" w:right="1587" w:bottom="2098" w:left="1587" w:header="851" w:footer="1644" w:gutter="0"/>
          <w:pgNumType w:fmt="decimal" w:start="1"/>
          <w:cols w:space="720" w:num="1"/>
          <w:docGrid w:type="lines" w:linePitch="312" w:charSpace="0"/>
        </w:sectPr>
      </w:pPr>
    </w:p>
    <w:p w14:paraId="1E9D75AB">
      <w:pPr>
        <w:pStyle w:val="3"/>
        <w:outlineLvl w:val="0"/>
        <w:rPr>
          <w:rFonts w:hint="default" w:ascii="黑体" w:hAnsi="黑体" w:eastAsia="黑体" w:cs="黑体"/>
          <w:sz w:val="32"/>
          <w:szCs w:val="32"/>
          <w:lang w:val="en-US" w:eastAsia="zh-CN"/>
        </w:rPr>
        <w:sectPr>
          <w:footerReference r:id="rId5" w:type="default"/>
          <w:pgSz w:w="11906" w:h="16838"/>
          <w:pgMar w:top="2098" w:right="1474" w:bottom="1984" w:left="1587" w:header="851" w:footer="992" w:gutter="0"/>
          <w:pgNumType w:fmt="numberInDash"/>
          <w:cols w:space="720" w:num="1"/>
          <w:docGrid w:type="lines" w:linePitch="312" w:charSpace="0"/>
        </w:sectPr>
      </w:pPr>
      <w:r>
        <w:rPr>
          <w:rFonts w:hint="eastAsia" w:ascii="黑体" w:hAnsi="黑体" w:eastAsia="黑体" w:cs="黑体"/>
          <w:sz w:val="32"/>
          <w:szCs w:val="32"/>
          <w:lang w:val="en-US" w:eastAsia="zh-CN"/>
        </w:rPr>
        <w:t>附件2： 事故调查报告讨论意见签到表</w:t>
      </w:r>
    </w:p>
    <w:p w14:paraId="3BC98726">
      <w:pPr>
        <w:pStyle w:val="3"/>
        <w:outlineLvl w:val="0"/>
        <w:rPr>
          <w:rFonts w:hint="default" w:ascii="Times New Roman" w:hAnsi="Times New Roman" w:eastAsia="黑体" w:cs="仿宋_GB2312"/>
          <w:sz w:val="32"/>
          <w:szCs w:val="32"/>
          <w:lang w:val="en-US" w:eastAsia="zh-CN"/>
        </w:rPr>
      </w:pPr>
      <w:bookmarkStart w:id="5" w:name="_Toc13500_WPSOffice_Level1"/>
      <w:r>
        <w:rPr>
          <w:rFonts w:hint="eastAsia" w:ascii="黑体" w:hAnsi="黑体" w:eastAsia="黑体" w:cs="黑体"/>
          <w:sz w:val="32"/>
          <w:szCs w:val="32"/>
        </w:rPr>
        <w:t>附件</w:t>
      </w:r>
      <w:r>
        <w:rPr>
          <w:rFonts w:hint="eastAsia" w:ascii="黑体" w:hAnsi="黑体" w:eastAsia="黑体" w:cs="黑体"/>
          <w:sz w:val="32"/>
          <w:szCs w:val="32"/>
          <w:lang w:val="en-US" w:eastAsia="zh-CN"/>
        </w:rPr>
        <w:t>3： 事故直接经济损失统计表</w:t>
      </w:r>
      <w:bookmarkEnd w:id="5"/>
    </w:p>
    <w:p w14:paraId="647B591A">
      <w:pPr>
        <w:pStyle w:val="3"/>
        <w:jc w:val="center"/>
        <w:rPr>
          <w:rFonts w:hint="eastAsia" w:ascii="Times New Roman" w:hAnsi="Times New Roman" w:eastAsia="仿宋_GB2312" w:cs="仿宋_GB2312"/>
          <w:sz w:val="32"/>
          <w:szCs w:val="32"/>
        </w:rPr>
      </w:pPr>
    </w:p>
    <w:tbl>
      <w:tblPr>
        <w:tblStyle w:val="8"/>
        <w:tblpPr w:leftFromText="180" w:rightFromText="180" w:vertAnchor="text" w:horzAnchor="page" w:tblpXSpec="center" w:tblpY="73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1"/>
        <w:gridCol w:w="3291"/>
        <w:gridCol w:w="4262"/>
        <w:gridCol w:w="2946"/>
      </w:tblGrid>
      <w:tr w14:paraId="4568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2850" w:type="dxa"/>
            <w:gridSpan w:val="4"/>
            <w:noWrap w:val="0"/>
            <w:vAlign w:val="top"/>
          </w:tcPr>
          <w:p w14:paraId="4FE39B98">
            <w:pPr>
              <w:jc w:val="center"/>
              <w:rPr>
                <w:sz w:val="28"/>
                <w:szCs w:val="28"/>
              </w:rPr>
            </w:pPr>
            <w:bookmarkStart w:id="6" w:name="_Toc10746_WPSOffice_Level1"/>
            <w:bookmarkStart w:id="7" w:name="_Toc32155_WPSOffice_Level1"/>
            <w:bookmarkStart w:id="8" w:name="_Toc25191_WPSOffice_Level1"/>
            <w:r>
              <w:rPr>
                <w:rFonts w:hint="eastAsia"/>
                <w:b/>
                <w:bCs/>
                <w:sz w:val="44"/>
                <w:szCs w:val="52"/>
              </w:rPr>
              <w:t>事故直接经济损失统计表</w:t>
            </w:r>
            <w:bookmarkEnd w:id="6"/>
            <w:bookmarkEnd w:id="7"/>
            <w:bookmarkEnd w:id="8"/>
          </w:p>
        </w:tc>
      </w:tr>
      <w:tr w14:paraId="3608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2351" w:type="dxa"/>
            <w:noWrap w:val="0"/>
            <w:vAlign w:val="top"/>
          </w:tcPr>
          <w:p w14:paraId="4F6815C3">
            <w:pPr>
              <w:spacing w:line="360" w:lineRule="auto"/>
              <w:jc w:val="center"/>
              <w:rPr>
                <w:rFonts w:hint="eastAsia" w:ascii="黑体" w:hAnsi="黑体" w:eastAsia="黑体" w:cs="黑体"/>
                <w:sz w:val="28"/>
                <w:szCs w:val="28"/>
              </w:rPr>
            </w:pPr>
            <w:r>
              <w:rPr>
                <w:rFonts w:hint="eastAsia" w:ascii="黑体" w:hAnsi="黑体" w:eastAsia="黑体" w:cs="黑体"/>
                <w:sz w:val="28"/>
                <w:szCs w:val="28"/>
              </w:rPr>
              <w:t>名称</w:t>
            </w:r>
          </w:p>
        </w:tc>
        <w:tc>
          <w:tcPr>
            <w:tcW w:w="3291" w:type="dxa"/>
            <w:noWrap w:val="0"/>
            <w:vAlign w:val="top"/>
          </w:tcPr>
          <w:p w14:paraId="11841EB9">
            <w:pPr>
              <w:spacing w:line="360" w:lineRule="auto"/>
              <w:jc w:val="center"/>
              <w:rPr>
                <w:rFonts w:hint="eastAsia" w:ascii="黑体" w:hAnsi="黑体" w:eastAsia="黑体" w:cs="黑体"/>
                <w:sz w:val="28"/>
                <w:szCs w:val="28"/>
              </w:rPr>
            </w:pPr>
            <w:r>
              <w:rPr>
                <w:rFonts w:hint="eastAsia" w:ascii="黑体" w:hAnsi="黑体" w:eastAsia="黑体" w:cs="黑体"/>
                <w:sz w:val="28"/>
                <w:szCs w:val="28"/>
              </w:rPr>
              <w:t>小项</w:t>
            </w:r>
          </w:p>
        </w:tc>
        <w:tc>
          <w:tcPr>
            <w:tcW w:w="4262" w:type="dxa"/>
            <w:noWrap w:val="0"/>
            <w:vAlign w:val="top"/>
          </w:tcPr>
          <w:p w14:paraId="34AF1626">
            <w:pPr>
              <w:spacing w:line="360" w:lineRule="auto"/>
              <w:jc w:val="center"/>
              <w:rPr>
                <w:rFonts w:hint="eastAsia" w:ascii="黑体" w:hAnsi="黑体" w:eastAsia="黑体" w:cs="黑体"/>
                <w:sz w:val="28"/>
                <w:szCs w:val="28"/>
              </w:rPr>
            </w:pPr>
            <w:r>
              <w:rPr>
                <w:rFonts w:hint="eastAsia" w:ascii="黑体" w:hAnsi="黑体" w:eastAsia="黑体" w:cs="黑体"/>
                <w:sz w:val="28"/>
                <w:szCs w:val="28"/>
              </w:rPr>
              <w:t>费用</w:t>
            </w:r>
          </w:p>
        </w:tc>
        <w:tc>
          <w:tcPr>
            <w:tcW w:w="2946" w:type="dxa"/>
            <w:noWrap w:val="0"/>
            <w:vAlign w:val="top"/>
          </w:tcPr>
          <w:p w14:paraId="1DEE2587">
            <w:pPr>
              <w:spacing w:line="360" w:lineRule="auto"/>
              <w:jc w:val="center"/>
              <w:rPr>
                <w:rFonts w:hint="eastAsia" w:ascii="黑体" w:hAnsi="黑体" w:eastAsia="黑体" w:cs="黑体"/>
                <w:sz w:val="28"/>
                <w:szCs w:val="28"/>
              </w:rPr>
            </w:pPr>
            <w:r>
              <w:rPr>
                <w:rFonts w:hint="eastAsia" w:ascii="黑体" w:hAnsi="黑体" w:eastAsia="黑体" w:cs="黑体"/>
                <w:sz w:val="28"/>
                <w:szCs w:val="28"/>
              </w:rPr>
              <w:t>备注</w:t>
            </w:r>
          </w:p>
        </w:tc>
      </w:tr>
      <w:tr w14:paraId="5B4B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351" w:type="dxa"/>
            <w:noWrap w:val="0"/>
            <w:vAlign w:val="top"/>
          </w:tcPr>
          <w:p w14:paraId="20111401">
            <w:pPr>
              <w:spacing w:line="360" w:lineRule="auto"/>
              <w:jc w:val="center"/>
              <w:rPr>
                <w:rFonts w:hint="eastAsia" w:ascii="仿宋" w:hAnsi="仿宋" w:eastAsia="仿宋" w:cs="仿宋"/>
                <w:sz w:val="24"/>
              </w:rPr>
            </w:pPr>
            <w:r>
              <w:rPr>
                <w:rFonts w:hint="eastAsia" w:ascii="仿宋" w:hAnsi="仿宋" w:eastAsia="仿宋" w:cs="仿宋"/>
                <w:sz w:val="24"/>
              </w:rPr>
              <w:t>丧葬及抚恤费用</w:t>
            </w:r>
          </w:p>
        </w:tc>
        <w:tc>
          <w:tcPr>
            <w:tcW w:w="3291" w:type="dxa"/>
            <w:noWrap w:val="0"/>
            <w:vAlign w:val="top"/>
          </w:tcPr>
          <w:p w14:paraId="285D885F">
            <w:pPr>
              <w:spacing w:line="360" w:lineRule="auto"/>
              <w:jc w:val="center"/>
              <w:rPr>
                <w:rFonts w:hint="eastAsia" w:ascii="仿宋" w:hAnsi="仿宋" w:eastAsia="仿宋" w:cs="仿宋"/>
                <w:sz w:val="24"/>
              </w:rPr>
            </w:pPr>
          </w:p>
        </w:tc>
        <w:tc>
          <w:tcPr>
            <w:tcW w:w="4262" w:type="dxa"/>
            <w:noWrap w:val="0"/>
            <w:vAlign w:val="top"/>
          </w:tcPr>
          <w:p w14:paraId="77DD4E32">
            <w:pPr>
              <w:spacing w:line="360" w:lineRule="auto"/>
              <w:jc w:val="center"/>
              <w:rPr>
                <w:rFonts w:hint="eastAsia" w:ascii="仿宋" w:hAnsi="仿宋" w:eastAsia="仿宋" w:cs="仿宋"/>
                <w:sz w:val="24"/>
              </w:rPr>
            </w:pPr>
            <w:r>
              <w:rPr>
                <w:rFonts w:hint="eastAsia" w:ascii="仿宋" w:hAnsi="仿宋" w:eastAsia="仿宋" w:cs="仿宋"/>
                <w:sz w:val="24"/>
                <w:lang w:val="en-US" w:eastAsia="zh-CN"/>
              </w:rPr>
              <w:t>40</w:t>
            </w:r>
            <w:r>
              <w:rPr>
                <w:rFonts w:hint="eastAsia" w:ascii="仿宋" w:hAnsi="仿宋" w:eastAsia="仿宋" w:cs="仿宋"/>
                <w:sz w:val="24"/>
              </w:rPr>
              <w:t>万元</w:t>
            </w:r>
          </w:p>
        </w:tc>
        <w:tc>
          <w:tcPr>
            <w:tcW w:w="2946" w:type="dxa"/>
            <w:noWrap w:val="0"/>
            <w:vAlign w:val="top"/>
          </w:tcPr>
          <w:p w14:paraId="48DC34F3">
            <w:pPr>
              <w:spacing w:line="360" w:lineRule="auto"/>
              <w:jc w:val="center"/>
              <w:rPr>
                <w:rFonts w:hint="eastAsia" w:ascii="仿宋" w:hAnsi="仿宋" w:eastAsia="仿宋" w:cs="仿宋"/>
                <w:sz w:val="24"/>
              </w:rPr>
            </w:pPr>
            <w:r>
              <w:rPr>
                <w:rFonts w:hint="eastAsia" w:ascii="仿宋" w:hAnsi="仿宋" w:eastAsia="仿宋" w:cs="仿宋"/>
                <w:sz w:val="24"/>
              </w:rPr>
              <w:t>含所有赔偿费用</w:t>
            </w:r>
          </w:p>
        </w:tc>
      </w:tr>
      <w:tr w14:paraId="4C92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351" w:type="dxa"/>
            <w:vMerge w:val="restart"/>
            <w:noWrap w:val="0"/>
            <w:vAlign w:val="top"/>
          </w:tcPr>
          <w:p w14:paraId="1104FC5C">
            <w:pPr>
              <w:spacing w:line="360" w:lineRule="auto"/>
              <w:jc w:val="center"/>
              <w:rPr>
                <w:rFonts w:hint="eastAsia" w:ascii="仿宋" w:hAnsi="仿宋" w:eastAsia="仿宋" w:cs="仿宋"/>
                <w:sz w:val="24"/>
              </w:rPr>
            </w:pPr>
          </w:p>
          <w:p w14:paraId="76AE5657">
            <w:pPr>
              <w:spacing w:line="360" w:lineRule="auto"/>
              <w:jc w:val="center"/>
              <w:rPr>
                <w:rFonts w:hint="eastAsia" w:ascii="仿宋" w:hAnsi="仿宋" w:eastAsia="仿宋" w:cs="仿宋"/>
                <w:sz w:val="24"/>
              </w:rPr>
            </w:pPr>
          </w:p>
          <w:p w14:paraId="5B84551E">
            <w:pPr>
              <w:spacing w:line="360" w:lineRule="auto"/>
              <w:jc w:val="center"/>
              <w:rPr>
                <w:rFonts w:hint="eastAsia" w:ascii="仿宋" w:hAnsi="仿宋" w:eastAsia="仿宋" w:cs="仿宋"/>
                <w:sz w:val="24"/>
              </w:rPr>
            </w:pPr>
            <w:r>
              <w:rPr>
                <w:rFonts w:hint="eastAsia" w:ascii="仿宋" w:hAnsi="仿宋" w:eastAsia="仿宋" w:cs="仿宋"/>
                <w:sz w:val="24"/>
              </w:rPr>
              <w:t>事务性费用</w:t>
            </w:r>
          </w:p>
        </w:tc>
        <w:tc>
          <w:tcPr>
            <w:tcW w:w="3291" w:type="dxa"/>
            <w:noWrap w:val="0"/>
            <w:vAlign w:val="top"/>
          </w:tcPr>
          <w:p w14:paraId="18FC76FE">
            <w:pPr>
              <w:spacing w:line="360" w:lineRule="auto"/>
              <w:jc w:val="center"/>
              <w:rPr>
                <w:rFonts w:hint="eastAsia" w:ascii="仿宋" w:hAnsi="仿宋" w:eastAsia="仿宋" w:cs="仿宋"/>
                <w:sz w:val="24"/>
              </w:rPr>
            </w:pPr>
            <w:r>
              <w:rPr>
                <w:rFonts w:hint="eastAsia" w:ascii="仿宋" w:hAnsi="仿宋" w:eastAsia="仿宋" w:cs="仿宋"/>
                <w:sz w:val="24"/>
              </w:rPr>
              <w:t>餐费</w:t>
            </w:r>
          </w:p>
        </w:tc>
        <w:tc>
          <w:tcPr>
            <w:tcW w:w="4262" w:type="dxa"/>
            <w:noWrap w:val="0"/>
            <w:vAlign w:val="top"/>
          </w:tcPr>
          <w:p w14:paraId="15691AC8">
            <w:pPr>
              <w:spacing w:line="360" w:lineRule="auto"/>
              <w:jc w:val="center"/>
              <w:rPr>
                <w:rFonts w:hint="eastAsia" w:ascii="仿宋" w:hAnsi="仿宋" w:eastAsia="仿宋" w:cs="仿宋"/>
                <w:sz w:val="24"/>
              </w:rPr>
            </w:pPr>
            <w:r>
              <w:rPr>
                <w:rFonts w:hint="eastAsia" w:ascii="仿宋" w:hAnsi="仿宋" w:eastAsia="仿宋" w:cs="仿宋"/>
                <w:sz w:val="24"/>
                <w:lang w:val="en-US" w:eastAsia="zh-CN"/>
              </w:rPr>
              <w:t>0</w:t>
            </w:r>
            <w:r>
              <w:rPr>
                <w:rFonts w:hint="eastAsia" w:ascii="仿宋" w:hAnsi="仿宋" w:eastAsia="仿宋" w:cs="仿宋"/>
                <w:sz w:val="24"/>
              </w:rPr>
              <w:t>元</w:t>
            </w:r>
          </w:p>
        </w:tc>
        <w:tc>
          <w:tcPr>
            <w:tcW w:w="2946" w:type="dxa"/>
            <w:noWrap w:val="0"/>
            <w:vAlign w:val="top"/>
          </w:tcPr>
          <w:p w14:paraId="5F9F74C1">
            <w:pPr>
              <w:spacing w:line="360" w:lineRule="auto"/>
              <w:jc w:val="center"/>
              <w:rPr>
                <w:rFonts w:hint="eastAsia" w:ascii="仿宋" w:hAnsi="仿宋" w:eastAsia="仿宋" w:cs="仿宋"/>
                <w:sz w:val="24"/>
              </w:rPr>
            </w:pPr>
          </w:p>
        </w:tc>
      </w:tr>
      <w:tr w14:paraId="77E0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351" w:type="dxa"/>
            <w:vMerge w:val="continue"/>
            <w:noWrap w:val="0"/>
            <w:vAlign w:val="top"/>
          </w:tcPr>
          <w:p w14:paraId="056CAD70">
            <w:pPr>
              <w:spacing w:line="360" w:lineRule="auto"/>
              <w:jc w:val="center"/>
              <w:rPr>
                <w:rFonts w:hint="eastAsia" w:ascii="仿宋" w:hAnsi="仿宋" w:eastAsia="仿宋" w:cs="仿宋"/>
                <w:sz w:val="24"/>
              </w:rPr>
            </w:pPr>
          </w:p>
        </w:tc>
        <w:tc>
          <w:tcPr>
            <w:tcW w:w="3291" w:type="dxa"/>
            <w:noWrap w:val="0"/>
            <w:vAlign w:val="top"/>
          </w:tcPr>
          <w:p w14:paraId="3B081024">
            <w:pPr>
              <w:spacing w:line="360" w:lineRule="auto"/>
              <w:jc w:val="center"/>
              <w:rPr>
                <w:rFonts w:hint="eastAsia" w:ascii="仿宋" w:hAnsi="仿宋" w:eastAsia="仿宋" w:cs="仿宋"/>
                <w:sz w:val="24"/>
              </w:rPr>
            </w:pPr>
            <w:r>
              <w:rPr>
                <w:rFonts w:hint="eastAsia" w:ascii="仿宋" w:hAnsi="仿宋" w:eastAsia="仿宋" w:cs="仿宋"/>
                <w:sz w:val="24"/>
              </w:rPr>
              <w:t>帐篷、冰棺</w:t>
            </w:r>
          </w:p>
        </w:tc>
        <w:tc>
          <w:tcPr>
            <w:tcW w:w="4262" w:type="dxa"/>
            <w:noWrap w:val="0"/>
            <w:vAlign w:val="top"/>
          </w:tcPr>
          <w:p w14:paraId="0B73F37E">
            <w:pPr>
              <w:spacing w:line="360" w:lineRule="auto"/>
              <w:jc w:val="center"/>
              <w:rPr>
                <w:rFonts w:hint="eastAsia" w:ascii="仿宋" w:hAnsi="仿宋" w:eastAsia="仿宋" w:cs="仿宋"/>
                <w:sz w:val="24"/>
              </w:rPr>
            </w:pPr>
            <w:r>
              <w:rPr>
                <w:rFonts w:hint="eastAsia" w:ascii="仿宋" w:hAnsi="仿宋" w:eastAsia="仿宋" w:cs="仿宋"/>
                <w:sz w:val="24"/>
              </w:rPr>
              <w:t>0元</w:t>
            </w:r>
          </w:p>
        </w:tc>
        <w:tc>
          <w:tcPr>
            <w:tcW w:w="2946" w:type="dxa"/>
            <w:noWrap w:val="0"/>
            <w:vAlign w:val="top"/>
          </w:tcPr>
          <w:p w14:paraId="1831BCF2">
            <w:pPr>
              <w:spacing w:line="360" w:lineRule="auto"/>
              <w:jc w:val="center"/>
              <w:rPr>
                <w:rFonts w:hint="eastAsia" w:ascii="仿宋" w:hAnsi="仿宋" w:eastAsia="仿宋" w:cs="仿宋"/>
                <w:sz w:val="24"/>
              </w:rPr>
            </w:pPr>
          </w:p>
        </w:tc>
      </w:tr>
      <w:tr w14:paraId="410F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351" w:type="dxa"/>
            <w:vMerge w:val="continue"/>
            <w:noWrap w:val="0"/>
            <w:vAlign w:val="top"/>
          </w:tcPr>
          <w:p w14:paraId="659578B3">
            <w:pPr>
              <w:spacing w:line="360" w:lineRule="auto"/>
              <w:jc w:val="center"/>
              <w:rPr>
                <w:rFonts w:hint="eastAsia" w:ascii="仿宋" w:hAnsi="仿宋" w:eastAsia="仿宋" w:cs="仿宋"/>
                <w:sz w:val="24"/>
              </w:rPr>
            </w:pPr>
          </w:p>
        </w:tc>
        <w:tc>
          <w:tcPr>
            <w:tcW w:w="3291" w:type="dxa"/>
            <w:noWrap w:val="0"/>
            <w:vAlign w:val="top"/>
          </w:tcPr>
          <w:p w14:paraId="560B5792">
            <w:pPr>
              <w:spacing w:line="360" w:lineRule="auto"/>
              <w:jc w:val="center"/>
              <w:rPr>
                <w:rFonts w:hint="eastAsia" w:ascii="仿宋" w:hAnsi="仿宋" w:eastAsia="仿宋" w:cs="仿宋"/>
                <w:sz w:val="24"/>
              </w:rPr>
            </w:pPr>
            <w:r>
              <w:rPr>
                <w:rFonts w:hint="eastAsia" w:ascii="仿宋" w:hAnsi="仿宋" w:eastAsia="仿宋" w:cs="仿宋"/>
                <w:sz w:val="24"/>
              </w:rPr>
              <w:t>酒店</w:t>
            </w:r>
          </w:p>
        </w:tc>
        <w:tc>
          <w:tcPr>
            <w:tcW w:w="4262" w:type="dxa"/>
            <w:noWrap w:val="0"/>
            <w:vAlign w:val="top"/>
          </w:tcPr>
          <w:p w14:paraId="15CCCA93">
            <w:pPr>
              <w:spacing w:line="360" w:lineRule="auto"/>
              <w:jc w:val="center"/>
              <w:rPr>
                <w:rFonts w:hint="eastAsia" w:ascii="仿宋" w:hAnsi="仿宋" w:eastAsia="仿宋" w:cs="仿宋"/>
                <w:sz w:val="24"/>
              </w:rPr>
            </w:pPr>
            <w:r>
              <w:rPr>
                <w:rFonts w:hint="eastAsia" w:ascii="仿宋" w:hAnsi="仿宋" w:eastAsia="仿宋" w:cs="仿宋"/>
                <w:sz w:val="24"/>
              </w:rPr>
              <w:t>0元</w:t>
            </w:r>
          </w:p>
        </w:tc>
        <w:tc>
          <w:tcPr>
            <w:tcW w:w="2946" w:type="dxa"/>
            <w:noWrap w:val="0"/>
            <w:vAlign w:val="top"/>
          </w:tcPr>
          <w:p w14:paraId="06A0BF6E">
            <w:pPr>
              <w:spacing w:line="360" w:lineRule="auto"/>
              <w:jc w:val="center"/>
              <w:rPr>
                <w:rFonts w:hint="eastAsia" w:ascii="仿宋" w:hAnsi="仿宋" w:eastAsia="仿宋" w:cs="仿宋"/>
                <w:sz w:val="24"/>
              </w:rPr>
            </w:pPr>
          </w:p>
        </w:tc>
      </w:tr>
      <w:tr w14:paraId="0288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351" w:type="dxa"/>
            <w:vMerge w:val="continue"/>
            <w:noWrap w:val="0"/>
            <w:vAlign w:val="top"/>
          </w:tcPr>
          <w:p w14:paraId="5564258F">
            <w:pPr>
              <w:spacing w:line="360" w:lineRule="auto"/>
              <w:jc w:val="center"/>
              <w:rPr>
                <w:rFonts w:hint="eastAsia" w:ascii="仿宋" w:hAnsi="仿宋" w:eastAsia="仿宋" w:cs="仿宋"/>
                <w:sz w:val="24"/>
              </w:rPr>
            </w:pPr>
          </w:p>
        </w:tc>
        <w:tc>
          <w:tcPr>
            <w:tcW w:w="3291" w:type="dxa"/>
            <w:noWrap w:val="0"/>
            <w:vAlign w:val="top"/>
          </w:tcPr>
          <w:p w14:paraId="4E63958B">
            <w:pPr>
              <w:spacing w:line="360" w:lineRule="auto"/>
              <w:jc w:val="center"/>
              <w:rPr>
                <w:rFonts w:hint="eastAsia" w:ascii="仿宋" w:hAnsi="仿宋" w:eastAsia="仿宋" w:cs="仿宋"/>
                <w:sz w:val="24"/>
              </w:rPr>
            </w:pPr>
            <w:r>
              <w:rPr>
                <w:rFonts w:hint="eastAsia" w:ascii="仿宋" w:hAnsi="仿宋" w:eastAsia="仿宋" w:cs="仿宋"/>
                <w:sz w:val="24"/>
              </w:rPr>
              <w:t>桌椅</w:t>
            </w:r>
          </w:p>
        </w:tc>
        <w:tc>
          <w:tcPr>
            <w:tcW w:w="4262" w:type="dxa"/>
            <w:noWrap w:val="0"/>
            <w:vAlign w:val="top"/>
          </w:tcPr>
          <w:p w14:paraId="69B58999">
            <w:pPr>
              <w:spacing w:line="360" w:lineRule="auto"/>
              <w:jc w:val="center"/>
              <w:rPr>
                <w:rFonts w:hint="eastAsia" w:ascii="仿宋" w:hAnsi="仿宋" w:eastAsia="仿宋" w:cs="仿宋"/>
                <w:sz w:val="24"/>
              </w:rPr>
            </w:pPr>
            <w:r>
              <w:rPr>
                <w:rFonts w:hint="eastAsia" w:ascii="仿宋" w:hAnsi="仿宋" w:eastAsia="仿宋" w:cs="仿宋"/>
                <w:sz w:val="24"/>
              </w:rPr>
              <w:t>0元</w:t>
            </w:r>
          </w:p>
        </w:tc>
        <w:tc>
          <w:tcPr>
            <w:tcW w:w="2946" w:type="dxa"/>
            <w:noWrap w:val="0"/>
            <w:vAlign w:val="top"/>
          </w:tcPr>
          <w:p w14:paraId="2CBF060F">
            <w:pPr>
              <w:spacing w:line="360" w:lineRule="auto"/>
              <w:jc w:val="center"/>
              <w:rPr>
                <w:rFonts w:hint="eastAsia" w:ascii="仿宋" w:hAnsi="仿宋" w:eastAsia="仿宋" w:cs="仿宋"/>
                <w:sz w:val="24"/>
              </w:rPr>
            </w:pPr>
          </w:p>
        </w:tc>
      </w:tr>
      <w:tr w14:paraId="4A3C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351" w:type="dxa"/>
            <w:noWrap w:val="0"/>
            <w:vAlign w:val="top"/>
          </w:tcPr>
          <w:p w14:paraId="2BF9D87E">
            <w:pPr>
              <w:spacing w:line="360" w:lineRule="auto"/>
              <w:jc w:val="center"/>
              <w:rPr>
                <w:rFonts w:hint="eastAsia" w:ascii="仿宋" w:hAnsi="仿宋" w:eastAsia="仿宋" w:cs="仿宋"/>
                <w:sz w:val="24"/>
              </w:rPr>
            </w:pPr>
            <w:r>
              <w:rPr>
                <w:rFonts w:hint="eastAsia" w:ascii="仿宋" w:hAnsi="仿宋" w:eastAsia="仿宋" w:cs="仿宋"/>
                <w:sz w:val="24"/>
              </w:rPr>
              <w:t>现场清理费用</w:t>
            </w:r>
          </w:p>
        </w:tc>
        <w:tc>
          <w:tcPr>
            <w:tcW w:w="3291" w:type="dxa"/>
            <w:noWrap w:val="0"/>
            <w:vAlign w:val="top"/>
          </w:tcPr>
          <w:p w14:paraId="0472EBB6">
            <w:pPr>
              <w:spacing w:line="360" w:lineRule="auto"/>
              <w:jc w:val="center"/>
              <w:rPr>
                <w:rFonts w:hint="eastAsia" w:ascii="仿宋" w:hAnsi="仿宋" w:eastAsia="仿宋" w:cs="仿宋"/>
                <w:sz w:val="24"/>
              </w:rPr>
            </w:pPr>
          </w:p>
        </w:tc>
        <w:tc>
          <w:tcPr>
            <w:tcW w:w="4262" w:type="dxa"/>
            <w:noWrap w:val="0"/>
            <w:vAlign w:val="top"/>
          </w:tcPr>
          <w:p w14:paraId="5774B966">
            <w:pPr>
              <w:spacing w:line="360" w:lineRule="auto"/>
              <w:jc w:val="center"/>
              <w:rPr>
                <w:rFonts w:hint="eastAsia" w:ascii="仿宋" w:hAnsi="仿宋" w:eastAsia="仿宋" w:cs="仿宋"/>
                <w:sz w:val="24"/>
              </w:rPr>
            </w:pPr>
            <w:r>
              <w:rPr>
                <w:rFonts w:hint="eastAsia" w:ascii="仿宋" w:hAnsi="仿宋" w:eastAsia="仿宋" w:cs="仿宋"/>
                <w:sz w:val="24"/>
              </w:rPr>
              <w:t>0元</w:t>
            </w:r>
          </w:p>
        </w:tc>
        <w:tc>
          <w:tcPr>
            <w:tcW w:w="2946" w:type="dxa"/>
            <w:noWrap w:val="0"/>
            <w:vAlign w:val="top"/>
          </w:tcPr>
          <w:p w14:paraId="596FA7A0">
            <w:pPr>
              <w:spacing w:line="360" w:lineRule="auto"/>
              <w:jc w:val="center"/>
              <w:rPr>
                <w:rFonts w:hint="eastAsia" w:ascii="仿宋" w:hAnsi="仿宋" w:eastAsia="仿宋" w:cs="仿宋"/>
                <w:sz w:val="24"/>
              </w:rPr>
            </w:pPr>
          </w:p>
        </w:tc>
      </w:tr>
      <w:tr w14:paraId="2438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351" w:type="dxa"/>
            <w:noWrap w:val="0"/>
            <w:vAlign w:val="top"/>
          </w:tcPr>
          <w:p w14:paraId="5CB6F818">
            <w:pPr>
              <w:spacing w:line="360" w:lineRule="auto"/>
              <w:jc w:val="center"/>
              <w:rPr>
                <w:rFonts w:hint="eastAsia" w:ascii="仿宋" w:hAnsi="仿宋" w:eastAsia="仿宋" w:cs="仿宋"/>
                <w:sz w:val="24"/>
              </w:rPr>
            </w:pPr>
            <w:r>
              <w:rPr>
                <w:rFonts w:hint="eastAsia" w:ascii="仿宋" w:hAnsi="仿宋" w:eastAsia="仿宋" w:cs="仿宋"/>
                <w:sz w:val="24"/>
              </w:rPr>
              <w:t>合计</w:t>
            </w:r>
          </w:p>
        </w:tc>
        <w:tc>
          <w:tcPr>
            <w:tcW w:w="3291" w:type="dxa"/>
            <w:noWrap w:val="0"/>
            <w:vAlign w:val="top"/>
          </w:tcPr>
          <w:p w14:paraId="4DAA6EFC">
            <w:pPr>
              <w:spacing w:line="360" w:lineRule="auto"/>
              <w:jc w:val="center"/>
              <w:rPr>
                <w:rFonts w:hint="eastAsia" w:ascii="仿宋" w:hAnsi="仿宋" w:eastAsia="仿宋" w:cs="仿宋"/>
                <w:sz w:val="24"/>
              </w:rPr>
            </w:pPr>
          </w:p>
        </w:tc>
        <w:tc>
          <w:tcPr>
            <w:tcW w:w="4262" w:type="dxa"/>
            <w:noWrap w:val="0"/>
            <w:vAlign w:val="top"/>
          </w:tcPr>
          <w:p w14:paraId="0BFE8804">
            <w:pPr>
              <w:spacing w:line="360" w:lineRule="auto"/>
              <w:jc w:val="center"/>
              <w:rPr>
                <w:rFonts w:hint="eastAsia" w:ascii="仿宋" w:hAnsi="仿宋" w:eastAsia="仿宋" w:cs="仿宋"/>
                <w:sz w:val="24"/>
              </w:rPr>
            </w:pPr>
            <w:r>
              <w:rPr>
                <w:rFonts w:hint="eastAsia" w:ascii="仿宋" w:hAnsi="仿宋" w:eastAsia="仿宋" w:cs="仿宋"/>
                <w:sz w:val="24"/>
                <w:lang w:val="en-US" w:eastAsia="zh-CN"/>
              </w:rPr>
              <w:t>40万</w:t>
            </w:r>
            <w:r>
              <w:rPr>
                <w:rFonts w:hint="eastAsia" w:ascii="仿宋" w:hAnsi="仿宋" w:eastAsia="仿宋" w:cs="仿宋"/>
                <w:sz w:val="24"/>
              </w:rPr>
              <w:t>元</w:t>
            </w:r>
          </w:p>
        </w:tc>
        <w:tc>
          <w:tcPr>
            <w:tcW w:w="2946" w:type="dxa"/>
            <w:noWrap w:val="0"/>
            <w:vAlign w:val="top"/>
          </w:tcPr>
          <w:p w14:paraId="462A74F9">
            <w:pPr>
              <w:spacing w:line="360" w:lineRule="auto"/>
              <w:jc w:val="center"/>
              <w:rPr>
                <w:rFonts w:hint="eastAsia" w:ascii="仿宋" w:hAnsi="仿宋" w:eastAsia="仿宋" w:cs="仿宋"/>
                <w:sz w:val="24"/>
              </w:rPr>
            </w:pPr>
          </w:p>
        </w:tc>
      </w:tr>
    </w:tbl>
    <w:p w14:paraId="7B503BF4">
      <w:pPr>
        <w:tabs>
          <w:tab w:val="left" w:pos="900"/>
        </w:tabs>
        <w:spacing w:line="20" w:lineRule="exact"/>
        <w:rPr>
          <w:rFonts w:ascii="Times New Roman" w:hAnsi="Times New Roman" w:eastAsia="仿宋_GB2312" w:cs="仿宋_GB2312"/>
          <w:sz w:val="32"/>
          <w:szCs w:val="32"/>
        </w:rPr>
      </w:pPr>
    </w:p>
    <w:p w14:paraId="72B5E7CF">
      <w:pPr>
        <w:rPr>
          <w:rFonts w:hint="default" w:ascii="仿宋" w:hAnsi="仿宋" w:eastAsia="仿宋" w:cs="仿宋"/>
          <w:sz w:val="32"/>
          <w:szCs w:val="32"/>
          <w:lang w:val="en-US" w:eastAsia="zh-CN"/>
        </w:rPr>
        <w:sectPr>
          <w:footerReference r:id="rId6" w:type="default"/>
          <w:pgSz w:w="16838" w:h="11906" w:orient="landscape"/>
          <w:pgMar w:top="1587" w:right="2098" w:bottom="1474" w:left="1984" w:header="851" w:footer="992" w:gutter="0"/>
          <w:pgNumType w:fmt="numberInDash"/>
          <w:cols w:space="720" w:num="1"/>
          <w:docGrid w:type="lines" w:linePitch="315" w:charSpace="0"/>
        </w:sectPr>
      </w:pPr>
    </w:p>
    <w:p w14:paraId="5D49CAB1">
      <w:pPr>
        <w:rPr>
          <w:rFonts w:hint="default" w:ascii="仿宋" w:hAnsi="仿宋" w:eastAsia="仿宋" w:cs="仿宋"/>
          <w:sz w:val="32"/>
          <w:szCs w:val="32"/>
          <w:lang w:val="en-US" w:eastAsia="zh-CN"/>
        </w:rPr>
      </w:pPr>
    </w:p>
    <w:p w14:paraId="677CEA77">
      <w:pPr>
        <w:rPr>
          <w:rFonts w:hint="default" w:ascii="仿宋" w:hAnsi="仿宋" w:eastAsia="仿宋" w:cs="仿宋"/>
          <w:sz w:val="32"/>
          <w:szCs w:val="32"/>
          <w:lang w:val="en-US" w:eastAsia="zh-CN"/>
        </w:rPr>
      </w:pPr>
    </w:p>
    <w:p w14:paraId="6BFD145F">
      <w:pPr>
        <w:rPr>
          <w:rFonts w:hint="default" w:ascii="仿宋" w:hAnsi="仿宋" w:eastAsia="仿宋" w:cs="仿宋"/>
          <w:sz w:val="32"/>
          <w:szCs w:val="32"/>
          <w:lang w:val="en-US" w:eastAsia="zh-CN"/>
        </w:rPr>
      </w:pPr>
    </w:p>
    <w:p w14:paraId="605DA718">
      <w:pPr>
        <w:rPr>
          <w:rFonts w:hint="default" w:ascii="仿宋" w:hAnsi="仿宋" w:eastAsia="仿宋" w:cs="仿宋"/>
          <w:sz w:val="32"/>
          <w:szCs w:val="32"/>
          <w:lang w:val="en-US" w:eastAsia="zh-CN"/>
        </w:rPr>
      </w:pPr>
    </w:p>
    <w:p w14:paraId="57AF59B9">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2C0D8DD2">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33173127">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3906F686">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0D710A69">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163AA2BB">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263F2B0A">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2A3AA639">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1CB5D005">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27056D63">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7BDD2047">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5990CC45">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52E0CB80">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6AA388FE">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577596F4">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2A8CA89F">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61975F9E">
      <w:pPr>
        <w:pageBreakBefore w:val="0"/>
        <w:widowControl w:val="0"/>
        <w:numPr>
          <w:ilvl w:val="0"/>
          <w:numId w:val="0"/>
        </w:numPr>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p>
    <w:p w14:paraId="2552C4AA">
      <w:pPr>
        <w:keepNext w:val="0"/>
        <w:keepLines w:val="0"/>
        <w:pageBreakBefore w:val="0"/>
        <w:widowControl w:val="0"/>
        <w:kinsoku/>
        <w:wordWrap/>
        <w:overflowPunct/>
        <w:topLinePunct w:val="0"/>
        <w:bidi w:val="0"/>
        <w:snapToGrid/>
        <w:spacing w:line="560" w:lineRule="exact"/>
        <w:ind w:left="1050" w:leftChars="100" w:right="210" w:rightChars="100" w:hanging="840" w:hangingChars="300"/>
        <w:jc w:val="left"/>
        <w:textAlignment w:val="auto"/>
        <w:rPr>
          <w:rFonts w:hint="eastAsia" w:ascii="宋体" w:hAnsi="宋体" w:eastAsia="宋体" w:cs="宋体"/>
          <w:sz w:val="32"/>
          <w:szCs w:val="32"/>
          <w:lang w:val="en-US" w:eastAsia="zh-CN"/>
        </w:rPr>
      </w:pPr>
      <w:r>
        <w:rPr>
          <w:rFonts w:hint="eastAsia" w:ascii="宋体" w:hAnsi="宋体" w:eastAsia="宋体" w:cs="宋体"/>
          <w:kern w:val="0"/>
          <w:sz w:val="28"/>
          <w:szCs w:val="28"/>
          <w:lang w:val="zh-CN"/>
        </w:rPr>
        <mc:AlternateContent>
          <mc:Choice Requires="wps">
            <w:drawing>
              <wp:anchor distT="0" distB="0" distL="114300" distR="114300" simplePos="0" relativeHeight="251663360" behindDoc="0" locked="0" layoutInCell="1" allowOverlap="1">
                <wp:simplePos x="0" y="0"/>
                <wp:positionH relativeFrom="column">
                  <wp:posOffset>-46990</wp:posOffset>
                </wp:positionH>
                <wp:positionV relativeFrom="paragraph">
                  <wp:posOffset>31750</wp:posOffset>
                </wp:positionV>
                <wp:extent cx="5674360" cy="1905"/>
                <wp:effectExtent l="0" t="0" r="0" b="0"/>
                <wp:wrapNone/>
                <wp:docPr id="9" name="直接连接符 9"/>
                <wp:cNvGraphicFramePr/>
                <a:graphic xmlns:a="http://schemas.openxmlformats.org/drawingml/2006/main">
                  <a:graphicData uri="http://schemas.microsoft.com/office/word/2010/wordprocessingShape">
                    <wps:wsp>
                      <wps:cNvCnPr/>
                      <wps:spPr>
                        <a:xfrm>
                          <a:off x="0" y="0"/>
                          <a:ext cx="5674360" cy="190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pt;margin-top:2.5pt;height:0.15pt;width:446.8pt;z-index:251663360;mso-width-relative:page;mso-height-relative:page;" filled="f" stroked="t" coordsize="21600,21600" o:gfxdata="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WBNmdYAAAAGAQAADwAAAAAAAAABACAAAAAiAAAAZHJzL2Rvd25yZXYueG1sUEsBAhQA&#10;FAAAAAgAh07iQB/FWtn0AQAA6gMAAA4AAAAAAAAAAQAgAAAAJQEAAGRycy9lMm9Eb2MueG1sUEsF&#10;BgAAAAAGAAYAWQEAAIsFAAAAAA==&#10;">
                <v:fill on="f" focussize="0,0"/>
                <v:stroke weight="1.25pt" color="#000000" joinstyle="round"/>
                <v:imagedata o:title=""/>
                <o:lock v:ext="edit" aspectratio="f"/>
              </v:line>
            </w:pict>
          </mc:Fallback>
        </mc:AlternateContent>
      </w:r>
      <w:r>
        <w:rPr>
          <w:rFonts w:hint="eastAsia" w:ascii="宋体" w:hAnsi="宋体" w:eastAsia="宋体" w:cs="宋体"/>
          <w:kern w:val="0"/>
          <w:sz w:val="28"/>
          <w:szCs w:val="28"/>
          <w:lang w:val="zh-CN"/>
        </w:rPr>
        <mc:AlternateContent>
          <mc:Choice Requires="wps">
            <w:drawing>
              <wp:anchor distT="0" distB="0" distL="114300" distR="114300" simplePos="0" relativeHeight="251664384" behindDoc="0" locked="0" layoutInCell="1" allowOverlap="1">
                <wp:simplePos x="0" y="0"/>
                <wp:positionH relativeFrom="column">
                  <wp:posOffset>-46990</wp:posOffset>
                </wp:positionH>
                <wp:positionV relativeFrom="paragraph">
                  <wp:posOffset>390525</wp:posOffset>
                </wp:positionV>
                <wp:extent cx="5674360" cy="1905"/>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674360" cy="190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pt;margin-top:30.75pt;height:0.15pt;width:446.8pt;z-index:251664384;mso-width-relative:page;mso-height-relative:page;" filled="f" stroked="t" coordsize="21600,21600" o:gfxdata="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T4N2Y2AAAAAgBAAAPAAAAAAAAAAEAIAAAACIAAABkcnMvZG93bnJldi54bWxQSwEC&#10;FAAUAAAACACHTuJAwR4I6fQBAADsAwAADgAAAAAAAAABACAAAAAnAQAAZHJzL2Uyb0RvYy54bWxQ&#10;SwUGAAAAAAYABgBZAQAAjQUAAAAA&#10;">
                <v:fill on="f" focussize="0,0"/>
                <v:stroke weight="1.25pt" color="#000000" joinstyle="round"/>
                <v:imagedata o:title=""/>
                <o:lock v:ext="edit" aspectratio="f"/>
              </v:line>
            </w:pict>
          </mc:Fallback>
        </mc:AlternateContent>
      </w:r>
      <w:r>
        <w:rPr>
          <w:rFonts w:hint="eastAsia" w:ascii="宋体" w:hAnsi="宋体" w:eastAsia="宋体" w:cs="宋体"/>
          <w:kern w:val="0"/>
          <w:sz w:val="28"/>
          <w:szCs w:val="28"/>
        </w:rPr>
        <w:t xml:space="preserve">都昌县人民政府办公室            </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202</w:t>
      </w:r>
      <w:r>
        <w:rPr>
          <w:rFonts w:hint="eastAsia" w:ascii="宋体" w:hAnsi="宋体" w:cs="宋体"/>
          <w:kern w:val="0"/>
          <w:sz w:val="28"/>
          <w:szCs w:val="28"/>
          <w:lang w:val="en-US" w:eastAsia="zh-CN"/>
        </w:rPr>
        <w:t>5</w:t>
      </w:r>
      <w:r>
        <w:rPr>
          <w:rFonts w:hint="eastAsia" w:ascii="宋体" w:hAnsi="宋体" w:eastAsia="宋体" w:cs="宋体"/>
          <w:kern w:val="0"/>
          <w:sz w:val="28"/>
          <w:szCs w:val="28"/>
        </w:rPr>
        <w:t>年</w:t>
      </w:r>
      <w:r>
        <w:rPr>
          <w:rFonts w:hint="eastAsia" w:ascii="宋体" w:hAnsi="宋体" w:eastAsia="宋体" w:cs="宋体"/>
          <w:kern w:val="0"/>
          <w:sz w:val="28"/>
          <w:szCs w:val="28"/>
          <w:lang w:val="en-US" w:eastAsia="zh-CN"/>
        </w:rPr>
        <w:t xml:space="preserve"> </w:t>
      </w:r>
      <w:r>
        <w:rPr>
          <w:rFonts w:hint="eastAsia" w:ascii="宋体" w:hAnsi="宋体" w:cs="宋体"/>
          <w:kern w:val="0"/>
          <w:sz w:val="28"/>
          <w:szCs w:val="28"/>
          <w:lang w:val="en-US" w:eastAsia="zh-CN"/>
        </w:rPr>
        <w:t>11</w:t>
      </w:r>
      <w:r>
        <w:rPr>
          <w:rFonts w:hint="eastAsia" w:ascii="宋体" w:hAnsi="宋体" w:eastAsia="宋体" w:cs="宋体"/>
          <w:kern w:val="0"/>
          <w:sz w:val="28"/>
          <w:szCs w:val="28"/>
        </w:rPr>
        <w:t>月</w:t>
      </w:r>
      <w:r>
        <w:rPr>
          <w:rFonts w:hint="eastAsia" w:ascii="宋体" w:hAnsi="宋体" w:eastAsia="宋体" w:cs="宋体"/>
          <w:kern w:val="0"/>
          <w:sz w:val="28"/>
          <w:szCs w:val="28"/>
          <w:lang w:val="en-US" w:eastAsia="zh-CN"/>
        </w:rPr>
        <w:t xml:space="preserve"> </w:t>
      </w:r>
      <w:r>
        <w:rPr>
          <w:rFonts w:hint="eastAsia" w:ascii="宋体" w:hAnsi="宋体" w:cs="宋体"/>
          <w:kern w:val="0"/>
          <w:sz w:val="28"/>
          <w:szCs w:val="28"/>
          <w:lang w:val="en-US" w:eastAsia="zh-CN"/>
        </w:rPr>
        <w:t>26</w:t>
      </w:r>
      <w:r>
        <w:rPr>
          <w:rFonts w:hint="eastAsia" w:ascii="宋体" w:hAnsi="宋体" w:eastAsia="宋体" w:cs="宋体"/>
          <w:kern w:val="0"/>
          <w:sz w:val="28"/>
          <w:szCs w:val="28"/>
        </w:rPr>
        <w:t>日</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印</w:t>
      </w:r>
      <w:r>
        <w:rPr>
          <w:rFonts w:hint="eastAsia" w:ascii="宋体" w:hAnsi="宋体" w:eastAsia="宋体" w:cs="宋体"/>
          <w:sz w:val="28"/>
          <w:szCs w:val="28"/>
        </w:rPr>
        <mc:AlternateContent>
          <mc:Choice Requires="wps">
            <w:drawing>
              <wp:anchor distT="0" distB="0" distL="114300" distR="114300" simplePos="0" relativeHeight="251662336" behindDoc="0" locked="0" layoutInCell="1" allowOverlap="1">
                <wp:simplePos x="0" y="0"/>
                <wp:positionH relativeFrom="column">
                  <wp:posOffset>7419975</wp:posOffset>
                </wp:positionH>
                <wp:positionV relativeFrom="paragraph">
                  <wp:posOffset>7732395</wp:posOffset>
                </wp:positionV>
                <wp:extent cx="5257800" cy="0"/>
                <wp:effectExtent l="0" t="9525" r="0" b="9525"/>
                <wp:wrapNone/>
                <wp:docPr id="11" name="直接连接符 11"/>
                <wp:cNvGraphicFramePr/>
                <a:graphic xmlns:a="http://schemas.openxmlformats.org/drawingml/2006/main">
                  <a:graphicData uri="http://schemas.microsoft.com/office/word/2010/wordprocessingShape">
                    <wps:wsp>
                      <wps:cNvCnPr/>
                      <wps:spPr>
                        <a:xfrm>
                          <a:off x="0" y="0"/>
                          <a:ext cx="525780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84.25pt;margin-top:608.85pt;height:0pt;width:414pt;z-index:251662336;mso-width-relative:page;mso-height-relative:page;" filled="f" stroked="t" coordsize="21600,21600" o:gfxdata="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3pegz2AAAAA8BAAAPAAAAAAAAAAEAIAAAACIAAABkcnMvZG93bnJldi54bWxQSwECFAAU&#10;AAAACACHTuJA2qnJS/EBAADpAwAADgAAAAAAAAABACAAAAAnAQAAZHJzL2Uyb0RvYy54bWxQSwUG&#10;AAAAAAYABgBZAQAAigUAAAAA&#10;">
                <v:fill on="f" focussize="0,0"/>
                <v:stroke weight="1.5pt" color="#000000" joinstyle="round"/>
                <v:imagedata o:title=""/>
                <o:lock v:ext="edit" aspectratio="f"/>
              </v:line>
            </w:pict>
          </mc:Fallback>
        </mc:AlternateContent>
      </w:r>
      <w:r>
        <w:rPr>
          <w:rFonts w:hint="eastAsia" w:ascii="宋体" w:hAnsi="宋体" w:cs="宋体"/>
          <w:kern w:val="0"/>
          <w:sz w:val="28"/>
          <w:szCs w:val="28"/>
          <w:lang w:eastAsia="zh-CN"/>
        </w:rPr>
        <w:t>发</w:t>
      </w:r>
    </w:p>
    <w:p w14:paraId="64A0A0A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Noto Serif Telugu" w:hAnsi="Noto Serif Telugu" w:eastAsia="国标仿宋" w:cs="Noto Serif Telugu"/>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00"/>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Noto Serif Telugu">
    <w:altName w:val="PMingLiU-ExtB"/>
    <w:panose1 w:val="02020502040504020204"/>
    <w:charset w:val="00"/>
    <w:family w:val="auto"/>
    <w:pitch w:val="default"/>
    <w:sig w:usb0="00000000" w:usb1="0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 w:name="国标仿宋">
    <w:altName w:val="仿宋"/>
    <w:panose1 w:val="02000500000000000000"/>
    <w:charset w:val="86"/>
    <w:family w:val="auto"/>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2BAFA">
    <w:pPr>
      <w:pStyle w:val="4"/>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9EEF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539EEF1">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33749B78">
    <w:pPr>
      <w:pStyle w:val="4"/>
    </w:pPr>
  </w:p>
  <w:p w14:paraId="22DA017E">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BA6D6">
    <w:pPr>
      <w:pStyle w:val="3"/>
      <w:tabs>
        <w:tab w:val="left" w:pos="879"/>
        <w:tab w:val="clear" w:pos="4153"/>
      </w:tabs>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62112">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D962112">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B065A">
    <w:pPr>
      <w:pStyle w:val="3"/>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648245">
                          <w:pPr>
                            <w:pStyle w:val="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B648245">
                    <w:pPr>
                      <w:pStyle w:val="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320E1CEF">
      <w:pPr>
        <w:rPr>
          <w:rFonts w:hint="eastAsia" w:ascii="仿宋" w:hAnsi="仿宋" w:eastAsia="仿宋" w:cs="仿宋"/>
          <w:sz w:val="21"/>
          <w:szCs w:val="21"/>
        </w:rPr>
      </w:pPr>
      <w:r>
        <w:rPr>
          <w:rStyle w:val="11"/>
          <w:rFonts w:hint="eastAsia" w:ascii="仿宋" w:hAnsi="仿宋" w:eastAsia="仿宋" w:cs="仿宋"/>
        </w:rPr>
        <w:footnoteRef/>
      </w:r>
      <w:r>
        <w:rPr>
          <w:rFonts w:hint="eastAsia" w:ascii="仿宋" w:hAnsi="仿宋" w:eastAsia="仿宋" w:cs="仿宋"/>
          <w:sz w:val="21"/>
          <w:szCs w:val="21"/>
        </w:rPr>
        <w:t xml:space="preserve"> 《中华人民共和国安全生产法》第二十三条第一款规定：生产经营单位应当具备的安全生产条件所必需的资金投入，由生产经营单位的决策机构、主要负责人或者个人经营的投资人予以保证，并对由于安全生产所必需的资金投入不足导致的后果承担责任。</w:t>
      </w:r>
    </w:p>
    <w:p w14:paraId="60F33EF4">
      <w:pPr>
        <w:pStyle w:val="5"/>
        <w:snapToGrid w:val="0"/>
        <w:rPr>
          <w:rFonts w:hint="eastAsia" w:ascii="仿宋" w:hAnsi="仿宋" w:eastAsia="仿宋" w:cs="仿宋"/>
          <w:sz w:val="21"/>
          <w:szCs w:val="21"/>
        </w:rPr>
      </w:pPr>
    </w:p>
  </w:footnote>
  <w:footnote w:id="1">
    <w:p w14:paraId="3FA3A3CF">
      <w:pPr>
        <w:keepNext w:val="0"/>
        <w:keepLines w:val="0"/>
        <w:widowControl/>
        <w:suppressLineNumbers w:val="0"/>
        <w:jc w:val="left"/>
        <w:rPr>
          <w:rFonts w:hint="eastAsia" w:ascii="仿宋" w:hAnsi="仿宋" w:eastAsia="仿宋" w:cs="仿宋"/>
          <w:sz w:val="21"/>
          <w:szCs w:val="21"/>
        </w:rPr>
      </w:pPr>
      <w:r>
        <w:rPr>
          <w:rStyle w:val="11"/>
          <w:rFonts w:hint="eastAsia" w:ascii="仿宋" w:hAnsi="仿宋" w:eastAsia="仿宋" w:cs="仿宋"/>
          <w:sz w:val="21"/>
          <w:szCs w:val="21"/>
        </w:rPr>
        <w:footnoteRef/>
      </w:r>
      <w:r>
        <w:rPr>
          <w:rFonts w:hint="eastAsia" w:ascii="仿宋" w:hAnsi="仿宋" w:eastAsia="仿宋" w:cs="仿宋"/>
          <w:sz w:val="21"/>
          <w:szCs w:val="21"/>
        </w:rPr>
        <w:t xml:space="preserve"> 《中华人民共和国安全生产法》</w:t>
      </w:r>
      <w:r>
        <w:rPr>
          <w:rFonts w:hint="eastAsia" w:ascii="仿宋" w:hAnsi="仿宋" w:eastAsia="仿宋" w:cs="仿宋"/>
          <w:kern w:val="0"/>
          <w:sz w:val="21"/>
          <w:szCs w:val="21"/>
          <w:lang w:val="en-US" w:eastAsia="zh-CN" w:bidi="ar"/>
        </w:rPr>
        <w:t>第九十三条第二款 生产经营单位的决策机构、主要负责人或者个人经营的投资人不依照本法规定保证安全生产所必需的资金投入，致使生产经营单位不具备安全生产条件的，</w:t>
      </w:r>
      <w:r>
        <w:rPr>
          <w:rFonts w:hint="eastAsia" w:ascii="仿宋" w:hAnsi="仿宋" w:eastAsia="仿宋" w:cs="仿宋"/>
          <w:sz w:val="21"/>
          <w:szCs w:val="21"/>
        </w:rPr>
        <w:t>导致发生生产安全事故的，对生产经营单位的主要负责人给予撤职处分，对个人经营的投资人处二万元以上二十万元以下的罚款；构成犯罪的，依照刑法有关规定追究刑事责任。</w:t>
      </w:r>
    </w:p>
    <w:p w14:paraId="53B74834">
      <w:pPr>
        <w:pStyle w:val="5"/>
        <w:snapToGrid w:val="0"/>
        <w:rPr>
          <w:rFonts w:hint="eastAsia" w:ascii="仿宋" w:hAnsi="仿宋" w:eastAsia="仿宋" w:cs="仿宋"/>
          <w:sz w:val="21"/>
          <w:szCs w:val="21"/>
        </w:rPr>
      </w:pPr>
    </w:p>
    <w:p w14:paraId="2737115C">
      <w:pPr>
        <w:pStyle w:val="5"/>
        <w:snapToGrid w:val="0"/>
      </w:pPr>
    </w:p>
  </w:footnote>
  <w:footnote w:id="2">
    <w:p w14:paraId="5FF10F4E">
      <w:pPr>
        <w:pStyle w:val="5"/>
        <w:snapToGrid w:val="0"/>
        <w:rPr>
          <w:rFonts w:hint="eastAsia" w:ascii="仿宋" w:hAnsi="仿宋" w:eastAsia="仿宋" w:cs="仿宋"/>
          <w:sz w:val="21"/>
          <w:szCs w:val="21"/>
        </w:rPr>
      </w:pPr>
      <w:r>
        <w:rPr>
          <w:rStyle w:val="11"/>
        </w:rPr>
        <w:footnoteRef/>
      </w:r>
      <w:r>
        <w:rPr>
          <w:sz w:val="21"/>
          <w:szCs w:val="21"/>
        </w:rPr>
        <w:t xml:space="preserve"> </w:t>
      </w:r>
      <w:r>
        <w:rPr>
          <w:rFonts w:hint="eastAsia" w:ascii="仿宋" w:hAnsi="仿宋" w:eastAsia="仿宋" w:cs="仿宋"/>
          <w:sz w:val="21"/>
          <w:szCs w:val="21"/>
          <w:lang w:eastAsia="zh-CN"/>
        </w:rPr>
        <w:t>《</w:t>
      </w:r>
      <w:r>
        <w:rPr>
          <w:rFonts w:hint="eastAsia" w:ascii="仿宋" w:hAnsi="仿宋" w:eastAsia="仿宋" w:cs="仿宋"/>
          <w:sz w:val="21"/>
          <w:szCs w:val="21"/>
        </w:rPr>
        <w:t>中华人民共和国安全生产法》第四十九条第二款规定：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3">
    <w:p w14:paraId="16E83F4F">
      <w:pPr>
        <w:keepNext w:val="0"/>
        <w:keepLines w:val="0"/>
        <w:widowControl/>
        <w:suppressLineNumbers w:val="0"/>
        <w:jc w:val="left"/>
        <w:rPr>
          <w:rFonts w:hint="eastAsia" w:ascii="仿宋" w:hAnsi="仿宋" w:eastAsia="仿宋" w:cs="仿宋"/>
          <w:sz w:val="21"/>
          <w:szCs w:val="21"/>
        </w:rPr>
      </w:pPr>
      <w:r>
        <w:rPr>
          <w:rStyle w:val="11"/>
          <w:sz w:val="21"/>
          <w:szCs w:val="21"/>
        </w:rPr>
        <w:footnoteRef/>
      </w:r>
      <w:r>
        <w:rPr>
          <w:sz w:val="21"/>
          <w:szCs w:val="21"/>
        </w:rPr>
        <w:t xml:space="preserve"> </w:t>
      </w:r>
      <w:r>
        <w:rPr>
          <w:rFonts w:hint="eastAsia" w:ascii="仿宋" w:hAnsi="仿宋" w:eastAsia="仿宋" w:cs="仿宋"/>
          <w:sz w:val="21"/>
          <w:szCs w:val="21"/>
          <w:lang w:eastAsia="zh-CN"/>
        </w:rPr>
        <w:t>《</w:t>
      </w:r>
      <w:r>
        <w:rPr>
          <w:rFonts w:hint="eastAsia" w:ascii="仿宋" w:hAnsi="仿宋" w:eastAsia="仿宋" w:cs="仿宋"/>
          <w:sz w:val="21"/>
          <w:szCs w:val="21"/>
        </w:rPr>
        <w:t>中华人民共和国安全生产法》</w:t>
      </w:r>
      <w:r>
        <w:rPr>
          <w:rFonts w:hint="eastAsia" w:ascii="仿宋" w:hAnsi="仿宋" w:eastAsia="仿宋" w:cs="仿宋"/>
          <w:kern w:val="0"/>
          <w:sz w:val="21"/>
          <w:szCs w:val="21"/>
          <w:lang w:val="en-US" w:eastAsia="zh-CN" w:bidi="ar"/>
        </w:rPr>
        <w:t>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14:paraId="1C74D8EC">
      <w:pPr>
        <w:pStyle w:val="5"/>
        <w:snapToGrid w:val="0"/>
        <w:rPr>
          <w:sz w:val="21"/>
          <w:szCs w:val="21"/>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E12624"/>
    <w:multiLevelType w:val="singleLevel"/>
    <w:tmpl w:val="FCE1262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8"/>
    <w:footnote w:id="9"/>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9FB13E8"/>
    <w:rsid w:val="0112153B"/>
    <w:rsid w:val="04135CB4"/>
    <w:rsid w:val="15E635DE"/>
    <w:rsid w:val="1A5864AC"/>
    <w:rsid w:val="1E410B41"/>
    <w:rsid w:val="27150ACB"/>
    <w:rsid w:val="2B354B43"/>
    <w:rsid w:val="2EDC40C8"/>
    <w:rsid w:val="58046215"/>
    <w:rsid w:val="5F9010C9"/>
    <w:rsid w:val="5FFFD246"/>
    <w:rsid w:val="66433E4D"/>
    <w:rsid w:val="71DC6626"/>
    <w:rsid w:val="78431199"/>
    <w:rsid w:val="DBEF96F5"/>
    <w:rsid w:val="F9FB13E8"/>
    <w:rsid w:val="FAE40DD2"/>
    <w:rsid w:val="FCD7E82D"/>
    <w:rsid w:val="FFD741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qFormat/>
    <w:uiPriority w:val="0"/>
    <w:pPr>
      <w:snapToGrid w:val="0"/>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footnote reference"/>
    <w:basedOn w:val="9"/>
    <w:qFormat/>
    <w:uiPriority w:val="0"/>
    <w:rPr>
      <w:vertAlign w:val="superscript"/>
    </w:rPr>
  </w:style>
  <w:style w:type="paragraph" w:customStyle="1" w:styleId="12">
    <w:name w:val="正 文"/>
    <w:basedOn w:val="1"/>
    <w:qFormat/>
    <w:uiPriority w:val="0"/>
    <w:pPr>
      <w:spacing w:line="560" w:lineRule="exact"/>
      <w:ind w:firstLine="640" w:firstLineChars="200"/>
    </w:pPr>
    <w:rPr>
      <w:rFonts w:ascii="仿宋_GB2312" w:hAnsi="Times New Roman" w:eastAsia="仿宋_GB2312"/>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3647</Words>
  <Characters>3770</Characters>
  <Lines>0</Lines>
  <Paragraphs>0</Paragraphs>
  <TotalTime>1</TotalTime>
  <ScaleCrop>false</ScaleCrop>
  <LinksUpToDate>false</LinksUpToDate>
  <CharactersWithSpaces>3816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2025-11-20T07:59:00Z</dcterms:created>
  <dc:creator>焦轶</dc:creator>
  <cp:lastModifiedBy>校草</cp:lastModifiedBy>
  <cp:lastPrinted>2025-11-26T09:12:00Z</cp:lastPrinted>
  <dcterms:modified xsi:type="dcterms:W3CDTF">2026-08-10T08:05:56Z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851EEB1CF93C4F188F0310F7CC848E0B</vt:lpwstr>
  </property>
  <property fmtid="{D5CDD505-2E9C-101B-9397-08002B2CF9AE}" pid="4" name="KSOTemplateDocerSaveRecord">
    <vt:lpwstr>eyJoZGlkIjoiNDAzNzczODBiYTYxZDVkODk1MGMyOGE2ODdjZGJlODEiLCJ1c2VySWQiOiIyNTE0NTc4NzEifQ==</vt:lpwstr>
  </property>
</Properties>
</file>