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99037">
      <w:pPr>
        <w:autoSpaceDE w:val="0"/>
        <w:spacing w:line="540" w:lineRule="exact"/>
        <w:jc w:val="center"/>
        <w:rPr>
          <w:rFonts w:hint="eastAsia" w:ascii="宋体" w:hAnsi="宋体"/>
          <w:b/>
          <w:sz w:val="44"/>
          <w:szCs w:val="44"/>
          <w:lang w:eastAsia="zh-CN"/>
        </w:rPr>
      </w:pPr>
      <w:r>
        <w:rPr>
          <w:rFonts w:hint="eastAsia" w:ascii="宋体" w:hAnsi="宋体"/>
          <w:b/>
          <w:sz w:val="44"/>
          <w:szCs w:val="44"/>
        </w:rPr>
        <w:t>“5·14”</w:t>
      </w:r>
      <w:r>
        <w:rPr>
          <w:rFonts w:hint="eastAsia" w:ascii="宋体" w:hAnsi="宋体"/>
          <w:b/>
          <w:sz w:val="44"/>
          <w:szCs w:val="44"/>
          <w:lang w:val="en-US" w:eastAsia="zh-CN"/>
        </w:rPr>
        <w:t>南昌</w:t>
      </w:r>
      <w:r>
        <w:rPr>
          <w:rFonts w:hint="eastAsia" w:ascii="宋体" w:hAnsi="宋体"/>
          <w:b/>
          <w:sz w:val="44"/>
          <w:szCs w:val="44"/>
        </w:rPr>
        <w:t>塑料八厂</w:t>
      </w:r>
      <w:r>
        <w:rPr>
          <w:rFonts w:hint="eastAsia" w:ascii="宋体" w:hAnsi="宋体"/>
          <w:b/>
          <w:sz w:val="44"/>
          <w:szCs w:val="44"/>
          <w:lang w:eastAsia="zh-CN"/>
        </w:rPr>
        <w:t>废弃厂房</w:t>
      </w:r>
      <w:r>
        <w:rPr>
          <w:rFonts w:hint="eastAsia" w:ascii="宋体" w:hAnsi="宋体"/>
          <w:b/>
          <w:sz w:val="44"/>
          <w:szCs w:val="44"/>
          <w:lang w:val="en-US" w:eastAsia="zh-CN"/>
        </w:rPr>
        <w:t>施工</w:t>
      </w:r>
      <w:r>
        <w:rPr>
          <w:rFonts w:hint="eastAsia" w:ascii="宋体" w:hAnsi="宋体"/>
          <w:b/>
          <w:sz w:val="44"/>
          <w:szCs w:val="44"/>
        </w:rPr>
        <w:t>墙体倒塌一般亡人事故</w:t>
      </w:r>
      <w:r>
        <w:rPr>
          <w:rFonts w:hint="eastAsia" w:ascii="宋体" w:hAnsi="宋体"/>
          <w:b/>
          <w:sz w:val="44"/>
          <w:szCs w:val="44"/>
          <w:lang w:eastAsia="zh-CN"/>
        </w:rPr>
        <w:t>调查报告</w:t>
      </w:r>
    </w:p>
    <w:p w14:paraId="675BA93B">
      <w:pPr>
        <w:autoSpaceDE w:val="0"/>
        <w:spacing w:line="540" w:lineRule="exact"/>
        <w:jc w:val="center"/>
        <w:rPr>
          <w:rFonts w:hint="eastAsia" w:ascii="华文仿宋" w:hAnsi="华文仿宋" w:eastAsia="华文仿宋" w:cs="仿宋_GB2312"/>
          <w:sz w:val="32"/>
          <w:szCs w:val="32"/>
        </w:rPr>
      </w:pPr>
    </w:p>
    <w:p w14:paraId="0A8C58E9">
      <w:pPr>
        <w:autoSpaceDE w:val="0"/>
        <w:spacing w:line="5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年5月</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日上午</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时左右，在</w:t>
      </w:r>
      <w:r>
        <w:rPr>
          <w:rFonts w:hint="eastAsia" w:ascii="仿宋_GB2312" w:hAnsi="仿宋_GB2312" w:eastAsia="仿宋_GB2312" w:cs="仿宋_GB2312"/>
          <w:sz w:val="32"/>
          <w:szCs w:val="32"/>
          <w:lang w:val="en-US" w:eastAsia="zh-CN"/>
        </w:rPr>
        <w:t>南昌</w:t>
      </w:r>
      <w:r>
        <w:rPr>
          <w:rFonts w:hint="eastAsia" w:ascii="仿宋_GB2312" w:hAnsi="仿宋_GB2312" w:eastAsia="仿宋_GB2312" w:cs="仿宋_GB2312"/>
          <w:sz w:val="32"/>
          <w:szCs w:val="32"/>
          <w:lang w:eastAsia="zh-CN"/>
        </w:rPr>
        <w:t>塑料八厂废弃厂房</w:t>
      </w:r>
      <w:r>
        <w:rPr>
          <w:rFonts w:hint="eastAsia" w:ascii="仿宋_GB2312" w:hAnsi="仿宋_GB2312" w:eastAsia="仿宋_GB2312" w:cs="仿宋_GB2312"/>
          <w:sz w:val="32"/>
          <w:szCs w:val="32"/>
          <w:lang w:val="en-US" w:eastAsia="zh-CN"/>
        </w:rPr>
        <w:t>内</w:t>
      </w:r>
      <w:r>
        <w:rPr>
          <w:rFonts w:hint="eastAsia" w:ascii="仿宋_GB2312" w:hAnsi="仿宋_GB2312" w:eastAsia="仿宋_GB2312" w:cs="仿宋_GB2312"/>
          <w:sz w:val="32"/>
          <w:szCs w:val="32"/>
          <w:lang w:eastAsia="zh-CN"/>
        </w:rPr>
        <w:t>发生</w:t>
      </w:r>
      <w:r>
        <w:rPr>
          <w:rFonts w:hint="eastAsia" w:ascii="仿宋_GB2312" w:hAnsi="仿宋_GB2312" w:eastAsia="仿宋_GB2312" w:cs="仿宋_GB2312"/>
          <w:sz w:val="32"/>
          <w:szCs w:val="32"/>
          <w:lang w:val="en-US" w:eastAsia="zh-CN"/>
        </w:rPr>
        <w:t>施工墙体倒塌亡人事故，造成一人死亡。</w:t>
      </w:r>
      <w:r>
        <w:rPr>
          <w:rFonts w:hint="eastAsia" w:ascii="仿宋_GB2312" w:hAnsi="仿宋_GB2312" w:eastAsia="仿宋_GB2312" w:cs="仿宋_GB2312"/>
          <w:sz w:val="32"/>
          <w:szCs w:val="32"/>
        </w:rPr>
        <w:t>据调查，一名</w:t>
      </w:r>
      <w:r>
        <w:rPr>
          <w:rFonts w:hint="eastAsia"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员在拆除旧墙体时致该墙体倒塌被压伤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经送医院抢救无效后死亡，造成直接经济损失165万余元</w:t>
      </w:r>
      <w:r>
        <w:rPr>
          <w:rFonts w:hint="eastAsia" w:ascii="仿宋_GB2312" w:hAnsi="仿宋_GB2312" w:eastAsia="仿宋_GB2312" w:cs="仿宋_GB2312"/>
          <w:sz w:val="32"/>
          <w:szCs w:val="32"/>
        </w:rPr>
        <w:t>。</w:t>
      </w:r>
    </w:p>
    <w:p w14:paraId="624E1C92">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依据《中华人民共和国安全生产法》和《生产安全事故报告和调查处理条例》（国务院令第493号）第十九条的有关规定，经报请区政府批准，</w:t>
      </w:r>
      <w:r>
        <w:rPr>
          <w:rFonts w:hint="eastAsia" w:ascii="仿宋_GB2312" w:hAnsi="仿宋_GB2312" w:eastAsia="仿宋_GB2312" w:cs="仿宋_GB2312"/>
          <w:sz w:val="32"/>
          <w:szCs w:val="32"/>
          <w:lang w:val="en-US" w:eastAsia="zh-CN"/>
        </w:rPr>
        <w:t>成立了</w:t>
      </w:r>
      <w:r>
        <w:rPr>
          <w:rFonts w:hint="eastAsia" w:ascii="仿宋_GB2312" w:hAnsi="仿宋_GB2312" w:eastAsia="仿宋_GB2312" w:cs="仿宋_GB2312"/>
          <w:sz w:val="32"/>
          <w:szCs w:val="32"/>
        </w:rPr>
        <w:t>由区应急管理局</w:t>
      </w:r>
      <w:r>
        <w:rPr>
          <w:rFonts w:hint="eastAsia" w:ascii="仿宋_GB2312" w:hAnsi="仿宋_GB2312" w:eastAsia="仿宋_GB2312" w:cs="仿宋_GB2312"/>
          <w:sz w:val="32"/>
          <w:szCs w:val="32"/>
          <w:lang w:val="en-US" w:eastAsia="zh-CN"/>
        </w:rPr>
        <w:t>牵头，区纪委监委、</w:t>
      </w:r>
      <w:r>
        <w:rPr>
          <w:rFonts w:hint="eastAsia" w:ascii="仿宋_GB2312" w:hAnsi="仿宋_GB2312" w:eastAsia="仿宋_GB2312" w:cs="仿宋_GB2312"/>
          <w:sz w:val="32"/>
          <w:szCs w:val="32"/>
        </w:rPr>
        <w:t>区总工会、青云谱公安分局、区住建局、</w:t>
      </w:r>
      <w:r>
        <w:rPr>
          <w:rFonts w:hint="eastAsia" w:ascii="仿宋_GB2312" w:hAnsi="仿宋_GB2312" w:eastAsia="仿宋_GB2312" w:cs="仿宋_GB2312"/>
          <w:sz w:val="32"/>
          <w:szCs w:val="32"/>
          <w:lang w:eastAsia="zh-CN"/>
        </w:rPr>
        <w:t>京山</w:t>
      </w:r>
      <w:r>
        <w:rPr>
          <w:rFonts w:hint="eastAsia" w:ascii="仿宋_GB2312" w:hAnsi="仿宋_GB2312" w:eastAsia="仿宋_GB2312" w:cs="仿宋_GB2312"/>
          <w:sz w:val="32"/>
          <w:szCs w:val="32"/>
        </w:rPr>
        <w:t>街道办事处等单位组成</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事故调查组。</w:t>
      </w:r>
    </w:p>
    <w:p w14:paraId="5EF01946">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调查组按照“四不放过”和“科学严谨、依法依规、实事求是、注重实效”的原则，通过深入细致的调查，已查清事故发生的经过、原因，现提出对事故责任的认定以及对事故责任人、责任单位的处理建议和事故防范及整改措施。</w:t>
      </w:r>
    </w:p>
    <w:p w14:paraId="182DEFF7">
      <w:pPr>
        <w:autoSpaceDE w:val="0"/>
        <w:spacing w:line="560" w:lineRule="exact"/>
        <w:ind w:left="0" w:leftChars="0"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一、基本情况</w:t>
      </w:r>
    </w:p>
    <w:p w14:paraId="52006F97">
      <w:pPr>
        <w:autoSpaceDE w:val="0"/>
        <w:spacing w:line="560" w:lineRule="exact"/>
        <w:ind w:left="0" w:leftChars="0" w:firstLine="643" w:firstLineChars="200"/>
        <w:rPr>
          <w:rFonts w:hint="default"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rPr>
        <w:t>（一）项目概况：</w:t>
      </w:r>
      <w:r>
        <w:rPr>
          <w:rFonts w:hint="eastAsia" w:ascii="仿宋_GB2312" w:hAnsi="仿宋_GB2312" w:eastAsia="仿宋_GB2312" w:cs="仿宋_GB2312"/>
          <w:sz w:val="32"/>
          <w:szCs w:val="32"/>
          <w:lang w:eastAsia="zh-CN"/>
        </w:rPr>
        <w:t>事故发生所在项目位于南昌塑料八厂废弃厂区，地址为</w:t>
      </w:r>
      <w:r>
        <w:rPr>
          <w:rFonts w:hint="eastAsia" w:ascii="仿宋_GB2312" w:hAnsi="仿宋_GB2312" w:eastAsia="仿宋_GB2312" w:cs="仿宋_GB2312"/>
          <w:sz w:val="32"/>
          <w:szCs w:val="32"/>
          <w:lang w:val="en-US" w:eastAsia="zh-CN"/>
        </w:rPr>
        <w:t>南昌市青云谱区京山北路79号，该厂区业主单位为南昌金泰国资管理有限公司（以下简称“金泰公司”），2022年为盘活老工业厂区资源，保护和利用工业文化遗产，金泰公司通过公开招租的方式将南昌塑料八厂整体对外租赁，并计划打造“</w:t>
      </w:r>
      <w:r>
        <w:rPr>
          <w:rFonts w:hint="eastAsia" w:ascii="仿宋_GB2312" w:hAnsi="仿宋_GB2312" w:eastAsia="仿宋_GB2312" w:cs="仿宋_GB2312"/>
          <w:sz w:val="32"/>
          <w:szCs w:val="32"/>
          <w:lang w:eastAsia="zh-CN"/>
        </w:rPr>
        <w:t>南昌</w:t>
      </w:r>
      <w:r>
        <w:rPr>
          <w:rFonts w:hint="eastAsia" w:ascii="仿宋_GB2312" w:hAnsi="仿宋_GB2312" w:eastAsia="仿宋_GB2312" w:cs="仿宋_GB2312"/>
          <w:sz w:val="32"/>
          <w:szCs w:val="32"/>
          <w:lang w:val="en-US" w:eastAsia="zh-CN"/>
        </w:rPr>
        <w:t>1985数字文创产业园”（总建筑面积35967.41㎡）。该项目由瑞瀚（江苏）科技有限公司中标，为便于该项目改造运营，瑞瀚公司成立了全资子公司江西瑞达城市更新有限公司（以下简称“瑞达公司”）；瑞达公司在青云谱区住建局办理了《建设工程规划许可证》（建字第青住建外规（2023）0002号），规划建设规模为约21000㎡；瑞达公司将该项目的部分装饰装修工程发包给江苏丰玺轩装饰工程有限公司，承包</w:t>
      </w:r>
      <w:r>
        <w:rPr>
          <w:rFonts w:hint="eastAsia" w:ascii="华文仿宋" w:hAnsi="华文仿宋" w:eastAsia="华文仿宋" w:cs="仿宋_GB2312"/>
          <w:sz w:val="32"/>
          <w:szCs w:val="32"/>
        </w:rPr>
        <w:t>价</w:t>
      </w:r>
      <w:r>
        <w:rPr>
          <w:rFonts w:hint="eastAsia" w:ascii="华文仿宋" w:hAnsi="华文仿宋" w:eastAsia="华文仿宋" w:cs="仿宋_GB2312"/>
          <w:sz w:val="32"/>
          <w:szCs w:val="32"/>
          <w:lang w:eastAsia="zh-CN"/>
        </w:rPr>
        <w:t>为</w:t>
      </w:r>
      <w:r>
        <w:rPr>
          <w:rFonts w:hint="eastAsia" w:ascii="华文仿宋" w:hAnsi="华文仿宋" w:eastAsia="华文仿宋" w:cs="仿宋_GB2312"/>
          <w:sz w:val="32"/>
          <w:szCs w:val="32"/>
        </w:rPr>
        <w:t>人民币11</w:t>
      </w:r>
      <w:r>
        <w:rPr>
          <w:rFonts w:hint="eastAsia" w:ascii="华文仿宋" w:hAnsi="华文仿宋" w:eastAsia="华文仿宋" w:cs="仿宋_GB2312"/>
          <w:sz w:val="32"/>
          <w:szCs w:val="32"/>
          <w:lang w:val="en-US" w:eastAsia="zh-CN"/>
        </w:rPr>
        <w:t>2,9171.87</w:t>
      </w:r>
      <w:r>
        <w:rPr>
          <w:rFonts w:hint="eastAsia" w:ascii="华文仿宋" w:hAnsi="华文仿宋" w:eastAsia="华文仿宋" w:cs="仿宋_GB2312"/>
          <w:sz w:val="32"/>
          <w:szCs w:val="32"/>
        </w:rPr>
        <w:t>元。</w:t>
      </w:r>
    </w:p>
    <w:p w14:paraId="6C7314DE">
      <w:pPr>
        <w:autoSpaceDE w:val="0"/>
        <w:spacing w:line="560" w:lineRule="exact"/>
        <w:ind w:left="0" w:leftChars="0"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（二）项目参建单位基本情况：</w:t>
      </w:r>
    </w:p>
    <w:p w14:paraId="22DCACD8">
      <w:pPr>
        <w:autoSpaceDE w:val="0"/>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南昌金泰国资管理有限公司（以下简称“金泰公司”）：有限责任公司（非自然人投资或控股的法人独资）；经营地址：江西省南昌市青云谱区京山北路50号5栋（第1-3层）；经营范围：实业投资；企业管理咨询；园林绿化工程；自有房屋租赁；物业管理；园区管理服务等（以上项目依法需经批准的项目，需经相关部门批准后方可开展经营活动）；法人：梁柱；注册资本：20,000万元人民币。</w:t>
      </w:r>
    </w:p>
    <w:p w14:paraId="16136015">
      <w:pPr>
        <w:autoSpaceDE w:val="0"/>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瑞瀚（江苏）科技有限公司（以下简称“瑞瀚公司”）：有限责任公司；经营地址：南京市江宁区秣陵街道庄排路159号1-1幢203室（江宁开发区）；经营范围：园区管理服务；创业空间服务；规划设计管理；市场营销策划；会议及展览服务；企业形象策划；企业管理咨询；社会经济咨询服务；供应链管理服务；商务代理代办服务；物业管理等（除依法须经批准的项目外，凭营业执照依法自主开展经营活动）法人：张辰；注册资本：1000万元人民币。</w:t>
      </w:r>
    </w:p>
    <w:p w14:paraId="69D138CF">
      <w:pPr>
        <w:autoSpaceDE w:val="0"/>
        <w:spacing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江西瑞达城市更新有限公司（以下简称“瑞达公司”）：有限责任公司（非自然人投资或控股的法人独资）；经营地址：江西省南昌市青云谱区京山北路79号产业园内101室；经营范围：建设工程施工，园区管理服务，商业综合体管理服务，物业管理，会议及展览服务，建筑物清洁服务，办公服务，非居住房地产租赁，餐饮管理，租赁服务（不含许可类租赁服务），工程管理服务等（除依法须经批准的项目外，凭营业执照依法自主开展经营活动）；法人：李林；注册资本：1000万元人民币。</w:t>
      </w:r>
    </w:p>
    <w:p w14:paraId="0C7EBDF8">
      <w:pPr>
        <w:autoSpaceDE w:val="0"/>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江苏丰玺轩装饰工程有限公司（以下简称“丰玺轩公司”）：有限责任公司(自然人独资)；经营地址：常州市武进区湖塘镇新时代家俱广场1-B151；经营范围：住宅室内装饰装修；各类工程建设活动；建设工程设计；建设工程监理；房屋建筑和市政基础设施项目工程总承包；消防设施工程施工；文物保护工程施工；建设工程勘察；建筑劳务分包（依法须经批准的项目，经相关部门批准后方可开展经营活动，具体经营项目以审批结果为准）；一般项目：土石方工程施工；园林绿化工程施工；工程管理服务；建筑工程机械与设备租赁（除依法须经批准的项目外，凭营业执照依法自主开展经营活动）；法人：刘海锋；注册资本：1188万元人民币。</w:t>
      </w:r>
    </w:p>
    <w:p w14:paraId="026FB478">
      <w:pPr>
        <w:autoSpaceDE w:val="0"/>
        <w:spacing w:line="560" w:lineRule="exact"/>
        <w:ind w:left="0" w:leftChars="0" w:firstLine="643" w:firstLineChars="200"/>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rPr>
        <w:t>（三）合同签订情况</w:t>
      </w:r>
      <w:r>
        <w:rPr>
          <w:rFonts w:hint="eastAsia" w:ascii="仿宋_GB2312" w:hAnsi="仿宋_GB2312" w:eastAsia="仿宋_GB2312" w:cs="仿宋_GB2312"/>
          <w:b/>
          <w:sz w:val="32"/>
          <w:szCs w:val="32"/>
          <w:lang w:eastAsia="zh-CN"/>
        </w:rPr>
        <w:t>：</w:t>
      </w:r>
    </w:p>
    <w:p w14:paraId="1FCAE408">
      <w:pPr>
        <w:autoSpaceDE w:val="0"/>
        <w:spacing w:line="560" w:lineRule="exact"/>
        <w:ind w:left="0" w:leftChars="0" w:firstLine="643"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lang w:val="en-US" w:eastAsia="zh-CN"/>
        </w:rPr>
        <w:t>1、房屋租赁合同：</w:t>
      </w:r>
      <w:r>
        <w:rPr>
          <w:rFonts w:hint="eastAsia" w:ascii="仿宋_GB2312" w:hAnsi="仿宋_GB2312" w:eastAsia="仿宋_GB2312" w:cs="仿宋_GB2312"/>
          <w:sz w:val="32"/>
          <w:szCs w:val="32"/>
          <w:lang w:val="en-US" w:eastAsia="zh-CN"/>
        </w:rPr>
        <w:t>2022年9月7日，金泰公司与瑞瀚公司签订房屋租赁合同，金泰公司将南昌塑料八厂园区内建筑物及土地（建筑面积35867.41㎡）租赁给瑞瀚公司，由瑞瀚公司打造文化产业园。租赁期限：15年，不含免租装修期12个月；年租金538万元。</w:t>
      </w:r>
    </w:p>
    <w:p w14:paraId="3EA49132">
      <w:pPr>
        <w:numPr>
          <w:ilvl w:val="0"/>
          <w:numId w:val="1"/>
        </w:numPr>
        <w:autoSpaceDE w:val="0"/>
        <w:spacing w:line="560" w:lineRule="exact"/>
        <w:ind w:left="0" w:leftChars="0" w:firstLine="643" w:firstLineChars="200"/>
        <w:rPr>
          <w:rFonts w:hint="default"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工程承包合同：</w:t>
      </w:r>
      <w:r>
        <w:rPr>
          <w:rFonts w:hint="eastAsia" w:ascii="仿宋_GB2312" w:hAnsi="仿宋_GB2312" w:eastAsia="仿宋_GB2312" w:cs="仿宋_GB2312"/>
          <w:sz w:val="32"/>
          <w:szCs w:val="32"/>
          <w:lang w:val="en-US" w:eastAsia="zh-CN"/>
        </w:rPr>
        <w:t>2023年2月4日，瑞达公司与丰玺轩公司签订工程承包合同，施工面积约7000㎡，施工内容为外墙粉刷，砌墙，外搭满堂脚手架等，合同总价款为112,9171.87元人民币。</w:t>
      </w:r>
      <w:r>
        <w:rPr>
          <w:rFonts w:hint="eastAsia" w:ascii="仿宋_GB2312" w:hAnsi="仿宋_GB2312" w:eastAsia="仿宋_GB2312" w:cs="仿宋_GB2312"/>
          <w:b/>
          <w:sz w:val="32"/>
          <w:szCs w:val="32"/>
          <w:lang w:val="en-US" w:eastAsia="zh-CN"/>
        </w:rPr>
        <w:t xml:space="preserve">    </w:t>
      </w:r>
    </w:p>
    <w:p w14:paraId="03D405DC">
      <w:pPr>
        <w:numPr>
          <w:ilvl w:val="0"/>
          <w:numId w:val="1"/>
        </w:numPr>
        <w:autoSpaceDE w:val="0"/>
        <w:spacing w:line="560" w:lineRule="exact"/>
        <w:ind w:left="0" w:leftChars="0" w:firstLine="643" w:firstLineChars="200"/>
        <w:rPr>
          <w:rFonts w:hint="default"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施工安全管理协议：</w:t>
      </w:r>
      <w:r>
        <w:rPr>
          <w:rFonts w:hint="eastAsia" w:ascii="仿宋_GB2312" w:hAnsi="仿宋_GB2312" w:eastAsia="仿宋_GB2312" w:cs="仿宋_GB2312"/>
          <w:sz w:val="32"/>
          <w:szCs w:val="32"/>
          <w:lang w:val="en-US" w:eastAsia="zh-CN"/>
        </w:rPr>
        <w:t>2023年2月4日，瑞达公司与丰玺轩公司签订施工安全管理协议。协议约定乙方（丰玺轩公司）须向甲方（瑞达公司）承担施工人员因违反此协议内容要求或施工期间违章施工，所引起的一切事故导致甲方或第三方损失的经济赔偿和法律责任。</w:t>
      </w:r>
    </w:p>
    <w:p w14:paraId="797DA872">
      <w:pPr>
        <w:autoSpaceDE w:val="0"/>
        <w:spacing w:line="560" w:lineRule="exact"/>
        <w:ind w:left="0" w:leftChars="0"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二、事故经过和救援情况</w:t>
      </w:r>
    </w:p>
    <w:p w14:paraId="44C11303">
      <w:pPr>
        <w:autoSpaceDE w:val="0"/>
        <w:spacing w:line="560" w:lineRule="exact"/>
        <w:ind w:left="0" w:leftChars="0" w:firstLine="643"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（一）事故经过</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lang w:val="en-US" w:eastAsia="zh-CN"/>
        </w:rPr>
        <w:t>2023年5月14日上午7时许，丰玺轩公司现场班组长时辉组织10余人在南昌塑料八厂内工作，时辉安排李川川（死者）负责拆除20号（原21号）建筑一楼废弃锅炉的基座墙体，废弃锅炉在项目开工前已经被拆除，墙体内仅余锅炉废渣，李川川施工作业中施工方没有安排其他工作人员和安全管理人员在现场，8时20分许，附近负责清理建筑垃圾的黄瑞金与梁振芳听到轰的声响，看见基座墙体倒塌下来，两人立即走近查看，发现李川川的胸、背等部位被压在倒塌的墙底下，只露出头和肩膀的一部分，当时意识仍然清醒。黄瑞金立即电话通知了班组长时辉，梁振芳召集项目内工作的其他十余名工人一起帮忙救人，但这些工人们合力仍然抬不起倒塌的墙体，时辉到达现场立即拨打了120抢救与119救援电话，消防救援人员赶赴现场后使用千斤顶顶起墙体，工人们齐力将墙体移开，李川川被救出，120救护车立即将其送往解放军第908医院治疗，后经抢救无效于当日11时左右死亡。从现场情况来看，李川川使用了大功率电钻凿墙，没有按照规范的房屋拆除方案进行作业。据事后了解，锅炉基座为不规则的八面墙体，已经拆了10天左右，事发当天正在拆除最后一面墙。</w:t>
      </w:r>
    </w:p>
    <w:p w14:paraId="2D2D3B2C">
      <w:pPr>
        <w:autoSpaceDE w:val="0"/>
        <w:spacing w:line="560" w:lineRule="exact"/>
        <w:ind w:left="0" w:leftChars="0"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（二）事故救援</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lang w:val="en-US" w:eastAsia="zh-CN"/>
        </w:rPr>
        <w:t>接事故报告后，青云谱区有关区领导，青云谱消防救援大队、区应急管理局、京山派出所、京山街道办事处、区住建局等单位均立即到达现场开展救援及处置工作。瑞达公司和丰玺轩公司积极妥善地做好了死者家属的安抚和善后工作。</w:t>
      </w:r>
    </w:p>
    <w:p w14:paraId="3FDEC71A">
      <w:pPr>
        <w:autoSpaceDE w:val="0"/>
        <w:spacing w:line="560" w:lineRule="exact"/>
        <w:ind w:left="0" w:leftChars="0"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三、事故造成的人员伤亡和直接经济损失</w:t>
      </w:r>
    </w:p>
    <w:p w14:paraId="40DF8680">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（一）事故造成的人员伤亡情况：该起事故致1人死亡。</w:t>
      </w:r>
    </w:p>
    <w:tbl>
      <w:tblPr>
        <w:tblStyle w:val="5"/>
        <w:tblW w:w="8472" w:type="dxa"/>
        <w:tblInd w:w="0" w:type="dxa"/>
        <w:tblLayout w:type="fixed"/>
        <w:tblCellMar>
          <w:top w:w="0" w:type="dxa"/>
          <w:left w:w="108" w:type="dxa"/>
          <w:bottom w:w="0" w:type="dxa"/>
          <w:right w:w="108" w:type="dxa"/>
        </w:tblCellMar>
      </w:tblPr>
      <w:tblGrid>
        <w:gridCol w:w="1242"/>
        <w:gridCol w:w="993"/>
        <w:gridCol w:w="997"/>
        <w:gridCol w:w="3134"/>
        <w:gridCol w:w="972"/>
        <w:gridCol w:w="1134"/>
      </w:tblGrid>
      <w:tr w14:paraId="291BF089">
        <w:tblPrEx>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14:paraId="758F80A4">
            <w:pPr>
              <w:autoSpaceDE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姓名</w:t>
            </w:r>
          </w:p>
        </w:tc>
        <w:tc>
          <w:tcPr>
            <w:tcW w:w="993" w:type="dxa"/>
            <w:tcBorders>
              <w:top w:val="single" w:color="000000" w:sz="4" w:space="0"/>
              <w:left w:val="nil"/>
              <w:bottom w:val="single" w:color="000000" w:sz="4" w:space="0"/>
              <w:right w:val="single" w:color="000000" w:sz="4" w:space="0"/>
            </w:tcBorders>
            <w:vAlign w:val="center"/>
          </w:tcPr>
          <w:p w14:paraId="0B5BF385">
            <w:pPr>
              <w:autoSpaceDE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性别</w:t>
            </w:r>
          </w:p>
        </w:tc>
        <w:tc>
          <w:tcPr>
            <w:tcW w:w="997" w:type="dxa"/>
            <w:tcBorders>
              <w:top w:val="single" w:color="000000" w:sz="4" w:space="0"/>
              <w:left w:val="nil"/>
              <w:bottom w:val="single" w:color="000000" w:sz="4" w:space="0"/>
              <w:right w:val="single" w:color="000000" w:sz="4" w:space="0"/>
            </w:tcBorders>
            <w:vAlign w:val="center"/>
          </w:tcPr>
          <w:p w14:paraId="003BFA10">
            <w:pPr>
              <w:autoSpaceDE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年龄</w:t>
            </w:r>
          </w:p>
        </w:tc>
        <w:tc>
          <w:tcPr>
            <w:tcW w:w="3134" w:type="dxa"/>
            <w:tcBorders>
              <w:top w:val="single" w:color="000000" w:sz="4" w:space="0"/>
              <w:left w:val="nil"/>
              <w:bottom w:val="single" w:color="000000" w:sz="4" w:space="0"/>
              <w:right w:val="single" w:color="000000" w:sz="4" w:space="0"/>
            </w:tcBorders>
            <w:vAlign w:val="center"/>
          </w:tcPr>
          <w:p w14:paraId="3759FE2B">
            <w:pPr>
              <w:autoSpaceDE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住址及证件号码</w:t>
            </w:r>
          </w:p>
        </w:tc>
        <w:tc>
          <w:tcPr>
            <w:tcW w:w="972" w:type="dxa"/>
            <w:tcBorders>
              <w:top w:val="single" w:color="000000" w:sz="4" w:space="0"/>
              <w:left w:val="nil"/>
              <w:bottom w:val="single" w:color="000000" w:sz="4" w:space="0"/>
              <w:right w:val="single" w:color="000000" w:sz="4" w:space="0"/>
            </w:tcBorders>
            <w:vAlign w:val="center"/>
          </w:tcPr>
          <w:p w14:paraId="5D16D61A">
            <w:pPr>
              <w:autoSpaceDE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工种</w:t>
            </w:r>
          </w:p>
        </w:tc>
        <w:tc>
          <w:tcPr>
            <w:tcW w:w="1134" w:type="dxa"/>
            <w:tcBorders>
              <w:top w:val="single" w:color="000000" w:sz="4" w:space="0"/>
              <w:left w:val="nil"/>
              <w:bottom w:val="single" w:color="000000" w:sz="4" w:space="0"/>
              <w:right w:val="single" w:color="000000" w:sz="4" w:space="0"/>
            </w:tcBorders>
            <w:vAlign w:val="center"/>
          </w:tcPr>
          <w:p w14:paraId="6887930A">
            <w:pPr>
              <w:autoSpaceDE w:val="0"/>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伤害程度</w:t>
            </w:r>
          </w:p>
        </w:tc>
      </w:tr>
      <w:tr w14:paraId="63DDE52E">
        <w:tblPrEx>
          <w:tblCellMar>
            <w:top w:w="0" w:type="dxa"/>
            <w:left w:w="108" w:type="dxa"/>
            <w:bottom w:w="0" w:type="dxa"/>
            <w:right w:w="108" w:type="dxa"/>
          </w:tblCellMar>
        </w:tblPrEx>
        <w:tc>
          <w:tcPr>
            <w:tcW w:w="1242" w:type="dxa"/>
            <w:tcBorders>
              <w:top w:val="single" w:color="000000" w:sz="4" w:space="0"/>
              <w:left w:val="single" w:color="000000" w:sz="4" w:space="0"/>
              <w:bottom w:val="single" w:color="000000" w:sz="4" w:space="0"/>
              <w:right w:val="single" w:color="000000" w:sz="4" w:space="0"/>
            </w:tcBorders>
            <w:vAlign w:val="center"/>
          </w:tcPr>
          <w:p w14:paraId="537600E6">
            <w:pPr>
              <w:autoSpaceDE w:val="0"/>
              <w:spacing w:line="56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李川川</w:t>
            </w:r>
          </w:p>
        </w:tc>
        <w:tc>
          <w:tcPr>
            <w:tcW w:w="993" w:type="dxa"/>
            <w:tcBorders>
              <w:top w:val="single" w:color="000000" w:sz="4" w:space="0"/>
              <w:left w:val="nil"/>
              <w:bottom w:val="single" w:color="000000" w:sz="4" w:space="0"/>
              <w:right w:val="single" w:color="000000" w:sz="4" w:space="0"/>
            </w:tcBorders>
            <w:vAlign w:val="center"/>
          </w:tcPr>
          <w:p w14:paraId="673F0148">
            <w:pPr>
              <w:autoSpaceDE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男</w:t>
            </w:r>
          </w:p>
        </w:tc>
        <w:tc>
          <w:tcPr>
            <w:tcW w:w="997" w:type="dxa"/>
            <w:tcBorders>
              <w:top w:val="single" w:color="000000" w:sz="4" w:space="0"/>
              <w:left w:val="nil"/>
              <w:bottom w:val="single" w:color="000000" w:sz="4" w:space="0"/>
              <w:right w:val="single" w:color="000000" w:sz="4" w:space="0"/>
            </w:tcBorders>
            <w:vAlign w:val="center"/>
          </w:tcPr>
          <w:p w14:paraId="79E3AEBD">
            <w:pPr>
              <w:autoSpaceDE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岁</w:t>
            </w:r>
          </w:p>
        </w:tc>
        <w:tc>
          <w:tcPr>
            <w:tcW w:w="3134" w:type="dxa"/>
            <w:tcBorders>
              <w:top w:val="single" w:color="000000" w:sz="4" w:space="0"/>
              <w:left w:val="nil"/>
              <w:bottom w:val="single" w:color="000000" w:sz="4" w:space="0"/>
              <w:right w:val="single" w:color="000000" w:sz="4" w:space="0"/>
            </w:tcBorders>
            <w:vAlign w:val="center"/>
          </w:tcPr>
          <w:p w14:paraId="03B384B0">
            <w:pPr>
              <w:autoSpaceDE w:val="0"/>
              <w:spacing w:line="56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河南省信阳市潢川县来龙乡谷洼村刘二组</w:t>
            </w:r>
          </w:p>
          <w:p w14:paraId="2617901B">
            <w:pPr>
              <w:autoSpaceDE w:val="0"/>
              <w:spacing w:line="560"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身份证号：</w:t>
            </w:r>
            <w:r>
              <w:rPr>
                <w:rFonts w:hint="eastAsia" w:ascii="仿宋_GB2312" w:hAnsi="仿宋_GB2312" w:eastAsia="仿宋_GB2312" w:cs="仿宋_GB2312"/>
                <w:sz w:val="32"/>
                <w:szCs w:val="32"/>
                <w:lang w:val="en-US" w:eastAsia="zh-CN"/>
              </w:rPr>
              <w:t>411526*********</w:t>
            </w:r>
            <w:bookmarkStart w:id="0" w:name="_GoBack"/>
            <w:bookmarkEnd w:id="0"/>
            <w:r>
              <w:rPr>
                <w:rFonts w:hint="eastAsia" w:ascii="仿宋_GB2312" w:hAnsi="仿宋_GB2312" w:eastAsia="仿宋_GB2312" w:cs="仿宋_GB2312"/>
                <w:sz w:val="32"/>
                <w:szCs w:val="32"/>
                <w:lang w:val="en-US" w:eastAsia="zh-CN"/>
              </w:rPr>
              <w:t>956</w:t>
            </w:r>
          </w:p>
        </w:tc>
        <w:tc>
          <w:tcPr>
            <w:tcW w:w="972" w:type="dxa"/>
            <w:tcBorders>
              <w:top w:val="single" w:color="000000" w:sz="4" w:space="0"/>
              <w:left w:val="nil"/>
              <w:bottom w:val="single" w:color="000000" w:sz="4" w:space="0"/>
              <w:right w:val="single" w:color="000000" w:sz="4" w:space="0"/>
            </w:tcBorders>
            <w:vAlign w:val="center"/>
          </w:tcPr>
          <w:p w14:paraId="51894DEE">
            <w:pPr>
              <w:autoSpaceDE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杂</w:t>
            </w:r>
            <w:r>
              <w:rPr>
                <w:rFonts w:hint="eastAsia" w:ascii="仿宋_GB2312" w:hAnsi="仿宋_GB2312" w:eastAsia="仿宋_GB2312" w:cs="仿宋_GB2312"/>
                <w:sz w:val="32"/>
                <w:szCs w:val="32"/>
              </w:rPr>
              <w:t>工</w:t>
            </w:r>
          </w:p>
        </w:tc>
        <w:tc>
          <w:tcPr>
            <w:tcW w:w="1134" w:type="dxa"/>
            <w:tcBorders>
              <w:top w:val="single" w:color="000000" w:sz="4" w:space="0"/>
              <w:left w:val="nil"/>
              <w:bottom w:val="single" w:color="000000" w:sz="4" w:space="0"/>
              <w:right w:val="single" w:color="000000" w:sz="4" w:space="0"/>
            </w:tcBorders>
            <w:vAlign w:val="center"/>
          </w:tcPr>
          <w:p w14:paraId="2ABA66BF">
            <w:pPr>
              <w:autoSpaceDE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死亡</w:t>
            </w:r>
          </w:p>
        </w:tc>
      </w:tr>
    </w:tbl>
    <w:p w14:paraId="3EC50E93">
      <w:pPr>
        <w:numPr>
          <w:ilvl w:val="0"/>
          <w:numId w:val="2"/>
        </w:num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直接经济损失：经济损失1</w:t>
      </w:r>
      <w:r>
        <w:rPr>
          <w:rFonts w:hint="eastAsia" w:ascii="仿宋_GB2312" w:hAnsi="仿宋_GB2312" w:eastAsia="仿宋_GB2312" w:cs="仿宋_GB2312"/>
          <w:sz w:val="32"/>
          <w:szCs w:val="32"/>
          <w:lang w:val="en-US" w:eastAsia="zh-CN"/>
        </w:rPr>
        <w:t>65</w:t>
      </w:r>
      <w:r>
        <w:rPr>
          <w:rFonts w:hint="eastAsia" w:ascii="仿宋_GB2312" w:hAnsi="仿宋_GB2312" w:eastAsia="仿宋_GB2312" w:cs="仿宋_GB2312"/>
          <w:sz w:val="32"/>
          <w:szCs w:val="32"/>
        </w:rPr>
        <w:t>万余元（主要是死者家属赔偿及安葬费用）。</w:t>
      </w:r>
    </w:p>
    <w:p w14:paraId="3A7B10AB">
      <w:pPr>
        <w:autoSpaceDE w:val="0"/>
        <w:spacing w:line="560" w:lineRule="exact"/>
        <w:ind w:left="0" w:leftChars="0"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四、事故原因和性质</w:t>
      </w:r>
    </w:p>
    <w:p w14:paraId="707840AD">
      <w:pPr>
        <w:autoSpaceDE w:val="0"/>
        <w:spacing w:line="560" w:lineRule="exact"/>
        <w:ind w:left="0" w:leftChars="0" w:firstLine="643" w:firstLineChars="200"/>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rPr>
        <w:t>（一）直接原因</w:t>
      </w:r>
      <w:r>
        <w:rPr>
          <w:rFonts w:hint="eastAsia" w:ascii="仿宋_GB2312" w:hAnsi="仿宋_GB2312" w:eastAsia="仿宋_GB2312" w:cs="仿宋_GB2312"/>
          <w:b/>
          <w:sz w:val="32"/>
          <w:szCs w:val="32"/>
          <w:lang w:eastAsia="zh-CN"/>
        </w:rPr>
        <w:t>：</w:t>
      </w:r>
      <w:r>
        <w:rPr>
          <w:rFonts w:hint="eastAsia" w:ascii="仿宋_GB2312" w:hAnsi="仿宋_GB2312" w:eastAsia="仿宋_GB2312" w:cs="仿宋_GB2312"/>
          <w:sz w:val="32"/>
          <w:szCs w:val="32"/>
          <w:lang w:eastAsia="zh-CN"/>
        </w:rPr>
        <w:t>李川川在拆墙施工中</w:t>
      </w:r>
      <w:r>
        <w:rPr>
          <w:rFonts w:hint="eastAsia" w:ascii="仿宋_GB2312" w:hAnsi="仿宋_GB2312" w:eastAsia="仿宋_GB2312" w:cs="仿宋_GB2312"/>
          <w:sz w:val="32"/>
          <w:szCs w:val="32"/>
          <w:lang w:val="en-US" w:eastAsia="zh-CN"/>
        </w:rPr>
        <w:t>不规范</w:t>
      </w:r>
      <w:r>
        <w:rPr>
          <w:rFonts w:hint="eastAsia" w:ascii="仿宋_GB2312" w:hAnsi="仿宋_GB2312" w:eastAsia="仿宋_GB2312" w:cs="仿宋_GB2312"/>
          <w:sz w:val="32"/>
          <w:szCs w:val="32"/>
          <w:lang w:eastAsia="zh-CN"/>
        </w:rPr>
        <w:t>作业，致墙体倒塌被压身亡，导致发生</w:t>
      </w:r>
      <w:r>
        <w:rPr>
          <w:rFonts w:hint="eastAsia" w:ascii="仿宋_GB2312" w:hAnsi="仿宋_GB2312" w:eastAsia="仿宋_GB2312" w:cs="仿宋_GB2312"/>
          <w:sz w:val="32"/>
          <w:szCs w:val="32"/>
          <w:lang w:val="en-US" w:eastAsia="zh-CN"/>
        </w:rPr>
        <w:t>该起</w:t>
      </w:r>
      <w:r>
        <w:rPr>
          <w:rFonts w:hint="eastAsia" w:ascii="仿宋_GB2312" w:hAnsi="仿宋_GB2312" w:eastAsia="仿宋_GB2312" w:cs="仿宋_GB2312"/>
          <w:sz w:val="32"/>
          <w:szCs w:val="32"/>
          <w:lang w:eastAsia="zh-CN"/>
        </w:rPr>
        <w:t>生产安全事故。</w:t>
      </w:r>
    </w:p>
    <w:p w14:paraId="4E7B57C9">
      <w:pPr>
        <w:autoSpaceDE w:val="0"/>
        <w:spacing w:line="560" w:lineRule="exact"/>
        <w:ind w:left="0" w:leftChars="0" w:firstLine="643" w:firstLineChars="200"/>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（二）间接原因：</w:t>
      </w:r>
    </w:p>
    <w:p w14:paraId="2EE9A6E4">
      <w:pPr>
        <w:autoSpaceDE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1、丰玺轩公司未落实企业安全生产主体责任，在组织施工过程中未派遣施工管理员或安全员进行现场监督，在拆除施工中未制定墙体拆除施工处置方案等有效措施，</w:t>
      </w:r>
      <w:r>
        <w:rPr>
          <w:rFonts w:hint="eastAsia" w:ascii="仿宋_GB2312" w:hAnsi="仿宋_GB2312" w:eastAsia="仿宋_GB2312" w:cs="仿宋_GB2312"/>
          <w:sz w:val="32"/>
          <w:szCs w:val="32"/>
          <w:lang w:eastAsia="zh-CN"/>
        </w:rPr>
        <w:t>导致发生生产安全事故；</w:t>
      </w:r>
    </w:p>
    <w:p w14:paraId="23C02452">
      <w:pPr>
        <w:autoSpaceDE w:val="0"/>
        <w:spacing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2、丰玺轩公司法人刘海锋，兼职施工安全管理员，对现场安全管理不到位，未落实生产经营单位主要负责人职责，未对死者李川川进行安全教育，</w:t>
      </w:r>
      <w:r>
        <w:rPr>
          <w:rFonts w:hint="eastAsia" w:ascii="仿宋_GB2312" w:hAnsi="仿宋_GB2312" w:eastAsia="仿宋_GB2312" w:cs="仿宋_GB2312"/>
          <w:sz w:val="32"/>
          <w:szCs w:val="32"/>
          <w:lang w:eastAsia="zh-CN"/>
        </w:rPr>
        <w:t>导致发生生产安全事故；</w:t>
      </w:r>
    </w:p>
    <w:p w14:paraId="018C33B1">
      <w:pPr>
        <w:autoSpaceDE w:val="0"/>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3、丰玺轩公司派遣施工班组长时辉，未组织制定安全施工方案，未发现并制止李川川违反操作规程的行为，未采取有效措施预防生产安全事故，对现场安全管理不到位，导致</w:t>
      </w:r>
      <w:r>
        <w:rPr>
          <w:rFonts w:hint="eastAsia" w:ascii="仿宋_GB2312" w:hAnsi="仿宋_GB2312" w:eastAsia="仿宋_GB2312" w:cs="仿宋_GB2312"/>
          <w:sz w:val="32"/>
          <w:szCs w:val="32"/>
          <w:lang w:eastAsia="zh-CN"/>
        </w:rPr>
        <w:t>发生生产安全事故。</w:t>
      </w:r>
    </w:p>
    <w:p w14:paraId="0380A943">
      <w:pPr>
        <w:autoSpaceDE w:val="0"/>
        <w:spacing w:line="560" w:lineRule="exact"/>
        <w:ind w:left="0" w:leftChars="0"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（三）事故性质</w:t>
      </w:r>
      <w:r>
        <w:rPr>
          <w:rFonts w:hint="eastAsia" w:ascii="仿宋_GB2312" w:hAnsi="仿宋_GB2312" w:eastAsia="仿宋_GB2312" w:cs="仿宋_GB2312"/>
          <w:b/>
          <w:sz w:val="32"/>
          <w:szCs w:val="32"/>
          <w:lang w:eastAsia="zh-CN"/>
        </w:rPr>
        <w:t>：</w:t>
      </w:r>
      <w:r>
        <w:rPr>
          <w:rFonts w:hint="eastAsia" w:ascii="华文仿宋" w:hAnsi="华文仿宋" w:eastAsia="华文仿宋" w:cs="仿宋_GB2312"/>
          <w:sz w:val="32"/>
          <w:szCs w:val="32"/>
        </w:rPr>
        <w:t>经调查</w:t>
      </w:r>
      <w:r>
        <w:rPr>
          <w:rFonts w:hint="eastAsia" w:ascii="仿宋_GB2312" w:hAnsi="仿宋_GB2312" w:eastAsia="仿宋_GB2312" w:cs="仿宋_GB2312"/>
          <w:sz w:val="32"/>
          <w:szCs w:val="32"/>
          <w:lang w:val="en-US" w:eastAsia="zh-CN"/>
        </w:rPr>
        <w:t>认定，“5·14”南昌塑料八厂废弃厂房施工墙体倒塌一般亡人事故是一起安全生产施工处置方案缺失、企业安全生产主体责任落实不到位、企业相关负责人</w:t>
      </w:r>
      <w:r>
        <w:rPr>
          <w:rFonts w:hint="default" w:ascii="仿宋_GB2312" w:hAnsi="仿宋_GB2312" w:eastAsia="仿宋_GB2312" w:cs="仿宋_GB2312"/>
          <w:sz w:val="32"/>
          <w:szCs w:val="32"/>
          <w:lang w:val="en-US" w:eastAsia="zh-CN"/>
        </w:rPr>
        <w:t>履行安全管理职责不到位</w:t>
      </w:r>
      <w:r>
        <w:rPr>
          <w:rFonts w:hint="eastAsia" w:ascii="仿宋_GB2312" w:hAnsi="仿宋_GB2312" w:eastAsia="仿宋_GB2312" w:cs="仿宋_GB2312"/>
          <w:sz w:val="32"/>
          <w:szCs w:val="32"/>
          <w:lang w:val="en-US" w:eastAsia="zh-CN"/>
        </w:rPr>
        <w:t>等因素造成的生产安全责任事故。</w:t>
      </w:r>
    </w:p>
    <w:p w14:paraId="52EF98E3">
      <w:pPr>
        <w:autoSpaceDE w:val="0"/>
        <w:spacing w:line="560" w:lineRule="exact"/>
        <w:ind w:left="0" w:leftChars="0"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五、对事故有关责任人员及责任单位的处理建议</w:t>
      </w:r>
    </w:p>
    <w:p w14:paraId="7434ABD5">
      <w:pPr>
        <w:autoSpaceDE w:val="0"/>
        <w:spacing w:line="560" w:lineRule="exact"/>
        <w:ind w:left="0" w:leftChars="0" w:firstLine="643" w:firstLineChars="200"/>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rPr>
        <w:t>（一）对事故发生单位的责任认定及处理意见</w:t>
      </w:r>
      <w:r>
        <w:rPr>
          <w:rFonts w:hint="eastAsia" w:ascii="仿宋_GB2312" w:hAnsi="仿宋_GB2312" w:eastAsia="仿宋_GB2312" w:cs="仿宋_GB2312"/>
          <w:b/>
          <w:sz w:val="32"/>
          <w:szCs w:val="32"/>
          <w:lang w:eastAsia="zh-CN"/>
        </w:rPr>
        <w:t>：</w:t>
      </w:r>
    </w:p>
    <w:p w14:paraId="61D3A1B9">
      <w:pPr>
        <w:autoSpaceDE w:val="0"/>
        <w:spacing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华文仿宋" w:hAnsi="华文仿宋" w:eastAsia="华文仿宋" w:cs="仿宋_GB2312"/>
          <w:sz w:val="32"/>
          <w:szCs w:val="32"/>
          <w:lang w:val="en-US" w:eastAsia="zh-CN"/>
        </w:rPr>
        <w:t>1、</w:t>
      </w:r>
      <w:r>
        <w:rPr>
          <w:rFonts w:hint="eastAsia" w:ascii="华文仿宋" w:hAnsi="华文仿宋" w:eastAsia="华文仿宋" w:cs="仿宋_GB2312"/>
          <w:sz w:val="32"/>
          <w:szCs w:val="32"/>
          <w:lang w:eastAsia="zh-CN"/>
        </w:rPr>
        <w:t>丰玺轩</w:t>
      </w:r>
      <w:r>
        <w:rPr>
          <w:rFonts w:hint="eastAsia" w:ascii="华文仿宋" w:hAnsi="华文仿宋" w:eastAsia="华文仿宋" w:cs="仿宋_GB2312"/>
          <w:sz w:val="32"/>
          <w:szCs w:val="32"/>
        </w:rPr>
        <w:t>公司作为施工单位，</w:t>
      </w:r>
      <w:r>
        <w:rPr>
          <w:rFonts w:hint="eastAsia" w:ascii="仿宋_GB2312" w:hAnsi="仿宋_GB2312" w:eastAsia="仿宋_GB2312" w:cs="仿宋_GB2312"/>
          <w:sz w:val="32"/>
          <w:szCs w:val="32"/>
          <w:lang w:val="en-US" w:eastAsia="zh-CN"/>
        </w:rPr>
        <w:t>未落实企业安全生产主体责任，在组织施工过程中未派遣施工管理员或安全员进行现场监督，在拆除施工中未制定墙体拆除施工处置方案等有效措施，导致该生产安全事故的发生，违反了《中华人民共和国安全生产法》第二十四条以及《中华人民共和国建筑法》第四十四条之规定，对造成事故负主要责任，根据《中华人民共和国安全生产法》第一百一十四条第一款与《江西省应急管理部门安全生产行政处罚裁量适用细则》第86项之规定，建议对丰玺轩公司处以三十万元罚款的行政处罚，罚款上缴国库。</w:t>
      </w:r>
    </w:p>
    <w:p w14:paraId="58D04478">
      <w:pPr>
        <w:autoSpaceDE w:val="0"/>
        <w:spacing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华文仿宋" w:hAnsi="华文仿宋" w:eastAsia="华文仿宋" w:cs="仿宋_GB2312"/>
          <w:sz w:val="32"/>
          <w:szCs w:val="32"/>
          <w:lang w:val="en-US" w:eastAsia="zh-CN"/>
        </w:rPr>
        <w:t>2、</w:t>
      </w:r>
      <w:r>
        <w:rPr>
          <w:rFonts w:hint="eastAsia" w:ascii="仿宋_GB2312" w:hAnsi="仿宋_GB2312" w:eastAsia="仿宋_GB2312" w:cs="仿宋_GB2312"/>
          <w:sz w:val="32"/>
          <w:szCs w:val="32"/>
          <w:lang w:val="en-US" w:eastAsia="zh-CN"/>
        </w:rPr>
        <w:t>瑞达公司作为工程发包单位，对承包单位安全生产监督管理不到位，导致该生产安全事故的发生，建议对瑞达公司的施工项目进行停工整改并在全区通报批评。</w:t>
      </w:r>
    </w:p>
    <w:p w14:paraId="0906F447">
      <w:pPr>
        <w:autoSpaceDE w:val="0"/>
        <w:spacing w:line="560" w:lineRule="exact"/>
        <w:ind w:left="0" w:leftChars="0" w:firstLine="640" w:firstLineChars="200"/>
        <w:rPr>
          <w:rFonts w:hint="default" w:ascii="仿宋_GB2312" w:hAnsi="仿宋_GB2312" w:eastAsia="仿宋_GB2312" w:cs="仿宋_GB2312"/>
          <w:sz w:val="32"/>
          <w:szCs w:val="32"/>
          <w:lang w:val="en-US" w:eastAsia="zh-CN"/>
        </w:rPr>
      </w:pPr>
      <w:r>
        <w:rPr>
          <w:rFonts w:hint="eastAsia" w:ascii="华文仿宋" w:hAnsi="华文仿宋" w:eastAsia="华文仿宋" w:cs="仿宋_GB2312"/>
          <w:sz w:val="32"/>
          <w:szCs w:val="32"/>
          <w:lang w:val="en-US" w:eastAsia="zh-CN"/>
        </w:rPr>
        <w:t>3、</w:t>
      </w:r>
      <w:r>
        <w:rPr>
          <w:rFonts w:hint="eastAsia" w:ascii="仿宋_GB2312" w:hAnsi="仿宋_GB2312" w:eastAsia="仿宋_GB2312" w:cs="仿宋_GB2312"/>
          <w:sz w:val="32"/>
          <w:szCs w:val="32"/>
          <w:lang w:val="en-US" w:eastAsia="zh-CN"/>
        </w:rPr>
        <w:t>金泰公司作为项目业主单位，未做好施工安全监管工作，建议由相关职能部门或单位对其进行约谈。</w:t>
      </w:r>
    </w:p>
    <w:p w14:paraId="00DC4426">
      <w:pPr>
        <w:autoSpaceDE w:val="0"/>
        <w:spacing w:line="560" w:lineRule="exact"/>
        <w:ind w:left="0" w:leftChars="0" w:firstLine="643" w:firstLineChars="200"/>
        <w:rPr>
          <w:rFonts w:hint="eastAsia" w:ascii="仿宋_GB2312" w:hAnsi="仿宋_GB2312" w:eastAsia="仿宋_GB2312" w:cs="仿宋_GB2312"/>
          <w:b/>
          <w:kern w:val="2"/>
          <w:sz w:val="32"/>
          <w:szCs w:val="32"/>
          <w:lang w:val="en-US" w:eastAsia="zh-CN" w:bidi="ar-SA"/>
        </w:rPr>
      </w:pPr>
      <w:r>
        <w:rPr>
          <w:rFonts w:hint="eastAsia" w:ascii="仿宋_GB2312" w:hAnsi="仿宋_GB2312" w:eastAsia="仿宋_GB2312" w:cs="仿宋_GB2312"/>
          <w:b/>
          <w:sz w:val="32"/>
          <w:szCs w:val="32"/>
          <w:lang w:eastAsia="zh-CN"/>
        </w:rPr>
        <w:t>（二）</w:t>
      </w:r>
      <w:r>
        <w:rPr>
          <w:rFonts w:hint="eastAsia" w:ascii="仿宋_GB2312" w:hAnsi="仿宋_GB2312" w:eastAsia="仿宋_GB2312" w:cs="仿宋_GB2312"/>
          <w:b/>
          <w:kern w:val="2"/>
          <w:sz w:val="32"/>
          <w:szCs w:val="32"/>
          <w:lang w:val="en-US" w:eastAsia="zh-CN" w:bidi="ar-SA"/>
        </w:rPr>
        <w:t>对相关人员的责任认定及处理意见：</w:t>
      </w:r>
    </w:p>
    <w:p w14:paraId="2E835025">
      <w:pPr>
        <w:autoSpaceDE w:val="0"/>
        <w:spacing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1、李川川</w:t>
      </w:r>
      <w:r>
        <w:rPr>
          <w:rFonts w:hint="eastAsia" w:ascii="仿宋_GB2312" w:hAnsi="仿宋_GB2312" w:eastAsia="仿宋_GB2312" w:cs="仿宋_GB2312"/>
          <w:sz w:val="32"/>
          <w:szCs w:val="32"/>
          <w:lang w:eastAsia="zh-CN"/>
        </w:rPr>
        <w:t>在拆墙施工中</w:t>
      </w:r>
      <w:r>
        <w:rPr>
          <w:rFonts w:hint="eastAsia" w:ascii="仿宋_GB2312" w:hAnsi="仿宋_GB2312" w:eastAsia="仿宋_GB2312" w:cs="仿宋_GB2312"/>
          <w:sz w:val="32"/>
          <w:szCs w:val="32"/>
          <w:lang w:val="en-US" w:eastAsia="zh-CN"/>
        </w:rPr>
        <w:t>不规范</w:t>
      </w:r>
      <w:r>
        <w:rPr>
          <w:rFonts w:hint="eastAsia" w:ascii="仿宋_GB2312" w:hAnsi="仿宋_GB2312" w:eastAsia="仿宋_GB2312" w:cs="仿宋_GB2312"/>
          <w:sz w:val="32"/>
          <w:szCs w:val="32"/>
          <w:lang w:eastAsia="zh-CN"/>
        </w:rPr>
        <w:t>作业，</w:t>
      </w:r>
      <w:r>
        <w:rPr>
          <w:rFonts w:hint="eastAsia" w:ascii="仿宋_GB2312" w:hAnsi="仿宋_GB2312" w:eastAsia="仿宋_GB2312" w:cs="仿宋_GB2312"/>
          <w:sz w:val="32"/>
          <w:szCs w:val="32"/>
          <w:lang w:val="en-US" w:eastAsia="zh-CN"/>
        </w:rPr>
        <w:t>导致该生产安全事故的发生，因其已死亡，故免于追究事故责任。</w:t>
      </w:r>
    </w:p>
    <w:p w14:paraId="6FB5529A">
      <w:pPr>
        <w:autoSpaceDE w:val="0"/>
        <w:spacing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刘海锋，丰玺轩公司法人，兼任施工安全管理员，其对现场安全管理不到位，未落实生产经营单位主要负责人职责，导致该生产安全事故的发生，违反了《中华人民共和国安全生产法》第二十一条第二、三、五款之规定，对造成事故负次要责任，根据《中华人民共和国安全生产法》第九十五条第一款之规定，建议对其处以上一年年收入百分之四十的罚款的行政处罚，罚款上缴国库，并由相关部门吊销其安全员资质。</w:t>
      </w:r>
    </w:p>
    <w:p w14:paraId="21A7E78A">
      <w:pPr>
        <w:autoSpaceDE w:val="0"/>
        <w:spacing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时辉，丰玺轩公司派遣班组长，未制定安全施工方案，未发现并制止李川川不规范操作的行为，未采取有效措施预防安全事故，对现场安全管理不到位，导致该生产安全事故的发生，违反了《中华人民共和国安全生产法》第五条之规定，对造成事故负次要责任，根据《中华人民共和国安全生产法》第九十六条之规定，建议对其顶格处罚处以上一年年收入百分之五十的罚款，罚款上缴国库，并予以开除。</w:t>
      </w:r>
    </w:p>
    <w:p w14:paraId="61E8C7DD">
      <w:pPr>
        <w:autoSpaceDE w:val="0"/>
        <w:spacing w:line="560" w:lineRule="exact"/>
        <w:ind w:left="0" w:leftChars="0"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六、事故防范措施建议</w:t>
      </w:r>
    </w:p>
    <w:p w14:paraId="4645DB84">
      <w:pPr>
        <w:spacing w:line="560" w:lineRule="exact"/>
        <w:ind w:firstLine="641" w:firstLineChars="200"/>
        <w:rPr>
          <w:rFonts w:hint="eastAsia" w:ascii="华文仿宋" w:hAnsi="华文仿宋" w:eastAsia="华文仿宋" w:cs="仿宋_GB2312"/>
          <w:b/>
          <w:bCs/>
          <w:kern w:val="2"/>
          <w:sz w:val="32"/>
          <w:szCs w:val="32"/>
          <w:lang w:val="en-US" w:eastAsia="zh-CN" w:bidi="ar-SA"/>
        </w:rPr>
      </w:pPr>
      <w:r>
        <w:rPr>
          <w:rFonts w:hint="eastAsia" w:ascii="华文仿宋" w:hAnsi="华文仿宋" w:eastAsia="华文仿宋" w:cs="仿宋_GB2312"/>
          <w:b/>
          <w:kern w:val="0"/>
          <w:sz w:val="32"/>
          <w:szCs w:val="32"/>
        </w:rPr>
        <w:t>（一）汲取事故教训，严格落实企业</w:t>
      </w:r>
      <w:r>
        <w:rPr>
          <w:rFonts w:hint="eastAsia" w:ascii="华文仿宋" w:hAnsi="华文仿宋" w:eastAsia="华文仿宋" w:cs="仿宋_GB2312"/>
          <w:b/>
          <w:kern w:val="0"/>
          <w:sz w:val="32"/>
          <w:szCs w:val="32"/>
          <w:lang w:eastAsia="zh-CN"/>
        </w:rPr>
        <w:t>安全</w:t>
      </w:r>
      <w:r>
        <w:rPr>
          <w:rFonts w:hint="eastAsia" w:ascii="华文仿宋" w:hAnsi="华文仿宋" w:eastAsia="华文仿宋" w:cs="仿宋_GB2312"/>
          <w:b/>
          <w:kern w:val="0"/>
          <w:sz w:val="32"/>
          <w:szCs w:val="32"/>
        </w:rPr>
        <w:t>主体责任。</w:t>
      </w:r>
      <w:r>
        <w:rPr>
          <w:rFonts w:hint="eastAsia" w:ascii="华文仿宋" w:hAnsi="华文仿宋" w:eastAsia="华文仿宋" w:cs="仿宋_GB2312"/>
          <w:bCs/>
          <w:kern w:val="0"/>
          <w:sz w:val="32"/>
          <w:szCs w:val="32"/>
        </w:rPr>
        <w:t>各</w:t>
      </w:r>
      <w:r>
        <w:rPr>
          <w:rFonts w:hint="eastAsia" w:ascii="华文仿宋" w:hAnsi="华文仿宋" w:eastAsia="华文仿宋" w:cs="仿宋_GB2312"/>
          <w:kern w:val="0"/>
          <w:sz w:val="32"/>
          <w:szCs w:val="32"/>
        </w:rPr>
        <w:t>企业必须严格按照《</w:t>
      </w:r>
      <w:r>
        <w:rPr>
          <w:rFonts w:hint="eastAsia" w:ascii="华文仿宋" w:hAnsi="华文仿宋" w:eastAsia="华文仿宋" w:cs="仿宋_GB2312"/>
          <w:kern w:val="0"/>
          <w:sz w:val="32"/>
          <w:szCs w:val="32"/>
          <w:lang w:eastAsia="zh-CN"/>
        </w:rPr>
        <w:t>中华人民共和国</w:t>
      </w:r>
      <w:r>
        <w:rPr>
          <w:rFonts w:hint="eastAsia" w:ascii="华文仿宋" w:hAnsi="华文仿宋" w:eastAsia="华文仿宋" w:cs="仿宋_GB2312"/>
          <w:kern w:val="0"/>
          <w:sz w:val="32"/>
          <w:szCs w:val="32"/>
        </w:rPr>
        <w:t>安全生产法》等法律法规的要求落实企业主体责任，企业主要负责人要全面落实本单位安全生产第一责任人责任。建立完善的“横向到边、纵向到底”安全生产责任体系，切实把安全生产责任落实到生产经营的每个环节、每个岗位和每名员工，真正做到安全责任到位、安全投入到位、安全培训到位、安全管理到位、应急救援到位。</w:t>
      </w:r>
    </w:p>
    <w:p w14:paraId="18800244">
      <w:pPr>
        <w:autoSpaceDE w:val="0"/>
        <w:spacing w:line="560" w:lineRule="exact"/>
        <w:ind w:left="0" w:leftChars="0" w:firstLine="641" w:firstLineChars="200"/>
        <w:rPr>
          <w:rFonts w:hint="eastAsia" w:ascii="华文仿宋" w:hAnsi="华文仿宋" w:eastAsia="华文仿宋" w:cs="仿宋_GB2312"/>
          <w:kern w:val="2"/>
          <w:sz w:val="32"/>
          <w:szCs w:val="32"/>
          <w:lang w:val="en-US" w:eastAsia="zh-CN" w:bidi="ar-SA"/>
        </w:rPr>
      </w:pPr>
      <w:r>
        <w:rPr>
          <w:rFonts w:hint="eastAsia" w:ascii="华文仿宋" w:hAnsi="华文仿宋" w:eastAsia="华文仿宋" w:cs="仿宋_GB2312"/>
          <w:b/>
          <w:bCs/>
          <w:kern w:val="2"/>
          <w:sz w:val="32"/>
          <w:szCs w:val="32"/>
          <w:lang w:val="en-US" w:eastAsia="zh-CN" w:bidi="ar-SA"/>
        </w:rPr>
        <w:t>（二）落实现场管理，严格执行危险作业管理制度。</w:t>
      </w:r>
      <w:r>
        <w:rPr>
          <w:rFonts w:hint="eastAsia" w:ascii="华文仿宋" w:hAnsi="华文仿宋" w:eastAsia="华文仿宋" w:cs="仿宋_GB2312"/>
          <w:kern w:val="2"/>
          <w:sz w:val="32"/>
          <w:szCs w:val="32"/>
          <w:lang w:val="en-US" w:eastAsia="zh-CN" w:bidi="ar-SA"/>
        </w:rPr>
        <w:t>企业要健全本单位危险作业管理制度，全面精准管控重大风险。在实施危险作业前，对危险作业种类、作业环境等因素进行综合研判，制定具体作业方案和针对性应急措施，向作业人员进行安全技术交底，做好作业现场应急准备工作。实施危险作业时，要全面开展安全风险辨识，指定专人对作业活动进行统一指挥，指定安全生产管理人员对作业方案等进行现场查验，确认作业人员上岗资格、身体状况等符合要求，全过程现场管理，确保作业安全。各有关部门要督促企业严格执行危险作业管理制度,严禁企业应付了事走过场，未做好应急准备的一律不得进行危险作业。</w:t>
      </w:r>
    </w:p>
    <w:p w14:paraId="7CAEED80">
      <w:pPr>
        <w:autoSpaceDE w:val="0"/>
        <w:spacing w:line="560" w:lineRule="exact"/>
        <w:ind w:left="0" w:leftChars="0" w:firstLine="641" w:firstLineChars="200"/>
        <w:rPr>
          <w:rFonts w:hint="eastAsia" w:ascii="华文仿宋" w:hAnsi="华文仿宋" w:eastAsia="华文仿宋" w:cs="仿宋_GB2312"/>
          <w:kern w:val="2"/>
          <w:sz w:val="32"/>
          <w:szCs w:val="32"/>
          <w:lang w:val="en-US" w:eastAsia="zh-CN" w:bidi="ar-SA"/>
        </w:rPr>
      </w:pPr>
      <w:r>
        <w:rPr>
          <w:rFonts w:hint="eastAsia" w:ascii="华文仿宋" w:hAnsi="华文仿宋" w:eastAsia="华文仿宋" w:cs="仿宋_GB2312"/>
          <w:b/>
          <w:bCs/>
          <w:kern w:val="2"/>
          <w:sz w:val="32"/>
          <w:szCs w:val="32"/>
          <w:lang w:val="en-US" w:eastAsia="zh-CN" w:bidi="ar-SA"/>
        </w:rPr>
        <w:t>（三）查找风险隐患，立即开展施工安全排查整治。</w:t>
      </w:r>
      <w:r>
        <w:rPr>
          <w:rFonts w:hint="eastAsia" w:ascii="华文仿宋" w:hAnsi="华文仿宋" w:eastAsia="华文仿宋" w:cs="仿宋_GB2312"/>
          <w:kern w:val="2"/>
          <w:sz w:val="32"/>
          <w:szCs w:val="32"/>
          <w:lang w:val="en-US" w:eastAsia="zh-CN" w:bidi="ar-SA"/>
        </w:rPr>
        <w:t>各有关部门要立即对建筑施工各领域、各企业的改建、扩建建设项目进行全面排查，摸清底数、建立台账，彻查彻改各类安全隐患，要重点排查审批手续是否合规，项目实施是否符合产业政策，施工队伍是否具有资质，现场施工管理是否制定方案、落实安全防范措施，现场是否有人监护，安全防护设备是否按照要求配备，发现问题要立即督促整改，不符合产业政策、不能保证安全的，要立即停止施工。对达不到安全标准要求的，坚决不能上马和开工，已经运行的要坚决整改。</w:t>
      </w:r>
    </w:p>
    <w:p w14:paraId="6FC83A2D">
      <w:pPr>
        <w:autoSpaceDE w:val="0"/>
        <w:spacing w:line="560" w:lineRule="exact"/>
        <w:ind w:left="0" w:leftChars="0" w:firstLine="641" w:firstLineChars="200"/>
        <w:rPr>
          <w:rFonts w:hint="eastAsia" w:ascii="华文仿宋" w:hAnsi="华文仿宋" w:eastAsia="华文仿宋" w:cs="仿宋_GB2312"/>
          <w:kern w:val="2"/>
          <w:sz w:val="32"/>
          <w:szCs w:val="32"/>
          <w:lang w:val="en-US" w:eastAsia="zh-CN" w:bidi="ar-SA"/>
        </w:rPr>
      </w:pPr>
      <w:r>
        <w:rPr>
          <w:rFonts w:hint="eastAsia" w:ascii="华文仿宋" w:hAnsi="华文仿宋" w:eastAsia="华文仿宋" w:cs="仿宋_GB2312"/>
          <w:b/>
          <w:bCs/>
          <w:kern w:val="2"/>
          <w:sz w:val="32"/>
          <w:szCs w:val="32"/>
          <w:lang w:val="en-US" w:eastAsia="zh-CN" w:bidi="ar-SA"/>
        </w:rPr>
        <w:t>（四）加强行业监管，严格落实安全监管执法检查。</w:t>
      </w:r>
      <w:r>
        <w:rPr>
          <w:rFonts w:hint="eastAsia" w:ascii="华文仿宋" w:hAnsi="华文仿宋" w:eastAsia="华文仿宋" w:cs="仿宋_GB2312"/>
          <w:kern w:val="2"/>
          <w:sz w:val="32"/>
          <w:szCs w:val="32"/>
          <w:lang w:val="en-US" w:eastAsia="zh-CN" w:bidi="ar-SA"/>
        </w:rPr>
        <w:t>各有关部门要认真履行“三管三必须”规定，切实加强对企业安全监管执法检查，突出对企业晨会制度、危险作业报告制度落实情况和新建、改建、扩建项目事中事后监督检查等，要深入企业生产作业一线和施工现场，聚焦拆除作业、动火作业、有限空间内部施工作业、高处作业等事故易发环节和风险高、不放心的重点部位，提高执法检查精准性，特别是要把企业危险作业作为执法检查的重点，确保查细、查深、查透，严防走形式、走过场。要强化严惩重罚，对发现的违法违规行为，要坚决立案查处，依规依纪依法严肃追究相关责任者的责任。</w:t>
      </w:r>
    </w:p>
    <w:p w14:paraId="05E4DB88">
      <w:pPr>
        <w:autoSpaceDE w:val="0"/>
        <w:spacing w:line="560" w:lineRule="exact"/>
        <w:rPr>
          <w:rFonts w:ascii="华文仿宋" w:hAnsi="华文仿宋" w:eastAsia="华文仿宋"/>
          <w:b/>
          <w:sz w:val="32"/>
          <w:szCs w:val="32"/>
        </w:rPr>
      </w:pPr>
      <w:r>
        <w:rPr>
          <w:rFonts w:hint="eastAsia" w:ascii="华文仿宋" w:hAnsi="华文仿宋" w:eastAsia="华文仿宋"/>
          <w:b/>
          <w:sz w:val="32"/>
          <w:szCs w:val="32"/>
        </w:rPr>
        <w:t>　　七、附件（调查笔录）</w:t>
      </w:r>
    </w:p>
    <w:p w14:paraId="6D8908FE">
      <w:pPr>
        <w:autoSpaceDE w:val="0"/>
        <w:spacing w:line="560" w:lineRule="exact"/>
        <w:ind w:firstLine="634" w:firstLineChars="198"/>
        <w:rPr>
          <w:rFonts w:ascii="华文仿宋" w:hAnsi="华文仿宋" w:eastAsia="华文仿宋"/>
          <w:b/>
          <w:sz w:val="32"/>
          <w:szCs w:val="32"/>
        </w:rPr>
      </w:pPr>
      <w:r>
        <w:rPr>
          <w:rFonts w:hint="eastAsia" w:ascii="华文仿宋" w:hAnsi="华文仿宋" w:eastAsia="华文仿宋"/>
          <w:b/>
          <w:sz w:val="32"/>
          <w:szCs w:val="32"/>
        </w:rPr>
        <w:t xml:space="preserve">八、调查组成员签名： </w:t>
      </w:r>
    </w:p>
    <w:p w14:paraId="49FAFBCB">
      <w:pPr>
        <w:autoSpaceDE w:val="0"/>
        <w:spacing w:line="560" w:lineRule="exact"/>
        <w:ind w:left="0" w:leftChars="0" w:firstLine="640" w:firstLineChars="200"/>
        <w:rPr>
          <w:rFonts w:hint="eastAsia" w:ascii="华文仿宋" w:hAnsi="华文仿宋" w:eastAsia="华文仿宋" w:cs="仿宋_GB2312"/>
          <w:kern w:val="2"/>
          <w:sz w:val="32"/>
          <w:szCs w:val="32"/>
          <w:lang w:val="en-US" w:eastAsia="zh-CN" w:bidi="ar-SA"/>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B514A3"/>
    <w:multiLevelType w:val="singleLevel"/>
    <w:tmpl w:val="CAB514A3"/>
    <w:lvl w:ilvl="0" w:tentative="0">
      <w:start w:val="2"/>
      <w:numFmt w:val="chineseCounting"/>
      <w:suff w:val="nothing"/>
      <w:lvlText w:val="（%1）"/>
      <w:lvlJc w:val="left"/>
      <w:rPr>
        <w:rFonts w:hint="eastAsia"/>
      </w:rPr>
    </w:lvl>
  </w:abstractNum>
  <w:abstractNum w:abstractNumId="1">
    <w:nsid w:val="06766BB9"/>
    <w:multiLevelType w:val="singleLevel"/>
    <w:tmpl w:val="06766BB9"/>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3ZDhkZDdiMmJhYTI3NjU2MmI0ZTNiZWY1NWVlNGQifQ=="/>
  </w:docVars>
  <w:rsids>
    <w:rsidRoot w:val="57F63A21"/>
    <w:rsid w:val="00072C34"/>
    <w:rsid w:val="00F16BB1"/>
    <w:rsid w:val="02271AA9"/>
    <w:rsid w:val="02885A7A"/>
    <w:rsid w:val="03B30CF8"/>
    <w:rsid w:val="041A1F5F"/>
    <w:rsid w:val="04D05CEB"/>
    <w:rsid w:val="054B35C3"/>
    <w:rsid w:val="080F1113"/>
    <w:rsid w:val="08A61507"/>
    <w:rsid w:val="08B97B9F"/>
    <w:rsid w:val="0966551F"/>
    <w:rsid w:val="0B177C45"/>
    <w:rsid w:val="0B2810CA"/>
    <w:rsid w:val="0BF202F5"/>
    <w:rsid w:val="0D83245D"/>
    <w:rsid w:val="0DA949B4"/>
    <w:rsid w:val="0F256C33"/>
    <w:rsid w:val="0FD6424E"/>
    <w:rsid w:val="0FD91EF8"/>
    <w:rsid w:val="126D4B79"/>
    <w:rsid w:val="130F5C30"/>
    <w:rsid w:val="142923F2"/>
    <w:rsid w:val="156166A0"/>
    <w:rsid w:val="16204A74"/>
    <w:rsid w:val="18312669"/>
    <w:rsid w:val="1CBF4223"/>
    <w:rsid w:val="1CC14508"/>
    <w:rsid w:val="1FAF7185"/>
    <w:rsid w:val="201C198C"/>
    <w:rsid w:val="20907867"/>
    <w:rsid w:val="25A95A70"/>
    <w:rsid w:val="26DB7EAB"/>
    <w:rsid w:val="27BD18E0"/>
    <w:rsid w:val="28CD76CA"/>
    <w:rsid w:val="28DC615D"/>
    <w:rsid w:val="29A10A5F"/>
    <w:rsid w:val="2C9034E6"/>
    <w:rsid w:val="2E026666"/>
    <w:rsid w:val="2E1048F5"/>
    <w:rsid w:val="2FE9273B"/>
    <w:rsid w:val="30562C99"/>
    <w:rsid w:val="30F71D86"/>
    <w:rsid w:val="31487569"/>
    <w:rsid w:val="32222991"/>
    <w:rsid w:val="33811DDB"/>
    <w:rsid w:val="35E058EF"/>
    <w:rsid w:val="374A0AA6"/>
    <w:rsid w:val="37EC3083"/>
    <w:rsid w:val="3B895CD0"/>
    <w:rsid w:val="3B911029"/>
    <w:rsid w:val="3D9D5A63"/>
    <w:rsid w:val="40EB3103"/>
    <w:rsid w:val="41F47149"/>
    <w:rsid w:val="42066C0D"/>
    <w:rsid w:val="42154762"/>
    <w:rsid w:val="4255523A"/>
    <w:rsid w:val="42692286"/>
    <w:rsid w:val="42C924A2"/>
    <w:rsid w:val="43965AD7"/>
    <w:rsid w:val="43CA22B6"/>
    <w:rsid w:val="43F93503"/>
    <w:rsid w:val="44240C8C"/>
    <w:rsid w:val="4707219F"/>
    <w:rsid w:val="47076626"/>
    <w:rsid w:val="47A85730"/>
    <w:rsid w:val="4AD34597"/>
    <w:rsid w:val="4C2630C7"/>
    <w:rsid w:val="4C4E23F3"/>
    <w:rsid w:val="4C530226"/>
    <w:rsid w:val="4D27359B"/>
    <w:rsid w:val="4F10078B"/>
    <w:rsid w:val="4F8D4A7B"/>
    <w:rsid w:val="50245AB2"/>
    <w:rsid w:val="51BD037A"/>
    <w:rsid w:val="52630BD1"/>
    <w:rsid w:val="54085ED4"/>
    <w:rsid w:val="568461BA"/>
    <w:rsid w:val="56E21041"/>
    <w:rsid w:val="56E542AB"/>
    <w:rsid w:val="570B18ED"/>
    <w:rsid w:val="57253E9C"/>
    <w:rsid w:val="57527466"/>
    <w:rsid w:val="57B819BF"/>
    <w:rsid w:val="57F63A21"/>
    <w:rsid w:val="59B35329"/>
    <w:rsid w:val="5B386973"/>
    <w:rsid w:val="5C1E495A"/>
    <w:rsid w:val="5CD526CC"/>
    <w:rsid w:val="5D7A500B"/>
    <w:rsid w:val="60934D78"/>
    <w:rsid w:val="612E6820"/>
    <w:rsid w:val="61B83258"/>
    <w:rsid w:val="61C3168D"/>
    <w:rsid w:val="625247BE"/>
    <w:rsid w:val="626A1B08"/>
    <w:rsid w:val="629244AA"/>
    <w:rsid w:val="62930C6F"/>
    <w:rsid w:val="652D6F8B"/>
    <w:rsid w:val="655615C4"/>
    <w:rsid w:val="66417024"/>
    <w:rsid w:val="679F1F7E"/>
    <w:rsid w:val="68617509"/>
    <w:rsid w:val="68CD242D"/>
    <w:rsid w:val="69A04061"/>
    <w:rsid w:val="6A2D7FEB"/>
    <w:rsid w:val="6B23745C"/>
    <w:rsid w:val="6B96571C"/>
    <w:rsid w:val="6D185B70"/>
    <w:rsid w:val="6DCF3167"/>
    <w:rsid w:val="6DFB3F5C"/>
    <w:rsid w:val="6E7B7C4B"/>
    <w:rsid w:val="70C857C7"/>
    <w:rsid w:val="71C805F9"/>
    <w:rsid w:val="720B74BE"/>
    <w:rsid w:val="72177576"/>
    <w:rsid w:val="723B6198"/>
    <w:rsid w:val="72FE3C98"/>
    <w:rsid w:val="73382888"/>
    <w:rsid w:val="73AD5CF9"/>
    <w:rsid w:val="7416656D"/>
    <w:rsid w:val="741F7660"/>
    <w:rsid w:val="75506BD3"/>
    <w:rsid w:val="757E0810"/>
    <w:rsid w:val="77316C41"/>
    <w:rsid w:val="77440722"/>
    <w:rsid w:val="774C2112"/>
    <w:rsid w:val="78BF6934"/>
    <w:rsid w:val="79960FDD"/>
    <w:rsid w:val="79982FA7"/>
    <w:rsid w:val="7A4078C7"/>
    <w:rsid w:val="7C0641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character" w:styleId="7">
    <w:name w:val="Emphasis"/>
    <w:basedOn w:val="6"/>
    <w:qFormat/>
    <w:uiPriority w:val="0"/>
    <w:rPr>
      <w:i/>
    </w:rPr>
  </w:style>
  <w:style w:type="paragraph" w:customStyle="1" w:styleId="8">
    <w:name w:val="List Paragraph1"/>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4820</Words>
  <Characters>4967</Characters>
  <Lines>0</Lines>
  <Paragraphs>0</Paragraphs>
  <TotalTime>148</TotalTime>
  <ScaleCrop>false</ScaleCrop>
  <LinksUpToDate>false</LinksUpToDate>
  <CharactersWithSpaces>4974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2023-06-07T01:49:00Z</dcterms:created>
  <dc:creator>Administrator</dc:creator>
  <cp:lastModifiedBy>略失一筹</cp:lastModifiedBy>
  <cp:lastPrinted>2023-08-04T09:26:00Z</cp:lastPrinted>
  <dcterms:modified xsi:type="dcterms:W3CDTF">2026-04-20T08:01:40Z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A31D589BEA21435081E2D43C2C6B1C85_13</vt:lpwstr>
  </property>
  <property fmtid="{D5CDD505-2E9C-101B-9397-08002B2CF9AE}" pid="4" name="KSOTemplateDocerSaveRecord">
    <vt:lpwstr>eyJoZGlkIjoiNDQ3ZDhkZDdiMmJhYTI3NjU2MmI0ZTNiZWY1NWVlNGQiLCJ1c2VySWQiOiI0MjA1NzM5NzkifQ==</vt:lpwstr>
  </property>
</Properties>
</file>