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D509C">
      <w:pPr>
        <w:spacing w:line="242" w:lineRule="auto"/>
        <w:rPr>
          <w:rFonts w:ascii="Arial"/>
          <w:sz w:val="21"/>
        </w:rPr>
      </w:pPr>
    </w:p>
    <w:p w14:paraId="4FF6D494">
      <w:pPr>
        <w:spacing w:line="242" w:lineRule="auto"/>
        <w:rPr>
          <w:rFonts w:ascii="Arial"/>
          <w:sz w:val="21"/>
        </w:rPr>
      </w:pPr>
    </w:p>
    <w:p w14:paraId="5B423760">
      <w:pPr>
        <w:spacing w:line="242" w:lineRule="auto"/>
        <w:rPr>
          <w:rFonts w:ascii="Arial"/>
          <w:sz w:val="21"/>
        </w:rPr>
      </w:pPr>
    </w:p>
    <w:p w14:paraId="00386DD9">
      <w:pPr>
        <w:spacing w:line="242" w:lineRule="auto"/>
        <w:rPr>
          <w:rFonts w:ascii="Arial"/>
          <w:sz w:val="21"/>
        </w:rPr>
      </w:pPr>
    </w:p>
    <w:p w14:paraId="53A19C09">
      <w:pPr>
        <w:spacing w:line="242" w:lineRule="auto"/>
        <w:rPr>
          <w:rFonts w:ascii="Arial"/>
          <w:sz w:val="21"/>
        </w:rPr>
      </w:pPr>
    </w:p>
    <w:p w14:paraId="74174D51">
      <w:pPr>
        <w:spacing w:before="101"/>
        <w:ind w:left="2049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</w:rPr>
        <w:t>s</w:t>
      </w:r>
    </w:p>
    <w:p w14:paraId="7E0B5938">
      <w:pPr>
        <w:spacing w:before="533" w:line="219" w:lineRule="auto"/>
        <w:ind w:left="283"/>
        <w:rPr>
          <w:rFonts w:ascii="SimSun" w:hAnsi="SimSun" w:eastAsia="SimSun" w:cs="SimSun"/>
          <w:sz w:val="98"/>
          <w:szCs w:val="98"/>
        </w:rPr>
      </w:pPr>
      <w:r>
        <w:rPr>
          <w:rFonts w:ascii="SimSun" w:hAnsi="SimSun" w:eastAsia="SimSun" w:cs="SimSun"/>
          <w:b/>
          <w:bCs/>
          <w:color w:val="E03020"/>
          <w:spacing w:val="-58"/>
          <w:sz w:val="98"/>
          <w:szCs w:val="98"/>
        </w:rPr>
        <w:t>浦城县人民政府文件</w:t>
      </w:r>
    </w:p>
    <w:p w14:paraId="2A2736E3">
      <w:pPr>
        <w:spacing w:line="313" w:lineRule="auto"/>
        <w:rPr>
          <w:rFonts w:ascii="Arial"/>
          <w:sz w:val="21"/>
        </w:rPr>
      </w:pPr>
    </w:p>
    <w:p w14:paraId="7D90E357">
      <w:pPr>
        <w:spacing w:line="314" w:lineRule="auto"/>
        <w:rPr>
          <w:rFonts w:ascii="Arial"/>
          <w:sz w:val="21"/>
        </w:rPr>
      </w:pPr>
    </w:p>
    <w:p w14:paraId="4082471E">
      <w:pPr>
        <w:pStyle w:val="2"/>
        <w:spacing w:before="97" w:line="224" w:lineRule="auto"/>
        <w:ind w:left="3129"/>
        <w:rPr>
          <w:sz w:val="30"/>
          <w:szCs w:val="30"/>
        </w:rPr>
      </w:pPr>
      <w:r>
        <w:rPr>
          <w:spacing w:val="14"/>
          <w:sz w:val="30"/>
          <w:szCs w:val="30"/>
        </w:rPr>
        <w:t>浦政综〔2025〕117号</w:t>
      </w:r>
    </w:p>
    <w:p w14:paraId="316188A0">
      <w:pPr>
        <w:spacing w:before="194" w:line="60" w:lineRule="exact"/>
      </w:pPr>
      <w:r>
        <w:rPr>
          <w:position w:val="-1"/>
        </w:rPr>
        <w:drawing>
          <wp:inline distT="0" distB="0" distL="0" distR="0">
            <wp:extent cx="5588000" cy="381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5EF5B">
      <w:pPr>
        <w:spacing w:line="256" w:lineRule="auto"/>
        <w:rPr>
          <w:rFonts w:ascii="Arial"/>
          <w:sz w:val="21"/>
        </w:rPr>
      </w:pPr>
    </w:p>
    <w:p w14:paraId="41A3CC9A">
      <w:pPr>
        <w:spacing w:line="257" w:lineRule="auto"/>
        <w:rPr>
          <w:rFonts w:ascii="Arial"/>
          <w:sz w:val="21"/>
        </w:rPr>
      </w:pPr>
    </w:p>
    <w:p w14:paraId="31CE9551">
      <w:pPr>
        <w:spacing w:line="257" w:lineRule="auto"/>
        <w:rPr>
          <w:rFonts w:ascii="Arial"/>
          <w:sz w:val="21"/>
        </w:rPr>
      </w:pPr>
    </w:p>
    <w:p w14:paraId="17A619E4">
      <w:pPr>
        <w:spacing w:before="153" w:line="217" w:lineRule="auto"/>
        <w:ind w:left="520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pacing w:val="-32"/>
          <w:sz w:val="47"/>
          <w:szCs w:val="47"/>
        </w:rPr>
        <w:t>浦城县人民政府关于福建省顺昌新业电力工</w:t>
      </w:r>
    </w:p>
    <w:p w14:paraId="73E1AFF7">
      <w:pPr>
        <w:spacing w:line="214" w:lineRule="auto"/>
        <w:ind w:left="1270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pacing w:val="-39"/>
          <w:sz w:val="47"/>
          <w:szCs w:val="47"/>
        </w:rPr>
        <w:t>程有限公司“4</w:t>
      </w:r>
      <w:r>
        <w:rPr>
          <w:rFonts w:ascii="SimSun" w:hAnsi="SimSun" w:eastAsia="SimSun" w:cs="SimSun"/>
          <w:spacing w:val="-59"/>
          <w:sz w:val="47"/>
          <w:szCs w:val="47"/>
        </w:rPr>
        <w:t xml:space="preserve"> </w:t>
      </w:r>
      <w:r>
        <w:rPr>
          <w:rFonts w:ascii="SimSun" w:hAnsi="SimSun" w:eastAsia="SimSun" w:cs="SimSun"/>
          <w:spacing w:val="-39"/>
          <w:sz w:val="47"/>
          <w:szCs w:val="47"/>
        </w:rPr>
        <w:t>·29”一般物体打击</w:t>
      </w:r>
    </w:p>
    <w:p w14:paraId="3FC35E35">
      <w:pPr>
        <w:spacing w:before="2" w:line="217" w:lineRule="auto"/>
        <w:ind w:left="2710"/>
        <w:rPr>
          <w:rFonts w:ascii="SimSun" w:hAnsi="SimSun" w:eastAsia="SimSun" w:cs="SimSun"/>
          <w:sz w:val="47"/>
          <w:szCs w:val="47"/>
        </w:rPr>
      </w:pPr>
      <w:r>
        <w:rPr>
          <w:rFonts w:ascii="SimSun" w:hAnsi="SimSun" w:eastAsia="SimSun" w:cs="SimSun"/>
          <w:spacing w:val="-29"/>
          <w:sz w:val="47"/>
          <w:szCs w:val="47"/>
        </w:rPr>
        <w:t>事故调查报告的批复</w:t>
      </w:r>
    </w:p>
    <w:p w14:paraId="0CADDE38">
      <w:pPr>
        <w:spacing w:line="297" w:lineRule="auto"/>
        <w:rPr>
          <w:rFonts w:ascii="Arial"/>
          <w:sz w:val="21"/>
        </w:rPr>
      </w:pPr>
    </w:p>
    <w:p w14:paraId="108AA371">
      <w:pPr>
        <w:spacing w:line="297" w:lineRule="auto"/>
        <w:rPr>
          <w:rFonts w:ascii="Arial"/>
          <w:sz w:val="21"/>
        </w:rPr>
      </w:pPr>
    </w:p>
    <w:p w14:paraId="2F632E38">
      <w:pPr>
        <w:pStyle w:val="2"/>
        <w:spacing w:before="101" w:line="329" w:lineRule="auto"/>
        <w:ind w:left="339" w:right="53"/>
      </w:pPr>
      <w:r>
        <w:rPr>
          <w:spacing w:val="-1"/>
        </w:rPr>
        <w:t>县政府福建省顺昌新业电力工程有限公司“4</w:t>
      </w:r>
      <w:r>
        <w:rPr>
          <w:spacing w:val="-31"/>
        </w:rPr>
        <w:t xml:space="preserve"> </w:t>
      </w:r>
      <w:r>
        <w:rPr>
          <w:spacing w:val="-1"/>
        </w:rPr>
        <w:t>·2</w:t>
      </w:r>
      <w:r>
        <w:rPr>
          <w:spacing w:val="-2"/>
        </w:rPr>
        <w:t>9”一般电杆倾</w:t>
      </w:r>
      <w:r>
        <w:t xml:space="preserve"> </w:t>
      </w:r>
      <w:r>
        <w:rPr>
          <w:spacing w:val="-2"/>
        </w:rPr>
        <w:t>倒事故调查组：</w:t>
      </w:r>
    </w:p>
    <w:p w14:paraId="5AECB2D6">
      <w:pPr>
        <w:pStyle w:val="2"/>
        <w:spacing w:before="16" w:line="334" w:lineRule="auto"/>
        <w:ind w:left="339" w:right="54" w:firstLine="640"/>
        <w:jc w:val="both"/>
      </w:pPr>
      <w:r>
        <w:rPr>
          <w:spacing w:val="9"/>
        </w:rPr>
        <w:t>你组提交的《关于对〈浦城九牧福建省顺昌新业</w:t>
      </w:r>
      <w:r>
        <w:rPr>
          <w:spacing w:val="8"/>
        </w:rPr>
        <w:t>电力工程</w:t>
      </w:r>
      <w:r>
        <w:t xml:space="preserve"> </w:t>
      </w:r>
      <w:r>
        <w:rPr>
          <w:spacing w:val="-1"/>
        </w:rPr>
        <w:t>有限公司“4</w:t>
      </w:r>
      <w:r>
        <w:rPr>
          <w:spacing w:val="-31"/>
        </w:rPr>
        <w:t xml:space="preserve"> </w:t>
      </w:r>
      <w:r>
        <w:rPr>
          <w:spacing w:val="-1"/>
        </w:rPr>
        <w:t>·29”一般物体打击事故调</w:t>
      </w:r>
      <w:r>
        <w:rPr>
          <w:spacing w:val="-2"/>
        </w:rPr>
        <w:t>查报告〉给予批复的请</w:t>
      </w:r>
      <w:r>
        <w:t xml:space="preserve"> </w:t>
      </w:r>
      <w:r>
        <w:rPr>
          <w:spacing w:val="1"/>
        </w:rPr>
        <w:t>示》收悉。经研究，现批复如下：</w:t>
      </w:r>
    </w:p>
    <w:p w14:paraId="41FACCD4">
      <w:pPr>
        <w:spacing w:before="2" w:line="270" w:lineRule="auto"/>
        <w:ind w:left="339" w:right="16" w:firstLine="64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7"/>
          <w:sz w:val="31"/>
          <w:szCs w:val="31"/>
        </w:rPr>
        <w:t>一</w:t>
      </w:r>
      <w:r>
        <w:rPr>
          <w:rFonts w:ascii="SimHei" w:hAnsi="SimHei" w:eastAsia="SimHei" w:cs="SimHei"/>
          <w:spacing w:val="-70"/>
          <w:sz w:val="31"/>
          <w:szCs w:val="31"/>
        </w:rPr>
        <w:t xml:space="preserve"> </w:t>
      </w:r>
      <w:r>
        <w:rPr>
          <w:rFonts w:ascii="SimHei" w:hAnsi="SimHei" w:eastAsia="SimHei" w:cs="SimHei"/>
          <w:spacing w:val="7"/>
          <w:sz w:val="31"/>
          <w:szCs w:val="31"/>
        </w:rPr>
        <w:t>、同意你组提交的事故调查报告中认定：该事故为生产</w:t>
      </w:r>
      <w:r>
        <w:rPr>
          <w:rFonts w:ascii="SimHei" w:hAnsi="SimHei" w:eastAsia="SimHei" w:cs="SimHei"/>
          <w:sz w:val="31"/>
          <w:szCs w:val="31"/>
        </w:rPr>
        <w:t xml:space="preserve"> </w:t>
      </w:r>
      <w:r>
        <w:rPr>
          <w:rFonts w:ascii="SimHei" w:hAnsi="SimHei" w:eastAsia="SimHei" w:cs="SimHei"/>
          <w:spacing w:val="6"/>
          <w:sz w:val="31"/>
          <w:szCs w:val="31"/>
        </w:rPr>
        <w:t>安全责任事故。</w:t>
      </w:r>
    </w:p>
    <w:p w14:paraId="4F991EA5">
      <w:pPr>
        <w:pStyle w:val="2"/>
        <w:spacing w:before="219" w:line="296" w:lineRule="auto"/>
        <w:ind w:left="339" w:firstLine="640"/>
        <w:rPr>
          <w:rFonts w:ascii="SimHei" w:hAnsi="SimHei" w:eastAsia="SimHei" w:cs="SimHei"/>
        </w:rPr>
      </w:pPr>
      <w:r>
        <w:rPr>
          <w:rFonts w:ascii="SimHei" w:hAnsi="SimHei" w:eastAsia="SimHei" w:cs="SimHei"/>
          <w:spacing w:val="7"/>
        </w:rPr>
        <w:t>二</w:t>
      </w:r>
      <w:r>
        <w:rPr>
          <w:rFonts w:ascii="SimHei" w:hAnsi="SimHei" w:eastAsia="SimHei" w:cs="SimHei"/>
          <w:spacing w:val="-79"/>
        </w:rPr>
        <w:t xml:space="preserve"> </w:t>
      </w:r>
      <w:r>
        <w:rPr>
          <w:rFonts w:ascii="SimHei" w:hAnsi="SimHei" w:eastAsia="SimHei" w:cs="SimHei"/>
          <w:spacing w:val="7"/>
        </w:rPr>
        <w:t>、同意事故调查组提出的对事故单位和有关责任人处理</w:t>
      </w:r>
      <w:r>
        <w:rPr>
          <w:rFonts w:ascii="SimHei" w:hAnsi="SimHei" w:eastAsia="SimHei" w:cs="SimHei"/>
        </w:rPr>
        <w:t xml:space="preserve"> </w:t>
      </w:r>
      <w:r>
        <w:rPr>
          <w:rFonts w:ascii="SimHei" w:hAnsi="SimHei" w:eastAsia="SimHei" w:cs="SimHei"/>
          <w:spacing w:val="-3"/>
        </w:rPr>
        <w:t>建议。</w:t>
      </w:r>
      <w:r>
        <w:rPr>
          <w:spacing w:val="-3"/>
        </w:rPr>
        <w:t>由浦城县应急局依照《中华人民共和国安全生产法》等法</w:t>
      </w:r>
      <w:r>
        <w:rPr>
          <w:spacing w:val="13"/>
        </w:rPr>
        <w:t xml:space="preserve"> </w:t>
      </w:r>
      <w:r>
        <w:rPr>
          <w:rFonts w:ascii="SimHei" w:hAnsi="SimHei" w:eastAsia="SimHei" w:cs="SimHei"/>
          <w:spacing w:val="-1"/>
        </w:rPr>
        <w:t>律法规对事故有关人员和单位做出行政处罚。浦城县工信局就安</w:t>
      </w:r>
    </w:p>
    <w:p w14:paraId="30E8DF99">
      <w:pPr>
        <w:spacing w:line="296" w:lineRule="auto"/>
        <w:rPr>
          <w:rFonts w:ascii="SimHei" w:hAnsi="SimHei" w:eastAsia="SimHei" w:cs="SimHei"/>
        </w:rPr>
        <w:sectPr>
          <w:footerReference r:id="rId5" w:type="default"/>
          <w:pgSz w:w="12150" w:h="17000"/>
          <w:pgMar w:top="1445" w:right="1532" w:bottom="1923" w:left="1609" w:header="0" w:footer="1492" w:gutter="0"/>
          <w:cols w:space="720" w:num="1"/>
        </w:sectPr>
      </w:pPr>
    </w:p>
    <w:p w14:paraId="471595D4">
      <w:pPr>
        <w:spacing w:line="363" w:lineRule="auto"/>
        <w:rPr>
          <w:rFonts w:ascii="Arial"/>
          <w:sz w:val="21"/>
        </w:rPr>
      </w:pPr>
    </w:p>
    <w:p w14:paraId="03D6A159">
      <w:pPr>
        <w:pStyle w:val="2"/>
        <w:spacing w:before="101" w:line="220" w:lineRule="auto"/>
        <w:ind w:left="144"/>
      </w:pPr>
      <w:r>
        <w:rPr>
          <w:spacing w:val="-6"/>
        </w:rPr>
        <w:t>全隐患监督管理不到位的问题向浦城县政府作出深</w:t>
      </w:r>
      <w:r>
        <w:rPr>
          <w:spacing w:val="-7"/>
        </w:rPr>
        <w:t>刻检查。</w:t>
      </w:r>
    </w:p>
    <w:p w14:paraId="5531A048">
      <w:pPr>
        <w:pStyle w:val="2"/>
        <w:spacing w:before="190" w:line="282" w:lineRule="auto"/>
        <w:ind w:left="149" w:right="11" w:firstLine="625"/>
      </w:pPr>
      <w:r>
        <w:rPr>
          <w:spacing w:val="7"/>
        </w:rPr>
        <w:t>三</w:t>
      </w:r>
      <w:r>
        <w:rPr>
          <w:spacing w:val="-71"/>
        </w:rPr>
        <w:t xml:space="preserve"> </w:t>
      </w:r>
      <w:r>
        <w:rPr>
          <w:spacing w:val="7"/>
        </w:rPr>
        <w:t>、建议相关责任单位切实落实行业监管责任，强化企业</w:t>
      </w:r>
      <w:r>
        <w:t xml:space="preserve"> </w:t>
      </w:r>
      <w:r>
        <w:rPr>
          <w:b/>
          <w:bCs/>
          <w:spacing w:val="-6"/>
        </w:rPr>
        <w:t>安全监管。</w:t>
      </w:r>
    </w:p>
    <w:p w14:paraId="53C041F8">
      <w:pPr>
        <w:pStyle w:val="2"/>
        <w:spacing w:before="192" w:line="325" w:lineRule="auto"/>
        <w:ind w:left="144" w:firstLine="774"/>
      </w:pPr>
      <w:r>
        <w:rPr>
          <w:b/>
          <w:bCs/>
          <w:spacing w:val="13"/>
        </w:rPr>
        <w:t>(一)福建省顺昌新业电力工程有限公司应深</w:t>
      </w:r>
      <w:r>
        <w:rPr>
          <w:b/>
          <w:bCs/>
          <w:spacing w:val="12"/>
        </w:rPr>
        <w:t>刻吸取事故</w:t>
      </w:r>
      <w:r>
        <w:t xml:space="preserve"> </w:t>
      </w:r>
      <w:r>
        <w:rPr>
          <w:b/>
          <w:bCs/>
          <w:spacing w:val="-2"/>
        </w:rPr>
        <w:t>教训，全面排查整治公司安全生产管理中的薄弱环节。</w:t>
      </w:r>
      <w:r>
        <w:rPr>
          <w:spacing w:val="77"/>
        </w:rPr>
        <w:t xml:space="preserve"> </w:t>
      </w:r>
      <w:r>
        <w:rPr>
          <w:b/>
          <w:bCs/>
          <w:spacing w:val="-2"/>
        </w:rPr>
        <w:t>一是公</w:t>
      </w:r>
      <w:r>
        <w:t xml:space="preserve"> </w:t>
      </w:r>
      <w:r>
        <w:rPr>
          <w:spacing w:val="8"/>
        </w:rPr>
        <w:t>司应当弘扬“人民至上、生命至上”的安全生产文化，建立健</w:t>
      </w:r>
      <w:r>
        <w:rPr>
          <w:spacing w:val="13"/>
        </w:rPr>
        <w:t xml:space="preserve"> </w:t>
      </w:r>
      <w:r>
        <w:rPr>
          <w:spacing w:val="9"/>
        </w:rPr>
        <w:t>全公司全员安全生产责任制，明确各级管理人员和作业人员的</w:t>
      </w:r>
      <w:r>
        <w:rPr>
          <w:spacing w:val="16"/>
        </w:rPr>
        <w:t xml:space="preserve"> </w:t>
      </w:r>
      <w:r>
        <w:rPr>
          <w:spacing w:val="10"/>
        </w:rPr>
        <w:t>安全职责，并落实考核制度，确保安全生产责任层层落实。同</w:t>
      </w:r>
      <w:r>
        <w:rPr>
          <w:spacing w:val="11"/>
        </w:rPr>
        <w:t xml:space="preserve"> </w:t>
      </w:r>
      <w:r>
        <w:rPr>
          <w:spacing w:val="9"/>
        </w:rPr>
        <w:t>时，要依法依规开展安全培训教育工作，提高员工对风险隐患</w:t>
      </w:r>
      <w:r>
        <w:rPr>
          <w:spacing w:val="18"/>
        </w:rPr>
        <w:t xml:space="preserve"> </w:t>
      </w:r>
      <w:r>
        <w:rPr>
          <w:spacing w:val="9"/>
        </w:rPr>
        <w:t>的识别能力和应急处置能力，确保每位员工都具备必要的安全</w:t>
      </w:r>
      <w:r>
        <w:rPr>
          <w:spacing w:val="4"/>
        </w:rPr>
        <w:t xml:space="preserve"> </w:t>
      </w:r>
      <w:r>
        <w:rPr>
          <w:spacing w:val="9"/>
        </w:rPr>
        <w:t>知识和技能。二是公司应当完善高处作业审批流程，登杆作业</w:t>
      </w:r>
      <w:r>
        <w:rPr>
          <w:spacing w:val="6"/>
        </w:rPr>
        <w:t xml:space="preserve"> </w:t>
      </w:r>
      <w:r>
        <w:rPr>
          <w:spacing w:val="9"/>
        </w:rPr>
        <w:t>前作业人员及作业审批人员应当按照规定检查杆根基础是否牢</w:t>
      </w:r>
      <w:r>
        <w:rPr>
          <w:spacing w:val="13"/>
        </w:rPr>
        <w:t xml:space="preserve"> </w:t>
      </w:r>
      <w:r>
        <w:rPr>
          <w:spacing w:val="9"/>
        </w:rPr>
        <w:t>固、拉线是否完好，并由审批人员签字确认。紧线、拉线</w:t>
      </w:r>
      <w:r>
        <w:rPr>
          <w:spacing w:val="8"/>
        </w:rPr>
        <w:t>前应</w:t>
      </w:r>
      <w:r>
        <w:t xml:space="preserve"> </w:t>
      </w:r>
      <w:r>
        <w:rPr>
          <w:spacing w:val="7"/>
        </w:rPr>
        <w:t>当再次检查桩锚、杆塔及拉线，如有必要应当增设</w:t>
      </w:r>
      <w:r>
        <w:rPr>
          <w:spacing w:val="6"/>
        </w:rPr>
        <w:t>临时拉线。</w:t>
      </w:r>
      <w:r>
        <w:t xml:space="preserve"> </w:t>
      </w:r>
      <w:r>
        <w:rPr>
          <w:spacing w:val="7"/>
        </w:rPr>
        <w:t>三是公司应当按照法律法规要求配备专职安全安</w:t>
      </w:r>
      <w:r>
        <w:rPr>
          <w:spacing w:val="6"/>
        </w:rPr>
        <w:t>全管理人员，</w:t>
      </w:r>
      <w:r>
        <w:t xml:space="preserve"> </w:t>
      </w:r>
      <w:r>
        <w:rPr>
          <w:spacing w:val="21"/>
        </w:rPr>
        <w:t>落实公司工作环节风险辨识及作业过程中的事故隐患治理工</w:t>
      </w:r>
      <w:r>
        <w:rPr>
          <w:spacing w:val="13"/>
        </w:rPr>
        <w:t xml:space="preserve"> </w:t>
      </w:r>
      <w:r>
        <w:rPr>
          <w:spacing w:val="-1"/>
        </w:rPr>
        <w:t>作，防范事故发生。</w:t>
      </w:r>
    </w:p>
    <w:p w14:paraId="00AFFC4A">
      <w:pPr>
        <w:pStyle w:val="2"/>
        <w:spacing w:before="236" w:line="310" w:lineRule="auto"/>
        <w:ind w:left="144" w:right="2" w:firstLine="784"/>
      </w:pPr>
      <w:r>
        <w:rPr>
          <w:b/>
          <w:bCs/>
          <w:spacing w:val="13"/>
        </w:rPr>
        <w:t>(二)县工信部门应当加强电力施工项目的监管力度，完</w:t>
      </w:r>
      <w:r>
        <w:rPr>
          <w:spacing w:val="17"/>
        </w:rPr>
        <w:t xml:space="preserve"> </w:t>
      </w:r>
      <w:r>
        <w:rPr>
          <w:b/>
          <w:bCs/>
          <w:spacing w:val="7"/>
        </w:rPr>
        <w:t>善对电力行业企业的监管体系</w:t>
      </w:r>
      <w:r>
        <w:rPr>
          <w:rFonts w:ascii="KaiTi" w:hAnsi="KaiTi" w:eastAsia="KaiTi" w:cs="KaiTi"/>
          <w:b/>
          <w:bCs/>
          <w:spacing w:val="7"/>
        </w:rPr>
        <w:t>。</w:t>
      </w:r>
      <w:r>
        <w:rPr>
          <w:spacing w:val="7"/>
        </w:rPr>
        <w:t>县工信部门要加强对电力行业</w:t>
      </w:r>
      <w:r>
        <w:rPr>
          <w:spacing w:val="14"/>
        </w:rPr>
        <w:t xml:space="preserve"> </w:t>
      </w:r>
      <w:r>
        <w:rPr>
          <w:spacing w:val="16"/>
        </w:rPr>
        <w:t>施工企业的日常监管，将电力施工企业(包</w:t>
      </w:r>
      <w:r>
        <w:rPr>
          <w:spacing w:val="15"/>
        </w:rPr>
        <w:t>括异地企业在我县</w:t>
      </w:r>
      <w:r>
        <w:t xml:space="preserve"> </w:t>
      </w:r>
      <w:r>
        <w:rPr>
          <w:spacing w:val="15"/>
        </w:rPr>
        <w:t>设立的项目部)全面纳入日常安全监管体系，加强对电力施工</w:t>
      </w:r>
      <w:r>
        <w:t xml:space="preserve"> </w:t>
      </w:r>
      <w:r>
        <w:rPr>
          <w:spacing w:val="10"/>
        </w:rPr>
        <w:t>企业安全生产条件、资质管理、现场作业、隐患排查治理、安</w:t>
      </w:r>
      <w:r>
        <w:t xml:space="preserve"> </w:t>
      </w:r>
      <w:r>
        <w:rPr>
          <w:spacing w:val="10"/>
        </w:rPr>
        <w:t>全培训等方面的监督检查力度和频次，及时发现并督促相关企</w:t>
      </w:r>
    </w:p>
    <w:p w14:paraId="7B0909E3">
      <w:pPr>
        <w:spacing w:line="310" w:lineRule="auto"/>
        <w:sectPr>
          <w:footerReference r:id="rId6" w:type="default"/>
          <w:pgSz w:w="11900" w:h="16830"/>
          <w:pgMar w:top="1430" w:right="1317" w:bottom="2016" w:left="1785" w:header="0" w:footer="1611" w:gutter="0"/>
          <w:cols w:space="720" w:num="1"/>
        </w:sectPr>
      </w:pPr>
    </w:p>
    <w:p w14:paraId="092F565B">
      <w:pPr>
        <w:spacing w:line="248" w:lineRule="auto"/>
        <w:rPr>
          <w:rFonts w:ascii="Arial"/>
          <w:sz w:val="21"/>
        </w:rPr>
      </w:pPr>
    </w:p>
    <w:p w14:paraId="755AC4C7">
      <w:pPr>
        <w:spacing w:line="248" w:lineRule="auto"/>
        <w:rPr>
          <w:rFonts w:ascii="Arial"/>
          <w:sz w:val="21"/>
        </w:rPr>
      </w:pPr>
    </w:p>
    <w:p w14:paraId="31153F4F">
      <w:pPr>
        <w:pStyle w:val="2"/>
        <w:spacing w:before="101" w:line="331" w:lineRule="auto"/>
        <w:ind w:right="27"/>
        <w:jc w:val="both"/>
      </w:pPr>
      <w:r>
        <w:rPr>
          <w:spacing w:val="7"/>
        </w:rPr>
        <w:t>业安全隐患的整改。同时，要加强与住建、消</w:t>
      </w:r>
      <w:r>
        <w:rPr>
          <w:spacing w:val="6"/>
        </w:rPr>
        <w:t>防、县安委办相</w:t>
      </w:r>
      <w:r>
        <w:t xml:space="preserve"> </w:t>
      </w:r>
      <w:r>
        <w:rPr>
          <w:spacing w:val="8"/>
        </w:rPr>
        <w:t>关部门的沟通协调，形成合力，共同推动电力行业安全生产形</w:t>
      </w:r>
      <w:r>
        <w:t xml:space="preserve"> </w:t>
      </w:r>
      <w:r>
        <w:rPr>
          <w:spacing w:val="-5"/>
        </w:rPr>
        <w:t>势持续稳定好转。</w:t>
      </w:r>
    </w:p>
    <w:p w14:paraId="740B3984">
      <w:pPr>
        <w:pStyle w:val="2"/>
        <w:spacing w:before="13" w:line="335" w:lineRule="auto"/>
        <w:ind w:firstLine="784"/>
        <w:jc w:val="both"/>
      </w:pPr>
      <w:r>
        <w:rPr>
          <w:b/>
          <w:bCs/>
          <w:spacing w:val="9"/>
        </w:rPr>
        <w:t>(三)政府相关部门及属地政府应当加强宣传教育工</w:t>
      </w:r>
      <w:r>
        <w:rPr>
          <w:b/>
          <w:bCs/>
          <w:spacing w:val="8"/>
        </w:rPr>
        <w:t>作，</w:t>
      </w:r>
      <w:r>
        <w:t xml:space="preserve">  </w:t>
      </w:r>
      <w:r>
        <w:rPr>
          <w:rFonts w:ascii="KaiTi" w:hAnsi="KaiTi" w:eastAsia="KaiTi" w:cs="KaiTi"/>
          <w:b/>
          <w:bCs/>
          <w:spacing w:val="7"/>
        </w:rPr>
        <w:t>增强群众对电力设施的保护意识</w:t>
      </w:r>
      <w:r>
        <w:rPr>
          <w:b/>
          <w:bCs/>
          <w:spacing w:val="7"/>
        </w:rPr>
        <w:t>。</w:t>
      </w:r>
      <w:r>
        <w:rPr>
          <w:spacing w:val="7"/>
        </w:rPr>
        <w:t>政府相关部门及属地政府要</w:t>
      </w:r>
      <w:r>
        <w:rPr>
          <w:spacing w:val="5"/>
        </w:rPr>
        <w:t xml:space="preserve"> </w:t>
      </w:r>
      <w:r>
        <w:rPr>
          <w:spacing w:val="6"/>
        </w:rPr>
        <w:t>加大宣传力度，普及电力设施保护相关法律法规及违法后果，</w:t>
      </w:r>
      <w:r>
        <w:rPr>
          <w:spacing w:val="1"/>
        </w:rPr>
        <w:t xml:space="preserve"> </w:t>
      </w:r>
      <w:r>
        <w:rPr>
          <w:spacing w:val="4"/>
        </w:rPr>
        <w:t>避免群众生产活动对电力基础设施的损害、破坏。</w:t>
      </w:r>
    </w:p>
    <w:p w14:paraId="79467863">
      <w:pPr>
        <w:spacing w:line="263" w:lineRule="auto"/>
        <w:rPr>
          <w:rFonts w:ascii="Arial"/>
          <w:sz w:val="21"/>
        </w:rPr>
      </w:pPr>
    </w:p>
    <w:p w14:paraId="279B270A">
      <w:pPr>
        <w:spacing w:line="263" w:lineRule="auto"/>
        <w:rPr>
          <w:rFonts w:ascii="Arial"/>
          <w:sz w:val="21"/>
        </w:rPr>
      </w:pPr>
    </w:p>
    <w:p w14:paraId="66AC68A7">
      <w:pPr>
        <w:spacing w:line="263" w:lineRule="auto"/>
        <w:rPr>
          <w:rFonts w:ascii="Arial"/>
          <w:sz w:val="21"/>
        </w:rPr>
      </w:pPr>
    </w:p>
    <w:p w14:paraId="20215C58">
      <w:pPr>
        <w:spacing w:line="263" w:lineRule="auto"/>
        <w:rPr>
          <w:rFonts w:ascii="Arial"/>
          <w:sz w:val="21"/>
        </w:rPr>
      </w:pPr>
    </w:p>
    <w:p w14:paraId="1DCD5DCF">
      <w:pPr>
        <w:spacing w:line="263" w:lineRule="auto"/>
        <w:rPr>
          <w:rFonts w:ascii="Arial"/>
          <w:sz w:val="21"/>
        </w:rPr>
      </w:pPr>
    </w:p>
    <w:p w14:paraId="1AE9A14F">
      <w:pPr>
        <w:spacing w:line="263" w:lineRule="auto"/>
        <w:rPr>
          <w:rFonts w:ascii="Arial"/>
          <w:sz w:val="21"/>
        </w:rPr>
      </w:pPr>
    </w:p>
    <w:p w14:paraId="7FFCA1C7">
      <w:pPr>
        <w:pStyle w:val="2"/>
        <w:spacing w:before="101" w:line="223" w:lineRule="auto"/>
        <w:ind w:left="5080"/>
      </w:pPr>
      <w:bookmarkStart w:id="32" w:name="_GoBack"/>
      <w:bookmarkEnd w:id="32"/>
      <w:r>
        <w:rPr>
          <w:spacing w:val="6"/>
        </w:rPr>
        <w:t>浦城县人民政府</w:t>
      </w:r>
    </w:p>
    <w:p w14:paraId="13F942CA">
      <w:pPr>
        <w:pStyle w:val="2"/>
        <w:spacing w:before="194" w:line="222" w:lineRule="auto"/>
        <w:ind w:left="4969"/>
      </w:pPr>
      <w:r>
        <w:rPr>
          <w:spacing w:val="42"/>
        </w:rPr>
        <w:t>2025年6月27日</w:t>
      </w:r>
    </w:p>
    <w:p w14:paraId="7DE69125">
      <w:pPr>
        <w:spacing w:line="321" w:lineRule="auto"/>
        <w:rPr>
          <w:rFonts w:ascii="Arial"/>
          <w:sz w:val="21"/>
        </w:rPr>
      </w:pPr>
    </w:p>
    <w:p w14:paraId="7D2C2F14">
      <w:pPr>
        <w:spacing w:line="321" w:lineRule="auto"/>
        <w:rPr>
          <w:rFonts w:ascii="Arial"/>
          <w:sz w:val="21"/>
        </w:rPr>
      </w:pPr>
    </w:p>
    <w:p w14:paraId="5C24F892">
      <w:pPr>
        <w:pStyle w:val="2"/>
        <w:spacing w:before="101" w:line="222" w:lineRule="auto"/>
        <w:ind w:left="819"/>
      </w:pPr>
      <w:r>
        <w:rPr>
          <w:spacing w:val="19"/>
        </w:rPr>
        <w:t>(此件主动公开)</w:t>
      </w:r>
    </w:p>
    <w:p w14:paraId="20DDEE0D">
      <w:pPr>
        <w:spacing w:line="222" w:lineRule="auto"/>
        <w:sectPr>
          <w:footerReference r:id="rId7" w:type="default"/>
          <w:pgSz w:w="12080" w:h="16950"/>
          <w:pgMar w:top="1440" w:right="1665" w:bottom="2036" w:left="1800" w:header="0" w:footer="1634" w:gutter="0"/>
          <w:cols w:space="720" w:num="1"/>
        </w:sectPr>
      </w:pPr>
    </w:p>
    <w:p w14:paraId="2DA5C313">
      <w:pPr>
        <w:spacing w:before="341" w:line="224" w:lineRule="auto"/>
        <w:ind w:left="209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-5"/>
          <w:sz w:val="31"/>
          <w:szCs w:val="31"/>
        </w:rPr>
        <w:t>附件</w:t>
      </w:r>
    </w:p>
    <w:p w14:paraId="3DBC6B84">
      <w:pPr>
        <w:spacing w:line="262" w:lineRule="auto"/>
        <w:rPr>
          <w:rFonts w:ascii="Arial"/>
          <w:sz w:val="21"/>
        </w:rPr>
      </w:pPr>
    </w:p>
    <w:p w14:paraId="5E10C6F1">
      <w:pPr>
        <w:spacing w:line="263" w:lineRule="auto"/>
        <w:rPr>
          <w:rFonts w:ascii="Arial"/>
          <w:sz w:val="21"/>
        </w:rPr>
      </w:pPr>
    </w:p>
    <w:p w14:paraId="6EA873B6">
      <w:pPr>
        <w:spacing w:line="263" w:lineRule="auto"/>
        <w:rPr>
          <w:rFonts w:ascii="Arial"/>
          <w:sz w:val="21"/>
        </w:rPr>
      </w:pPr>
    </w:p>
    <w:p w14:paraId="5CBBA5FC">
      <w:pPr>
        <w:spacing w:line="263" w:lineRule="auto"/>
        <w:rPr>
          <w:rFonts w:ascii="Arial"/>
          <w:sz w:val="21"/>
        </w:rPr>
      </w:pPr>
    </w:p>
    <w:p w14:paraId="715351D3">
      <w:pPr>
        <w:spacing w:line="263" w:lineRule="auto"/>
        <w:rPr>
          <w:rFonts w:ascii="Arial"/>
          <w:sz w:val="21"/>
        </w:rPr>
      </w:pPr>
    </w:p>
    <w:p w14:paraId="17EA3CAF">
      <w:pPr>
        <w:spacing w:line="263" w:lineRule="auto"/>
        <w:rPr>
          <w:rFonts w:ascii="Arial"/>
          <w:sz w:val="21"/>
        </w:rPr>
      </w:pPr>
    </w:p>
    <w:p w14:paraId="6E06DBE9">
      <w:pPr>
        <w:spacing w:line="263" w:lineRule="auto"/>
        <w:rPr>
          <w:rFonts w:ascii="Arial"/>
          <w:sz w:val="21"/>
        </w:rPr>
      </w:pPr>
    </w:p>
    <w:p w14:paraId="62B0896B">
      <w:pPr>
        <w:spacing w:line="263" w:lineRule="auto"/>
        <w:rPr>
          <w:rFonts w:ascii="Arial"/>
          <w:sz w:val="21"/>
        </w:rPr>
      </w:pPr>
    </w:p>
    <w:p w14:paraId="4D21E13A">
      <w:pPr>
        <w:spacing w:line="263" w:lineRule="auto"/>
        <w:rPr>
          <w:rFonts w:ascii="Arial"/>
          <w:sz w:val="21"/>
        </w:rPr>
      </w:pPr>
    </w:p>
    <w:p w14:paraId="0C261C56">
      <w:pPr>
        <w:spacing w:line="263" w:lineRule="auto"/>
        <w:rPr>
          <w:rFonts w:ascii="Arial"/>
          <w:sz w:val="21"/>
        </w:rPr>
      </w:pPr>
    </w:p>
    <w:p w14:paraId="52BAAA8A">
      <w:pPr>
        <w:spacing w:before="136" w:line="277" w:lineRule="auto"/>
        <w:ind w:left="920" w:hanging="560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b/>
          <w:bCs/>
          <w:spacing w:val="12"/>
          <w:sz w:val="42"/>
          <w:szCs w:val="42"/>
        </w:rPr>
        <w:t>浦城九牧福建省顺昌新业电力工程有限公司</w:t>
      </w:r>
      <w:r>
        <w:rPr>
          <w:rFonts w:ascii="SimSun" w:hAnsi="SimSun" w:eastAsia="SimSun" w:cs="SimSun"/>
          <w:spacing w:val="12"/>
          <w:sz w:val="42"/>
          <w:szCs w:val="42"/>
        </w:rPr>
        <w:t xml:space="preserve"> </w:t>
      </w:r>
      <w:r>
        <w:rPr>
          <w:rFonts w:ascii="SimSun" w:hAnsi="SimSun" w:eastAsia="SimSun" w:cs="SimSun"/>
          <w:b/>
          <w:bCs/>
          <w:spacing w:val="-4"/>
          <w:sz w:val="42"/>
          <w:szCs w:val="42"/>
        </w:rPr>
        <w:t>“4</w:t>
      </w:r>
      <w:r>
        <w:rPr>
          <w:rFonts w:ascii="SimSun" w:hAnsi="SimSun" w:eastAsia="SimSun" w:cs="SimSun"/>
          <w:spacing w:val="-4"/>
          <w:sz w:val="42"/>
          <w:szCs w:val="42"/>
        </w:rPr>
        <w:t xml:space="preserve"> </w:t>
      </w:r>
      <w:r>
        <w:rPr>
          <w:rFonts w:ascii="SimSun" w:hAnsi="SimSun" w:eastAsia="SimSun" w:cs="SimSun"/>
          <w:b/>
          <w:bCs/>
          <w:spacing w:val="-4"/>
          <w:sz w:val="42"/>
          <w:szCs w:val="42"/>
        </w:rPr>
        <w:t>·</w:t>
      </w:r>
      <w:r>
        <w:rPr>
          <w:rFonts w:ascii="SimSun" w:hAnsi="SimSun" w:eastAsia="SimSun" w:cs="SimSun"/>
          <w:spacing w:val="-158"/>
          <w:sz w:val="42"/>
          <w:szCs w:val="42"/>
        </w:rPr>
        <w:t xml:space="preserve"> </w:t>
      </w:r>
      <w:r>
        <w:rPr>
          <w:rFonts w:ascii="SimSun" w:hAnsi="SimSun" w:eastAsia="SimSun" w:cs="SimSun"/>
          <w:b/>
          <w:bCs/>
          <w:spacing w:val="-4"/>
          <w:sz w:val="42"/>
          <w:szCs w:val="42"/>
        </w:rPr>
        <w:t>29”一般电杆倾倒事故调查报告</w:t>
      </w:r>
    </w:p>
    <w:p w14:paraId="6B744F81">
      <w:pPr>
        <w:spacing w:line="244" w:lineRule="auto"/>
        <w:rPr>
          <w:rFonts w:ascii="Arial"/>
          <w:sz w:val="21"/>
        </w:rPr>
      </w:pPr>
    </w:p>
    <w:p w14:paraId="012EA07B">
      <w:pPr>
        <w:spacing w:line="244" w:lineRule="auto"/>
        <w:rPr>
          <w:rFonts w:ascii="Arial"/>
          <w:sz w:val="21"/>
        </w:rPr>
      </w:pPr>
    </w:p>
    <w:p w14:paraId="39EC8D75">
      <w:pPr>
        <w:spacing w:line="244" w:lineRule="auto"/>
        <w:rPr>
          <w:rFonts w:ascii="Arial"/>
          <w:sz w:val="21"/>
        </w:rPr>
      </w:pPr>
    </w:p>
    <w:p w14:paraId="006C5F22">
      <w:pPr>
        <w:spacing w:line="244" w:lineRule="auto"/>
        <w:rPr>
          <w:rFonts w:ascii="Arial"/>
          <w:sz w:val="21"/>
        </w:rPr>
      </w:pPr>
    </w:p>
    <w:p w14:paraId="24AB3B24">
      <w:pPr>
        <w:spacing w:line="244" w:lineRule="auto"/>
        <w:rPr>
          <w:rFonts w:ascii="Arial"/>
          <w:sz w:val="21"/>
        </w:rPr>
      </w:pPr>
    </w:p>
    <w:p w14:paraId="22840767">
      <w:pPr>
        <w:spacing w:line="244" w:lineRule="auto"/>
        <w:rPr>
          <w:rFonts w:ascii="Arial"/>
          <w:sz w:val="21"/>
        </w:rPr>
      </w:pPr>
    </w:p>
    <w:p w14:paraId="7DBEC4C8">
      <w:pPr>
        <w:spacing w:line="244" w:lineRule="auto"/>
        <w:rPr>
          <w:rFonts w:ascii="Arial"/>
          <w:sz w:val="21"/>
        </w:rPr>
      </w:pPr>
    </w:p>
    <w:p w14:paraId="0234ABFA">
      <w:pPr>
        <w:spacing w:line="244" w:lineRule="auto"/>
        <w:rPr>
          <w:rFonts w:ascii="Arial"/>
          <w:sz w:val="21"/>
        </w:rPr>
      </w:pPr>
    </w:p>
    <w:p w14:paraId="60C4E867">
      <w:pPr>
        <w:spacing w:line="244" w:lineRule="auto"/>
        <w:rPr>
          <w:rFonts w:ascii="Arial"/>
          <w:sz w:val="21"/>
        </w:rPr>
      </w:pPr>
    </w:p>
    <w:p w14:paraId="4ED5DF1C">
      <w:pPr>
        <w:spacing w:line="244" w:lineRule="auto"/>
        <w:rPr>
          <w:rFonts w:ascii="Arial"/>
          <w:sz w:val="21"/>
        </w:rPr>
      </w:pPr>
    </w:p>
    <w:p w14:paraId="1429E83F">
      <w:pPr>
        <w:spacing w:line="244" w:lineRule="auto"/>
        <w:rPr>
          <w:rFonts w:ascii="Arial"/>
          <w:sz w:val="21"/>
        </w:rPr>
      </w:pPr>
    </w:p>
    <w:p w14:paraId="42CCBFEB">
      <w:pPr>
        <w:spacing w:line="244" w:lineRule="auto"/>
        <w:rPr>
          <w:rFonts w:ascii="Arial"/>
          <w:sz w:val="21"/>
        </w:rPr>
      </w:pPr>
    </w:p>
    <w:p w14:paraId="45A24963">
      <w:pPr>
        <w:spacing w:line="244" w:lineRule="auto"/>
        <w:rPr>
          <w:rFonts w:ascii="Arial"/>
          <w:sz w:val="21"/>
        </w:rPr>
      </w:pPr>
    </w:p>
    <w:p w14:paraId="59EC469A">
      <w:pPr>
        <w:spacing w:line="245" w:lineRule="auto"/>
        <w:rPr>
          <w:rFonts w:ascii="Arial"/>
          <w:sz w:val="21"/>
        </w:rPr>
      </w:pPr>
    </w:p>
    <w:p w14:paraId="024C7709">
      <w:pPr>
        <w:spacing w:line="245" w:lineRule="auto"/>
        <w:rPr>
          <w:rFonts w:ascii="Arial"/>
          <w:sz w:val="21"/>
        </w:rPr>
      </w:pPr>
    </w:p>
    <w:p w14:paraId="65D014FB">
      <w:pPr>
        <w:spacing w:line="245" w:lineRule="auto"/>
        <w:rPr>
          <w:rFonts w:ascii="Arial"/>
          <w:sz w:val="21"/>
        </w:rPr>
      </w:pPr>
    </w:p>
    <w:p w14:paraId="4D64B115">
      <w:pPr>
        <w:spacing w:line="245" w:lineRule="auto"/>
        <w:rPr>
          <w:rFonts w:ascii="Arial"/>
          <w:sz w:val="21"/>
        </w:rPr>
      </w:pPr>
    </w:p>
    <w:p w14:paraId="67D35469">
      <w:pPr>
        <w:spacing w:line="245" w:lineRule="auto"/>
        <w:rPr>
          <w:rFonts w:ascii="Arial"/>
          <w:sz w:val="21"/>
        </w:rPr>
      </w:pPr>
    </w:p>
    <w:p w14:paraId="7B50366D">
      <w:pPr>
        <w:spacing w:line="245" w:lineRule="auto"/>
        <w:rPr>
          <w:rFonts w:ascii="Arial"/>
          <w:sz w:val="21"/>
        </w:rPr>
      </w:pPr>
    </w:p>
    <w:p w14:paraId="56527E03">
      <w:pPr>
        <w:spacing w:line="245" w:lineRule="auto"/>
        <w:rPr>
          <w:rFonts w:ascii="Arial"/>
          <w:sz w:val="21"/>
        </w:rPr>
      </w:pPr>
    </w:p>
    <w:p w14:paraId="02C9428C">
      <w:pPr>
        <w:spacing w:line="245" w:lineRule="auto"/>
        <w:rPr>
          <w:rFonts w:ascii="Arial"/>
          <w:sz w:val="21"/>
        </w:rPr>
      </w:pPr>
    </w:p>
    <w:p w14:paraId="107952D9">
      <w:pPr>
        <w:spacing w:line="245" w:lineRule="auto"/>
        <w:rPr>
          <w:rFonts w:ascii="Arial"/>
          <w:sz w:val="21"/>
        </w:rPr>
      </w:pPr>
    </w:p>
    <w:p w14:paraId="5EB0C52A">
      <w:pPr>
        <w:spacing w:line="245" w:lineRule="auto"/>
        <w:rPr>
          <w:rFonts w:ascii="Arial"/>
          <w:sz w:val="21"/>
        </w:rPr>
      </w:pPr>
    </w:p>
    <w:p w14:paraId="25CA8456">
      <w:pPr>
        <w:spacing w:line="245" w:lineRule="auto"/>
        <w:rPr>
          <w:rFonts w:ascii="Arial"/>
          <w:sz w:val="21"/>
        </w:rPr>
      </w:pPr>
    </w:p>
    <w:p w14:paraId="237A15ED">
      <w:pPr>
        <w:spacing w:line="245" w:lineRule="auto"/>
        <w:rPr>
          <w:rFonts w:ascii="Arial"/>
          <w:sz w:val="21"/>
        </w:rPr>
      </w:pPr>
    </w:p>
    <w:p w14:paraId="1B682284">
      <w:pPr>
        <w:spacing w:line="245" w:lineRule="auto"/>
        <w:rPr>
          <w:rFonts w:ascii="Arial"/>
          <w:sz w:val="21"/>
        </w:rPr>
      </w:pPr>
    </w:p>
    <w:p w14:paraId="13805CE3">
      <w:pPr>
        <w:spacing w:before="101" w:line="224" w:lineRule="auto"/>
        <w:ind w:left="2575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5"/>
          <w:sz w:val="31"/>
          <w:szCs w:val="31"/>
        </w:rPr>
        <w:t>浦城县人民政府事故调查组</w:t>
      </w:r>
    </w:p>
    <w:p w14:paraId="66D46D12">
      <w:pPr>
        <w:spacing w:before="264" w:line="225" w:lineRule="auto"/>
        <w:ind w:left="3644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pacing w:val="38"/>
          <w:sz w:val="31"/>
          <w:szCs w:val="31"/>
        </w:rPr>
        <w:t>2025年6月</w:t>
      </w:r>
    </w:p>
    <w:p w14:paraId="5DF42942">
      <w:pPr>
        <w:spacing w:line="225" w:lineRule="auto"/>
        <w:rPr>
          <w:rFonts w:ascii="KaiTi" w:hAnsi="KaiTi" w:eastAsia="KaiTi" w:cs="KaiTi"/>
          <w:sz w:val="31"/>
          <w:szCs w:val="31"/>
        </w:rPr>
        <w:sectPr>
          <w:footerReference r:id="rId8" w:type="default"/>
          <w:pgSz w:w="11900" w:h="16830"/>
          <w:pgMar w:top="1430" w:right="1448" w:bottom="2156" w:left="1785" w:header="0" w:footer="1751" w:gutter="0"/>
          <w:cols w:space="720" w:num="1"/>
        </w:sectPr>
      </w:pPr>
    </w:p>
    <w:p w14:paraId="6726E08E">
      <w:pPr>
        <w:spacing w:line="273" w:lineRule="auto"/>
        <w:rPr>
          <w:rFonts w:ascii="Arial"/>
          <w:sz w:val="21"/>
        </w:rPr>
      </w:pPr>
    </w:p>
    <w:p w14:paraId="54C13EB8">
      <w:pPr>
        <w:spacing w:line="273" w:lineRule="auto"/>
        <w:rPr>
          <w:rFonts w:ascii="Arial"/>
          <w:sz w:val="21"/>
        </w:rPr>
      </w:pPr>
    </w:p>
    <w:p w14:paraId="59A084AD">
      <w:pPr>
        <w:spacing w:line="273" w:lineRule="auto"/>
        <w:rPr>
          <w:rFonts w:ascii="Arial"/>
          <w:sz w:val="21"/>
        </w:rPr>
      </w:pPr>
    </w:p>
    <w:sdt>
      <w:sdtPr>
        <w:rPr>
          <w:rFonts w:ascii="FangSong" w:hAnsi="FangSong" w:eastAsia="FangSong" w:cs="FangSong"/>
          <w:sz w:val="38"/>
          <w:szCs w:val="38"/>
        </w:rPr>
        <w:id w:val="10679788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4"/>
          <w:szCs w:val="24"/>
        </w:rPr>
      </w:sdtEndPr>
      <w:sdtContent>
        <w:p w14:paraId="59F3E7CD">
          <w:pPr>
            <w:pStyle w:val="2"/>
            <w:spacing w:before="124" w:line="223" w:lineRule="auto"/>
            <w:ind w:left="3825"/>
            <w:rPr>
              <w:sz w:val="38"/>
              <w:szCs w:val="38"/>
            </w:rPr>
          </w:pPr>
          <w:r>
            <w:rPr>
              <w:b/>
              <w:bCs/>
              <w:spacing w:val="-50"/>
              <w:sz w:val="38"/>
              <w:szCs w:val="38"/>
            </w:rPr>
            <w:t>目</w:t>
          </w:r>
          <w:r>
            <w:rPr>
              <w:spacing w:val="75"/>
              <w:sz w:val="38"/>
              <w:szCs w:val="38"/>
            </w:rPr>
            <w:t xml:space="preserve">  </w:t>
          </w:r>
          <w:r>
            <w:rPr>
              <w:b/>
              <w:bCs/>
              <w:spacing w:val="-50"/>
              <w:sz w:val="38"/>
              <w:szCs w:val="38"/>
            </w:rPr>
            <w:t>录</w:t>
          </w:r>
        </w:p>
        <w:p w14:paraId="41056682">
          <w:pPr>
            <w:pStyle w:val="2"/>
            <w:tabs>
              <w:tab w:val="right" w:leader="dot" w:pos="8780"/>
            </w:tabs>
            <w:spacing w:before="297" w:line="222" w:lineRule="auto"/>
            <w:ind w:left="3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b/>
              <w:bCs/>
              <w:spacing w:val="-9"/>
              <w:sz w:val="24"/>
              <w:szCs w:val="24"/>
            </w:rPr>
            <w:t>一</w:t>
          </w:r>
          <w:r>
            <w:rPr>
              <w:spacing w:val="-50"/>
              <w:sz w:val="24"/>
              <w:szCs w:val="24"/>
            </w:rPr>
            <w:t xml:space="preserve"> </w:t>
          </w:r>
          <w:r>
            <w:rPr>
              <w:b/>
              <w:bCs/>
              <w:spacing w:val="-9"/>
              <w:sz w:val="24"/>
              <w:szCs w:val="24"/>
            </w:rPr>
            <w:t>、</w:t>
          </w:r>
          <w:r>
            <w:rPr>
              <w:spacing w:val="-9"/>
              <w:sz w:val="24"/>
              <w:szCs w:val="24"/>
            </w:rPr>
            <w:t xml:space="preserve"> </w:t>
          </w:r>
          <w:r>
            <w:rPr>
              <w:b/>
              <w:bCs/>
              <w:spacing w:val="-9"/>
              <w:sz w:val="24"/>
              <w:szCs w:val="24"/>
            </w:rPr>
            <w:t>事故基本情况</w:t>
          </w:r>
          <w:r>
            <w:rPr>
              <w:spacing w:val="-104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7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7B19A6BE">
          <w:pPr>
            <w:pStyle w:val="2"/>
            <w:tabs>
              <w:tab w:val="right" w:leader="dot" w:pos="8780"/>
            </w:tabs>
            <w:spacing w:before="102" w:line="221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(</w:t>
          </w:r>
          <w:r>
            <w:rPr>
              <w:spacing w:val="-17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一</w:t>
          </w:r>
          <w:r>
            <w:rPr>
              <w:spacing w:val="-34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)事故单位基本情况</w:t>
          </w:r>
          <w:r>
            <w:rPr>
              <w:spacing w:val="-10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34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7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1ACA7610">
          <w:pPr>
            <w:pStyle w:val="2"/>
            <w:tabs>
              <w:tab w:val="right" w:leader="dot" w:pos="8765"/>
            </w:tabs>
            <w:spacing w:before="72" w:line="221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spacing w:val="-4"/>
              <w:sz w:val="24"/>
              <w:szCs w:val="24"/>
            </w:rPr>
            <w:t>( 二</w:t>
          </w:r>
          <w:r>
            <w:rPr>
              <w:spacing w:val="-26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)建设单位基本情况</w:t>
          </w:r>
          <w:r>
            <w:rPr>
              <w:spacing w:val="-10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54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8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6ECBC52E">
          <w:pPr>
            <w:pStyle w:val="2"/>
            <w:tabs>
              <w:tab w:val="right" w:leader="dot" w:pos="8770"/>
            </w:tabs>
            <w:spacing w:before="95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spacing w:val="-5"/>
              <w:sz w:val="24"/>
              <w:szCs w:val="24"/>
            </w:rPr>
            <w:t>( 三</w:t>
          </w:r>
          <w:r>
            <w:rPr>
              <w:spacing w:val="-24"/>
              <w:sz w:val="24"/>
              <w:szCs w:val="24"/>
            </w:rPr>
            <w:t xml:space="preserve"> </w:t>
          </w:r>
          <w:r>
            <w:rPr>
              <w:spacing w:val="-5"/>
              <w:sz w:val="24"/>
              <w:szCs w:val="24"/>
            </w:rPr>
            <w:t>)事故项目基本情况</w:t>
          </w:r>
          <w:r>
            <w:rPr>
              <w:spacing w:val="-107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44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9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176C4A8E">
          <w:pPr>
            <w:pStyle w:val="2"/>
            <w:tabs>
              <w:tab w:val="right" w:leader="dot" w:pos="8770"/>
            </w:tabs>
            <w:spacing w:before="101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spacing w:val="-5"/>
              <w:sz w:val="24"/>
              <w:szCs w:val="24"/>
            </w:rPr>
            <w:t>( 四</w:t>
          </w:r>
          <w:r>
            <w:rPr>
              <w:spacing w:val="-24"/>
              <w:sz w:val="24"/>
              <w:szCs w:val="24"/>
            </w:rPr>
            <w:t xml:space="preserve"> </w:t>
          </w:r>
          <w:r>
            <w:rPr>
              <w:spacing w:val="-5"/>
              <w:sz w:val="24"/>
              <w:szCs w:val="24"/>
            </w:rPr>
            <w:t>)事故项目安全管理情况</w:t>
          </w:r>
          <w:r>
            <w:rPr>
              <w:spacing w:val="-10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spacing w:val="-34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t>9</w:t>
          </w:r>
          <w:r>
            <w:rPr>
              <w:rFonts w:ascii="Times New Roman" w:hAnsi="Times New Roman" w:eastAsia="Times New Roman" w:cs="Times New Roman"/>
              <w:sz w:val="24"/>
              <w:szCs w:val="24"/>
            </w:rPr>
            <w:fldChar w:fldCharType="end"/>
          </w:r>
        </w:p>
        <w:p w14:paraId="5619B1B8">
          <w:pPr>
            <w:pStyle w:val="2"/>
            <w:tabs>
              <w:tab w:val="right" w:leader="dot" w:pos="8750"/>
            </w:tabs>
            <w:spacing w:before="101" w:line="222" w:lineRule="auto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spacing w:val="1"/>
              <w:sz w:val="24"/>
              <w:szCs w:val="24"/>
            </w:rPr>
            <w:t>二、事故发生经过及应急处置情况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10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66081070">
          <w:pPr>
            <w:pStyle w:val="2"/>
            <w:tabs>
              <w:tab w:val="right" w:leader="dot" w:pos="8760"/>
            </w:tabs>
            <w:spacing w:before="72" w:line="223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spacing w:val="-6"/>
              <w:sz w:val="24"/>
              <w:szCs w:val="24"/>
            </w:rPr>
            <w:t>( 一</w:t>
          </w:r>
          <w:r>
            <w:rPr>
              <w:spacing w:val="-22"/>
              <w:sz w:val="24"/>
              <w:szCs w:val="24"/>
            </w:rPr>
            <w:t xml:space="preserve"> </w:t>
          </w:r>
          <w:r>
            <w:rPr>
              <w:spacing w:val="-6"/>
              <w:sz w:val="24"/>
              <w:szCs w:val="24"/>
            </w:rPr>
            <w:t>)事故发生经过</w:t>
          </w:r>
          <w:r>
            <w:rPr>
              <w:spacing w:val="-110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10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65B3E407">
          <w:pPr>
            <w:pStyle w:val="2"/>
            <w:tabs>
              <w:tab w:val="right" w:leader="dot" w:pos="8770"/>
            </w:tabs>
            <w:spacing w:before="86" w:line="220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spacing w:val="-4"/>
              <w:sz w:val="24"/>
              <w:szCs w:val="24"/>
            </w:rPr>
            <w:t>( 二</w:t>
          </w:r>
          <w:r>
            <w:rPr>
              <w:spacing w:val="-24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)事故应急处置及评估情况</w:t>
          </w:r>
          <w:r>
            <w:rPr>
              <w:spacing w:val="-10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11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7FBD31F3">
          <w:pPr>
            <w:pStyle w:val="2"/>
            <w:tabs>
              <w:tab w:val="right" w:leader="dot" w:pos="8770"/>
            </w:tabs>
            <w:spacing w:before="97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spacing w:val="-6"/>
              <w:sz w:val="24"/>
              <w:szCs w:val="24"/>
            </w:rPr>
            <w:t>( 三</w:t>
          </w:r>
          <w:r>
            <w:rPr>
              <w:spacing w:val="-24"/>
              <w:sz w:val="24"/>
              <w:szCs w:val="24"/>
            </w:rPr>
            <w:t xml:space="preserve"> </w:t>
          </w:r>
          <w:r>
            <w:rPr>
              <w:spacing w:val="-6"/>
              <w:sz w:val="24"/>
              <w:szCs w:val="24"/>
            </w:rPr>
            <w:t>)人员伤亡情况</w:t>
          </w:r>
          <w:r>
            <w:rPr>
              <w:spacing w:val="-10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11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67256524">
          <w:pPr>
            <w:pStyle w:val="2"/>
            <w:tabs>
              <w:tab w:val="right" w:leader="dot" w:pos="8770"/>
            </w:tabs>
            <w:spacing w:before="89" w:line="221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spacing w:val="-6"/>
              <w:sz w:val="24"/>
              <w:szCs w:val="24"/>
            </w:rPr>
            <w:t>( 四</w:t>
          </w:r>
          <w:r>
            <w:rPr>
              <w:spacing w:val="-26"/>
              <w:sz w:val="24"/>
              <w:szCs w:val="24"/>
            </w:rPr>
            <w:t xml:space="preserve"> </w:t>
          </w:r>
          <w:r>
            <w:rPr>
              <w:spacing w:val="-6"/>
              <w:sz w:val="24"/>
              <w:szCs w:val="24"/>
            </w:rPr>
            <w:t>)直接经济损失</w:t>
          </w:r>
          <w:r>
            <w:rPr>
              <w:spacing w:val="-10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12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3ABA1FAC">
          <w:pPr>
            <w:pStyle w:val="2"/>
            <w:tabs>
              <w:tab w:val="right" w:leader="dot" w:pos="8760"/>
            </w:tabs>
            <w:spacing w:before="100" w:line="222" w:lineRule="auto"/>
            <w:ind w:left="3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b/>
              <w:bCs/>
              <w:spacing w:val="-3"/>
              <w:sz w:val="24"/>
              <w:szCs w:val="24"/>
            </w:rPr>
            <w:t>三、事故原因分析</w:t>
          </w:r>
          <w:r>
            <w:rPr>
              <w:b/>
              <w:bCs/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12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68B1F7E0">
          <w:pPr>
            <w:pStyle w:val="2"/>
            <w:tabs>
              <w:tab w:val="right" w:leader="dot" w:pos="8770"/>
            </w:tabs>
            <w:spacing w:before="85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spacing w:val="-5"/>
              <w:sz w:val="24"/>
              <w:szCs w:val="24"/>
            </w:rPr>
            <w:t>( 一</w:t>
          </w:r>
          <w:r>
            <w:rPr>
              <w:spacing w:val="-26"/>
              <w:sz w:val="24"/>
              <w:szCs w:val="24"/>
            </w:rPr>
            <w:t xml:space="preserve"> </w:t>
          </w:r>
          <w:r>
            <w:rPr>
              <w:spacing w:val="-5"/>
              <w:sz w:val="24"/>
              <w:szCs w:val="24"/>
            </w:rPr>
            <w:t>)事故直接原因分析</w:t>
          </w:r>
          <w:r>
            <w:rPr>
              <w:spacing w:val="-10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12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07ACD849">
          <w:pPr>
            <w:pStyle w:val="2"/>
            <w:tabs>
              <w:tab w:val="right" w:leader="dot" w:pos="8770"/>
            </w:tabs>
            <w:spacing w:before="91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spacing w:val="-5"/>
              <w:sz w:val="24"/>
              <w:szCs w:val="24"/>
            </w:rPr>
            <w:t>( 二</w:t>
          </w:r>
          <w:r>
            <w:rPr>
              <w:spacing w:val="-26"/>
              <w:sz w:val="24"/>
              <w:szCs w:val="24"/>
            </w:rPr>
            <w:t xml:space="preserve"> </w:t>
          </w:r>
          <w:r>
            <w:rPr>
              <w:spacing w:val="-5"/>
              <w:sz w:val="24"/>
              <w:szCs w:val="24"/>
            </w:rPr>
            <w:t>)事故间接原因分析</w:t>
          </w:r>
          <w:r>
            <w:rPr>
              <w:spacing w:val="-10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15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01CC955F">
          <w:pPr>
            <w:pStyle w:val="2"/>
            <w:tabs>
              <w:tab w:val="right" w:leader="dot" w:pos="8760"/>
            </w:tabs>
            <w:spacing w:before="80" w:line="219" w:lineRule="auto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spacing w:val="-4"/>
              <w:sz w:val="24"/>
              <w:szCs w:val="24"/>
            </w:rPr>
            <w:t>四</w:t>
          </w:r>
          <w:r>
            <w:rPr>
              <w:spacing w:val="-54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、事故有关单位存在的主要问题</w:t>
          </w:r>
          <w:r>
            <w:rPr>
              <w:spacing w:val="-108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15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51456930">
          <w:pPr>
            <w:pStyle w:val="2"/>
            <w:tabs>
              <w:tab w:val="right" w:leader="dot" w:pos="8770"/>
            </w:tabs>
            <w:spacing w:before="99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spacing w:val="-6"/>
              <w:sz w:val="24"/>
              <w:szCs w:val="24"/>
            </w:rPr>
            <w:t>( 一</w:t>
          </w:r>
          <w:r>
            <w:rPr>
              <w:spacing w:val="-14"/>
              <w:sz w:val="24"/>
              <w:szCs w:val="24"/>
            </w:rPr>
            <w:t xml:space="preserve"> </w:t>
          </w:r>
          <w:r>
            <w:rPr>
              <w:spacing w:val="-6"/>
              <w:sz w:val="24"/>
              <w:szCs w:val="24"/>
            </w:rPr>
            <w:t>)福建省顺昌新业电力工程有限公司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t>15</w:t>
          </w:r>
          <w:r>
            <w:rPr>
              <w:rFonts w:ascii="Times New Roman" w:hAnsi="Times New Roman" w:eastAsia="Times New Roman" w:cs="Times New Roman"/>
              <w:spacing w:val="-1"/>
              <w:sz w:val="24"/>
              <w:szCs w:val="24"/>
            </w:rPr>
            <w:fldChar w:fldCharType="end"/>
          </w:r>
        </w:p>
        <w:p w14:paraId="5A474C11">
          <w:pPr>
            <w:pStyle w:val="2"/>
            <w:tabs>
              <w:tab w:val="right" w:leader="dot" w:pos="8760"/>
            </w:tabs>
            <w:spacing w:before="89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spacing w:val="-5"/>
              <w:sz w:val="24"/>
              <w:szCs w:val="24"/>
            </w:rPr>
            <w:t>( 二</w:t>
          </w:r>
          <w:r>
            <w:rPr>
              <w:spacing w:val="-26"/>
              <w:sz w:val="24"/>
              <w:szCs w:val="24"/>
            </w:rPr>
            <w:t xml:space="preserve"> </w:t>
          </w:r>
          <w:r>
            <w:rPr>
              <w:spacing w:val="-5"/>
              <w:sz w:val="24"/>
              <w:szCs w:val="24"/>
            </w:rPr>
            <w:t>)浦城县工信部门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spacing w:val="-11"/>
              <w:sz w:val="24"/>
              <w:szCs w:val="24"/>
            </w:rPr>
            <w:fldChar w:fldCharType="end"/>
          </w:r>
        </w:p>
        <w:p w14:paraId="59EF315A">
          <w:pPr>
            <w:pStyle w:val="2"/>
            <w:tabs>
              <w:tab w:val="right" w:leader="dot" w:pos="8750"/>
            </w:tabs>
            <w:spacing w:before="91" w:line="221" w:lineRule="auto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spacing w:val="-1"/>
              <w:sz w:val="24"/>
              <w:szCs w:val="24"/>
            </w:rPr>
            <w:t>五</w:t>
          </w:r>
          <w:r>
            <w:rPr>
              <w:spacing w:val="-28"/>
              <w:sz w:val="24"/>
              <w:szCs w:val="24"/>
            </w:rPr>
            <w:t xml:space="preserve"> </w:t>
          </w:r>
          <w:r>
            <w:rPr>
              <w:spacing w:val="-1"/>
              <w:sz w:val="24"/>
              <w:szCs w:val="24"/>
            </w:rPr>
            <w:t>、</w:t>
          </w:r>
          <w:r>
            <w:rPr>
              <w:spacing w:val="-49"/>
              <w:sz w:val="24"/>
              <w:szCs w:val="24"/>
            </w:rPr>
            <w:t xml:space="preserve"> </w:t>
          </w:r>
          <w:r>
            <w:rPr>
              <w:spacing w:val="-1"/>
              <w:sz w:val="24"/>
              <w:szCs w:val="24"/>
            </w:rPr>
            <w:t>对有关责任人员和责任单位的处理建议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spacing w:val="-3"/>
              <w:sz w:val="24"/>
              <w:szCs w:val="24"/>
            </w:rPr>
            <w:fldChar w:fldCharType="end"/>
          </w:r>
        </w:p>
        <w:p w14:paraId="6D06C134">
          <w:pPr>
            <w:pStyle w:val="2"/>
            <w:tabs>
              <w:tab w:val="right" w:leader="dot" w:pos="8770"/>
            </w:tabs>
            <w:spacing w:before="105" w:line="222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(</w:t>
          </w:r>
          <w:r>
            <w:rPr>
              <w:spacing w:val="-18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一</w:t>
          </w:r>
          <w:r>
            <w:rPr>
              <w:spacing w:val="-34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)事故有关人员责任认定及处理建议</w:t>
          </w:r>
          <w:r>
            <w:rPr>
              <w:spacing w:val="-106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fldChar w:fldCharType="end"/>
          </w:r>
        </w:p>
        <w:p w14:paraId="7E666E67">
          <w:pPr>
            <w:pStyle w:val="2"/>
            <w:tabs>
              <w:tab w:val="right" w:leader="dot" w:pos="8760"/>
            </w:tabs>
            <w:spacing w:before="79" w:line="221" w:lineRule="auto"/>
            <w:ind w:left="51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spacing w:val="-4"/>
              <w:sz w:val="24"/>
              <w:szCs w:val="24"/>
            </w:rPr>
            <w:t>( 二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pacing w:val="-4"/>
              <w:sz w:val="24"/>
              <w:szCs w:val="24"/>
            </w:rPr>
            <w:t>)事故有关单位责任认定及处理建议</w:t>
          </w:r>
          <w:r>
            <w:rPr>
              <w:spacing w:val="-105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3862DF23">
          <w:pPr>
            <w:pStyle w:val="2"/>
            <w:tabs>
              <w:tab w:val="right" w:leader="dot" w:pos="8760"/>
            </w:tabs>
            <w:spacing w:before="103" w:line="223" w:lineRule="auto"/>
            <w:ind w:left="3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b/>
              <w:bCs/>
              <w:spacing w:val="-2"/>
              <w:sz w:val="24"/>
              <w:szCs w:val="24"/>
            </w:rPr>
            <w:t>六、事故整改和防范措施</w:t>
          </w:r>
          <w:r>
            <w:rPr>
              <w:spacing w:val="-101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t>17</w:t>
          </w:r>
          <w:r>
            <w:rPr>
              <w:rFonts w:ascii="Times New Roman" w:hAnsi="Times New Roman" w:eastAsia="Times New Roman" w:cs="Times New Roman"/>
              <w:spacing w:val="-7"/>
              <w:sz w:val="24"/>
              <w:szCs w:val="24"/>
            </w:rPr>
            <w:fldChar w:fldCharType="end"/>
          </w:r>
        </w:p>
        <w:p w14:paraId="47F4965D">
          <w:pPr>
            <w:pStyle w:val="2"/>
            <w:spacing w:before="83" w:line="222" w:lineRule="auto"/>
            <w:jc w:val="right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( 一</w:t>
          </w:r>
          <w:r>
            <w:rPr>
              <w:spacing w:val="-10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)福建省顺昌新业电力工程有限公司应深刻吸取事故教训，全面排查整治公</w:t>
          </w:r>
          <w:r>
            <w:rPr>
              <w:spacing w:val="-3"/>
              <w:sz w:val="24"/>
              <w:szCs w:val="24"/>
            </w:rPr>
            <w:fldChar w:fldCharType="end"/>
          </w:r>
        </w:p>
        <w:p w14:paraId="253002B1">
          <w:pPr>
            <w:pStyle w:val="2"/>
            <w:tabs>
              <w:tab w:val="right" w:leader="dot" w:pos="8750"/>
            </w:tabs>
            <w:spacing w:before="89" w:line="222" w:lineRule="auto"/>
            <w:ind w:left="39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司安全生产管理中的薄弱环节</w:t>
          </w:r>
          <w:r>
            <w:rPr>
              <w:spacing w:val="-93"/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4"/>
              <w:szCs w:val="24"/>
            </w:rPr>
            <w:t>17</w:t>
          </w:r>
          <w:r>
            <w:rPr>
              <w:rFonts w:ascii="Times New Roman" w:hAnsi="Times New Roman" w:eastAsia="Times New Roman" w:cs="Times New Roman"/>
              <w:spacing w:val="-3"/>
              <w:sz w:val="24"/>
              <w:szCs w:val="24"/>
            </w:rPr>
            <w:fldChar w:fldCharType="end"/>
          </w:r>
        </w:p>
        <w:p w14:paraId="22937780">
          <w:pPr>
            <w:pStyle w:val="2"/>
            <w:spacing w:before="101" w:line="221" w:lineRule="auto"/>
            <w:ind w:right="9"/>
            <w:jc w:val="right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( 二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)政府相关部门应当加强电力施工项目的监管力度，完善对电力行业企业的</w:t>
          </w:r>
          <w:r>
            <w:rPr>
              <w:spacing w:val="-3"/>
              <w:sz w:val="24"/>
              <w:szCs w:val="24"/>
            </w:rPr>
            <w:fldChar w:fldCharType="end"/>
          </w:r>
        </w:p>
        <w:p w14:paraId="19A4EACF">
          <w:pPr>
            <w:pStyle w:val="2"/>
            <w:tabs>
              <w:tab w:val="right" w:leader="dot" w:pos="8760"/>
            </w:tabs>
            <w:spacing w:before="75" w:line="222" w:lineRule="auto"/>
            <w:ind w:left="39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spacing w:val="-6"/>
              <w:sz w:val="24"/>
              <w:szCs w:val="24"/>
            </w:rPr>
            <w:t>监管体系</w:t>
          </w:r>
          <w:r>
            <w:rPr>
              <w:sz w:val="24"/>
              <w:szCs w:val="24"/>
            </w:rPr>
            <w:tab/>
          </w:r>
          <w:r>
            <w:rPr>
              <w:spacing w:val="-83"/>
              <w:sz w:val="24"/>
              <w:szCs w:val="24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t>17</w:t>
          </w:r>
          <w:r>
            <w:rPr>
              <w:rFonts w:ascii="Times New Roman" w:hAnsi="Times New Roman" w:eastAsia="Times New Roman" w:cs="Times New Roman"/>
              <w:spacing w:val="-8"/>
              <w:sz w:val="24"/>
              <w:szCs w:val="24"/>
            </w:rPr>
            <w:fldChar w:fldCharType="end"/>
          </w:r>
        </w:p>
        <w:p w14:paraId="0B8B9659">
          <w:pPr>
            <w:pStyle w:val="2"/>
            <w:spacing w:before="98" w:line="220" w:lineRule="auto"/>
            <w:ind w:right="9"/>
            <w:jc w:val="right"/>
            <w:rPr>
              <w:sz w:val="24"/>
              <w:szCs w:val="24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spacing w:val="-3"/>
              <w:sz w:val="24"/>
              <w:szCs w:val="24"/>
            </w:rPr>
            <w:t>( 三</w:t>
          </w:r>
          <w:r>
            <w:rPr>
              <w:spacing w:val="-20"/>
              <w:sz w:val="24"/>
              <w:szCs w:val="24"/>
            </w:rPr>
            <w:t xml:space="preserve"> </w:t>
          </w:r>
          <w:r>
            <w:rPr>
              <w:spacing w:val="-3"/>
              <w:sz w:val="24"/>
              <w:szCs w:val="24"/>
            </w:rPr>
            <w:t>)政府相关部门及属地政府应当加强宣传教育工作，增强群众对电力设施的</w:t>
          </w:r>
          <w:r>
            <w:rPr>
              <w:spacing w:val="-3"/>
              <w:sz w:val="24"/>
              <w:szCs w:val="24"/>
            </w:rPr>
            <w:fldChar w:fldCharType="end"/>
          </w:r>
        </w:p>
        <w:p w14:paraId="50DC0E2A">
          <w:pPr>
            <w:pStyle w:val="2"/>
            <w:tabs>
              <w:tab w:val="right" w:leader="dot" w:pos="8770"/>
            </w:tabs>
            <w:spacing w:before="85" w:line="221" w:lineRule="auto"/>
            <w:ind w:left="409"/>
            <w:rPr>
              <w:rFonts w:ascii="Times New Roman" w:hAnsi="Times New Roman" w:eastAsia="Times New Roman" w:cs="Times New Roman"/>
              <w:sz w:val="24"/>
              <w:szCs w:val="24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spacing w:val="2"/>
              <w:sz w:val="24"/>
              <w:szCs w:val="24"/>
            </w:rPr>
            <w:t>保护意识</w:t>
          </w:r>
          <w:r>
            <w:rPr>
              <w:sz w:val="24"/>
              <w:szCs w:val="24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4"/>
              <w:szCs w:val="24"/>
            </w:rPr>
            <w:t>18</w:t>
          </w:r>
          <w:r>
            <w:rPr>
              <w:rFonts w:ascii="Times New Roman" w:hAnsi="Times New Roman" w:eastAsia="Times New Roman" w:cs="Times New Roman"/>
              <w:spacing w:val="-6"/>
              <w:sz w:val="24"/>
              <w:szCs w:val="24"/>
            </w:rPr>
            <w:fldChar w:fldCharType="end"/>
          </w:r>
        </w:p>
      </w:sdtContent>
    </w:sdt>
    <w:p w14:paraId="6D5C2C74">
      <w:pPr>
        <w:spacing w:line="221" w:lineRule="auto"/>
        <w:rPr>
          <w:rFonts w:ascii="Times New Roman" w:hAnsi="Times New Roman" w:eastAsia="Times New Roman" w:cs="Times New Roman"/>
          <w:sz w:val="24"/>
          <w:szCs w:val="24"/>
        </w:rPr>
        <w:sectPr>
          <w:footerReference r:id="rId9" w:type="default"/>
          <w:pgSz w:w="11900" w:h="16830"/>
          <w:pgMar w:top="1430" w:right="1756" w:bottom="1724" w:left="1340" w:header="0" w:footer="1458" w:gutter="0"/>
          <w:cols w:space="720" w:num="1"/>
        </w:sectPr>
      </w:pPr>
    </w:p>
    <w:p w14:paraId="3FED967E">
      <w:pPr>
        <w:spacing w:line="455" w:lineRule="auto"/>
        <w:rPr>
          <w:rFonts w:ascii="Arial"/>
          <w:sz w:val="21"/>
        </w:rPr>
      </w:pPr>
    </w:p>
    <w:p w14:paraId="086017A7">
      <w:pPr>
        <w:spacing w:before="140" w:line="241" w:lineRule="auto"/>
        <w:ind w:left="26" w:right="102" w:hanging="5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b/>
          <w:bCs/>
          <w:spacing w:val="21"/>
          <w:sz w:val="43"/>
          <w:szCs w:val="43"/>
        </w:rPr>
        <w:t>浦城九牧福建省顺昌新业电力工程有限公司</w:t>
      </w:r>
      <w:r>
        <w:rPr>
          <w:rFonts w:ascii="SimSun" w:hAnsi="SimSun" w:eastAsia="SimSun" w:cs="SimSun"/>
          <w:sz w:val="43"/>
          <w:szCs w:val="43"/>
        </w:rPr>
        <w:t xml:space="preserve"> </w:t>
      </w:r>
      <w:r>
        <w:rPr>
          <w:rFonts w:ascii="SimSun" w:hAnsi="SimSun" w:eastAsia="SimSun" w:cs="SimSun"/>
          <w:b/>
          <w:bCs/>
          <w:spacing w:val="-8"/>
          <w:sz w:val="43"/>
          <w:szCs w:val="43"/>
        </w:rPr>
        <w:t>“4</w:t>
      </w:r>
      <w:r>
        <w:rPr>
          <w:rFonts w:ascii="SimSun" w:hAnsi="SimSun" w:eastAsia="SimSun" w:cs="SimSun"/>
          <w:spacing w:val="-36"/>
          <w:sz w:val="43"/>
          <w:szCs w:val="43"/>
        </w:rPr>
        <w:t xml:space="preserve"> </w:t>
      </w:r>
      <w:r>
        <w:rPr>
          <w:rFonts w:ascii="SimSun" w:hAnsi="SimSun" w:eastAsia="SimSun" w:cs="SimSun"/>
          <w:b/>
          <w:bCs/>
          <w:spacing w:val="-8"/>
          <w:sz w:val="43"/>
          <w:szCs w:val="43"/>
        </w:rPr>
        <w:t>·29”一般物体打击事故调查报告</w:t>
      </w:r>
    </w:p>
    <w:p w14:paraId="58BF15F6">
      <w:pPr>
        <w:spacing w:line="269" w:lineRule="auto"/>
        <w:rPr>
          <w:rFonts w:ascii="Arial"/>
          <w:sz w:val="21"/>
        </w:rPr>
      </w:pPr>
    </w:p>
    <w:p w14:paraId="5AEDA585">
      <w:pPr>
        <w:spacing w:line="270" w:lineRule="auto"/>
        <w:rPr>
          <w:rFonts w:ascii="Arial"/>
          <w:sz w:val="21"/>
        </w:rPr>
      </w:pPr>
    </w:p>
    <w:p w14:paraId="5830EE13">
      <w:pPr>
        <w:pStyle w:val="2"/>
        <w:spacing w:before="101" w:line="334" w:lineRule="auto"/>
        <w:ind w:left="14" w:right="412" w:firstLine="629"/>
        <w:jc w:val="both"/>
      </w:pPr>
      <w:r>
        <w:rPr>
          <w:spacing w:val="27"/>
        </w:rPr>
        <w:t>2025年4月29日上午11时左右，在福建省顺昌新业电</w:t>
      </w:r>
      <w:r>
        <w:rPr>
          <w:spacing w:val="17"/>
        </w:rPr>
        <w:t xml:space="preserve"> </w:t>
      </w:r>
      <w:r>
        <w:rPr>
          <w:spacing w:val="12"/>
        </w:rPr>
        <w:t>力工程有限公司10</w:t>
      </w:r>
      <w:r>
        <w:rPr>
          <w:rFonts w:ascii="SimSun" w:hAnsi="SimSun" w:eastAsia="SimSun" w:cs="SimSun"/>
        </w:rPr>
        <w:t>kv</w:t>
      </w:r>
      <w:r>
        <w:rPr>
          <w:rFonts w:ascii="SimSun" w:hAnsi="SimSun" w:eastAsia="SimSun" w:cs="SimSun"/>
          <w:spacing w:val="-55"/>
        </w:rPr>
        <w:t xml:space="preserve"> </w:t>
      </w:r>
      <w:r>
        <w:rPr>
          <w:spacing w:val="12"/>
        </w:rPr>
        <w:t>黄毕线黎处支线改造工程#21杆发生倒</w:t>
      </w:r>
      <w:r>
        <w:t xml:space="preserve"> </w:t>
      </w:r>
      <w:r>
        <w:rPr>
          <w:spacing w:val="16"/>
        </w:rPr>
        <w:t>杆事故，造成1名工人死亡，直接经济损失150万元。</w:t>
      </w:r>
    </w:p>
    <w:p w14:paraId="01316354">
      <w:pPr>
        <w:pStyle w:val="2"/>
        <w:spacing w:before="7" w:line="332" w:lineRule="auto"/>
        <w:ind w:left="14" w:right="102" w:firstLine="629"/>
      </w:pPr>
      <w:r>
        <w:rPr>
          <w:spacing w:val="11"/>
        </w:rPr>
        <w:t>根据《中华人民共和国安全生产法》《生产安</w:t>
      </w:r>
      <w:r>
        <w:rPr>
          <w:spacing w:val="10"/>
        </w:rPr>
        <w:t>全事故报告</w:t>
      </w:r>
      <w:r>
        <w:t xml:space="preserve"> </w:t>
      </w:r>
      <w:r>
        <w:rPr>
          <w:spacing w:val="30"/>
        </w:rPr>
        <w:t>和调查处理条例》(国务院令第493号)有</w:t>
      </w:r>
      <w:r>
        <w:rPr>
          <w:spacing w:val="29"/>
        </w:rPr>
        <w:t>关规定，2025年4</w:t>
      </w:r>
      <w:r>
        <w:t xml:space="preserve"> </w:t>
      </w:r>
      <w:r>
        <w:rPr>
          <w:spacing w:val="10"/>
        </w:rPr>
        <w:t>月30日经浦城县人民政府批准，成立由县</w:t>
      </w:r>
      <w:r>
        <w:rPr>
          <w:spacing w:val="9"/>
        </w:rPr>
        <w:t>政府办牵头，县应急</w:t>
      </w:r>
      <w:r>
        <w:t xml:space="preserve"> </w:t>
      </w:r>
      <w:r>
        <w:rPr>
          <w:spacing w:val="11"/>
        </w:rPr>
        <w:t>局、县工信局、县公安局、县总工会等有关单</w:t>
      </w:r>
      <w:r>
        <w:rPr>
          <w:spacing w:val="10"/>
        </w:rPr>
        <w:t>位负责人员组成</w:t>
      </w:r>
      <w:r>
        <w:t xml:space="preserve"> </w:t>
      </w:r>
      <w:r>
        <w:rPr>
          <w:spacing w:val="23"/>
        </w:rPr>
        <w:t>并邀请县纪委派员参加的福建省顺昌新业电力工程有限公司</w:t>
      </w:r>
      <w:r>
        <w:rPr>
          <w:spacing w:val="3"/>
        </w:rPr>
        <w:t xml:space="preserve"> </w:t>
      </w:r>
      <w:r>
        <w:rPr>
          <w:spacing w:val="-3"/>
        </w:rPr>
        <w:t>“4</w:t>
      </w:r>
      <w:r>
        <w:rPr>
          <w:spacing w:val="-19"/>
        </w:rPr>
        <w:t xml:space="preserve"> </w:t>
      </w:r>
      <w:r>
        <w:rPr>
          <w:spacing w:val="-3"/>
        </w:rPr>
        <w:t>·29”一般电杆倾倒事故调查组(以下简称事故调查组)。</w:t>
      </w:r>
    </w:p>
    <w:p w14:paraId="7A035F53">
      <w:pPr>
        <w:pStyle w:val="2"/>
        <w:spacing w:before="2" w:line="328" w:lineRule="auto"/>
        <w:ind w:left="14" w:firstLine="629"/>
      </w:pPr>
      <w:r>
        <w:rPr>
          <w:spacing w:val="8"/>
        </w:rPr>
        <w:t>事故调查组按照“四不放过”和“科学严谨、依法依规、</w:t>
      </w:r>
      <w:r>
        <w:rPr>
          <w:spacing w:val="7"/>
        </w:rPr>
        <w:t xml:space="preserve">  </w:t>
      </w:r>
      <w:r>
        <w:rPr>
          <w:spacing w:val="11"/>
        </w:rPr>
        <w:t>实事求是、注重实效”的原则，通过现场勘验</w:t>
      </w:r>
      <w:r>
        <w:rPr>
          <w:spacing w:val="10"/>
        </w:rPr>
        <w:t>、调阅资料、笔</w:t>
      </w:r>
      <w:r>
        <w:t xml:space="preserve"> </w:t>
      </w:r>
      <w:r>
        <w:rPr>
          <w:spacing w:val="3"/>
        </w:rPr>
        <w:t>录问询等方式，查明了事故发生的经过、原因、人员伤亡情况，</w:t>
      </w:r>
      <w:r>
        <w:t xml:space="preserve"> </w:t>
      </w:r>
      <w:r>
        <w:rPr>
          <w:spacing w:val="10"/>
        </w:rPr>
        <w:t>认定了事故性质和责任，提出对有关责任人和责任单位的处理</w:t>
      </w:r>
      <w:r>
        <w:rPr>
          <w:spacing w:val="8"/>
        </w:rPr>
        <w:t xml:space="preserve"> </w:t>
      </w:r>
      <w:r>
        <w:rPr>
          <w:spacing w:val="4"/>
        </w:rPr>
        <w:t>建议以及事故防范和整改措施建议。</w:t>
      </w:r>
    </w:p>
    <w:p w14:paraId="087DA332">
      <w:pPr>
        <w:pStyle w:val="2"/>
        <w:spacing w:before="47" w:line="328" w:lineRule="auto"/>
        <w:ind w:left="14" w:right="93" w:firstLine="629"/>
        <w:jc w:val="both"/>
      </w:pPr>
      <w:r>
        <w:rPr>
          <w:rFonts w:ascii="SimHei" w:hAnsi="SimHei" w:eastAsia="SimHei" w:cs="SimHei"/>
          <w:spacing w:val="11"/>
        </w:rPr>
        <w:t>经调查认定</w:t>
      </w:r>
      <w:r>
        <w:rPr>
          <w:spacing w:val="11"/>
        </w:rPr>
        <w:t>，浦城九牧福建省顺昌新业电力工程有限公司</w:t>
      </w:r>
      <w:r>
        <w:rPr>
          <w:spacing w:val="6"/>
        </w:rPr>
        <w:t xml:space="preserve"> </w:t>
      </w:r>
      <w:r>
        <w:rPr>
          <w:spacing w:val="1"/>
        </w:rPr>
        <w:t>“4</w:t>
      </w:r>
      <w:r>
        <w:rPr>
          <w:spacing w:val="-31"/>
        </w:rPr>
        <w:t xml:space="preserve"> </w:t>
      </w:r>
      <w:r>
        <w:rPr>
          <w:spacing w:val="1"/>
        </w:rPr>
        <w:t>·29”一般物体打击事故是一起因施工单</w:t>
      </w:r>
      <w:r>
        <w:t xml:space="preserve">位未辨识出杆基基 </w:t>
      </w:r>
      <w:r>
        <w:rPr>
          <w:spacing w:val="16"/>
        </w:rPr>
        <w:t>础改变，电杆抗力不足倾倒，造成1人受物体打击死亡的生产</w:t>
      </w:r>
      <w:r>
        <w:rPr>
          <w:spacing w:val="14"/>
        </w:rPr>
        <w:t xml:space="preserve"> </w:t>
      </w:r>
      <w:r>
        <w:rPr>
          <w:spacing w:val="-1"/>
        </w:rPr>
        <w:t>安全责任事故。</w:t>
      </w:r>
    </w:p>
    <w:p w14:paraId="399CCA32">
      <w:pPr>
        <w:spacing w:line="328" w:lineRule="auto"/>
        <w:sectPr>
          <w:footerReference r:id="rId10" w:type="default"/>
          <w:pgSz w:w="11900" w:h="16830"/>
          <w:pgMar w:top="1430" w:right="1334" w:bottom="1806" w:left="1785" w:header="0" w:footer="1404" w:gutter="0"/>
          <w:cols w:space="720" w:num="1"/>
        </w:sectPr>
      </w:pPr>
    </w:p>
    <w:p w14:paraId="2FBCEB7A">
      <w:pPr>
        <w:spacing w:line="316" w:lineRule="auto"/>
        <w:rPr>
          <w:rFonts w:ascii="Arial"/>
          <w:sz w:val="21"/>
        </w:rPr>
      </w:pPr>
    </w:p>
    <w:p w14:paraId="5F35BD79">
      <w:pPr>
        <w:spacing w:line="317" w:lineRule="auto"/>
        <w:rPr>
          <w:rFonts w:ascii="Arial"/>
          <w:sz w:val="21"/>
        </w:rPr>
      </w:pPr>
    </w:p>
    <w:p w14:paraId="7ECF9389">
      <w:pPr>
        <w:spacing w:before="101" w:line="223" w:lineRule="auto"/>
        <w:ind w:left="664"/>
        <w:outlineLvl w:val="0"/>
        <w:rPr>
          <w:rFonts w:ascii="SimHei" w:hAnsi="SimHei" w:eastAsia="SimHei" w:cs="SimHei"/>
          <w:sz w:val="31"/>
          <w:szCs w:val="31"/>
        </w:rPr>
      </w:pPr>
      <w:bookmarkStart w:id="0" w:name="bookmark1"/>
      <w:bookmarkEnd w:id="0"/>
      <w:bookmarkStart w:id="1" w:name="bookmark24"/>
      <w:bookmarkEnd w:id="1"/>
      <w:r>
        <w:rPr>
          <w:rFonts w:ascii="SimHei" w:hAnsi="SimHei" w:eastAsia="SimHei" w:cs="SimHei"/>
          <w:b/>
          <w:bCs/>
          <w:spacing w:val="4"/>
          <w:sz w:val="31"/>
          <w:szCs w:val="31"/>
        </w:rPr>
        <w:t>一、事故基本情况</w:t>
      </w:r>
    </w:p>
    <w:p w14:paraId="595CFDB4">
      <w:pPr>
        <w:pStyle w:val="2"/>
        <w:spacing w:before="189" w:line="221" w:lineRule="auto"/>
        <w:ind w:left="794"/>
        <w:outlineLvl w:val="1"/>
      </w:pPr>
      <w:bookmarkStart w:id="2" w:name="bookmark2"/>
      <w:bookmarkEnd w:id="2"/>
      <w:r>
        <w:rPr>
          <w:b/>
          <w:bCs/>
          <w:spacing w:val="23"/>
        </w:rPr>
        <w:t>(一)事故单位基本情况</w:t>
      </w:r>
    </w:p>
    <w:p w14:paraId="3CDB36FC">
      <w:pPr>
        <w:pStyle w:val="2"/>
        <w:spacing w:before="174" w:line="328" w:lineRule="auto"/>
        <w:ind w:right="23" w:firstLine="679"/>
      </w:pPr>
      <w:r>
        <w:rPr>
          <w:spacing w:val="17"/>
        </w:rPr>
        <w:t>福建省顺昌新业电力工程有限公司(以下简称顺昌新业公</w:t>
      </w:r>
      <w:r>
        <w:t xml:space="preserve"> </w:t>
      </w:r>
      <w:r>
        <w:rPr>
          <w:spacing w:val="-25"/>
        </w:rPr>
        <w:t>司</w:t>
      </w:r>
      <w:r>
        <w:rPr>
          <w:spacing w:val="-40"/>
        </w:rPr>
        <w:t xml:space="preserve"> </w:t>
      </w:r>
      <w:r>
        <w:rPr>
          <w:spacing w:val="-25"/>
        </w:rPr>
        <w:t>) 成</w:t>
      </w:r>
      <w:r>
        <w:rPr>
          <w:spacing w:val="-26"/>
        </w:rPr>
        <w:t xml:space="preserve"> </w:t>
      </w:r>
      <w:r>
        <w:rPr>
          <w:spacing w:val="-25"/>
        </w:rPr>
        <w:t>立</w:t>
      </w:r>
      <w:r>
        <w:rPr>
          <w:spacing w:val="-27"/>
        </w:rPr>
        <w:t xml:space="preserve"> </w:t>
      </w:r>
      <w:r>
        <w:rPr>
          <w:spacing w:val="-25"/>
        </w:rPr>
        <w:t>于</w:t>
      </w:r>
      <w:r>
        <w:rPr>
          <w:spacing w:val="-40"/>
        </w:rPr>
        <w:t xml:space="preserve"> </w:t>
      </w:r>
      <w:r>
        <w:rPr>
          <w:spacing w:val="-25"/>
        </w:rPr>
        <w:t>2</w:t>
      </w:r>
      <w:r>
        <w:rPr>
          <w:spacing w:val="-40"/>
        </w:rPr>
        <w:t xml:space="preserve"> </w:t>
      </w:r>
      <w:r>
        <w:rPr>
          <w:spacing w:val="-25"/>
        </w:rPr>
        <w:t>0</w:t>
      </w:r>
      <w:r>
        <w:rPr>
          <w:spacing w:val="-41"/>
        </w:rPr>
        <w:t xml:space="preserve"> </w:t>
      </w:r>
      <w:r>
        <w:rPr>
          <w:spacing w:val="-25"/>
        </w:rPr>
        <w:t>0</w:t>
      </w:r>
      <w:r>
        <w:rPr>
          <w:spacing w:val="-39"/>
        </w:rPr>
        <w:t xml:space="preserve"> </w:t>
      </w:r>
      <w:r>
        <w:rPr>
          <w:spacing w:val="-25"/>
        </w:rPr>
        <w:t>2</w:t>
      </w:r>
      <w:r>
        <w:rPr>
          <w:spacing w:val="-27"/>
        </w:rPr>
        <w:t xml:space="preserve"> </w:t>
      </w:r>
      <w:r>
        <w:rPr>
          <w:spacing w:val="-25"/>
        </w:rPr>
        <w:t>年</w:t>
      </w:r>
      <w:r>
        <w:rPr>
          <w:spacing w:val="-44"/>
        </w:rPr>
        <w:t xml:space="preserve"> </w:t>
      </w:r>
      <w:r>
        <w:rPr>
          <w:spacing w:val="-25"/>
        </w:rPr>
        <w:t>4 月 1</w:t>
      </w:r>
      <w:r>
        <w:rPr>
          <w:spacing w:val="32"/>
        </w:rPr>
        <w:t xml:space="preserve"> </w:t>
      </w:r>
      <w:r>
        <w:rPr>
          <w:spacing w:val="-25"/>
        </w:rPr>
        <w:t>日 ，</w:t>
      </w:r>
      <w:r>
        <w:rPr>
          <w:spacing w:val="-28"/>
        </w:rPr>
        <w:t xml:space="preserve"> </w:t>
      </w:r>
      <w:r>
        <w:rPr>
          <w:spacing w:val="-25"/>
        </w:rPr>
        <w:t>统</w:t>
      </w:r>
      <w:r>
        <w:rPr>
          <w:spacing w:val="-28"/>
        </w:rPr>
        <w:t xml:space="preserve"> </w:t>
      </w:r>
      <w:r>
        <w:rPr>
          <w:spacing w:val="-25"/>
        </w:rPr>
        <w:t>一</w:t>
      </w:r>
      <w:r>
        <w:rPr>
          <w:spacing w:val="-34"/>
        </w:rPr>
        <w:t xml:space="preserve"> </w:t>
      </w:r>
      <w:r>
        <w:rPr>
          <w:spacing w:val="-25"/>
        </w:rPr>
        <w:t>社</w:t>
      </w:r>
      <w:r>
        <w:rPr>
          <w:spacing w:val="-23"/>
        </w:rPr>
        <w:t xml:space="preserve"> </w:t>
      </w:r>
      <w:r>
        <w:rPr>
          <w:spacing w:val="-25"/>
        </w:rPr>
        <w:t>会</w:t>
      </w:r>
      <w:r>
        <w:rPr>
          <w:spacing w:val="-33"/>
        </w:rPr>
        <w:t xml:space="preserve"> </w:t>
      </w:r>
      <w:r>
        <w:rPr>
          <w:spacing w:val="-25"/>
        </w:rPr>
        <w:t>信</w:t>
      </w:r>
      <w:r>
        <w:rPr>
          <w:spacing w:val="-34"/>
        </w:rPr>
        <w:t xml:space="preserve"> </w:t>
      </w:r>
      <w:r>
        <w:rPr>
          <w:spacing w:val="-25"/>
        </w:rPr>
        <w:t>用</w:t>
      </w:r>
      <w:r>
        <w:rPr>
          <w:spacing w:val="-27"/>
        </w:rPr>
        <w:t xml:space="preserve"> </w:t>
      </w:r>
      <w:r>
        <w:rPr>
          <w:spacing w:val="-25"/>
        </w:rPr>
        <w:t>代</w:t>
      </w:r>
      <w:r>
        <w:rPr>
          <w:spacing w:val="-34"/>
        </w:rPr>
        <w:t xml:space="preserve"> </w:t>
      </w:r>
      <w:r>
        <w:rPr>
          <w:spacing w:val="-25"/>
        </w:rPr>
        <w:t>码</w:t>
      </w:r>
      <w:r>
        <w:rPr>
          <w:spacing w:val="-23"/>
        </w:rPr>
        <w:t xml:space="preserve"> </w:t>
      </w:r>
      <w:r>
        <w:rPr>
          <w:spacing w:val="-25"/>
        </w:rPr>
        <w:t>为</w:t>
      </w:r>
      <w:r>
        <w:t xml:space="preserve"> </w:t>
      </w:r>
      <w:r>
        <w:rPr>
          <w:rFonts w:ascii="SimSun" w:hAnsi="SimSun" w:eastAsia="SimSun" w:cs="SimSun"/>
          <w:spacing w:val="13"/>
        </w:rPr>
        <w:t xml:space="preserve">91350721738038208A,  </w:t>
      </w:r>
      <w:r>
        <w:rPr>
          <w:spacing w:val="13"/>
        </w:rPr>
        <w:t>登记住所</w:t>
      </w:r>
      <w:r>
        <w:rPr>
          <w:spacing w:val="12"/>
        </w:rPr>
        <w:t>为福建省顺昌县城南中路20</w:t>
      </w:r>
      <w:r>
        <w:t xml:space="preserve"> </w:t>
      </w:r>
      <w:r>
        <w:rPr>
          <w:spacing w:val="11"/>
        </w:rPr>
        <w:t>号，法人代表吴逢春，注册资本2415万元人</w:t>
      </w:r>
      <w:r>
        <w:rPr>
          <w:spacing w:val="10"/>
        </w:rPr>
        <w:t>民币，资质类别及</w:t>
      </w:r>
      <w:r>
        <w:t xml:space="preserve"> </w:t>
      </w:r>
      <w:r>
        <w:rPr>
          <w:spacing w:val="8"/>
        </w:rPr>
        <w:t>等级：机电工程施工总承包三级、电力工程施工总承包三</w:t>
      </w:r>
      <w:r>
        <w:rPr>
          <w:spacing w:val="7"/>
        </w:rPr>
        <w:t>级、</w:t>
      </w:r>
      <w:r>
        <w:t xml:space="preserve"> </w:t>
      </w:r>
      <w:r>
        <w:rPr>
          <w:spacing w:val="-5"/>
        </w:rPr>
        <w:t>输变电工程专业承包三级，安全生产许可证编号：  ( 闽 )</w:t>
      </w:r>
      <w:r>
        <w:rPr>
          <w:rFonts w:ascii="SimSun" w:hAnsi="SimSun" w:eastAsia="SimSun" w:cs="SimSun"/>
          <w:spacing w:val="-5"/>
        </w:rPr>
        <w:t>JZ</w:t>
      </w:r>
      <w:r>
        <w:rPr>
          <w:rFonts w:ascii="SimSun" w:hAnsi="SimSun" w:eastAsia="SimSun" w:cs="SimSun"/>
          <w:spacing w:val="-31"/>
        </w:rPr>
        <w:t xml:space="preserve"> </w:t>
      </w:r>
      <w:r>
        <w:rPr>
          <w:spacing w:val="-5"/>
        </w:rPr>
        <w:t>安</w:t>
      </w:r>
      <w:r>
        <w:t xml:space="preserve"> </w:t>
      </w:r>
      <w:r>
        <w:rPr>
          <w:spacing w:val="23"/>
        </w:rPr>
        <w:t>许证字〔2005〕090001,安全生产许可证有效期至2025年11</w:t>
      </w:r>
      <w:r>
        <w:rPr>
          <w:spacing w:val="4"/>
        </w:rPr>
        <w:t xml:space="preserve"> </w:t>
      </w:r>
      <w:r>
        <w:rPr>
          <w:spacing w:val="26"/>
        </w:rPr>
        <w:t>月5日，福建省顺昌新业电力工程有限公司</w:t>
      </w:r>
      <w:r>
        <w:rPr>
          <w:spacing w:val="25"/>
        </w:rPr>
        <w:t>于2021年1月1日</w:t>
      </w:r>
      <w:r>
        <w:t xml:space="preserve"> </w:t>
      </w:r>
      <w:r>
        <w:rPr>
          <w:spacing w:val="11"/>
        </w:rPr>
        <w:t>成立浦城项目部，袁剑任项目部负责人。企业经营范围：建设</w:t>
      </w:r>
      <w:r>
        <w:rPr>
          <w:spacing w:val="13"/>
        </w:rPr>
        <w:t xml:space="preserve"> </w:t>
      </w:r>
      <w:r>
        <w:rPr>
          <w:spacing w:val="11"/>
        </w:rPr>
        <w:t>工程施工；建筑劳务分包；建设工程设计；建设</w:t>
      </w:r>
      <w:r>
        <w:rPr>
          <w:spacing w:val="10"/>
        </w:rPr>
        <w:t>工程监理；输</w:t>
      </w:r>
      <w:r>
        <w:t xml:space="preserve"> </w:t>
      </w:r>
      <w:r>
        <w:rPr>
          <w:spacing w:val="10"/>
        </w:rPr>
        <w:t>电、供电、受电电力设施的安装、维修和试验；发电业务、输</w:t>
      </w:r>
      <w:r>
        <w:rPr>
          <w:spacing w:val="1"/>
        </w:rPr>
        <w:t xml:space="preserve"> </w:t>
      </w:r>
      <w:r>
        <w:rPr>
          <w:spacing w:val="23"/>
        </w:rPr>
        <w:t>电业务、供(配)电业务；水力发电；小微型客车租赁经</w:t>
      </w:r>
      <w:r>
        <w:rPr>
          <w:spacing w:val="22"/>
        </w:rPr>
        <w:t>营服</w:t>
      </w:r>
      <w:r>
        <w:t xml:space="preserve"> </w:t>
      </w:r>
      <w:r>
        <w:rPr>
          <w:spacing w:val="17"/>
        </w:rPr>
        <w:t>务。(依法须经批准的项目，经相关部门批准后方可开展经营</w:t>
      </w:r>
      <w:r>
        <w:rPr>
          <w:spacing w:val="16"/>
        </w:rPr>
        <w:t xml:space="preserve"> </w:t>
      </w:r>
      <w:r>
        <w:rPr>
          <w:spacing w:val="17"/>
        </w:rPr>
        <w:t>活动，具体经营项目以相关部门批准文件或许可证件为准)一</w:t>
      </w:r>
      <w:r>
        <w:rPr>
          <w:spacing w:val="10"/>
        </w:rPr>
        <w:t xml:space="preserve"> </w:t>
      </w:r>
      <w:r>
        <w:rPr>
          <w:spacing w:val="11"/>
        </w:rPr>
        <w:t>般项目：电子元器件零售；配电开关控制设备销售；光伏发电</w:t>
      </w:r>
      <w:r>
        <w:rPr>
          <w:spacing w:val="15"/>
        </w:rPr>
        <w:t xml:space="preserve"> </w:t>
      </w:r>
      <w:r>
        <w:rPr>
          <w:spacing w:val="11"/>
        </w:rPr>
        <w:t>设备租赁；太阳能发电技术服务；太阳能热利用产品销售；充</w:t>
      </w:r>
      <w:r>
        <w:rPr>
          <w:spacing w:val="18"/>
        </w:rPr>
        <w:t xml:space="preserve"> </w:t>
      </w:r>
      <w:r>
        <w:rPr>
          <w:spacing w:val="11"/>
        </w:rPr>
        <w:t>电桩销售；集中式快速充电站；机动车充电销售；充电控制设</w:t>
      </w:r>
      <w:r>
        <w:rPr>
          <w:spacing w:val="13"/>
        </w:rPr>
        <w:t xml:space="preserve"> </w:t>
      </w:r>
      <w:r>
        <w:rPr>
          <w:spacing w:val="6"/>
        </w:rPr>
        <w:t>备租赁；电动汽车充电基础设施运营；电子、机械</w:t>
      </w:r>
      <w:r>
        <w:rPr>
          <w:spacing w:val="5"/>
        </w:rPr>
        <w:t>设备维护(不</w:t>
      </w:r>
      <w:r>
        <w:t xml:space="preserve"> </w:t>
      </w:r>
      <w:r>
        <w:rPr>
          <w:spacing w:val="26"/>
        </w:rPr>
        <w:t>含特种设备);对外承包工程。(除依法须经批准的项目外，</w:t>
      </w:r>
      <w:r>
        <w:rPr>
          <w:spacing w:val="16"/>
        </w:rPr>
        <w:t xml:space="preserve"> </w:t>
      </w:r>
      <w:r>
        <w:rPr>
          <w:spacing w:val="14"/>
        </w:rPr>
        <w:t>凭营业执照依法自主开展经营活动)。</w:t>
      </w:r>
    </w:p>
    <w:p w14:paraId="350B6F77">
      <w:pPr>
        <w:spacing w:line="328" w:lineRule="auto"/>
        <w:sectPr>
          <w:footerReference r:id="rId11" w:type="default"/>
          <w:pgSz w:w="11900" w:h="16830"/>
          <w:pgMar w:top="1430" w:right="1785" w:bottom="1796" w:left="1390" w:header="0" w:footer="1394" w:gutter="0"/>
          <w:cols w:space="720" w:num="1"/>
        </w:sectPr>
      </w:pPr>
    </w:p>
    <w:p w14:paraId="7BA9D58C">
      <w:pPr>
        <w:spacing w:line="284" w:lineRule="auto"/>
        <w:rPr>
          <w:rFonts w:ascii="Arial"/>
          <w:sz w:val="21"/>
        </w:rPr>
      </w:pPr>
    </w:p>
    <w:p w14:paraId="4842930F">
      <w:pPr>
        <w:spacing w:line="284" w:lineRule="auto"/>
        <w:rPr>
          <w:rFonts w:ascii="Arial"/>
          <w:sz w:val="21"/>
        </w:rPr>
      </w:pPr>
    </w:p>
    <w:p w14:paraId="04E4C6B1">
      <w:pPr>
        <w:pStyle w:val="2"/>
        <w:spacing w:before="101" w:line="221" w:lineRule="auto"/>
        <w:ind w:left="814"/>
        <w:outlineLvl w:val="1"/>
      </w:pPr>
      <w:bookmarkStart w:id="3" w:name="bookmark3"/>
      <w:bookmarkEnd w:id="3"/>
      <w:bookmarkStart w:id="4" w:name="bookmark25"/>
      <w:bookmarkEnd w:id="4"/>
      <w:r>
        <w:rPr>
          <w:b/>
          <w:bCs/>
          <w:spacing w:val="22"/>
        </w:rPr>
        <w:t>(二)建设单位基本情况</w:t>
      </w:r>
    </w:p>
    <w:p w14:paraId="59173EBC">
      <w:pPr>
        <w:pStyle w:val="2"/>
        <w:spacing w:before="229" w:line="327" w:lineRule="auto"/>
        <w:ind w:firstLine="679"/>
      </w:pPr>
      <w:r>
        <w:rPr>
          <w:spacing w:val="27"/>
        </w:rPr>
        <w:t>福建省南平闽延电力建设有限公司成立于2004年9月14</w:t>
      </w:r>
      <w:r>
        <w:rPr>
          <w:spacing w:val="6"/>
        </w:rPr>
        <w:t xml:space="preserve"> </w:t>
      </w:r>
      <w:r>
        <w:rPr>
          <w:spacing w:val="5"/>
        </w:rPr>
        <w:t>日，统一社会信用代码为91350700156980076</w:t>
      </w:r>
      <w:r>
        <w:rPr>
          <w:rFonts w:ascii="SimSun" w:hAnsi="SimSun" w:eastAsia="SimSun" w:cs="SimSun"/>
          <w:spacing w:val="5"/>
        </w:rPr>
        <w:t>A,</w:t>
      </w:r>
      <w:r>
        <w:rPr>
          <w:rFonts w:ascii="SimSun" w:hAnsi="SimSun" w:eastAsia="SimSun" w:cs="SimSun"/>
          <w:spacing w:val="65"/>
        </w:rPr>
        <w:t xml:space="preserve"> </w:t>
      </w:r>
      <w:r>
        <w:rPr>
          <w:spacing w:val="5"/>
        </w:rPr>
        <w:t>登记住所为南</w:t>
      </w:r>
      <w:r>
        <w:t xml:space="preserve">  </w:t>
      </w:r>
      <w:r>
        <w:rPr>
          <w:spacing w:val="20"/>
        </w:rPr>
        <w:t>平市环城南路76号，法人代表黄吉，注册资本9350万元人民</w:t>
      </w:r>
      <w:r>
        <w:rPr>
          <w:spacing w:val="9"/>
        </w:rPr>
        <w:t xml:space="preserve"> 币，企业经营范围：电力工程施工总承包二级；建筑工程施工</w:t>
      </w:r>
      <w:r>
        <w:rPr>
          <w:spacing w:val="3"/>
        </w:rPr>
        <w:t xml:space="preserve">  </w:t>
      </w:r>
      <w:r>
        <w:rPr>
          <w:spacing w:val="10"/>
        </w:rPr>
        <w:t>总承包三级；输变电工程专业承包二级；建筑装修装饰工程专</w:t>
      </w:r>
      <w:r>
        <w:rPr>
          <w:spacing w:val="3"/>
        </w:rPr>
        <w:t xml:space="preserve"> </w:t>
      </w:r>
      <w:r>
        <w:rPr>
          <w:spacing w:val="10"/>
        </w:rPr>
        <w:t>业承包二级；施工劳务不分等级；二级承装类、承修类、承试</w:t>
      </w:r>
      <w:r>
        <w:t xml:space="preserve"> </w:t>
      </w:r>
      <w:r>
        <w:rPr>
          <w:spacing w:val="2"/>
        </w:rPr>
        <w:t>类电力设施及配套工程施工；变电站基础设施建设施工、</w:t>
      </w:r>
      <w:r>
        <w:rPr>
          <w:spacing w:val="1"/>
        </w:rPr>
        <w:t>维护；</w:t>
      </w:r>
      <w:r>
        <w:t xml:space="preserve"> </w:t>
      </w:r>
      <w:r>
        <w:rPr>
          <w:spacing w:val="4"/>
        </w:rPr>
        <w:t>高压、低压电气成套设备及电器元件生产制造；高压/低压预装</w:t>
      </w:r>
      <w:r>
        <w:rPr>
          <w:spacing w:val="7"/>
        </w:rPr>
        <w:t xml:space="preserve"> </w:t>
      </w:r>
      <w:r>
        <w:rPr>
          <w:spacing w:val="13"/>
        </w:rPr>
        <w:t>式变电站、10</w:t>
      </w:r>
      <w:r>
        <w:rPr>
          <w:rFonts w:ascii="Times New Roman" w:hAnsi="Times New Roman" w:eastAsia="Times New Roman" w:cs="Times New Roman"/>
        </w:rPr>
        <w:t>kV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13"/>
        </w:rPr>
        <w:t>油浸式电力变压器、干式电力变压器、10</w:t>
      </w:r>
      <w:r>
        <w:rPr>
          <w:rFonts w:ascii="Times New Roman" w:hAnsi="Times New Roman" w:eastAsia="Times New Roman" w:cs="Times New Roman"/>
        </w:rPr>
        <w:t xml:space="preserve">kV   </w:t>
      </w:r>
      <w:r>
        <w:rPr>
          <w:spacing w:val="5"/>
        </w:rPr>
        <w:t>一二次融合成套柱上断路器、 一二次融合成套环</w:t>
      </w:r>
      <w:r>
        <w:rPr>
          <w:spacing w:val="4"/>
        </w:rPr>
        <w:t>网箱、配电综</w:t>
      </w:r>
      <w:r>
        <w:t xml:space="preserve"> </w:t>
      </w:r>
      <w:r>
        <w:rPr>
          <w:spacing w:val="10"/>
        </w:rPr>
        <w:t>合智能辅助监控系统装置、柱上开关控制器、配电箱、计量箱</w:t>
      </w:r>
      <w:r>
        <w:rPr>
          <w:spacing w:val="4"/>
        </w:rPr>
        <w:t xml:space="preserve"> </w:t>
      </w:r>
      <w:r>
        <w:rPr>
          <w:spacing w:val="10"/>
        </w:rPr>
        <w:t>生产、安装、销售和维修维护服务；通信线路设计、安装、维</w:t>
      </w:r>
      <w:r>
        <w:rPr>
          <w:spacing w:val="1"/>
        </w:rPr>
        <w:t xml:space="preserve"> </w:t>
      </w:r>
      <w:r>
        <w:rPr>
          <w:spacing w:val="8"/>
        </w:rPr>
        <w:t>护；网络设备安装、维护；集成系统安装、维护；电器设备、</w:t>
      </w:r>
      <w:r>
        <w:rPr>
          <w:spacing w:val="4"/>
        </w:rPr>
        <w:t xml:space="preserve">  </w:t>
      </w:r>
      <w:r>
        <w:rPr>
          <w:spacing w:val="11"/>
        </w:rPr>
        <w:t>水电、空调的安装、维修；房屋、电器的维修；</w:t>
      </w:r>
      <w:r>
        <w:rPr>
          <w:spacing w:val="10"/>
        </w:rPr>
        <w:t>电线电缆、电</w:t>
      </w:r>
      <w:r>
        <w:t xml:space="preserve"> </w:t>
      </w:r>
      <w:r>
        <w:rPr>
          <w:spacing w:val="11"/>
        </w:rPr>
        <w:t>力物资质量检测、无损检测及电力安全工器具检</w:t>
      </w:r>
      <w:r>
        <w:rPr>
          <w:spacing w:val="10"/>
        </w:rPr>
        <w:t>测；供电新技</w:t>
      </w:r>
      <w:r>
        <w:t xml:space="preserve"> </w:t>
      </w:r>
      <w:r>
        <w:rPr>
          <w:spacing w:val="8"/>
        </w:rPr>
        <w:t>术开发、推广；软件系统开发、应用；信息技术开发及应用；</w:t>
      </w:r>
      <w:r>
        <w:rPr>
          <w:spacing w:val="4"/>
        </w:rPr>
        <w:t xml:space="preserve">  </w:t>
      </w:r>
      <w:r>
        <w:rPr>
          <w:spacing w:val="8"/>
        </w:rPr>
        <w:t>电力电器产品开发与推广；电力电器机械及器材、通信设备、</w:t>
      </w:r>
      <w:r>
        <w:rPr>
          <w:spacing w:val="3"/>
        </w:rPr>
        <w:t xml:space="preserve">  </w:t>
      </w:r>
      <w:r>
        <w:rPr>
          <w:spacing w:val="14"/>
        </w:rPr>
        <w:t>化工产品(不含化学危险品)、金属结构件、水泥预制品加工、</w:t>
      </w:r>
      <w:r>
        <w:rPr>
          <w:spacing w:val="11"/>
        </w:rPr>
        <w:t xml:space="preserve"> </w:t>
      </w:r>
      <w:r>
        <w:rPr>
          <w:spacing w:val="3"/>
        </w:rPr>
        <w:t>销售；220</w:t>
      </w:r>
      <w:r>
        <w:rPr>
          <w:rFonts w:ascii="Times New Roman" w:hAnsi="Times New Roman" w:eastAsia="Times New Roman" w:cs="Times New Roman"/>
        </w:rPr>
        <w:t>kV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spacing w:val="3"/>
        </w:rPr>
        <w:t>及以下输电线路铁塔、通讯铁塔、热镀锌、铁件、</w:t>
      </w:r>
      <w:r>
        <w:rPr>
          <w:spacing w:val="15"/>
        </w:rPr>
        <w:t xml:space="preserve"> </w:t>
      </w:r>
      <w:r>
        <w:rPr>
          <w:spacing w:val="11"/>
        </w:rPr>
        <w:t>金具生产制造加工、销售；220</w:t>
      </w:r>
      <w:r>
        <w:rPr>
          <w:rFonts w:ascii="SimSun" w:hAnsi="SimSun" w:eastAsia="SimSun" w:cs="SimSun"/>
        </w:rPr>
        <w:t>kV</w:t>
      </w:r>
      <w:r>
        <w:rPr>
          <w:rFonts w:ascii="SimSun" w:hAnsi="SimSun" w:eastAsia="SimSun" w:cs="SimSun"/>
          <w:spacing w:val="11"/>
        </w:rPr>
        <w:t xml:space="preserve"> </w:t>
      </w:r>
      <w:r>
        <w:rPr>
          <w:spacing w:val="11"/>
        </w:rPr>
        <w:t>及以下输变配电材料、水泥</w:t>
      </w:r>
      <w:r>
        <w:rPr>
          <w:spacing w:val="2"/>
        </w:rPr>
        <w:t xml:space="preserve"> </w:t>
      </w:r>
      <w:r>
        <w:rPr>
          <w:spacing w:val="11"/>
        </w:rPr>
        <w:t>制品销售和维修维护服务；电力物质批发、零售</w:t>
      </w:r>
      <w:r>
        <w:rPr>
          <w:spacing w:val="10"/>
        </w:rPr>
        <w:t>；文化用品零</w:t>
      </w:r>
      <w:r>
        <w:t xml:space="preserve"> </w:t>
      </w:r>
      <w:r>
        <w:rPr>
          <w:spacing w:val="3"/>
        </w:rPr>
        <w:t>售；中餐类制售；广告制作；物业管理；房产租赁；汽车租赁；</w:t>
      </w:r>
    </w:p>
    <w:p w14:paraId="1D0516B8">
      <w:pPr>
        <w:spacing w:line="327" w:lineRule="auto"/>
        <w:sectPr>
          <w:footerReference r:id="rId12" w:type="default"/>
          <w:pgSz w:w="11900" w:h="16830"/>
          <w:pgMar w:top="1430" w:right="1375" w:bottom="1806" w:left="1750" w:header="0" w:footer="1404" w:gutter="0"/>
          <w:cols w:space="720" w:num="1"/>
        </w:sectPr>
      </w:pPr>
    </w:p>
    <w:p w14:paraId="2F6A13FF">
      <w:pPr>
        <w:spacing w:line="334" w:lineRule="auto"/>
        <w:rPr>
          <w:rFonts w:ascii="Arial"/>
          <w:sz w:val="21"/>
        </w:rPr>
      </w:pPr>
    </w:p>
    <w:p w14:paraId="228E1238">
      <w:pPr>
        <w:spacing w:line="335" w:lineRule="auto"/>
        <w:rPr>
          <w:rFonts w:ascii="Arial"/>
          <w:sz w:val="21"/>
        </w:rPr>
      </w:pPr>
    </w:p>
    <w:p w14:paraId="28F1DF16">
      <w:pPr>
        <w:pStyle w:val="2"/>
        <w:tabs>
          <w:tab w:val="left" w:pos="168"/>
        </w:tabs>
        <w:spacing w:before="101" w:line="330" w:lineRule="auto"/>
      </w:pPr>
      <w:bookmarkStart w:id="5" w:name="bookmark26"/>
      <w:bookmarkEnd w:id="5"/>
      <w:r>
        <w:rPr>
          <w:spacing w:val="9"/>
        </w:rPr>
        <w:t>货物搬运；普通货物运输；货物起重；食堂经营、管理；电网</w:t>
      </w:r>
      <w:r>
        <w:t xml:space="preserve">   </w:t>
      </w:r>
      <w:r>
        <w:rPr>
          <w:spacing w:val="16"/>
        </w:rPr>
        <w:t>设备、电网材料检测技术服务；仓储运营服务(不</w:t>
      </w:r>
      <w:r>
        <w:rPr>
          <w:spacing w:val="15"/>
        </w:rPr>
        <w:t>含化学危险</w:t>
      </w:r>
      <w:r>
        <w:t xml:space="preserve">   </w:t>
      </w:r>
      <w:r>
        <w:rPr>
          <w:spacing w:val="19"/>
        </w:rPr>
        <w:t>品);物流服务；电力技术培训；电力技术咨询服务；电力信</w:t>
      </w:r>
      <w:r>
        <w:rPr>
          <w:spacing w:val="5"/>
        </w:rPr>
        <w:t xml:space="preserve">   </w:t>
      </w:r>
      <w:r>
        <w:rPr>
          <w:spacing w:val="1"/>
        </w:rPr>
        <w:t>息咨询服务；汽车代驾服务；住宿服务；会务服务；文印服务。</w:t>
      </w:r>
      <w:r>
        <w:rPr>
          <w:spacing w:val="8"/>
        </w:rPr>
        <w:t xml:space="preserve">  </w:t>
      </w:r>
      <w:r>
        <w:tab/>
      </w:r>
      <w:r>
        <w:rPr>
          <w:spacing w:val="3"/>
        </w:rPr>
        <w:t>(依法须经批准的项目，经相关部门批准后方可开展经营活动)。</w:t>
      </w:r>
    </w:p>
    <w:p w14:paraId="691F63C7">
      <w:pPr>
        <w:pStyle w:val="2"/>
        <w:spacing w:line="222" w:lineRule="auto"/>
        <w:ind w:left="834"/>
        <w:outlineLvl w:val="1"/>
      </w:pPr>
      <w:bookmarkStart w:id="6" w:name="bookmark4"/>
      <w:bookmarkEnd w:id="6"/>
      <w:r>
        <w:rPr>
          <w:b/>
          <w:bCs/>
          <w:spacing w:val="21"/>
        </w:rPr>
        <w:t>(三)事故项目基本情况</w:t>
      </w:r>
    </w:p>
    <w:p w14:paraId="6FA235A6">
      <w:pPr>
        <w:pStyle w:val="2"/>
        <w:spacing w:before="215" w:line="324" w:lineRule="auto"/>
        <w:ind w:right="169" w:firstLine="69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5"/>
        </w:rPr>
        <w:t>10</w:t>
      </w:r>
      <w:r>
        <w:rPr>
          <w:rFonts w:ascii="Times New Roman" w:hAnsi="Times New Roman" w:eastAsia="Times New Roman" w:cs="Times New Roman"/>
        </w:rPr>
        <w:t>kv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>
          <w:spacing w:val="5"/>
        </w:rPr>
        <w:t>黄毕线黎处支线改造工程由福建省南平闽延电力建设</w:t>
      </w:r>
      <w:r>
        <w:t xml:space="preserve"> </w:t>
      </w:r>
      <w:r>
        <w:rPr>
          <w:spacing w:val="10"/>
        </w:rPr>
        <w:t>有限公司委托福建省亿力建设工程有限公司南平招</w:t>
      </w:r>
      <w:r>
        <w:rPr>
          <w:spacing w:val="9"/>
        </w:rPr>
        <w:t>标代理项目</w:t>
      </w:r>
      <w:r>
        <w:t xml:space="preserve">  </w:t>
      </w:r>
      <w:r>
        <w:rPr>
          <w:spacing w:val="11"/>
        </w:rPr>
        <w:t>部通过招投标程序确定福建省顺昌新业电力工程有限公司为中</w:t>
      </w:r>
      <w:r>
        <w:rPr>
          <w:spacing w:val="1"/>
        </w:rPr>
        <w:t xml:space="preserve"> </w:t>
      </w:r>
      <w:r>
        <w:rPr>
          <w:spacing w:val="19"/>
        </w:rPr>
        <w:t>标人，双方于2023年3月31日签订项</w:t>
      </w:r>
      <w:r>
        <w:rPr>
          <w:spacing w:val="18"/>
        </w:rPr>
        <w:t>目合同及安全管理协议，</w:t>
      </w:r>
      <w:r>
        <w:t xml:space="preserve"> </w:t>
      </w:r>
      <w:r>
        <w:rPr>
          <w:spacing w:val="-2"/>
        </w:rPr>
        <w:t>主要建设内容：1.架空绝缘导线，</w:t>
      </w:r>
      <w:r>
        <w:rPr>
          <w:rFonts w:ascii="Times New Roman" w:hAnsi="Times New Roman" w:eastAsia="Times New Roman" w:cs="Times New Roman"/>
          <w:spacing w:val="-2"/>
        </w:rPr>
        <w:t>AC10kv,JKLYJ,150:3×3139</w:t>
      </w:r>
    </w:p>
    <w:p w14:paraId="1E46C8E2">
      <w:pPr>
        <w:pStyle w:val="2"/>
        <w:spacing w:before="32" w:line="328" w:lineRule="auto"/>
        <w:ind w:right="170"/>
      </w:pPr>
      <w:r>
        <w:rPr>
          <w:spacing w:val="4"/>
        </w:rPr>
        <w:t>米；钢芯铝绞线</w:t>
      </w:r>
      <w:r>
        <w:rPr>
          <w:rFonts w:ascii="Times New Roman" w:hAnsi="Times New Roman" w:eastAsia="Times New Roman" w:cs="Times New Roman"/>
        </w:rPr>
        <w:t>JL</w:t>
      </w:r>
      <w:r>
        <w:rPr>
          <w:rFonts w:ascii="Times New Roman" w:hAnsi="Times New Roman" w:eastAsia="Times New Roman" w:cs="Times New Roman"/>
          <w:spacing w:val="4"/>
        </w:rPr>
        <w:t xml:space="preserve">/G1A-150/20:3*470     </w:t>
      </w:r>
      <w:r>
        <w:rPr>
          <w:spacing w:val="4"/>
        </w:rPr>
        <w:t>米；2.锥形水泥杆，非</w:t>
      </w:r>
      <w:r>
        <w:rPr>
          <w:spacing w:val="8"/>
        </w:rPr>
        <w:t xml:space="preserve"> </w:t>
      </w:r>
      <w:r>
        <w:rPr>
          <w:spacing w:val="4"/>
        </w:rPr>
        <w:t>预应力，法兰杆，15</w:t>
      </w:r>
      <w:r>
        <w:rPr>
          <w:rFonts w:ascii="Times New Roman" w:hAnsi="Times New Roman" w:eastAsia="Times New Roman" w:cs="Times New Roman"/>
          <w:spacing w:val="4"/>
        </w:rPr>
        <w:t>m,190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4"/>
        </w:rPr>
        <w:t xml:space="preserve">,M:48 </w:t>
      </w:r>
      <w:r>
        <w:rPr>
          <w:rFonts w:ascii="Times New Roman" w:hAnsi="Times New Roman" w:eastAsia="Times New Roman" w:cs="Times New Roman"/>
          <w:spacing w:val="3"/>
        </w:rPr>
        <w:t xml:space="preserve">   </w:t>
      </w:r>
      <w:r>
        <w:rPr>
          <w:spacing w:val="3"/>
        </w:rPr>
        <w:t>根；锥形水泥杆，非预应</w:t>
      </w:r>
      <w:r>
        <w:t xml:space="preserve"> </w:t>
      </w:r>
      <w:r>
        <w:rPr>
          <w:spacing w:val="6"/>
        </w:rPr>
        <w:t>力，法兰杆，15</w:t>
      </w:r>
      <w:r>
        <w:rPr>
          <w:rFonts w:ascii="Times New Roman" w:hAnsi="Times New Roman" w:eastAsia="Times New Roman" w:cs="Times New Roman"/>
          <w:spacing w:val="6"/>
        </w:rPr>
        <w:t>m,230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6"/>
        </w:rPr>
        <w:t xml:space="preserve">,M:10           </w:t>
      </w:r>
      <w:r>
        <w:rPr>
          <w:spacing w:val="6"/>
        </w:rPr>
        <w:t>根；3.普通拉线</w:t>
      </w:r>
      <w:r>
        <w:rPr>
          <w:spacing w:val="-83"/>
        </w:rPr>
        <w:t xml:space="preserve"> </w:t>
      </w:r>
      <w:r>
        <w:rPr>
          <w:rFonts w:ascii="Times New Roman" w:hAnsi="Times New Roman" w:eastAsia="Times New Roman" w:cs="Times New Roman"/>
        </w:rPr>
        <w:t>LX</w:t>
      </w:r>
      <w:r>
        <w:rPr>
          <w:rFonts w:ascii="Times New Roman" w:hAnsi="Times New Roman" w:eastAsia="Times New Roman" w:cs="Times New Roman"/>
          <w:spacing w:val="6"/>
        </w:rPr>
        <w:t>-8:47</w:t>
      </w:r>
      <w:r>
        <w:rPr>
          <w:rFonts w:ascii="Times New Roman" w:hAnsi="Times New Roman" w:eastAsia="Times New Roman" w:cs="Times New Roman"/>
        </w:rPr>
        <w:t xml:space="preserve">   </w:t>
      </w:r>
      <w:r>
        <w:rPr>
          <w:spacing w:val="-1"/>
        </w:rPr>
        <w:t>组；4.接地装置</w:t>
      </w:r>
      <w:r>
        <w:rPr>
          <w:rFonts w:ascii="Times New Roman" w:hAnsi="Times New Roman" w:eastAsia="Times New Roman" w:cs="Times New Roman"/>
          <w:spacing w:val="-1"/>
        </w:rPr>
        <w:t xml:space="preserve">JD-12:9    </w:t>
      </w:r>
      <w:r>
        <w:rPr>
          <w:spacing w:val="-2"/>
        </w:rPr>
        <w:t>套</w:t>
      </w:r>
      <w:r>
        <w:rPr>
          <w:spacing w:val="-70"/>
        </w:rPr>
        <w:t xml:space="preserve"> </w:t>
      </w:r>
      <w:r>
        <w:rPr>
          <w:spacing w:val="-2"/>
        </w:rPr>
        <w:t>、</w:t>
      </w:r>
      <w:r>
        <w:rPr>
          <w:rFonts w:ascii="Times New Roman" w:hAnsi="Times New Roman" w:eastAsia="Times New Roman" w:cs="Times New Roman"/>
          <w:spacing w:val="-2"/>
        </w:rPr>
        <w:t xml:space="preserve">JD3-30:3  </w:t>
      </w:r>
      <w:r>
        <w:rPr>
          <w:spacing w:val="-2"/>
        </w:rPr>
        <w:t>套；5.新建隔离开关共4</w:t>
      </w:r>
      <w:r>
        <w:t xml:space="preserve"> </w:t>
      </w:r>
      <w:r>
        <w:rPr>
          <w:spacing w:val="28"/>
        </w:rPr>
        <w:t>组，接地挂环共7组，柱上避雷器共40组(空气间隙式)</w:t>
      </w:r>
      <w:r>
        <w:rPr>
          <w:spacing w:val="27"/>
        </w:rPr>
        <w:t>。换</w:t>
      </w:r>
      <w:r>
        <w:t xml:space="preserve"> </w:t>
      </w:r>
      <w:r>
        <w:rPr>
          <w:spacing w:val="39"/>
        </w:rPr>
        <w:t>装三遥开关2组(利旧),新建三遥开关1</w:t>
      </w:r>
      <w:r>
        <w:rPr>
          <w:spacing w:val="38"/>
        </w:rPr>
        <w:t>组。项目合同金额</w:t>
      </w:r>
      <w:r>
        <w:t xml:space="preserve"> </w:t>
      </w:r>
      <w:r>
        <w:rPr>
          <w:spacing w:val="3"/>
        </w:rPr>
        <w:t>人民币174743.00元，其中，不含</w:t>
      </w:r>
      <w:r>
        <w:rPr>
          <w:spacing w:val="2"/>
        </w:rPr>
        <w:t>税价金额人民币160314.68元，</w:t>
      </w:r>
      <w:r>
        <w:t xml:space="preserve"> </w:t>
      </w:r>
      <w:r>
        <w:rPr>
          <w:spacing w:val="7"/>
        </w:rPr>
        <w:t>增值税金额人民币14428.32元。</w:t>
      </w:r>
    </w:p>
    <w:p w14:paraId="06C40A2E">
      <w:pPr>
        <w:pStyle w:val="2"/>
        <w:spacing w:before="73" w:line="222" w:lineRule="auto"/>
        <w:ind w:left="804"/>
        <w:outlineLvl w:val="1"/>
      </w:pPr>
      <w:bookmarkStart w:id="7" w:name="bookmark5"/>
      <w:bookmarkEnd w:id="7"/>
      <w:r>
        <w:rPr>
          <w:b/>
          <w:bCs/>
          <w:spacing w:val="18"/>
        </w:rPr>
        <w:t>(四)事故项目安全管理情况</w:t>
      </w:r>
    </w:p>
    <w:p w14:paraId="1CB9D4D8">
      <w:pPr>
        <w:pStyle w:val="2"/>
        <w:spacing w:before="208" w:line="327" w:lineRule="auto"/>
        <w:ind w:right="110" w:firstLine="639"/>
      </w:pPr>
      <w:r>
        <w:rPr>
          <w:spacing w:val="10"/>
        </w:rPr>
        <w:t>福建省顺昌新业电力工程有限公司浦城项目部编制了《南</w:t>
      </w:r>
      <w:r>
        <w:rPr>
          <w:spacing w:val="7"/>
        </w:rPr>
        <w:t xml:space="preserve">  </w:t>
      </w:r>
      <w:r>
        <w:rPr>
          <w:spacing w:val="6"/>
        </w:rPr>
        <w:t>平浦城110</w:t>
      </w:r>
      <w:r>
        <w:rPr>
          <w:rFonts w:ascii="Times New Roman" w:hAnsi="Times New Roman" w:eastAsia="Times New Roman" w:cs="Times New Roman"/>
        </w:rPr>
        <w:t>kV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spacing w:val="6"/>
        </w:rPr>
        <w:t>梦笔变10</w:t>
      </w:r>
      <w:r>
        <w:rPr>
          <w:rFonts w:ascii="Times New Roman" w:hAnsi="Times New Roman" w:eastAsia="Times New Roman" w:cs="Times New Roman"/>
        </w:rPr>
        <w:t>kV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spacing w:val="6"/>
        </w:rPr>
        <w:t>黄毕线黎处支线</w:t>
      </w:r>
      <w:r>
        <w:rPr>
          <w:spacing w:val="5"/>
        </w:rPr>
        <w:t>改造工程施工方案》,</w:t>
      </w:r>
      <w:r>
        <w:t xml:space="preserve"> </w:t>
      </w:r>
      <w:r>
        <w:rPr>
          <w:spacing w:val="15"/>
        </w:rPr>
        <w:t>并由项目部主要负责人审核签批。该项目自2023年7月份开始</w:t>
      </w:r>
    </w:p>
    <w:p w14:paraId="2FF5B174">
      <w:pPr>
        <w:spacing w:line="327" w:lineRule="auto"/>
        <w:sectPr>
          <w:footerReference r:id="rId13" w:type="default"/>
          <w:pgSz w:w="11900" w:h="16830"/>
          <w:pgMar w:top="1430" w:right="1565" w:bottom="1736" w:left="1390" w:header="0" w:footer="1334" w:gutter="0"/>
          <w:cols w:space="720" w:num="1"/>
        </w:sectPr>
      </w:pPr>
    </w:p>
    <w:p w14:paraId="296047A4">
      <w:pPr>
        <w:spacing w:line="304" w:lineRule="auto"/>
        <w:rPr>
          <w:rFonts w:ascii="Arial"/>
          <w:sz w:val="21"/>
        </w:rPr>
      </w:pPr>
    </w:p>
    <w:p w14:paraId="78BFBAC6">
      <w:pPr>
        <w:spacing w:line="304" w:lineRule="auto"/>
        <w:rPr>
          <w:rFonts w:ascii="Arial"/>
          <w:sz w:val="21"/>
        </w:rPr>
      </w:pPr>
    </w:p>
    <w:p w14:paraId="6A36AF84">
      <w:pPr>
        <w:pStyle w:val="2"/>
        <w:tabs>
          <w:tab w:val="left" w:pos="158"/>
        </w:tabs>
        <w:spacing w:before="101" w:line="332" w:lineRule="auto"/>
      </w:pPr>
      <w:bookmarkStart w:id="8" w:name="bookmark27"/>
      <w:bookmarkEnd w:id="8"/>
      <w:r>
        <w:rPr>
          <w:spacing w:val="9"/>
        </w:rPr>
        <w:t>施工，至2023年年底完成所有电杆的设立并验收合格，后因侵</w:t>
      </w:r>
      <w:r>
        <w:rPr>
          <w:spacing w:val="16"/>
        </w:rPr>
        <w:t xml:space="preserve"> </w:t>
      </w:r>
      <w:r>
        <w:rPr>
          <w:spacing w:val="12"/>
        </w:rPr>
        <w:t>占补偿问题停止施工。2025年4月恢复施工，开始架线作业。</w:t>
      </w:r>
      <w:r>
        <w:t xml:space="preserve"> </w:t>
      </w:r>
      <w:r>
        <w:rPr>
          <w:spacing w:val="10"/>
        </w:rPr>
        <w:t>经调查新业公司浦城项目在恢复作业前未对该施工项目重新开</w:t>
      </w:r>
      <w:r>
        <w:rPr>
          <w:spacing w:val="11"/>
        </w:rPr>
        <w:t xml:space="preserve"> </w:t>
      </w:r>
      <w:r>
        <w:rPr>
          <w:spacing w:val="5"/>
        </w:rPr>
        <w:t>展事故隐患排查工作。经现场查勘倾倒的#21杆设置在通往黎处</w:t>
      </w:r>
      <w:r>
        <w:rPr>
          <w:spacing w:val="10"/>
        </w:rPr>
        <w:t xml:space="preserve"> </w:t>
      </w:r>
      <w:r>
        <w:rPr>
          <w:spacing w:val="4"/>
        </w:rPr>
        <w:t>村道路左侧4</w:t>
      </w:r>
      <w:r>
        <w:rPr>
          <w:rFonts w:ascii="SimSun" w:hAnsi="SimSun" w:eastAsia="SimSun" w:cs="SimSun"/>
          <w:spacing w:val="4"/>
        </w:rPr>
        <w:t xml:space="preserve">m </w:t>
      </w:r>
      <w:r>
        <w:rPr>
          <w:spacing w:val="4"/>
        </w:rPr>
        <w:t>左右的水田中，朝东北侧倒向通村道路方向，压</w:t>
      </w:r>
      <w:r>
        <w:rPr>
          <w:spacing w:val="3"/>
        </w:rPr>
        <w:t xml:space="preserve"> </w:t>
      </w:r>
      <w:r>
        <w:rPr>
          <w:spacing w:val="22"/>
        </w:rPr>
        <w:t>倒沿道路设立的旧电线杆后新旧电杆末端交叉倒向通村道路</w:t>
      </w:r>
      <w:r>
        <w:rPr>
          <w:spacing w:val="18"/>
        </w:rPr>
        <w:t xml:space="preserve"> </w:t>
      </w:r>
      <w:r>
        <w:tab/>
      </w:r>
      <w:r>
        <w:rPr>
          <w:spacing w:val="34"/>
        </w:rPr>
        <w:t>(详见图1)。</w:t>
      </w:r>
    </w:p>
    <w:p w14:paraId="33496924">
      <w:pPr>
        <w:spacing w:before="1" w:line="220" w:lineRule="auto"/>
        <w:ind w:left="654"/>
        <w:outlineLvl w:val="0"/>
        <w:rPr>
          <w:rFonts w:ascii="SimHei" w:hAnsi="SimHei" w:eastAsia="SimHei" w:cs="SimHei"/>
          <w:sz w:val="31"/>
          <w:szCs w:val="31"/>
        </w:rPr>
      </w:pPr>
      <w:bookmarkStart w:id="9" w:name="bookmark6"/>
      <w:bookmarkEnd w:id="9"/>
      <w:r>
        <w:rPr>
          <w:rFonts w:ascii="SimHei" w:hAnsi="SimHei" w:eastAsia="SimHei" w:cs="SimHei"/>
          <w:b/>
          <w:bCs/>
          <w:spacing w:val="4"/>
          <w:sz w:val="31"/>
          <w:szCs w:val="31"/>
        </w:rPr>
        <w:t>二、事故发生经过及应急处置情况</w:t>
      </w:r>
    </w:p>
    <w:p w14:paraId="06ABF987">
      <w:pPr>
        <w:pStyle w:val="2"/>
        <w:spacing w:before="190" w:line="223" w:lineRule="auto"/>
        <w:ind w:left="804"/>
        <w:outlineLvl w:val="1"/>
      </w:pPr>
      <w:bookmarkStart w:id="10" w:name="bookmark7"/>
      <w:bookmarkEnd w:id="10"/>
      <w:r>
        <w:rPr>
          <w:b/>
          <w:bCs/>
          <w:spacing w:val="17"/>
        </w:rPr>
        <w:t>(</w:t>
      </w:r>
      <w:r>
        <w:rPr>
          <w:spacing w:val="-82"/>
        </w:rPr>
        <w:t xml:space="preserve"> </w:t>
      </w:r>
      <w:r>
        <w:rPr>
          <w:b/>
          <w:bCs/>
          <w:spacing w:val="17"/>
        </w:rPr>
        <w:t>一)事故发生经过</w:t>
      </w:r>
    </w:p>
    <w:p w14:paraId="0C45967E">
      <w:pPr>
        <w:pStyle w:val="2"/>
        <w:spacing w:before="206" w:line="333" w:lineRule="auto"/>
        <w:ind w:firstLine="649"/>
      </w:pPr>
      <w:r>
        <w:rPr>
          <w:spacing w:val="16"/>
        </w:rPr>
        <w:t>4月28日，福建省顺昌新业电力工程有限公司浦城项目部</w:t>
      </w:r>
      <w:r>
        <w:rPr>
          <w:spacing w:val="4"/>
        </w:rPr>
        <w:t xml:space="preserve"> </w:t>
      </w:r>
      <w:r>
        <w:rPr>
          <w:spacing w:val="10"/>
        </w:rPr>
        <w:t>负责人袁剑根据工作量安排公司九牧班组及仙阳班组29日</w:t>
      </w:r>
      <w:r>
        <w:rPr>
          <w:spacing w:val="9"/>
        </w:rPr>
        <w:t>到九</w:t>
      </w:r>
      <w:r>
        <w:t xml:space="preserve"> </w:t>
      </w:r>
      <w:r>
        <w:rPr>
          <w:spacing w:val="6"/>
        </w:rPr>
        <w:t>牧镇黎处村10</w:t>
      </w:r>
      <w:r>
        <w:rPr>
          <w:rFonts w:ascii="SimSun" w:hAnsi="SimSun" w:eastAsia="SimSun" w:cs="SimSun"/>
        </w:rPr>
        <w:t>kv</w:t>
      </w:r>
      <w:r>
        <w:rPr>
          <w:rFonts w:ascii="SimSun" w:hAnsi="SimSun" w:eastAsia="SimSun" w:cs="SimSun"/>
          <w:spacing w:val="-33"/>
        </w:rPr>
        <w:t xml:space="preserve"> </w:t>
      </w:r>
      <w:r>
        <w:rPr>
          <w:spacing w:val="6"/>
        </w:rPr>
        <w:t>黄毕线黎处支线改造工程现场开展架线工作。</w:t>
      </w:r>
      <w:r>
        <w:t xml:space="preserve"> </w:t>
      </w:r>
      <w:r>
        <w:rPr>
          <w:spacing w:val="11"/>
        </w:rPr>
        <w:t>29日上午七时左右死者陈美兴同公司仙阳班组从荣华山产业组</w:t>
      </w:r>
      <w:r>
        <w:rPr>
          <w:spacing w:val="2"/>
        </w:rPr>
        <w:t xml:space="preserve"> </w:t>
      </w:r>
      <w:r>
        <w:rPr>
          <w:spacing w:val="4"/>
        </w:rPr>
        <w:t>团新业公司仓库出发，8时左右到达施工地点</w:t>
      </w:r>
      <w:r>
        <w:rPr>
          <w:spacing w:val="3"/>
        </w:rPr>
        <w:t>，当天新业公司浦</w:t>
      </w:r>
      <w:r>
        <w:t xml:space="preserve"> </w:t>
      </w:r>
      <w:r>
        <w:rPr>
          <w:spacing w:val="10"/>
        </w:rPr>
        <w:t>城项目部负责人袁剑在福州出差，现场作业由九牧班组负责人</w:t>
      </w:r>
      <w:r>
        <w:rPr>
          <w:spacing w:val="8"/>
        </w:rPr>
        <w:t xml:space="preserve"> </w:t>
      </w:r>
      <w:r>
        <w:rPr>
          <w:spacing w:val="4"/>
        </w:rPr>
        <w:t>林建明负责。发生事故的#21杆共有两名工作人员，分别是技工</w:t>
      </w:r>
      <w:r>
        <w:rPr>
          <w:spacing w:val="8"/>
        </w:rPr>
        <w:t xml:space="preserve"> </w:t>
      </w:r>
      <w:r>
        <w:rPr>
          <w:spacing w:val="16"/>
        </w:rPr>
        <w:t>陈美兴(持有高处作业、高压电工作业两份特种作业证书，证</w:t>
      </w:r>
      <w:r>
        <w:rPr>
          <w:spacing w:val="2"/>
        </w:rPr>
        <w:t xml:space="preserve"> </w:t>
      </w:r>
      <w:r>
        <w:rPr>
          <w:spacing w:val="3"/>
        </w:rPr>
        <w:t>号：</w:t>
      </w:r>
      <w:r>
        <w:rPr>
          <w:rFonts w:ascii="Times New Roman" w:hAnsi="Times New Roman" w:eastAsia="Times New Roman" w:cs="Times New Roman"/>
          <w:spacing w:val="3"/>
        </w:rPr>
        <w:t>T352124197608241639)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rFonts w:ascii="SimSun" w:hAnsi="SimSun" w:eastAsia="SimSun" w:cs="SimSun"/>
          <w:spacing w:val="3"/>
        </w:rPr>
        <w:t>、</w:t>
      </w:r>
      <w:r>
        <w:rPr>
          <w:rFonts w:ascii="SimSun" w:hAnsi="SimSun" w:eastAsia="SimSun" w:cs="SimSun"/>
          <w:spacing w:val="142"/>
        </w:rPr>
        <w:t xml:space="preserve"> </w:t>
      </w:r>
      <w:r>
        <w:rPr>
          <w:spacing w:val="3"/>
        </w:rPr>
        <w:t>吴石平(持有高处作业、高压电</w:t>
      </w:r>
      <w:r>
        <w:t xml:space="preserve"> 工作业两份特种作业证书，证号：</w:t>
      </w:r>
      <w:r>
        <w:rPr>
          <w:rFonts w:ascii="SimSun" w:hAnsi="SimSun" w:eastAsia="SimSun" w:cs="SimSun"/>
        </w:rPr>
        <w:t>T352124197307081619</w:t>
      </w:r>
      <w:r>
        <w:rPr>
          <w:rFonts w:ascii="SimSun" w:hAnsi="SimSun" w:eastAsia="SimSun" w:cs="SimSun"/>
          <w:spacing w:val="-1"/>
        </w:rPr>
        <w:t>)</w:t>
      </w:r>
      <w:r>
        <w:rPr>
          <w:rFonts w:ascii="SimSun" w:hAnsi="SimSun" w:eastAsia="SimSun" w:cs="SimSun"/>
          <w:spacing w:val="124"/>
        </w:rPr>
        <w:t xml:space="preserve"> </w:t>
      </w:r>
      <w:r>
        <w:rPr>
          <w:spacing w:val="-1"/>
        </w:rPr>
        <w:t>配合</w:t>
      </w:r>
      <w:r>
        <w:t xml:space="preserve"> </w:t>
      </w:r>
      <w:r>
        <w:rPr>
          <w:spacing w:val="16"/>
        </w:rPr>
        <w:t>完成3根高压线的架设及横担上绝缘设备安装。当天的工作分</w:t>
      </w:r>
      <w:r>
        <w:rPr>
          <w:spacing w:val="1"/>
        </w:rPr>
        <w:t xml:space="preserve"> </w:t>
      </w:r>
      <w:r>
        <w:rPr>
          <w:spacing w:val="10"/>
        </w:rPr>
        <w:t>工为陈美兴负责杆上架线，吴石平负责在地面准备材料，陈美</w:t>
      </w:r>
      <w:r>
        <w:rPr>
          <w:spacing w:val="9"/>
        </w:rPr>
        <w:t xml:space="preserve"> </w:t>
      </w:r>
      <w:r>
        <w:rPr>
          <w:spacing w:val="10"/>
        </w:rPr>
        <w:t>兴及吴石平均配备安全帽、安全绳等防护装备，至11时左右陈</w:t>
      </w:r>
      <w:r>
        <w:rPr>
          <w:spacing w:val="5"/>
        </w:rPr>
        <w:t xml:space="preserve"> </w:t>
      </w:r>
      <w:r>
        <w:rPr>
          <w:spacing w:val="15"/>
        </w:rPr>
        <w:t>美兴已完成当天需要架设的3根高压线里的2根，吴石平将第3</w:t>
      </w:r>
    </w:p>
    <w:p w14:paraId="0E64550A">
      <w:pPr>
        <w:spacing w:line="333" w:lineRule="auto"/>
        <w:sectPr>
          <w:footerReference r:id="rId14" w:type="default"/>
          <w:pgSz w:w="11900" w:h="16830"/>
          <w:pgMar w:top="1430" w:right="1508" w:bottom="1766" w:left="1710" w:header="0" w:footer="1364" w:gutter="0"/>
          <w:cols w:space="720" w:num="1"/>
        </w:sectPr>
      </w:pPr>
    </w:p>
    <w:p w14:paraId="24550BAE">
      <w:pPr>
        <w:spacing w:line="336" w:lineRule="auto"/>
        <w:rPr>
          <w:rFonts w:ascii="Arial"/>
          <w:sz w:val="21"/>
        </w:rPr>
      </w:pPr>
    </w:p>
    <w:p w14:paraId="199A3AC4">
      <w:pPr>
        <w:spacing w:line="336" w:lineRule="auto"/>
        <w:rPr>
          <w:rFonts w:ascii="Arial"/>
          <w:sz w:val="21"/>
        </w:rPr>
      </w:pPr>
    </w:p>
    <w:p w14:paraId="043A88E6">
      <w:pPr>
        <w:pStyle w:val="2"/>
        <w:spacing w:before="101" w:line="328" w:lineRule="auto"/>
        <w:ind w:right="55"/>
        <w:jc w:val="both"/>
      </w:pPr>
      <w:bookmarkStart w:id="11" w:name="bookmark28"/>
      <w:bookmarkEnd w:id="11"/>
      <w:r>
        <w:rPr>
          <w:spacing w:val="10"/>
        </w:rPr>
        <w:t>根高压线绑好，陈美兴在带班人员林建明的统一指挥下开始架</w:t>
      </w:r>
      <w:r>
        <w:t xml:space="preserve"> </w:t>
      </w:r>
      <w:r>
        <w:rPr>
          <w:spacing w:val="9"/>
        </w:rPr>
        <w:t>设第3根高压线。此时在#20杆作业的陈昂兵发现相距五六十米</w:t>
      </w:r>
      <w:r>
        <w:rPr>
          <w:spacing w:val="10"/>
        </w:rPr>
        <w:t xml:space="preserve"> </w:t>
      </w:r>
      <w:r>
        <w:rPr>
          <w:spacing w:val="3"/>
        </w:rPr>
        <w:t>的#21杆发生倾斜，随后杆上两名作业人员陈美兴、吴石平随电</w:t>
      </w:r>
      <w:r>
        <w:rPr>
          <w:spacing w:val="9"/>
        </w:rPr>
        <w:t xml:space="preserve"> 线杆共同倒向旁边的旧电杆，林建明等人立即赶到现场开展查</w:t>
      </w:r>
      <w:r>
        <w:rPr>
          <w:spacing w:val="5"/>
        </w:rPr>
        <w:t xml:space="preserve"> </w:t>
      </w:r>
      <w:r>
        <w:rPr>
          <w:spacing w:val="15"/>
        </w:rPr>
        <w:t>看情况，发现陈美兴被夹在新旧两根电杆之间，吴石平从#21</w:t>
      </w:r>
      <w:r>
        <w:rPr>
          <w:spacing w:val="16"/>
        </w:rPr>
        <w:t xml:space="preserve"> </w:t>
      </w:r>
      <w:r>
        <w:rPr>
          <w:spacing w:val="10"/>
        </w:rPr>
        <w:t>杆上自行脱困，林建明及陈昂兵等工人将陈美兴从两根电杆夹</w:t>
      </w:r>
      <w:r>
        <w:rPr>
          <w:spacing w:val="5"/>
        </w:rPr>
        <w:t xml:space="preserve"> </w:t>
      </w:r>
      <w:r>
        <w:rPr>
          <w:spacing w:val="11"/>
        </w:rPr>
        <w:t>缝中救出，并将其安置在道路一侧静卧防止二次伤害，现场人</w:t>
      </w:r>
      <w:r>
        <w:rPr>
          <w:spacing w:val="1"/>
        </w:rPr>
        <w:t xml:space="preserve"> </w:t>
      </w:r>
      <w:r>
        <w:rPr>
          <w:spacing w:val="10"/>
        </w:rPr>
        <w:t>员同陈美兴沟通，陈美兴当时声音微弱现场人员无法听清，林</w:t>
      </w:r>
      <w:r>
        <w:t xml:space="preserve"> </w:t>
      </w:r>
      <w:r>
        <w:rPr>
          <w:spacing w:val="9"/>
        </w:rPr>
        <w:t>建明拨打了120急救电话并报告公司负责人袁剑，12时左右120</w:t>
      </w:r>
      <w:r>
        <w:rPr>
          <w:spacing w:val="16"/>
        </w:rPr>
        <w:t xml:space="preserve"> </w:t>
      </w:r>
      <w:r>
        <w:rPr>
          <w:spacing w:val="12"/>
        </w:rPr>
        <w:t>救护车到达现场，林建明随120救护车一同赶往浦城县医院，</w:t>
      </w:r>
      <w:r>
        <w:rPr>
          <w:spacing w:val="2"/>
        </w:rPr>
        <w:t xml:space="preserve"> </w:t>
      </w:r>
      <w:r>
        <w:rPr>
          <w:spacing w:val="3"/>
        </w:rPr>
        <w:t>经过县医院全力抢救，工人陈美兴不幸身亡。</w:t>
      </w:r>
    </w:p>
    <w:p w14:paraId="3DCD75F6">
      <w:pPr>
        <w:pStyle w:val="2"/>
        <w:spacing w:before="75" w:line="220" w:lineRule="auto"/>
        <w:ind w:left="584"/>
        <w:outlineLvl w:val="1"/>
      </w:pPr>
      <w:bookmarkStart w:id="12" w:name="bookmark8"/>
      <w:bookmarkEnd w:id="12"/>
      <w:r>
        <w:rPr>
          <w:b/>
          <w:bCs/>
          <w:spacing w:val="18"/>
        </w:rPr>
        <w:t>(二)事故应急处置及评估情况</w:t>
      </w:r>
    </w:p>
    <w:p w14:paraId="2BF8C1F8">
      <w:pPr>
        <w:pStyle w:val="2"/>
        <w:spacing w:before="203" w:line="327" w:lineRule="auto"/>
        <w:ind w:right="51" w:firstLine="649"/>
        <w:jc w:val="both"/>
      </w:pPr>
      <w:r>
        <w:rPr>
          <w:spacing w:val="16"/>
        </w:rPr>
        <w:t>4月29日上午11时左右顺昌新业公司黄毕</w:t>
      </w:r>
      <w:r>
        <w:rPr>
          <w:spacing w:val="15"/>
        </w:rPr>
        <w:t>线黎处支线改造</w:t>
      </w:r>
      <w:r>
        <w:t xml:space="preserve"> </w:t>
      </w:r>
      <w:r>
        <w:rPr>
          <w:spacing w:val="5"/>
        </w:rPr>
        <w:t>工程#21杆发生倾倒事故，顺昌新业公司</w:t>
      </w:r>
      <w:r>
        <w:rPr>
          <w:spacing w:val="4"/>
        </w:rPr>
        <w:t>九牧班组负责人林建明</w:t>
      </w:r>
      <w:r>
        <w:t xml:space="preserve"> </w:t>
      </w:r>
      <w:r>
        <w:rPr>
          <w:spacing w:val="4"/>
        </w:rPr>
        <w:t>立即组织陈昂兵等现场工人开展自救，同时林建明拨打</w:t>
      </w:r>
      <w:r>
        <w:rPr>
          <w:spacing w:val="3"/>
        </w:rPr>
        <w:t>了县120</w:t>
      </w:r>
      <w:r>
        <w:t xml:space="preserve"> </w:t>
      </w:r>
      <w:r>
        <w:rPr>
          <w:spacing w:val="21"/>
        </w:rPr>
        <w:t>急救中心电话并通知了公司项目部负责人袁</w:t>
      </w:r>
      <w:r>
        <w:rPr>
          <w:spacing w:val="20"/>
        </w:rPr>
        <w:t>剑，在12时左右</w:t>
      </w:r>
      <w:r>
        <w:t xml:space="preserve"> </w:t>
      </w:r>
      <w:r>
        <w:rPr>
          <w:spacing w:val="5"/>
        </w:rPr>
        <w:t>120救护车将陈美兴送往浦城县医院，医护人员对陈美兴进行了</w:t>
      </w:r>
      <w:r>
        <w:rPr>
          <w:spacing w:val="2"/>
        </w:rPr>
        <w:t xml:space="preserve"> </w:t>
      </w:r>
      <w:r>
        <w:rPr>
          <w:spacing w:val="10"/>
        </w:rPr>
        <w:t>急救，林建明在得知陈美兴经医院抢救无效死亡后向政府有关</w:t>
      </w:r>
      <w:r>
        <w:rPr>
          <w:spacing w:val="2"/>
        </w:rPr>
        <w:t xml:space="preserve"> </w:t>
      </w:r>
      <w:r>
        <w:rPr>
          <w:spacing w:val="10"/>
        </w:rPr>
        <w:t>部门报告事故发生，接到事故报告后，浦城县有关部门按照规</w:t>
      </w:r>
      <w:r>
        <w:rPr>
          <w:spacing w:val="2"/>
        </w:rPr>
        <w:t xml:space="preserve"> </w:t>
      </w:r>
      <w:r>
        <w:rPr>
          <w:spacing w:val="11"/>
        </w:rPr>
        <w:t>定组织事故报送工作，同时启动事故响应，县工信部门、九牧</w:t>
      </w:r>
      <w:r>
        <w:rPr>
          <w:spacing w:val="3"/>
        </w:rPr>
        <w:t xml:space="preserve"> </w:t>
      </w:r>
      <w:r>
        <w:rPr>
          <w:spacing w:val="8"/>
        </w:rPr>
        <w:t>镇政府、应急局立即安排事故善后工作，及时安抚家属</w:t>
      </w:r>
      <w:r>
        <w:rPr>
          <w:spacing w:val="7"/>
        </w:rPr>
        <w:t>情绪，</w:t>
      </w:r>
      <w:r>
        <w:t xml:space="preserve"> </w:t>
      </w:r>
      <w:r>
        <w:rPr>
          <w:spacing w:val="4"/>
        </w:rPr>
        <w:t>善后工作措施有效、处理及时没有造成不良社会影响。</w:t>
      </w:r>
    </w:p>
    <w:p w14:paraId="040AD508">
      <w:pPr>
        <w:spacing w:before="80" w:line="227" w:lineRule="auto"/>
        <w:ind w:left="804"/>
        <w:outlineLvl w:val="1"/>
        <w:rPr>
          <w:rFonts w:ascii="KaiTi" w:hAnsi="KaiTi" w:eastAsia="KaiTi" w:cs="KaiTi"/>
          <w:sz w:val="31"/>
          <w:szCs w:val="31"/>
        </w:rPr>
      </w:pPr>
      <w:bookmarkStart w:id="13" w:name="bookmark9"/>
      <w:bookmarkEnd w:id="13"/>
      <w:r>
        <w:rPr>
          <w:rFonts w:ascii="KaiTi" w:hAnsi="KaiTi" w:eastAsia="KaiTi" w:cs="KaiTi"/>
          <w:b/>
          <w:bCs/>
          <w:spacing w:val="25"/>
          <w:sz w:val="31"/>
          <w:szCs w:val="31"/>
        </w:rPr>
        <w:t>(三)人员伤亡情况</w:t>
      </w:r>
    </w:p>
    <w:p w14:paraId="40EE6814">
      <w:pPr>
        <w:spacing w:line="227" w:lineRule="auto"/>
        <w:rPr>
          <w:rFonts w:ascii="KaiTi" w:hAnsi="KaiTi" w:eastAsia="KaiTi" w:cs="KaiTi"/>
          <w:sz w:val="31"/>
          <w:szCs w:val="31"/>
        </w:rPr>
        <w:sectPr>
          <w:footerReference r:id="rId15" w:type="default"/>
          <w:pgSz w:w="11900" w:h="16830"/>
          <w:pgMar w:top="1430" w:right="1785" w:bottom="1726" w:left="1390" w:header="0" w:footer="1321" w:gutter="0"/>
          <w:cols w:space="720" w:num="1"/>
        </w:sectPr>
      </w:pPr>
    </w:p>
    <w:p w14:paraId="1120CA68">
      <w:pPr>
        <w:spacing w:line="302" w:lineRule="auto"/>
        <w:rPr>
          <w:rFonts w:ascii="Arial"/>
          <w:sz w:val="21"/>
        </w:rPr>
      </w:pPr>
    </w:p>
    <w:p w14:paraId="14E10D1F">
      <w:pPr>
        <w:spacing w:line="302" w:lineRule="auto"/>
        <w:rPr>
          <w:rFonts w:ascii="Arial"/>
          <w:sz w:val="21"/>
        </w:rPr>
      </w:pPr>
    </w:p>
    <w:p w14:paraId="0127FC99">
      <w:pPr>
        <w:pStyle w:val="2"/>
        <w:spacing w:before="100" w:line="342" w:lineRule="auto"/>
        <w:ind w:left="29" w:right="9" w:firstLine="659"/>
        <w:jc w:val="both"/>
        <w:rPr>
          <w:sz w:val="27"/>
          <w:szCs w:val="27"/>
        </w:rPr>
      </w:pPr>
      <w:bookmarkStart w:id="14" w:name="bookmark29"/>
      <w:bookmarkEnd w:id="14"/>
      <w:r>
        <w:rPr>
          <w:spacing w:val="15"/>
        </w:rPr>
        <w:t>陈美兴，男，49周岁，1976年8月出生，汉族，浦城县富</w:t>
      </w:r>
      <w:r>
        <w:rPr>
          <w:spacing w:val="1"/>
        </w:rPr>
        <w:t xml:space="preserve"> </w:t>
      </w:r>
      <w:r>
        <w:rPr>
          <w:spacing w:val="11"/>
        </w:rPr>
        <w:t>岭镇人，顺昌新业公司浦城项目部员工，在</w:t>
      </w:r>
      <w:r>
        <w:rPr>
          <w:spacing w:val="10"/>
        </w:rPr>
        <w:t>公司九牧镇黎处村</w:t>
      </w:r>
      <w:r>
        <w:t xml:space="preserve"> </w:t>
      </w:r>
      <w:r>
        <w:rPr>
          <w:rFonts w:ascii="Times New Roman" w:hAnsi="Times New Roman" w:eastAsia="Times New Roman" w:cs="Times New Roman"/>
          <w:spacing w:val="5"/>
        </w:rPr>
        <w:t>10</w:t>
      </w:r>
      <w:r>
        <w:rPr>
          <w:rFonts w:ascii="Times New Roman" w:hAnsi="Times New Roman" w:eastAsia="Times New Roman" w:cs="Times New Roman"/>
        </w:rPr>
        <w:t>kv</w:t>
      </w:r>
      <w:r>
        <w:rPr>
          <w:rFonts w:ascii="Times New Roman" w:hAnsi="Times New Roman" w:eastAsia="Times New Roman" w:cs="Times New Roman"/>
          <w:spacing w:val="47"/>
        </w:rPr>
        <w:t xml:space="preserve"> </w:t>
      </w:r>
      <w:r>
        <w:rPr>
          <w:spacing w:val="5"/>
        </w:rPr>
        <w:t>黄毕线黎处支线改造工程中发生电杆倾倒事故受物体打击</w:t>
      </w:r>
      <w:r>
        <w:t xml:space="preserve"> </w:t>
      </w:r>
      <w:r>
        <w:rPr>
          <w:spacing w:val="29"/>
          <w:sz w:val="27"/>
          <w:szCs w:val="27"/>
        </w:rPr>
        <w:t>不幸身亡。</w:t>
      </w:r>
    </w:p>
    <w:p w14:paraId="12350F52">
      <w:pPr>
        <w:spacing w:before="42" w:line="225" w:lineRule="auto"/>
        <w:ind w:left="824"/>
        <w:outlineLvl w:val="1"/>
        <w:rPr>
          <w:rFonts w:ascii="KaiTi" w:hAnsi="KaiTi" w:eastAsia="KaiTi" w:cs="KaiTi"/>
          <w:sz w:val="31"/>
          <w:szCs w:val="31"/>
        </w:rPr>
      </w:pPr>
      <w:bookmarkStart w:id="15" w:name="bookmark10"/>
      <w:bookmarkEnd w:id="15"/>
      <w:r>
        <w:rPr>
          <w:rFonts w:ascii="KaiTi" w:hAnsi="KaiTi" w:eastAsia="KaiTi" w:cs="KaiTi"/>
          <w:b/>
          <w:bCs/>
          <w:spacing w:val="23"/>
          <w:sz w:val="31"/>
          <w:szCs w:val="31"/>
        </w:rPr>
        <w:t>(四)直接经济损失</w:t>
      </w:r>
    </w:p>
    <w:p w14:paraId="2C3D478A">
      <w:pPr>
        <w:pStyle w:val="2"/>
        <w:spacing w:before="157" w:line="332" w:lineRule="auto"/>
        <w:ind w:left="29" w:right="27" w:firstLine="659"/>
      </w:pPr>
      <w:r>
        <w:rPr>
          <w:spacing w:val="10"/>
        </w:rPr>
        <w:t>该起事故造成一人死亡及电杆等部分电力设施损坏，</w:t>
      </w:r>
      <w:r>
        <w:rPr>
          <w:spacing w:val="9"/>
        </w:rPr>
        <w:t>直接</w:t>
      </w:r>
      <w:r>
        <w:t xml:space="preserve"> </w:t>
      </w:r>
      <w:r>
        <w:rPr>
          <w:spacing w:val="16"/>
        </w:rPr>
        <w:t>经济损失150万元。</w:t>
      </w:r>
    </w:p>
    <w:p w14:paraId="0A405795">
      <w:pPr>
        <w:pStyle w:val="2"/>
        <w:spacing w:before="1" w:line="221" w:lineRule="auto"/>
        <w:ind w:left="694"/>
        <w:outlineLvl w:val="0"/>
      </w:pPr>
      <w:bookmarkStart w:id="16" w:name="bookmark11"/>
      <w:bookmarkEnd w:id="16"/>
      <w:r>
        <w:rPr>
          <w:b/>
          <w:bCs/>
        </w:rPr>
        <w:t>三、事故原因分析</w:t>
      </w:r>
    </w:p>
    <w:p w14:paraId="42D56010">
      <w:pPr>
        <w:pStyle w:val="2"/>
        <w:spacing w:before="187" w:line="222" w:lineRule="auto"/>
        <w:ind w:left="814"/>
        <w:outlineLvl w:val="1"/>
      </w:pPr>
      <w:bookmarkStart w:id="17" w:name="bookmark12"/>
      <w:bookmarkEnd w:id="17"/>
      <w:r>
        <w:rPr>
          <w:b/>
          <w:bCs/>
          <w:spacing w:val="19"/>
        </w:rPr>
        <w:t>(一)事故直接原因分析</w:t>
      </w:r>
    </w:p>
    <w:p w14:paraId="6FE71253">
      <w:pPr>
        <w:pStyle w:val="2"/>
        <w:spacing w:before="181" w:line="333" w:lineRule="auto"/>
        <w:ind w:left="29" w:right="12" w:firstLine="659"/>
        <w:jc w:val="both"/>
      </w:pPr>
      <w:r>
        <w:rPr>
          <w:spacing w:val="9"/>
        </w:rPr>
        <w:t>经调查认定，事故直接原因是：顺昌新业公司浦城项目部</w:t>
      </w:r>
      <w:r>
        <w:rPr>
          <w:spacing w:val="11"/>
        </w:rPr>
        <w:t xml:space="preserve"> </w:t>
      </w:r>
      <w:r>
        <w:rPr>
          <w:spacing w:val="22"/>
        </w:rPr>
        <w:t>作业前未辨识出#21杆的杆基由于农田蓄水土质基础(见</w:t>
      </w:r>
      <w:r>
        <w:rPr>
          <w:spacing w:val="21"/>
        </w:rPr>
        <w:t>附图</w:t>
      </w:r>
      <w:r>
        <w:t xml:space="preserve"> </w:t>
      </w:r>
      <w:r>
        <w:rPr>
          <w:spacing w:val="-9"/>
        </w:rPr>
        <w:t>1)改变，导致#21杆抗拔能力不足[2][3][4]的事故隐患，受架线的</w:t>
      </w:r>
      <w:r>
        <w:rPr>
          <w:spacing w:val="2"/>
        </w:rPr>
        <w:t xml:space="preserve"> </w:t>
      </w:r>
      <w:r>
        <w:rPr>
          <w:spacing w:val="7"/>
        </w:rPr>
        <w:t>拉力作用#21杆发生倒杆事故。</w:t>
      </w:r>
    </w:p>
    <w:p w14:paraId="60C02CB6">
      <w:pPr>
        <w:spacing w:line="243" w:lineRule="auto"/>
        <w:rPr>
          <w:rFonts w:ascii="Arial"/>
          <w:sz w:val="21"/>
        </w:rPr>
      </w:pPr>
    </w:p>
    <w:p w14:paraId="24CF97D9">
      <w:pPr>
        <w:spacing w:line="243" w:lineRule="auto"/>
        <w:rPr>
          <w:rFonts w:ascii="Arial"/>
          <w:sz w:val="21"/>
        </w:rPr>
      </w:pPr>
    </w:p>
    <w:p w14:paraId="5BADBDB7">
      <w:pPr>
        <w:spacing w:line="243" w:lineRule="auto"/>
        <w:rPr>
          <w:rFonts w:ascii="Arial"/>
          <w:sz w:val="21"/>
        </w:rPr>
      </w:pPr>
    </w:p>
    <w:p w14:paraId="5BECDF4B">
      <w:pPr>
        <w:spacing w:line="243" w:lineRule="auto"/>
        <w:rPr>
          <w:rFonts w:ascii="Arial"/>
          <w:sz w:val="21"/>
        </w:rPr>
      </w:pPr>
    </w:p>
    <w:p w14:paraId="06E138E5">
      <w:pPr>
        <w:spacing w:line="243" w:lineRule="auto"/>
        <w:rPr>
          <w:rFonts w:ascii="Arial"/>
          <w:sz w:val="21"/>
        </w:rPr>
      </w:pPr>
    </w:p>
    <w:p w14:paraId="7D808248">
      <w:pPr>
        <w:spacing w:line="243" w:lineRule="auto"/>
        <w:rPr>
          <w:rFonts w:ascii="Arial"/>
          <w:sz w:val="21"/>
        </w:rPr>
      </w:pPr>
    </w:p>
    <w:p w14:paraId="40D09360">
      <w:pPr>
        <w:spacing w:line="243" w:lineRule="auto"/>
        <w:rPr>
          <w:rFonts w:ascii="Arial"/>
          <w:sz w:val="21"/>
        </w:rPr>
      </w:pPr>
    </w:p>
    <w:p w14:paraId="2D5C7FA4">
      <w:pPr>
        <w:spacing w:line="243" w:lineRule="auto"/>
        <w:rPr>
          <w:rFonts w:ascii="Arial"/>
          <w:sz w:val="21"/>
        </w:rPr>
      </w:pPr>
    </w:p>
    <w:p w14:paraId="4B5E71D0">
      <w:pPr>
        <w:spacing w:line="243" w:lineRule="auto"/>
        <w:rPr>
          <w:rFonts w:ascii="Arial"/>
          <w:sz w:val="21"/>
        </w:rPr>
      </w:pPr>
    </w:p>
    <w:p w14:paraId="04F43F18">
      <w:pPr>
        <w:spacing w:line="243" w:lineRule="auto"/>
        <w:rPr>
          <w:rFonts w:ascii="Arial"/>
          <w:sz w:val="21"/>
        </w:rPr>
      </w:pPr>
    </w:p>
    <w:p w14:paraId="1C0231E8">
      <w:pPr>
        <w:spacing w:line="244" w:lineRule="auto"/>
        <w:rPr>
          <w:rFonts w:ascii="Arial"/>
          <w:sz w:val="21"/>
        </w:rPr>
      </w:pPr>
    </w:p>
    <w:p w14:paraId="221AA5E0">
      <w:pPr>
        <w:spacing w:line="244" w:lineRule="auto"/>
        <w:rPr>
          <w:rFonts w:ascii="Arial"/>
          <w:sz w:val="21"/>
        </w:rPr>
      </w:pPr>
    </w:p>
    <w:p w14:paraId="484AAAF7">
      <w:pPr>
        <w:spacing w:line="244" w:lineRule="auto"/>
        <w:rPr>
          <w:rFonts w:ascii="Arial"/>
          <w:sz w:val="21"/>
        </w:rPr>
      </w:pPr>
    </w:p>
    <w:p w14:paraId="09E26290">
      <w:pPr>
        <w:spacing w:line="244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97155</wp:posOffset>
            </wp:positionV>
            <wp:extent cx="1854200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54214" cy="6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A7E4DD">
      <w:pPr>
        <w:spacing w:before="56" w:line="245" w:lineRule="auto"/>
        <w:ind w:left="29" w:right="90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pacing w:val="4"/>
          <w:sz w:val="17"/>
          <w:szCs w:val="17"/>
        </w:rPr>
        <w:t>[1]根据《66</w:t>
      </w:r>
      <w:r>
        <w:rPr>
          <w:rFonts w:ascii="Times New Roman" w:hAnsi="Times New Roman" w:eastAsia="Times New Roman" w:cs="Times New Roman"/>
          <w:sz w:val="17"/>
          <w:szCs w:val="17"/>
        </w:rPr>
        <w:t>kV</w:t>
      </w:r>
      <w:r>
        <w:rPr>
          <w:rFonts w:ascii="SimSun" w:hAnsi="SimSun" w:eastAsia="SimSun" w:cs="SimSun"/>
          <w:spacing w:val="4"/>
          <w:sz w:val="17"/>
          <w:szCs w:val="17"/>
        </w:rPr>
        <w:t>及以下架空电力线路设计规范》</w:t>
      </w:r>
      <w:r>
        <w:rPr>
          <w:rFonts w:ascii="SimSun" w:hAnsi="SimSun" w:eastAsia="SimSun" w:cs="SimSun"/>
          <w:spacing w:val="45"/>
          <w:sz w:val="17"/>
          <w:szCs w:val="17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sz w:val="17"/>
          <w:szCs w:val="17"/>
        </w:rPr>
        <w:t>gb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    50061-2010)      11.0.5    </w:t>
      </w:r>
      <w:r>
        <w:rPr>
          <w:rFonts w:ascii="SimSun" w:hAnsi="SimSun" w:eastAsia="SimSun" w:cs="SimSun"/>
          <w:spacing w:val="4"/>
          <w:sz w:val="17"/>
          <w:szCs w:val="17"/>
        </w:rPr>
        <w:t>原状土基础在计</w:t>
      </w:r>
      <w:r>
        <w:rPr>
          <w:rFonts w:ascii="SimSun" w:hAnsi="SimSun" w:eastAsia="SimSun" w:cs="SimSun"/>
          <w:spacing w:val="3"/>
          <w:sz w:val="17"/>
          <w:szCs w:val="17"/>
        </w:rPr>
        <w:t>算上拔稳定时，抗</w:t>
      </w:r>
      <w:r>
        <w:rPr>
          <w:rFonts w:ascii="SimSun" w:hAnsi="SimSun" w:eastAsia="SimSun" w:cs="SimSun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9"/>
          <w:sz w:val="17"/>
          <w:szCs w:val="17"/>
        </w:rPr>
        <w:t>拔深度应扣除表层非原状土的厚度。</w:t>
      </w:r>
    </w:p>
    <w:p w14:paraId="2128B93C">
      <w:pPr>
        <w:spacing w:before="28" w:line="219" w:lineRule="auto"/>
        <w:ind w:left="29"/>
        <w:rPr>
          <w:rFonts w:ascii="SimSun" w:hAnsi="SimSun" w:eastAsia="SimSun" w:cs="SimSun"/>
          <w:sz w:val="17"/>
          <w:szCs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172085</wp:posOffset>
            </wp:positionV>
            <wp:extent cx="1047750" cy="2540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08" cy="254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pacing w:val="4"/>
          <w:sz w:val="17"/>
          <w:szCs w:val="17"/>
        </w:rPr>
        <w:t>[2]根据《架空输电线路基础设计规程》</w:t>
      </w:r>
      <w:r>
        <w:rPr>
          <w:rFonts w:ascii="SimSun" w:hAnsi="SimSun" w:eastAsia="SimSun" w:cs="SimSun"/>
          <w:spacing w:val="35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4"/>
          <w:sz w:val="17"/>
          <w:szCs w:val="17"/>
        </w:rPr>
        <w:t>(</w:t>
      </w:r>
      <w:r>
        <w:rPr>
          <w:rFonts w:ascii="SimSun" w:hAnsi="SimSun" w:eastAsia="SimSun" w:cs="SimSun"/>
          <w:sz w:val="17"/>
          <w:szCs w:val="17"/>
        </w:rPr>
        <w:t>dl</w:t>
      </w:r>
      <w:r>
        <w:rPr>
          <w:rFonts w:ascii="SimSun" w:hAnsi="SimSun" w:eastAsia="SimSun" w:cs="SimSun"/>
          <w:spacing w:val="4"/>
          <w:sz w:val="17"/>
          <w:szCs w:val="17"/>
        </w:rPr>
        <w:t>/t 5219-2023)  6.2.1  上拔承载力计算应符合下</w:t>
      </w:r>
      <w:r>
        <w:rPr>
          <w:rFonts w:ascii="SimSun" w:hAnsi="SimSun" w:eastAsia="SimSun" w:cs="SimSun"/>
          <w:spacing w:val="3"/>
          <w:sz w:val="17"/>
          <w:szCs w:val="17"/>
        </w:rPr>
        <w:t>列规定：</w:t>
      </w:r>
    </w:p>
    <w:p w14:paraId="5B7F3B27">
      <w:pPr>
        <w:spacing w:before="168" w:line="301" w:lineRule="auto"/>
        <w:ind w:left="29" w:right="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SimSun" w:hAnsi="SimSun" w:eastAsia="SimSun" w:cs="SimSun"/>
          <w:spacing w:val="9"/>
          <w:sz w:val="17"/>
          <w:szCs w:val="17"/>
        </w:rPr>
        <w:t>[3]根据《南平浦城</w:t>
      </w:r>
      <w:r>
        <w:rPr>
          <w:rFonts w:ascii="SimSun" w:hAnsi="SimSun" w:eastAsia="SimSun" w:cs="SimSun"/>
          <w:spacing w:val="-27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9"/>
          <w:sz w:val="17"/>
          <w:szCs w:val="17"/>
        </w:rPr>
        <w:t>110</w:t>
      </w:r>
      <w:r>
        <w:rPr>
          <w:rFonts w:ascii="SimSun" w:hAnsi="SimSun" w:eastAsia="SimSun" w:cs="SimSun"/>
          <w:sz w:val="17"/>
          <w:szCs w:val="17"/>
        </w:rPr>
        <w:t>kv</w:t>
      </w:r>
      <w:r>
        <w:rPr>
          <w:rFonts w:ascii="SimSun" w:hAnsi="SimSun" w:eastAsia="SimSun" w:cs="SimSun"/>
          <w:spacing w:val="-29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9"/>
          <w:sz w:val="17"/>
          <w:szCs w:val="17"/>
        </w:rPr>
        <w:t>梦笔变10</w:t>
      </w:r>
      <w:r>
        <w:rPr>
          <w:rFonts w:ascii="SimSun" w:hAnsi="SimSun" w:eastAsia="SimSun" w:cs="SimSun"/>
          <w:sz w:val="17"/>
          <w:szCs w:val="17"/>
        </w:rPr>
        <w:t>kv</w:t>
      </w:r>
      <w:r>
        <w:rPr>
          <w:rFonts w:ascii="SimSun" w:hAnsi="SimSun" w:eastAsia="SimSun" w:cs="SimSun"/>
          <w:spacing w:val="-30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9"/>
          <w:sz w:val="17"/>
          <w:szCs w:val="17"/>
        </w:rPr>
        <w:t>黄毕线黎处支线改造工程设计说明》</w:t>
      </w:r>
      <w:r>
        <w:rPr>
          <w:rFonts w:ascii="SimSun" w:hAnsi="SimSun" w:eastAsia="SimSun" w:cs="SimSun"/>
          <w:spacing w:val="1"/>
          <w:sz w:val="17"/>
          <w:szCs w:val="17"/>
        </w:rPr>
        <w:t xml:space="preserve">   </w:t>
      </w:r>
      <w:r>
        <w:rPr>
          <w:rFonts w:ascii="SimSun" w:hAnsi="SimSun" w:eastAsia="SimSun" w:cs="SimSun"/>
          <w:spacing w:val="9"/>
          <w:sz w:val="17"/>
          <w:szCs w:val="17"/>
        </w:rPr>
        <w:t>二、杆塔与设计基础</w:t>
      </w:r>
      <w:r>
        <w:rPr>
          <w:rFonts w:ascii="SimSun" w:hAnsi="SimSun" w:eastAsia="SimSun" w:cs="SimSun"/>
          <w:spacing w:val="41"/>
          <w:sz w:val="17"/>
          <w:szCs w:val="17"/>
        </w:rPr>
        <w:t xml:space="preserve">  </w:t>
      </w:r>
      <w:r>
        <w:rPr>
          <w:rFonts w:ascii="SimSun" w:hAnsi="SimSun" w:eastAsia="SimSun" w:cs="SimSun"/>
          <w:spacing w:val="9"/>
          <w:sz w:val="17"/>
          <w:szCs w:val="17"/>
        </w:rPr>
        <w:t>(1)、水</w:t>
      </w:r>
      <w:r>
        <w:rPr>
          <w:rFonts w:ascii="SimSun" w:hAnsi="SimSun" w:eastAsia="SimSun" w:cs="SimSun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7"/>
          <w:sz w:val="17"/>
          <w:szCs w:val="17"/>
        </w:rPr>
        <w:t>泥杆及埋设深度(未计入地盘厚度)  190*10000埋设深度1700</w:t>
      </w:r>
      <w:r>
        <w:rPr>
          <w:rFonts w:ascii="Times New Roman" w:hAnsi="Times New Roman" w:eastAsia="Times New Roman" w:cs="Times New Roman"/>
          <w:sz w:val="17"/>
          <w:szCs w:val="17"/>
        </w:rPr>
        <w:t>mm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,ø190*12000   </w:t>
      </w:r>
      <w:r>
        <w:rPr>
          <w:rFonts w:ascii="SimSun" w:hAnsi="SimSun" w:eastAsia="SimSun" w:cs="SimSun"/>
          <w:spacing w:val="7"/>
          <w:sz w:val="17"/>
          <w:szCs w:val="17"/>
        </w:rPr>
        <w:t>埋设深度1900</w:t>
      </w:r>
      <w:r>
        <w:rPr>
          <w:rFonts w:ascii="Times New Roman" w:hAnsi="Times New Roman" w:eastAsia="Times New Roman" w:cs="Times New Roman"/>
          <w:sz w:val="17"/>
          <w:szCs w:val="17"/>
        </w:rPr>
        <w:t>mm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,   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   190*15000</w:t>
      </w:r>
    </w:p>
    <w:p w14:paraId="08D1C506">
      <w:pPr>
        <w:spacing w:before="175" w:line="212" w:lineRule="auto"/>
        <w:ind w:left="2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SimSun" w:hAnsi="SimSun" w:eastAsia="SimSun" w:cs="SimSun"/>
          <w:spacing w:val="5"/>
          <w:sz w:val="17"/>
          <w:szCs w:val="17"/>
        </w:rPr>
        <w:t>埋设深度2300</w:t>
      </w:r>
      <w:r>
        <w:rPr>
          <w:rFonts w:ascii="Times New Roman" w:hAnsi="Times New Roman" w:eastAsia="Times New Roman" w:cs="Times New Roman"/>
          <w:sz w:val="17"/>
          <w:szCs w:val="17"/>
        </w:rPr>
        <w:t>mm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>;</w:t>
      </w:r>
    </w:p>
    <w:p w14:paraId="55205971">
      <w:pPr>
        <w:spacing w:before="76" w:line="246" w:lineRule="auto"/>
        <w:ind w:left="29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pacing w:val="11"/>
          <w:sz w:val="17"/>
          <w:szCs w:val="17"/>
        </w:rPr>
        <w:t>[4]综合以上因素，由于农田蓄水在#21杆基础处形成约50</w:t>
      </w:r>
      <w:r>
        <w:rPr>
          <w:rFonts w:ascii="SimSun" w:hAnsi="SimSun" w:eastAsia="SimSun" w:cs="SimSun"/>
          <w:sz w:val="17"/>
          <w:szCs w:val="17"/>
        </w:rPr>
        <w:t>cm</w:t>
      </w:r>
      <w:r>
        <w:rPr>
          <w:rFonts w:ascii="SimSun" w:hAnsi="SimSun" w:eastAsia="SimSun" w:cs="SimSun"/>
          <w:spacing w:val="-25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11"/>
          <w:sz w:val="17"/>
          <w:szCs w:val="17"/>
        </w:rPr>
        <w:t>的淤</w:t>
      </w:r>
      <w:r>
        <w:rPr>
          <w:rFonts w:ascii="SimSun" w:hAnsi="SimSun" w:eastAsia="SimSun" w:cs="SimSun"/>
          <w:spacing w:val="10"/>
          <w:sz w:val="17"/>
          <w:szCs w:val="17"/>
        </w:rPr>
        <w:t>泥层，按照规范扣除非原状土的厚度后，#21</w:t>
      </w:r>
      <w:r>
        <w:rPr>
          <w:rFonts w:ascii="SimSun" w:hAnsi="SimSun" w:eastAsia="SimSun" w:cs="SimSun"/>
          <w:sz w:val="17"/>
          <w:szCs w:val="17"/>
        </w:rPr>
        <w:t xml:space="preserve"> </w:t>
      </w:r>
      <w:r>
        <w:rPr>
          <w:rFonts w:ascii="SimSun" w:hAnsi="SimSun" w:eastAsia="SimSun" w:cs="SimSun"/>
          <w:spacing w:val="6"/>
          <w:sz w:val="17"/>
          <w:szCs w:val="17"/>
        </w:rPr>
        <w:t>杆</w:t>
      </w:r>
      <w:r>
        <w:rPr>
          <w:rFonts w:ascii="SimSun" w:hAnsi="SimSun" w:eastAsia="SimSun" w:cs="SimSun"/>
          <w:color w:val="404050"/>
          <w:spacing w:val="-31"/>
          <w:position w:val="-5"/>
          <w:sz w:val="3"/>
          <w:szCs w:val="3"/>
        </w:rPr>
        <w:t>—</w:t>
      </w:r>
      <w:r>
        <w:rPr>
          <w:rFonts w:ascii="SimSun" w:hAnsi="SimSun" w:eastAsia="SimSun" w:cs="SimSun"/>
          <w:color w:val="404050"/>
          <w:spacing w:val="2"/>
          <w:position w:val="-5"/>
          <w:sz w:val="3"/>
          <w:szCs w:val="3"/>
        </w:rPr>
        <w:t xml:space="preserve">  </w:t>
      </w:r>
      <w:r>
        <w:rPr>
          <w:rFonts w:ascii="SimSun" w:hAnsi="SimSun" w:eastAsia="SimSun" w:cs="SimSun"/>
          <w:spacing w:val="6"/>
          <w:sz w:val="17"/>
          <w:szCs w:val="17"/>
        </w:rPr>
        <w:t>的抗拔能力无法满足设计要求。</w:t>
      </w:r>
    </w:p>
    <w:p w14:paraId="02458385">
      <w:pPr>
        <w:spacing w:line="246" w:lineRule="auto"/>
        <w:rPr>
          <w:rFonts w:ascii="SimSun" w:hAnsi="SimSun" w:eastAsia="SimSun" w:cs="SimSun"/>
          <w:sz w:val="17"/>
          <w:szCs w:val="17"/>
        </w:rPr>
        <w:sectPr>
          <w:footerReference r:id="rId16" w:type="default"/>
          <w:pgSz w:w="11900" w:h="16830"/>
          <w:pgMar w:top="1430" w:right="1442" w:bottom="1620" w:left="1740" w:header="0" w:footer="1487" w:gutter="0"/>
          <w:cols w:space="720" w:num="1"/>
        </w:sectPr>
      </w:pPr>
    </w:p>
    <w:p w14:paraId="4093DBC2">
      <w:pPr>
        <w:spacing w:line="352" w:lineRule="auto"/>
        <w:rPr>
          <w:rFonts w:ascii="Arial"/>
          <w:sz w:val="21"/>
        </w:rPr>
      </w:pPr>
    </w:p>
    <w:p w14:paraId="668EAD86">
      <w:pPr>
        <w:spacing w:line="353" w:lineRule="auto"/>
        <w:rPr>
          <w:rFonts w:ascii="Arial"/>
          <w:sz w:val="21"/>
        </w:rPr>
      </w:pPr>
    </w:p>
    <w:p w14:paraId="70C317EF">
      <w:pPr>
        <w:spacing w:line="8850" w:lineRule="exact"/>
        <w:ind w:firstLine="245"/>
      </w:pPr>
      <w:r>
        <w:rPr>
          <w:position w:val="-177"/>
        </w:rPr>
        <w:drawing>
          <wp:inline distT="0" distB="0" distL="0" distR="0">
            <wp:extent cx="5574665" cy="561975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575261" cy="561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DE0B0">
      <w:pPr>
        <w:pStyle w:val="2"/>
        <w:spacing w:before="243" w:line="222" w:lineRule="auto"/>
        <w:ind w:left="2339"/>
      </w:pPr>
      <w:r>
        <w:rPr>
          <w:b/>
          <w:bCs/>
          <w:spacing w:val="19"/>
        </w:rPr>
        <w:t>图1</w:t>
      </w:r>
      <w:r>
        <w:rPr>
          <w:spacing w:val="85"/>
        </w:rPr>
        <w:t xml:space="preserve"> </w:t>
      </w:r>
      <w:r>
        <w:rPr>
          <w:b/>
          <w:bCs/>
          <w:spacing w:val="19"/>
        </w:rPr>
        <w:t>#21杆位置示意图</w:t>
      </w:r>
    </w:p>
    <w:p w14:paraId="5DD8C5EB">
      <w:pPr>
        <w:spacing w:line="222" w:lineRule="auto"/>
        <w:sectPr>
          <w:footerReference r:id="rId17" w:type="default"/>
          <w:pgSz w:w="11900" w:h="16830"/>
          <w:pgMar w:top="1430" w:right="1090" w:bottom="1696" w:left="1785" w:header="0" w:footer="1294" w:gutter="0"/>
          <w:cols w:space="720" w:num="1"/>
        </w:sectPr>
      </w:pPr>
    </w:p>
    <w:p w14:paraId="3FD37B15">
      <w:pPr>
        <w:spacing w:line="292" w:lineRule="auto"/>
        <w:rPr>
          <w:rFonts w:ascii="Arial"/>
          <w:sz w:val="21"/>
        </w:rPr>
      </w:pPr>
    </w:p>
    <w:p w14:paraId="2A806067">
      <w:pPr>
        <w:spacing w:line="293" w:lineRule="auto"/>
        <w:rPr>
          <w:rFonts w:ascii="Arial"/>
          <w:sz w:val="21"/>
        </w:rPr>
      </w:pPr>
    </w:p>
    <w:p w14:paraId="6FF4BA4D">
      <w:pPr>
        <w:spacing w:line="12080" w:lineRule="exact"/>
        <w:ind w:firstLine="1745"/>
      </w:pPr>
      <w:r>
        <w:rPr>
          <w:position w:val="-241"/>
        </w:rPr>
        <w:drawing>
          <wp:inline distT="0" distB="0" distL="0" distR="0">
            <wp:extent cx="3721100" cy="76708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721122" cy="767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7B22">
      <w:pPr>
        <w:spacing w:line="12080" w:lineRule="exact"/>
        <w:sectPr>
          <w:footerReference r:id="rId18" w:type="default"/>
          <w:pgSz w:w="11900" w:h="16830"/>
          <w:pgMar w:top="1430" w:right="1785" w:bottom="1734" w:left="1785" w:header="0" w:footer="1317" w:gutter="0"/>
          <w:cols w:space="720" w:num="1"/>
        </w:sectPr>
      </w:pPr>
    </w:p>
    <w:p w14:paraId="2ABA125C">
      <w:pPr>
        <w:spacing w:line="242" w:lineRule="auto"/>
        <w:rPr>
          <w:rFonts w:ascii="Arial"/>
          <w:sz w:val="21"/>
        </w:rPr>
      </w:pPr>
    </w:p>
    <w:p w14:paraId="272C3FB5">
      <w:pPr>
        <w:spacing w:line="243" w:lineRule="auto"/>
        <w:rPr>
          <w:rFonts w:ascii="Arial"/>
          <w:sz w:val="21"/>
        </w:rPr>
      </w:pPr>
    </w:p>
    <w:p w14:paraId="306EC79F">
      <w:pPr>
        <w:spacing w:line="243" w:lineRule="auto"/>
        <w:rPr>
          <w:rFonts w:ascii="Arial"/>
          <w:sz w:val="21"/>
        </w:rPr>
      </w:pPr>
    </w:p>
    <w:p w14:paraId="71ED15B1">
      <w:pPr>
        <w:pStyle w:val="2"/>
        <w:spacing w:before="100" w:line="222" w:lineRule="auto"/>
        <w:ind w:left="834"/>
        <w:outlineLvl w:val="1"/>
      </w:pPr>
      <w:bookmarkStart w:id="18" w:name="bookmark13"/>
      <w:bookmarkEnd w:id="18"/>
      <w:bookmarkStart w:id="19" w:name="bookmark30"/>
      <w:bookmarkEnd w:id="19"/>
      <w:r>
        <w:rPr>
          <w:b/>
          <w:bCs/>
          <w:spacing w:val="20"/>
        </w:rPr>
        <w:t>(二)事故间接原因分析</w:t>
      </w:r>
    </w:p>
    <w:p w14:paraId="5808A757">
      <w:pPr>
        <w:pStyle w:val="2"/>
        <w:spacing w:before="189" w:line="328" w:lineRule="auto"/>
        <w:ind w:right="112" w:firstLine="670"/>
        <w:jc w:val="both"/>
      </w:pPr>
      <w:r>
        <w:rPr>
          <w:spacing w:val="16"/>
        </w:rPr>
        <w:t xml:space="preserve">顺昌新业公司浦城项目部从业人员风险辨识能力不足，4 </w:t>
      </w:r>
      <w:r>
        <w:rPr>
          <w:spacing w:val="23"/>
        </w:rPr>
        <w:t>月28日及4月29日公司连续在九牧镇黎处村10</w:t>
      </w:r>
      <w:r>
        <w:rPr>
          <w:rFonts w:ascii="Arial" w:hAnsi="Arial" w:eastAsia="Arial" w:cs="Arial"/>
        </w:rPr>
        <w:t>kv</w:t>
      </w:r>
      <w:r>
        <w:rPr>
          <w:rFonts w:ascii="Arial" w:hAnsi="Arial" w:eastAsia="Arial" w:cs="Arial"/>
          <w:spacing w:val="23"/>
        </w:rPr>
        <w:t xml:space="preserve"> </w:t>
      </w:r>
      <w:r>
        <w:rPr>
          <w:spacing w:val="23"/>
        </w:rPr>
        <w:t>黄毕线黎处</w:t>
      </w:r>
      <w:r>
        <w:rPr>
          <w:spacing w:val="2"/>
        </w:rPr>
        <w:t xml:space="preserve"> </w:t>
      </w:r>
      <w:r>
        <w:rPr>
          <w:spacing w:val="10"/>
        </w:rPr>
        <w:t>支线实施作业，班组负责人及员工皆未意识到农田蓄水所形成</w:t>
      </w:r>
      <w:r>
        <w:t xml:space="preserve"> </w:t>
      </w:r>
      <w:r>
        <w:rPr>
          <w:spacing w:val="6"/>
        </w:rPr>
        <w:t>的事故风险；顺昌新业公司浦城项目部安全隐患制度不落实，</w:t>
      </w:r>
    </w:p>
    <w:p w14:paraId="312B70E7">
      <w:pPr>
        <w:pStyle w:val="2"/>
        <w:spacing w:line="327" w:lineRule="auto"/>
        <w:ind w:right="124"/>
        <w:jc w:val="both"/>
      </w:pPr>
      <w:r>
        <w:rPr>
          <w:spacing w:val="9"/>
        </w:rPr>
        <w:t>该项目于2023年末完成所有电杆的设立，由于补偿问题停工，</w:t>
      </w:r>
      <w:r>
        <w:rPr>
          <w:spacing w:val="12"/>
        </w:rPr>
        <w:t xml:space="preserve"> </w:t>
      </w:r>
      <w:r>
        <w:rPr>
          <w:spacing w:val="16"/>
        </w:rPr>
        <w:t>2025年4月重新开工后顺昌新业公司浦</w:t>
      </w:r>
      <w:r>
        <w:rPr>
          <w:spacing w:val="15"/>
        </w:rPr>
        <w:t>城项目部未组织全面的</w:t>
      </w:r>
      <w:r>
        <w:t xml:space="preserve"> </w:t>
      </w:r>
      <w:r>
        <w:rPr>
          <w:spacing w:val="10"/>
        </w:rPr>
        <w:t>隐患排查工作；顺昌新业公司浦城项目部对</w:t>
      </w:r>
      <w:r>
        <w:rPr>
          <w:spacing w:val="9"/>
        </w:rPr>
        <w:t>高空作业仅停留在</w:t>
      </w:r>
      <w:r>
        <w:t xml:space="preserve"> </w:t>
      </w:r>
      <w:r>
        <w:rPr>
          <w:spacing w:val="5"/>
        </w:rPr>
        <w:t>作业证件审核，未组织作业审批工作。</w:t>
      </w:r>
    </w:p>
    <w:p w14:paraId="7A734C09">
      <w:pPr>
        <w:spacing w:before="60" w:line="222" w:lineRule="auto"/>
        <w:ind w:left="674"/>
        <w:outlineLvl w:val="0"/>
        <w:rPr>
          <w:rFonts w:ascii="SimHei" w:hAnsi="SimHei" w:eastAsia="SimHei" w:cs="SimHei"/>
          <w:sz w:val="31"/>
          <w:szCs w:val="31"/>
        </w:rPr>
      </w:pPr>
      <w:bookmarkStart w:id="20" w:name="bookmark14"/>
      <w:bookmarkEnd w:id="20"/>
      <w:r>
        <w:rPr>
          <w:rFonts w:ascii="SimHei" w:hAnsi="SimHei" w:eastAsia="SimHei" w:cs="SimHei"/>
          <w:b/>
          <w:bCs/>
          <w:spacing w:val="3"/>
          <w:sz w:val="31"/>
          <w:szCs w:val="31"/>
        </w:rPr>
        <w:t>四、事故有关单位存在的主要问题</w:t>
      </w:r>
    </w:p>
    <w:p w14:paraId="30935BD7">
      <w:pPr>
        <w:pStyle w:val="2"/>
        <w:spacing w:before="197" w:line="222" w:lineRule="auto"/>
        <w:ind w:left="594"/>
        <w:outlineLvl w:val="1"/>
      </w:pPr>
      <w:bookmarkStart w:id="21" w:name="bookmark15"/>
      <w:bookmarkEnd w:id="21"/>
      <w:r>
        <w:rPr>
          <w:b/>
          <w:bCs/>
          <w:spacing w:val="14"/>
        </w:rPr>
        <w:t>(一)福建省顺昌新业电力工程有限公司</w:t>
      </w:r>
    </w:p>
    <w:p w14:paraId="1010DE48">
      <w:pPr>
        <w:pStyle w:val="2"/>
        <w:spacing w:before="142" w:line="284" w:lineRule="auto"/>
        <w:ind w:right="423" w:firstLine="670"/>
      </w:pPr>
      <w:r>
        <w:rPr>
          <w:rFonts w:ascii="SimSun" w:hAnsi="SimSun" w:eastAsia="SimSun" w:cs="SimSun"/>
          <w:spacing w:val="10"/>
        </w:rPr>
        <w:t>1.</w:t>
      </w:r>
      <w:r>
        <w:rPr>
          <w:spacing w:val="10"/>
        </w:rPr>
        <w:t>顺昌新业公司全员安全生产责任制落实不到位，顺昌</w:t>
      </w:r>
      <w:r>
        <w:rPr>
          <w:spacing w:val="4"/>
        </w:rPr>
        <w:t xml:space="preserve"> </w:t>
      </w:r>
      <w:r>
        <w:rPr>
          <w:spacing w:val="12"/>
        </w:rPr>
        <w:t>新业公司与浦城项目部签订安全生产目标责任制后，未</w:t>
      </w:r>
      <w:r>
        <w:rPr>
          <w:spacing w:val="11"/>
        </w:rPr>
        <w:t>督促</w:t>
      </w:r>
      <w:r>
        <w:t xml:space="preserve"> </w:t>
      </w:r>
      <w:r>
        <w:rPr>
          <w:spacing w:val="10"/>
        </w:rPr>
        <w:t>浦城项目部建立健全全员安全生产责任制及考核工作，顺昌</w:t>
      </w:r>
      <w:r>
        <w:rPr>
          <w:spacing w:val="4"/>
        </w:rPr>
        <w:t xml:space="preserve"> </w:t>
      </w:r>
      <w:r>
        <w:rPr>
          <w:spacing w:val="11"/>
        </w:rPr>
        <w:t>新业公司浦城项目部安全组织架构混乱，各岗位安全职责不</w:t>
      </w:r>
      <w:r>
        <w:t xml:space="preserve"> </w:t>
      </w:r>
      <w:r>
        <w:rPr>
          <w:spacing w:val="15"/>
        </w:rPr>
        <w:t>清。顺昌新业公司浦城项目部在2025年4月份恢复作业后未</w:t>
      </w:r>
      <w:r>
        <w:rPr>
          <w:spacing w:val="14"/>
        </w:rPr>
        <w:t xml:space="preserve"> </w:t>
      </w:r>
      <w:r>
        <w:rPr>
          <w:spacing w:val="9"/>
        </w:rPr>
        <w:t>对10</w:t>
      </w:r>
      <w:r>
        <w:rPr>
          <w:rFonts w:ascii="Times New Roman" w:hAnsi="Times New Roman" w:eastAsia="Times New Roman" w:cs="Times New Roman"/>
        </w:rPr>
        <w:t>kv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spacing w:val="9"/>
        </w:rPr>
        <w:t>黄毕线黎处支线架线工作开展作业前的全</w:t>
      </w:r>
      <w:r>
        <w:rPr>
          <w:spacing w:val="8"/>
        </w:rPr>
        <w:t>面事故隐患</w:t>
      </w:r>
      <w:r>
        <w:t xml:space="preserve"> </w:t>
      </w:r>
      <w:r>
        <w:rPr>
          <w:spacing w:val="10"/>
        </w:rPr>
        <w:t>排查工作，未对架线工作的高处作业进行审批，公司各岗位</w:t>
      </w:r>
      <w:r>
        <w:rPr>
          <w:spacing w:val="18"/>
        </w:rPr>
        <w:t xml:space="preserve"> </w:t>
      </w:r>
      <w:r>
        <w:rPr>
          <w:spacing w:val="11"/>
        </w:rPr>
        <w:t>的安全生产责任层层失守，导致事故隐患排查</w:t>
      </w:r>
      <w:r>
        <w:rPr>
          <w:spacing w:val="10"/>
        </w:rPr>
        <w:t>工作未得到落</w:t>
      </w:r>
      <w:r>
        <w:t xml:space="preserve"> </w:t>
      </w:r>
      <w:r>
        <w:rPr>
          <w:spacing w:val="-24"/>
        </w:rPr>
        <w:t>实；</w:t>
      </w:r>
    </w:p>
    <w:p w14:paraId="385F00E4">
      <w:pPr>
        <w:pStyle w:val="2"/>
        <w:spacing w:before="180" w:line="274" w:lineRule="auto"/>
        <w:ind w:right="418" w:firstLine="620"/>
      </w:pPr>
      <w:r>
        <w:rPr>
          <w:spacing w:val="-1"/>
        </w:rPr>
        <w:t>2.顺昌新业公司浦城项目部未按照《安全生产法》第二十</w:t>
      </w:r>
      <w:r>
        <w:rPr>
          <w:spacing w:val="10"/>
        </w:rPr>
        <w:t xml:space="preserve"> </w:t>
      </w:r>
      <w:r>
        <w:rPr>
          <w:spacing w:val="11"/>
        </w:rPr>
        <w:t>一条健全公司安全生产规章制度及操作规程，使用电</w:t>
      </w:r>
      <w:r>
        <w:rPr>
          <w:spacing w:val="10"/>
        </w:rPr>
        <w:t>力系统</w:t>
      </w:r>
      <w:r>
        <w:t xml:space="preserve"> </w:t>
      </w:r>
      <w:r>
        <w:rPr>
          <w:spacing w:val="10"/>
        </w:rPr>
        <w:t>开发的</w:t>
      </w:r>
      <w:r>
        <w:rPr>
          <w:rFonts w:ascii="Times New Roman" w:hAnsi="Times New Roman" w:eastAsia="Times New Roman" w:cs="Times New Roman"/>
        </w:rPr>
        <w:t>SKP</w:t>
      </w:r>
      <w:r>
        <w:rPr>
          <w:rFonts w:ascii="Times New Roman" w:hAnsi="Times New Roman" w:eastAsia="Times New Roman" w:cs="Times New Roman"/>
          <w:spacing w:val="53"/>
        </w:rPr>
        <w:t xml:space="preserve"> </w:t>
      </w:r>
      <w:r>
        <w:rPr>
          <w:spacing w:val="10"/>
        </w:rPr>
        <w:t>系统代替安全培训教育工作，造成公司</w:t>
      </w:r>
      <w:r>
        <w:rPr>
          <w:spacing w:val="9"/>
        </w:rPr>
        <w:t>员工对风</w:t>
      </w:r>
      <w:r>
        <w:t xml:space="preserve"> </w:t>
      </w:r>
      <w:r>
        <w:rPr>
          <w:spacing w:val="11"/>
        </w:rPr>
        <w:t>险隐患的识别能力严重不足，作业当天施工班组负责人、作</w:t>
      </w:r>
      <w:r>
        <w:t xml:space="preserve"> </w:t>
      </w:r>
      <w:r>
        <w:rPr>
          <w:spacing w:val="7"/>
        </w:rPr>
        <w:t>业人员均未辨识出#21杆存在的倒杆风险隐患。</w:t>
      </w:r>
    </w:p>
    <w:p w14:paraId="39B57A96">
      <w:pPr>
        <w:spacing w:before="1" w:line="239" w:lineRule="auto"/>
        <w:ind w:left="7315"/>
        <w:rPr>
          <w:rFonts w:ascii="SimSun" w:hAnsi="SimSun" w:eastAsia="SimSun" w:cs="SimSun"/>
          <w:sz w:val="31"/>
          <w:szCs w:val="31"/>
        </w:rPr>
      </w:pPr>
      <w:r>
        <w:pict>
          <v:shape id="_x0000_s1026" o:spid="_x0000_s1026" o:spt="202" type="#_x0000_t202" style="position:absolute;left:0pt;margin-left:348pt;margin-top:6.3pt;height:12.55pt;width:48.0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E966D17">
                  <w:pPr>
                    <w:spacing w:before="20" w:line="210" w:lineRule="exact"/>
                    <w:ind w:left="20"/>
                    <w:rPr>
                      <w:rFonts w:ascii="SimSun" w:hAnsi="SimSun" w:eastAsia="SimSun" w:cs="SimSun"/>
                      <w:sz w:val="31"/>
                      <w:szCs w:val="31"/>
                    </w:rPr>
                  </w:pPr>
                  <w:r>
                    <w:rPr>
                      <w:rFonts w:ascii="SimSun" w:hAnsi="SimSun" w:eastAsia="SimSun" w:cs="SimSun"/>
                      <w:spacing w:val="-5"/>
                      <w:position w:val="-5"/>
                      <w:sz w:val="31"/>
                      <w:szCs w:val="31"/>
                    </w:rPr>
                    <w:t>—</w:t>
                  </w:r>
                  <w:r>
                    <w:rPr>
                      <w:rFonts w:ascii="SimSun" w:hAnsi="SimSun" w:eastAsia="SimSun" w:cs="SimSun"/>
                      <w:spacing w:val="4"/>
                      <w:position w:val="-5"/>
                      <w:sz w:val="31"/>
                      <w:szCs w:val="31"/>
                    </w:rPr>
                    <w:t xml:space="preserve">  </w:t>
                  </w:r>
                  <w:r>
                    <w:rPr>
                      <w:rFonts w:ascii="SimSun" w:hAnsi="SimSun" w:eastAsia="SimSun" w:cs="SimSun"/>
                      <w:spacing w:val="-5"/>
                      <w:position w:val="-5"/>
                      <w:sz w:val="31"/>
                      <w:szCs w:val="31"/>
                    </w:rPr>
                    <w:t>—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pacing w:val="-9"/>
          <w:sz w:val="31"/>
          <w:szCs w:val="31"/>
        </w:rPr>
        <w:t>15</w:t>
      </w:r>
    </w:p>
    <w:p w14:paraId="4EC1BE0C">
      <w:pPr>
        <w:spacing w:line="239" w:lineRule="auto"/>
        <w:rPr>
          <w:rFonts w:ascii="SimSun" w:hAnsi="SimSun" w:eastAsia="SimSun" w:cs="SimSun"/>
          <w:sz w:val="31"/>
          <w:szCs w:val="31"/>
        </w:rPr>
        <w:sectPr>
          <w:footerReference r:id="rId19" w:type="default"/>
          <w:pgSz w:w="11900" w:h="16830"/>
          <w:pgMar w:top="1430" w:right="1785" w:bottom="400" w:left="1319" w:header="0" w:footer="0" w:gutter="0"/>
          <w:cols w:space="720" w:num="1"/>
        </w:sectPr>
      </w:pPr>
    </w:p>
    <w:p w14:paraId="642ADD12">
      <w:pPr>
        <w:spacing w:line="309" w:lineRule="auto"/>
        <w:rPr>
          <w:rFonts w:ascii="Arial"/>
          <w:sz w:val="21"/>
        </w:rPr>
      </w:pPr>
    </w:p>
    <w:p w14:paraId="1584FBD4">
      <w:pPr>
        <w:spacing w:line="310" w:lineRule="auto"/>
        <w:rPr>
          <w:rFonts w:ascii="Arial"/>
          <w:sz w:val="21"/>
        </w:rPr>
      </w:pPr>
    </w:p>
    <w:p w14:paraId="45DAB5A7">
      <w:pPr>
        <w:pStyle w:val="2"/>
        <w:spacing w:before="98" w:line="285" w:lineRule="auto"/>
        <w:ind w:left="54" w:right="78" w:firstLine="629"/>
        <w:rPr>
          <w:sz w:val="30"/>
          <w:szCs w:val="30"/>
        </w:rPr>
      </w:pPr>
      <w:bookmarkStart w:id="22" w:name="bookmark31"/>
      <w:bookmarkEnd w:id="22"/>
      <w:r>
        <w:rPr>
          <w:rFonts w:ascii="SimSun" w:hAnsi="SimSun" w:eastAsia="SimSun" w:cs="SimSun"/>
          <w:spacing w:val="9"/>
          <w:sz w:val="30"/>
          <w:szCs w:val="30"/>
        </w:rPr>
        <w:t>3.</w:t>
      </w:r>
      <w:r>
        <w:rPr>
          <w:spacing w:val="9"/>
          <w:sz w:val="30"/>
          <w:szCs w:val="30"/>
        </w:rPr>
        <w:t>顺昌新业公司未按照《建设工程安全生产管理条例》第</w:t>
      </w:r>
      <w:r>
        <w:rPr>
          <w:spacing w:val="6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二十三条要求配备专职安全管理人员，两名兼职安全管理人</w:t>
      </w:r>
      <w:r>
        <w:rPr>
          <w:spacing w:val="17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员对自身安全管理职责不清，隐患排查工作浮于表面，未督</w:t>
      </w:r>
      <w:r>
        <w:rPr>
          <w:spacing w:val="18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促施工班组落实高空作业审批制度。</w:t>
      </w:r>
    </w:p>
    <w:p w14:paraId="206CF67A">
      <w:pPr>
        <w:pStyle w:val="2"/>
        <w:spacing w:before="154" w:line="285" w:lineRule="auto"/>
        <w:ind w:left="54" w:firstLine="629"/>
        <w:rPr>
          <w:sz w:val="30"/>
          <w:szCs w:val="30"/>
        </w:rPr>
      </w:pPr>
      <w:r>
        <w:rPr>
          <w:rFonts w:ascii="SimSun" w:hAnsi="SimSun" w:eastAsia="SimSun" w:cs="SimSun"/>
          <w:spacing w:val="8"/>
          <w:sz w:val="30"/>
          <w:szCs w:val="30"/>
        </w:rPr>
        <w:t>4.</w:t>
      </w:r>
      <w:r>
        <w:rPr>
          <w:spacing w:val="8"/>
          <w:sz w:val="30"/>
          <w:szCs w:val="30"/>
        </w:rPr>
        <w:t>违反了国家能源局《防止电力生产事故的二十五项重点</w:t>
      </w:r>
      <w:r>
        <w:rPr>
          <w:spacing w:val="18"/>
          <w:sz w:val="30"/>
          <w:szCs w:val="30"/>
        </w:rPr>
        <w:t xml:space="preserve"> </w:t>
      </w:r>
      <w:r>
        <w:rPr>
          <w:spacing w:val="29"/>
          <w:sz w:val="30"/>
          <w:szCs w:val="30"/>
        </w:rPr>
        <w:t>要求(2023版)》(国能发安全〔2023〕22号)文件的要求，</w:t>
      </w:r>
      <w:r>
        <w:rPr>
          <w:spacing w:val="1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未落实线路施工作业，登杆塔前对塔架、根部、基础、</w:t>
      </w:r>
      <w:r>
        <w:rPr>
          <w:spacing w:val="12"/>
          <w:sz w:val="30"/>
          <w:szCs w:val="30"/>
        </w:rPr>
        <w:t>拉线、</w:t>
      </w:r>
      <w:r>
        <w:rPr>
          <w:sz w:val="30"/>
          <w:szCs w:val="30"/>
        </w:rPr>
        <w:t xml:space="preserve"> </w:t>
      </w:r>
      <w:r>
        <w:rPr>
          <w:spacing w:val="32"/>
          <w:sz w:val="30"/>
          <w:szCs w:val="30"/>
        </w:rPr>
        <w:t>桩锚、地脚螺母(螺栓)等进行全面检查。合格后，方可登</w:t>
      </w:r>
      <w:r>
        <w:rPr>
          <w:spacing w:val="5"/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杆塔作业的要求。</w:t>
      </w:r>
    </w:p>
    <w:p w14:paraId="0F5A2EF9">
      <w:pPr>
        <w:pStyle w:val="2"/>
        <w:spacing w:before="209" w:line="222" w:lineRule="auto"/>
        <w:ind w:left="619"/>
        <w:outlineLvl w:val="1"/>
        <w:rPr>
          <w:sz w:val="30"/>
          <w:szCs w:val="30"/>
        </w:rPr>
      </w:pPr>
      <w:bookmarkStart w:id="23" w:name="bookmark16"/>
      <w:bookmarkEnd w:id="23"/>
      <w:r>
        <w:rPr>
          <w:b/>
          <w:bCs/>
          <w:spacing w:val="31"/>
          <w:sz w:val="30"/>
          <w:szCs w:val="30"/>
        </w:rPr>
        <w:t>(二)浦城县工信部门</w:t>
      </w:r>
    </w:p>
    <w:p w14:paraId="42E9038A">
      <w:pPr>
        <w:pStyle w:val="2"/>
        <w:spacing w:before="162" w:line="302" w:lineRule="auto"/>
        <w:ind w:left="54" w:right="111" w:firstLine="629"/>
        <w:rPr>
          <w:sz w:val="30"/>
          <w:szCs w:val="30"/>
        </w:rPr>
      </w:pPr>
      <w:r>
        <w:rPr>
          <w:spacing w:val="21"/>
          <w:sz w:val="30"/>
          <w:szCs w:val="30"/>
        </w:rPr>
        <w:t>浦城县工信部门作为行业主管部门对电力行业企</w:t>
      </w:r>
      <w:r>
        <w:rPr>
          <w:spacing w:val="20"/>
          <w:sz w:val="30"/>
          <w:szCs w:val="30"/>
        </w:rPr>
        <w:t>业监管</w:t>
      </w:r>
      <w:r>
        <w:rPr>
          <w:sz w:val="30"/>
          <w:szCs w:val="30"/>
        </w:rPr>
        <w:t xml:space="preserve"> </w:t>
      </w:r>
      <w:r>
        <w:rPr>
          <w:spacing w:val="17"/>
          <w:sz w:val="30"/>
          <w:szCs w:val="30"/>
        </w:rPr>
        <w:t>中存在盲区，日常监管重点在浦城县电力公司及电网运行；</w:t>
      </w:r>
      <w:r>
        <w:rPr>
          <w:spacing w:val="6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对电力行业在建工程监管存在缺失，顺昌新业公司浦城项目</w:t>
      </w:r>
      <w:r>
        <w:rPr>
          <w:spacing w:val="3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部安全生产隐患长期存在，企业安全生产主体责任落实不到</w:t>
      </w:r>
      <w:r>
        <w:rPr>
          <w:spacing w:val="17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位问题未得到有效监督。</w:t>
      </w:r>
    </w:p>
    <w:p w14:paraId="5B136E93">
      <w:pPr>
        <w:spacing w:before="74" w:line="221" w:lineRule="auto"/>
        <w:ind w:left="689"/>
        <w:outlineLvl w:val="0"/>
        <w:rPr>
          <w:rFonts w:ascii="SimHei" w:hAnsi="SimHei" w:eastAsia="SimHei" w:cs="SimHei"/>
          <w:sz w:val="30"/>
          <w:szCs w:val="30"/>
        </w:rPr>
      </w:pPr>
      <w:bookmarkStart w:id="24" w:name="bookmark17"/>
      <w:bookmarkEnd w:id="24"/>
      <w:r>
        <w:rPr>
          <w:rFonts w:ascii="SimHei" w:hAnsi="SimHei" w:eastAsia="SimHei" w:cs="SimHei"/>
          <w:b/>
          <w:bCs/>
          <w:spacing w:val="10"/>
          <w:sz w:val="30"/>
          <w:szCs w:val="30"/>
        </w:rPr>
        <w:t>五</w:t>
      </w:r>
      <w:r>
        <w:rPr>
          <w:rFonts w:ascii="SimHei" w:hAnsi="SimHei" w:eastAsia="SimHei" w:cs="SimHei"/>
          <w:spacing w:val="-57"/>
          <w:sz w:val="30"/>
          <w:szCs w:val="30"/>
        </w:rPr>
        <w:t xml:space="preserve"> </w:t>
      </w:r>
      <w:r>
        <w:rPr>
          <w:rFonts w:ascii="SimHei" w:hAnsi="SimHei" w:eastAsia="SimHei" w:cs="SimHei"/>
          <w:b/>
          <w:bCs/>
          <w:spacing w:val="10"/>
          <w:sz w:val="30"/>
          <w:szCs w:val="30"/>
        </w:rPr>
        <w:t>、对有关责任人员和责任单位的处理建议</w:t>
      </w:r>
    </w:p>
    <w:p w14:paraId="380DCE19">
      <w:pPr>
        <w:pStyle w:val="2"/>
        <w:spacing w:before="92" w:line="222" w:lineRule="auto"/>
        <w:ind w:left="859"/>
        <w:outlineLvl w:val="1"/>
        <w:rPr>
          <w:sz w:val="30"/>
          <w:szCs w:val="30"/>
        </w:rPr>
      </w:pPr>
      <w:bookmarkStart w:id="25" w:name="bookmark18"/>
      <w:bookmarkEnd w:id="25"/>
      <w:r>
        <w:rPr>
          <w:b/>
          <w:bCs/>
          <w:spacing w:val="24"/>
          <w:sz w:val="30"/>
          <w:szCs w:val="30"/>
        </w:rPr>
        <w:t>(一)事故有关人员责任认定及处理建议</w:t>
      </w:r>
    </w:p>
    <w:p w14:paraId="1DD5094C">
      <w:pPr>
        <w:pStyle w:val="2"/>
        <w:spacing w:before="154" w:line="290" w:lineRule="auto"/>
        <w:ind w:left="54" w:right="109" w:firstLine="629"/>
        <w:rPr>
          <w:sz w:val="30"/>
          <w:szCs w:val="30"/>
        </w:rPr>
      </w:pPr>
      <w:r>
        <w:rPr>
          <w:rFonts w:ascii="SimSun" w:hAnsi="SimSun" w:eastAsia="SimSun" w:cs="SimSun"/>
          <w:spacing w:val="-8"/>
          <w:sz w:val="30"/>
          <w:szCs w:val="30"/>
        </w:rPr>
        <w:t>1.</w:t>
      </w:r>
      <w:r>
        <w:rPr>
          <w:rFonts w:ascii="SimSun" w:hAnsi="SimSun" w:eastAsia="SimSun" w:cs="SimSun"/>
          <w:spacing w:val="-25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吴逢春，男，中共党员，福建省顺昌新业电力工程有限公</w:t>
      </w:r>
      <w:r>
        <w:rPr>
          <w:sz w:val="30"/>
          <w:szCs w:val="30"/>
        </w:rPr>
        <w:t xml:space="preserve"> </w:t>
      </w:r>
      <w:r>
        <w:rPr>
          <w:spacing w:val="-3"/>
          <w:sz w:val="30"/>
          <w:szCs w:val="30"/>
        </w:rPr>
        <w:t>司法人，未履行企业主要负责人安全生产职责</w:t>
      </w:r>
      <w:r>
        <w:rPr>
          <w:spacing w:val="-4"/>
          <w:sz w:val="30"/>
          <w:szCs w:val="30"/>
        </w:rPr>
        <w:t>，违反《中华人民</w:t>
      </w:r>
      <w:r>
        <w:rPr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共和国安全生产法》有关规定，建议由浦城县应急局按照法</w:t>
      </w:r>
      <w:r>
        <w:rPr>
          <w:spacing w:val="18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律法规要求给予相应行政处罚；</w:t>
      </w:r>
    </w:p>
    <w:p w14:paraId="150FDAA4">
      <w:pPr>
        <w:pStyle w:val="2"/>
        <w:spacing w:before="112" w:line="292" w:lineRule="auto"/>
        <w:ind w:left="54" w:right="89" w:firstLine="629"/>
        <w:rPr>
          <w:sz w:val="30"/>
          <w:szCs w:val="30"/>
        </w:rPr>
      </w:pPr>
      <w:r>
        <w:rPr>
          <w:rFonts w:ascii="SimSun" w:hAnsi="SimSun" w:eastAsia="SimSun" w:cs="SimSun"/>
          <w:spacing w:val="-9"/>
          <w:sz w:val="30"/>
          <w:szCs w:val="30"/>
        </w:rPr>
        <w:t xml:space="preserve">2. </w:t>
      </w:r>
      <w:r>
        <w:rPr>
          <w:spacing w:val="-9"/>
          <w:sz w:val="30"/>
          <w:szCs w:val="30"/>
        </w:rPr>
        <w:t>袁剑，男，群众，福建省顺昌新业电力工程有限公司浦城</w:t>
      </w:r>
      <w:r>
        <w:rPr>
          <w:spacing w:val="9"/>
          <w:sz w:val="30"/>
          <w:szCs w:val="30"/>
        </w:rPr>
        <w:t xml:space="preserve"> 项目部负责人，违反了公司安全生产制度相关要求，建</w:t>
      </w:r>
      <w:r>
        <w:rPr>
          <w:spacing w:val="8"/>
          <w:sz w:val="30"/>
          <w:szCs w:val="30"/>
        </w:rPr>
        <w:t>议福建</w:t>
      </w:r>
      <w:r>
        <w:rPr>
          <w:sz w:val="30"/>
          <w:szCs w:val="30"/>
        </w:rPr>
        <w:t xml:space="preserve"> </w:t>
      </w:r>
      <w:r>
        <w:rPr>
          <w:spacing w:val="21"/>
          <w:sz w:val="30"/>
          <w:szCs w:val="30"/>
        </w:rPr>
        <w:t>省顺昌新业电力工程有限公司依照公司规章制度给予相应处</w:t>
      </w:r>
      <w:r>
        <w:rPr>
          <w:spacing w:val="13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理。</w:t>
      </w:r>
    </w:p>
    <w:p w14:paraId="5C7B4FFD">
      <w:pPr>
        <w:pStyle w:val="2"/>
        <w:spacing w:before="101" w:line="221" w:lineRule="auto"/>
        <w:ind w:left="634"/>
        <w:outlineLvl w:val="1"/>
        <w:rPr>
          <w:sz w:val="30"/>
          <w:szCs w:val="30"/>
        </w:rPr>
      </w:pPr>
      <w:bookmarkStart w:id="26" w:name="bookmark19"/>
      <w:bookmarkEnd w:id="26"/>
      <w:r>
        <w:rPr>
          <w:spacing w:val="28"/>
          <w:sz w:val="30"/>
          <w:szCs w:val="30"/>
        </w:rPr>
        <w:t>(二)事故有关单位责任认定及处理建议</w:t>
      </w:r>
    </w:p>
    <w:p w14:paraId="74058055">
      <w:pPr>
        <w:spacing w:line="221" w:lineRule="auto"/>
        <w:rPr>
          <w:sz w:val="30"/>
          <w:szCs w:val="30"/>
        </w:rPr>
        <w:sectPr>
          <w:footerReference r:id="rId20" w:type="default"/>
          <w:pgSz w:w="11900" w:h="16830"/>
          <w:pgMar w:top="1430" w:right="1610" w:bottom="1727" w:left="1785" w:header="0" w:footer="1338" w:gutter="0"/>
          <w:cols w:space="720" w:num="1"/>
        </w:sectPr>
      </w:pPr>
    </w:p>
    <w:p w14:paraId="2815B2CC">
      <w:pPr>
        <w:spacing w:line="309" w:lineRule="auto"/>
        <w:rPr>
          <w:rFonts w:ascii="Arial"/>
          <w:sz w:val="21"/>
        </w:rPr>
      </w:pPr>
    </w:p>
    <w:p w14:paraId="040B97E1">
      <w:pPr>
        <w:spacing w:line="310" w:lineRule="auto"/>
        <w:rPr>
          <w:rFonts w:ascii="Arial"/>
          <w:sz w:val="21"/>
        </w:rPr>
      </w:pPr>
    </w:p>
    <w:p w14:paraId="0341D5C6">
      <w:pPr>
        <w:pStyle w:val="2"/>
        <w:spacing w:before="101" w:line="279" w:lineRule="auto"/>
        <w:ind w:right="431" w:firstLine="670"/>
      </w:pPr>
      <w:bookmarkStart w:id="27" w:name="bookmark32"/>
      <w:bookmarkEnd w:id="27"/>
      <w:r>
        <w:rPr>
          <w:rFonts w:ascii="SimSun" w:hAnsi="SimSun" w:eastAsia="SimSun" w:cs="SimSun"/>
          <w:spacing w:val="6"/>
        </w:rPr>
        <w:t>1.</w:t>
      </w:r>
      <w:r>
        <w:rPr>
          <w:rFonts w:ascii="SimSun" w:hAnsi="SimSun" w:eastAsia="SimSun" w:cs="SimSun"/>
          <w:spacing w:val="-54"/>
        </w:rPr>
        <w:t xml:space="preserve"> </w:t>
      </w:r>
      <w:r>
        <w:rPr>
          <w:spacing w:val="6"/>
        </w:rPr>
        <w:t>福建省顺昌新业电力工程有限公司在公司未依法组织</w:t>
      </w:r>
      <w:r>
        <w:t xml:space="preserve"> </w:t>
      </w:r>
      <w:r>
        <w:rPr>
          <w:spacing w:val="8"/>
        </w:rPr>
        <w:t>安全培训教育、隐患排查不实不细，对事故发生负有责任，</w:t>
      </w:r>
      <w:r>
        <w:rPr>
          <w:spacing w:val="16"/>
        </w:rPr>
        <w:t xml:space="preserve"> </w:t>
      </w:r>
      <w:r>
        <w:rPr>
          <w:spacing w:val="10"/>
        </w:rPr>
        <w:t>违反《中华人民共和国安全生产法》有关规定，建议由浦城</w:t>
      </w:r>
      <w:r>
        <w:rPr>
          <w:spacing w:val="18"/>
        </w:rPr>
        <w:t xml:space="preserve"> </w:t>
      </w:r>
      <w:r>
        <w:rPr>
          <w:spacing w:val="4"/>
        </w:rPr>
        <w:t>县应急局按照法律法规要求给予相应行政处罚；</w:t>
      </w:r>
    </w:p>
    <w:p w14:paraId="53707C9A">
      <w:pPr>
        <w:pStyle w:val="2"/>
        <w:spacing w:before="137" w:line="264" w:lineRule="auto"/>
        <w:ind w:right="391" w:firstLine="670"/>
      </w:pPr>
      <w:r>
        <w:rPr>
          <w:rFonts w:ascii="SimSun" w:hAnsi="SimSun" w:eastAsia="SimSun" w:cs="SimSun"/>
          <w:spacing w:val="7"/>
        </w:rPr>
        <w:t>2.</w:t>
      </w:r>
      <w:r>
        <w:rPr>
          <w:rFonts w:ascii="SimSun" w:hAnsi="SimSun" w:eastAsia="SimSun" w:cs="SimSun"/>
          <w:spacing w:val="-39"/>
        </w:rPr>
        <w:t xml:space="preserve"> </w:t>
      </w:r>
      <w:r>
        <w:rPr>
          <w:spacing w:val="7"/>
        </w:rPr>
        <w:t>浦城县工信部门在对电力行业监管中存在盲区，对在</w:t>
      </w:r>
      <w:r>
        <w:t xml:space="preserve"> </w:t>
      </w:r>
      <w:r>
        <w:rPr>
          <w:spacing w:val="10"/>
        </w:rPr>
        <w:t>建项目存在的安全隐患监督管理不到位，建议浦城县工信局</w:t>
      </w:r>
      <w:r>
        <w:t xml:space="preserve"> 向浦城县政府作出深刻检查。</w:t>
      </w:r>
    </w:p>
    <w:p w14:paraId="46FED169">
      <w:pPr>
        <w:spacing w:before="139" w:line="221" w:lineRule="auto"/>
        <w:ind w:left="674"/>
        <w:outlineLvl w:val="0"/>
        <w:rPr>
          <w:rFonts w:ascii="SimHei" w:hAnsi="SimHei" w:eastAsia="SimHei" w:cs="SimHei"/>
          <w:sz w:val="31"/>
          <w:szCs w:val="31"/>
        </w:rPr>
      </w:pPr>
      <w:bookmarkStart w:id="28" w:name="bookmark20"/>
      <w:bookmarkEnd w:id="28"/>
      <w:r>
        <w:rPr>
          <w:rFonts w:ascii="SimHei" w:hAnsi="SimHei" w:eastAsia="SimHei" w:cs="SimHei"/>
          <w:b/>
          <w:bCs/>
          <w:spacing w:val="5"/>
          <w:sz w:val="31"/>
          <w:szCs w:val="31"/>
        </w:rPr>
        <w:t>六、事故整改和防范措施</w:t>
      </w:r>
    </w:p>
    <w:p w14:paraId="1447688E">
      <w:pPr>
        <w:pStyle w:val="2"/>
        <w:spacing w:before="164" w:line="222" w:lineRule="auto"/>
        <w:ind w:left="810"/>
        <w:outlineLvl w:val="1"/>
      </w:pPr>
      <w:bookmarkStart w:id="29" w:name="bookmark21"/>
      <w:bookmarkEnd w:id="29"/>
      <w:r>
        <w:rPr>
          <w:spacing w:val="19"/>
        </w:rPr>
        <w:t>(一)福建省顺昌新业电力工程有限公司应深刻吸取事</w:t>
      </w:r>
    </w:p>
    <w:p w14:paraId="6ED11B39">
      <w:pPr>
        <w:pStyle w:val="2"/>
        <w:spacing w:before="108" w:line="292" w:lineRule="auto"/>
        <w:ind w:right="422"/>
        <w:jc w:val="both"/>
      </w:pPr>
      <w:r>
        <w:rPr>
          <w:spacing w:val="2"/>
        </w:rPr>
        <w:t>故教训，全面排查整治公司安全生产管理中的薄弱环节。</w:t>
      </w:r>
      <w:r>
        <w:rPr>
          <w:spacing w:val="97"/>
        </w:rPr>
        <w:t xml:space="preserve"> </w:t>
      </w:r>
      <w:r>
        <w:rPr>
          <w:spacing w:val="2"/>
        </w:rPr>
        <w:t>一</w:t>
      </w:r>
      <w:r>
        <w:t xml:space="preserve"> </w:t>
      </w:r>
      <w:r>
        <w:rPr>
          <w:spacing w:val="10"/>
        </w:rPr>
        <w:t>是公司应当弘扬“人民至上、生命至上”的安</w:t>
      </w:r>
      <w:r>
        <w:rPr>
          <w:spacing w:val="9"/>
        </w:rPr>
        <w:t>全生产文化，</w:t>
      </w:r>
      <w:r>
        <w:t xml:space="preserve"> </w:t>
      </w:r>
      <w:r>
        <w:rPr>
          <w:spacing w:val="11"/>
        </w:rPr>
        <w:t>建立健全公司全员安全生产责任制，明确各级管理人员和作</w:t>
      </w:r>
      <w:r>
        <w:t xml:space="preserve"> </w:t>
      </w:r>
      <w:r>
        <w:rPr>
          <w:spacing w:val="11"/>
        </w:rPr>
        <w:t>业人员的安全职责，并落实考核制度，确保安全生产责任层</w:t>
      </w:r>
      <w:r>
        <w:rPr>
          <w:spacing w:val="17"/>
        </w:rPr>
        <w:t xml:space="preserve"> </w:t>
      </w:r>
      <w:r>
        <w:rPr>
          <w:spacing w:val="11"/>
        </w:rPr>
        <w:t>层落实。同时，要依法依规开展安全培训教育工作，提高员</w:t>
      </w:r>
      <w:r>
        <w:rPr>
          <w:spacing w:val="4"/>
        </w:rPr>
        <w:t xml:space="preserve"> </w:t>
      </w:r>
      <w:r>
        <w:rPr>
          <w:spacing w:val="11"/>
        </w:rPr>
        <w:t>工对风险隐患的识别能力和应急处置能力，确保每位员工都</w:t>
      </w:r>
      <w:r>
        <w:rPr>
          <w:spacing w:val="1"/>
        </w:rPr>
        <w:t xml:space="preserve"> </w:t>
      </w:r>
      <w:r>
        <w:rPr>
          <w:spacing w:val="12"/>
        </w:rPr>
        <w:t>具备必要的安全知识和技能。二是公司应当完善高</w:t>
      </w:r>
      <w:r>
        <w:rPr>
          <w:spacing w:val="11"/>
        </w:rPr>
        <w:t>处作业审</w:t>
      </w:r>
      <w:r>
        <w:t xml:space="preserve"> </w:t>
      </w:r>
      <w:r>
        <w:rPr>
          <w:spacing w:val="11"/>
        </w:rPr>
        <w:t>批流程，登杆作业前作业人员及作业审批人员应当按照规定</w:t>
      </w:r>
      <w:r>
        <w:rPr>
          <w:spacing w:val="14"/>
        </w:rPr>
        <w:t xml:space="preserve"> </w:t>
      </w:r>
      <w:r>
        <w:rPr>
          <w:spacing w:val="12"/>
        </w:rPr>
        <w:t>检查杆根基础是否牢固、拉线是否完好，并由审批人员签字</w:t>
      </w:r>
      <w:r>
        <w:t xml:space="preserve"> </w:t>
      </w:r>
      <w:r>
        <w:rPr>
          <w:spacing w:val="12"/>
        </w:rPr>
        <w:t>确认。紧线、拉线前应当再次检查桩锚、杆塔及拉线，</w:t>
      </w:r>
      <w:r>
        <w:rPr>
          <w:spacing w:val="11"/>
        </w:rPr>
        <w:t>如有</w:t>
      </w:r>
      <w:r>
        <w:t xml:space="preserve"> </w:t>
      </w:r>
      <w:r>
        <w:rPr>
          <w:spacing w:val="11"/>
        </w:rPr>
        <w:t>必要应当增设临时拉线。三是公司应当按照法律法规要求配</w:t>
      </w:r>
      <w:r>
        <w:rPr>
          <w:spacing w:val="14"/>
        </w:rPr>
        <w:t xml:space="preserve"> </w:t>
      </w:r>
      <w:r>
        <w:rPr>
          <w:spacing w:val="11"/>
        </w:rPr>
        <w:t>备专职安全管理人员，落实公司工作环节风险辨识及作业过</w:t>
      </w:r>
      <w:r>
        <w:rPr>
          <w:spacing w:val="18"/>
        </w:rPr>
        <w:t xml:space="preserve"> </w:t>
      </w:r>
      <w:r>
        <w:rPr>
          <w:spacing w:val="3"/>
        </w:rPr>
        <w:t>程中的事故隐患治理工作，防范事故发生。</w:t>
      </w:r>
    </w:p>
    <w:p w14:paraId="7EFC0B3D">
      <w:pPr>
        <w:pStyle w:val="2"/>
        <w:spacing w:before="106" w:line="292" w:lineRule="auto"/>
        <w:ind w:right="424" w:firstLine="784"/>
        <w:jc w:val="both"/>
      </w:pPr>
      <w:r>
        <w:rPr>
          <w:b/>
          <w:bCs/>
          <w:spacing w:val="13"/>
        </w:rPr>
        <w:t>(二)县工信部门应当加强电力施工项目的监管力度，</w:t>
      </w:r>
      <w:r>
        <w:rPr>
          <w:spacing w:val="5"/>
        </w:rPr>
        <w:t xml:space="preserve"> </w:t>
      </w:r>
      <w:r>
        <w:rPr>
          <w:b/>
          <w:bCs/>
          <w:spacing w:val="4"/>
        </w:rPr>
        <w:t>完善对电力行业企业的监管体系。</w:t>
      </w:r>
      <w:r>
        <w:rPr>
          <w:spacing w:val="4"/>
        </w:rPr>
        <w:t xml:space="preserve"> 县工信部门要加强</w:t>
      </w:r>
      <w:r>
        <w:rPr>
          <w:spacing w:val="3"/>
        </w:rPr>
        <w:t>对电力</w:t>
      </w:r>
      <w:r>
        <w:t xml:space="preserve"> </w:t>
      </w:r>
      <w:r>
        <w:rPr>
          <w:spacing w:val="11"/>
        </w:rPr>
        <w:t>行业在建项目的日常监管，加强对电力施工企业安全生产条</w:t>
      </w:r>
      <w:r>
        <w:rPr>
          <w:spacing w:val="16"/>
        </w:rPr>
        <w:t xml:space="preserve"> </w:t>
      </w:r>
      <w:r>
        <w:rPr>
          <w:spacing w:val="12"/>
        </w:rPr>
        <w:t>件、资质管理、现场作业、隐患排查治理、</w:t>
      </w:r>
      <w:r>
        <w:rPr>
          <w:spacing w:val="11"/>
        </w:rPr>
        <w:t>安全培训等方面</w:t>
      </w:r>
    </w:p>
    <w:p w14:paraId="09613CA1">
      <w:pPr>
        <w:spacing w:line="292" w:lineRule="auto"/>
        <w:sectPr>
          <w:footerReference r:id="rId21" w:type="default"/>
          <w:pgSz w:w="11900" w:h="16830"/>
          <w:pgMar w:top="1430" w:right="1785" w:bottom="1726" w:left="1319" w:header="0" w:footer="1324" w:gutter="0"/>
          <w:cols w:space="720" w:num="1"/>
        </w:sectPr>
      </w:pPr>
    </w:p>
    <w:p w14:paraId="272683E4">
      <w:pPr>
        <w:spacing w:line="286" w:lineRule="auto"/>
        <w:rPr>
          <w:rFonts w:ascii="Arial"/>
          <w:sz w:val="21"/>
        </w:rPr>
      </w:pPr>
    </w:p>
    <w:p w14:paraId="3F1FB382">
      <w:pPr>
        <w:spacing w:line="286" w:lineRule="auto"/>
        <w:rPr>
          <w:rFonts w:ascii="Arial"/>
          <w:sz w:val="21"/>
        </w:rPr>
      </w:pPr>
    </w:p>
    <w:p w14:paraId="24D0FA88">
      <w:pPr>
        <w:pStyle w:val="2"/>
        <w:spacing w:before="101" w:line="300" w:lineRule="auto"/>
        <w:ind w:right="133"/>
        <w:jc w:val="both"/>
        <w:rPr>
          <w:sz w:val="27"/>
          <w:szCs w:val="27"/>
        </w:rPr>
      </w:pPr>
      <w:bookmarkStart w:id="30" w:name="bookmark33"/>
      <w:bookmarkEnd w:id="30"/>
      <w:r>
        <w:rPr>
          <w:spacing w:val="9"/>
        </w:rPr>
        <w:t>的监督检查力度和频次，及时发现并督促相关企业安全隐患</w:t>
      </w:r>
      <w:r>
        <w:rPr>
          <w:spacing w:val="17"/>
        </w:rPr>
        <w:t xml:space="preserve"> </w:t>
      </w:r>
      <w:r>
        <w:rPr>
          <w:spacing w:val="9"/>
        </w:rPr>
        <w:t>的整改。同时，要加强与住建、消防、县安委办相关部门的</w:t>
      </w:r>
      <w:r>
        <w:rPr>
          <w:spacing w:val="15"/>
        </w:rPr>
        <w:t xml:space="preserve"> </w:t>
      </w:r>
      <w:r>
        <w:rPr>
          <w:spacing w:val="10"/>
        </w:rPr>
        <w:t xml:space="preserve">沟通协调，形成合力，共同推动电力行业安全生产形势持续 </w:t>
      </w:r>
      <w:r>
        <w:rPr>
          <w:spacing w:val="26"/>
          <w:sz w:val="27"/>
          <w:szCs w:val="27"/>
        </w:rPr>
        <w:t>稳定好转。</w:t>
      </w:r>
    </w:p>
    <w:p w14:paraId="1B22C738">
      <w:pPr>
        <w:pStyle w:val="2"/>
        <w:spacing w:before="39" w:line="220" w:lineRule="auto"/>
        <w:jc w:val="right"/>
        <w:outlineLvl w:val="1"/>
      </w:pPr>
      <w:bookmarkStart w:id="31" w:name="bookmark23"/>
      <w:bookmarkEnd w:id="31"/>
      <w:r>
        <w:rPr>
          <w:spacing w:val="9"/>
        </w:rPr>
        <w:t>(三)政府相关部门及属地政府应当加强宣传教育工作，</w:t>
      </w:r>
    </w:p>
    <w:p w14:paraId="3035D1BE">
      <w:pPr>
        <w:pStyle w:val="2"/>
        <w:spacing w:before="132" w:line="299" w:lineRule="auto"/>
        <w:ind w:right="108"/>
        <w:jc w:val="both"/>
      </w:pPr>
      <w:r>
        <w:rPr>
          <w:spacing w:val="5"/>
        </w:rPr>
        <w:t xml:space="preserve">增强群众对电力设施的保护意识。 政府相关部门及属地政府 </w:t>
      </w:r>
      <w:r>
        <w:rPr>
          <w:spacing w:val="10"/>
        </w:rPr>
        <w:t>要加大宣传力度，普及电力设施保护相关法律法规及违法后</w:t>
      </w:r>
      <w:r>
        <w:rPr>
          <w:spacing w:val="15"/>
        </w:rPr>
        <w:t xml:space="preserve"> </w:t>
      </w:r>
      <w:r>
        <w:rPr>
          <w:spacing w:val="4"/>
        </w:rPr>
        <w:t>果，避免群众生产活动对电力基础设施的损害、破坏。</w:t>
      </w:r>
    </w:p>
    <w:p w14:paraId="2F5308E6">
      <w:pPr>
        <w:spacing w:line="340" w:lineRule="auto"/>
        <w:rPr>
          <w:rFonts w:ascii="Arial"/>
          <w:sz w:val="21"/>
        </w:rPr>
      </w:pPr>
    </w:p>
    <w:p w14:paraId="22D3B694">
      <w:pPr>
        <w:spacing w:line="341" w:lineRule="auto"/>
        <w:rPr>
          <w:rFonts w:ascii="Arial"/>
          <w:sz w:val="21"/>
        </w:rPr>
      </w:pPr>
    </w:p>
    <w:p w14:paraId="57375C04">
      <w:pPr>
        <w:pStyle w:val="2"/>
        <w:spacing w:before="100" w:line="260" w:lineRule="auto"/>
        <w:ind w:left="1928" w:right="94" w:hanging="1289"/>
      </w:pPr>
      <w:r>
        <w:rPr>
          <w:spacing w:val="2"/>
        </w:rPr>
        <w:t>附件-1:县政府“4 ·</w:t>
      </w:r>
      <w:r>
        <w:rPr>
          <w:spacing w:val="-115"/>
        </w:rPr>
        <w:t xml:space="preserve"> </w:t>
      </w:r>
      <w:r>
        <w:rPr>
          <w:spacing w:val="2"/>
        </w:rPr>
        <w:t>29”</w:t>
      </w:r>
      <w:r>
        <w:rPr>
          <w:spacing w:val="-117"/>
        </w:rPr>
        <w:t xml:space="preserve"> </w:t>
      </w:r>
      <w:r>
        <w:rPr>
          <w:spacing w:val="2"/>
        </w:rPr>
        <w:t>一般电杆倾倒事故调查报告签</w:t>
      </w:r>
      <w:r>
        <w:t xml:space="preserve"> </w:t>
      </w:r>
      <w:r>
        <w:rPr>
          <w:spacing w:val="-2"/>
        </w:rPr>
        <w:t>到表</w:t>
      </w:r>
    </w:p>
    <w:p w14:paraId="7AD1C88B">
      <w:pPr>
        <w:spacing w:line="260" w:lineRule="auto"/>
        <w:sectPr>
          <w:footerReference r:id="rId22" w:type="default"/>
          <w:pgSz w:w="11900" w:h="16830"/>
          <w:pgMar w:top="1430" w:right="1695" w:bottom="1766" w:left="1740" w:header="0" w:footer="1364" w:gutter="0"/>
          <w:cols w:space="720" w:num="1"/>
        </w:sectPr>
      </w:pPr>
    </w:p>
    <w:p w14:paraId="3DC4C01E">
      <w:pPr>
        <w:spacing w:line="358" w:lineRule="auto"/>
        <w:rPr>
          <w:rFonts w:ascii="Arial"/>
          <w:sz w:val="21"/>
        </w:rPr>
      </w:pPr>
    </w:p>
    <w:p w14:paraId="17ABA0BE">
      <w:pPr>
        <w:spacing w:line="358" w:lineRule="auto"/>
        <w:rPr>
          <w:rFonts w:ascii="Arial"/>
          <w:sz w:val="21"/>
        </w:rPr>
      </w:pPr>
    </w:p>
    <w:p w14:paraId="09D5AB08">
      <w:pPr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b/>
          <w:bCs/>
          <w:spacing w:val="-1"/>
          <w:sz w:val="31"/>
          <w:szCs w:val="31"/>
        </w:rPr>
        <w:t>附件</w:t>
      </w:r>
    </w:p>
    <w:p w14:paraId="5212035A">
      <w:pPr>
        <w:spacing w:line="274" w:lineRule="auto"/>
        <w:rPr>
          <w:rFonts w:ascii="Arial"/>
          <w:sz w:val="21"/>
        </w:rPr>
      </w:pPr>
    </w:p>
    <w:p w14:paraId="47CBB39E">
      <w:pPr>
        <w:spacing w:line="274" w:lineRule="auto"/>
        <w:rPr>
          <w:rFonts w:ascii="Arial"/>
          <w:sz w:val="21"/>
        </w:rPr>
      </w:pPr>
    </w:p>
    <w:p w14:paraId="120F3EC1">
      <w:pPr>
        <w:spacing w:line="274" w:lineRule="auto"/>
        <w:rPr>
          <w:rFonts w:ascii="Arial"/>
          <w:sz w:val="21"/>
        </w:rPr>
      </w:pPr>
    </w:p>
    <w:p w14:paraId="795910DB">
      <w:pPr>
        <w:spacing w:before="101" w:line="296" w:lineRule="auto"/>
        <w:ind w:left="3718" w:right="1277" w:hanging="2689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b/>
          <w:bCs/>
          <w:spacing w:val="3"/>
          <w:sz w:val="31"/>
          <w:szCs w:val="31"/>
        </w:rPr>
        <w:t>县政府“4</w:t>
      </w:r>
      <w:r>
        <w:rPr>
          <w:rFonts w:ascii="SimSun" w:hAnsi="SimSun" w:eastAsia="SimSun" w:cs="SimSun"/>
          <w:spacing w:val="3"/>
          <w:sz w:val="31"/>
          <w:szCs w:val="31"/>
        </w:rPr>
        <w:t xml:space="preserve"> </w:t>
      </w:r>
      <w:r>
        <w:rPr>
          <w:rFonts w:ascii="SimSun" w:hAnsi="SimSun" w:eastAsia="SimSun" w:cs="SimSun"/>
          <w:b/>
          <w:bCs/>
          <w:spacing w:val="3"/>
          <w:sz w:val="31"/>
          <w:szCs w:val="31"/>
        </w:rPr>
        <w:t>·</w:t>
      </w:r>
      <w:r>
        <w:rPr>
          <w:rFonts w:ascii="SimSun" w:hAnsi="SimSun" w:eastAsia="SimSun" w:cs="SimSun"/>
          <w:spacing w:val="-118"/>
          <w:sz w:val="31"/>
          <w:szCs w:val="31"/>
        </w:rPr>
        <w:t xml:space="preserve"> </w:t>
      </w:r>
      <w:r>
        <w:rPr>
          <w:rFonts w:ascii="SimSun" w:hAnsi="SimSun" w:eastAsia="SimSun" w:cs="SimSun"/>
          <w:b/>
          <w:bCs/>
          <w:spacing w:val="3"/>
          <w:sz w:val="31"/>
          <w:szCs w:val="31"/>
        </w:rPr>
        <w:t>29”一般电杆倾倒事故调查报告</w:t>
      </w:r>
      <w:r>
        <w:rPr>
          <w:rFonts w:ascii="SimSun" w:hAnsi="SimSun" w:eastAsia="SimSun" w:cs="SimSun"/>
          <w:sz w:val="31"/>
          <w:szCs w:val="31"/>
        </w:rPr>
        <w:t xml:space="preserve"> </w:t>
      </w:r>
      <w:r>
        <w:rPr>
          <w:rFonts w:ascii="SimSun" w:hAnsi="SimSun" w:eastAsia="SimSun" w:cs="SimSun"/>
          <w:b/>
          <w:bCs/>
          <w:spacing w:val="15"/>
          <w:sz w:val="31"/>
          <w:szCs w:val="31"/>
        </w:rPr>
        <w:t>签到表</w:t>
      </w:r>
    </w:p>
    <w:p w14:paraId="7C647C77">
      <w:pPr>
        <w:spacing w:before="17"/>
      </w:pPr>
    </w:p>
    <w:p w14:paraId="4F3B42B9">
      <w:pPr>
        <w:spacing w:before="16"/>
      </w:pPr>
    </w:p>
    <w:p w14:paraId="0A835169">
      <w:pPr>
        <w:spacing w:before="16"/>
      </w:pPr>
    </w:p>
    <w:tbl>
      <w:tblPr>
        <w:tblStyle w:val="5"/>
        <w:tblW w:w="6334" w:type="dxa"/>
        <w:tblInd w:w="9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7"/>
        <w:gridCol w:w="1897"/>
        <w:gridCol w:w="1897"/>
        <w:gridCol w:w="1253"/>
      </w:tblGrid>
      <w:tr w14:paraId="7904B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287" w:type="dxa"/>
            <w:vAlign w:val="top"/>
          </w:tcPr>
          <w:p w14:paraId="6BC692B7">
            <w:pPr>
              <w:spacing w:before="53" w:line="217" w:lineRule="auto"/>
              <w:ind w:left="490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14"/>
                <w:sz w:val="23"/>
                <w:szCs w:val="23"/>
              </w:rPr>
              <w:t>姓名</w:t>
            </w:r>
          </w:p>
        </w:tc>
        <w:tc>
          <w:tcPr>
            <w:tcW w:w="1897" w:type="dxa"/>
            <w:vAlign w:val="top"/>
          </w:tcPr>
          <w:p w14:paraId="28C0D92E">
            <w:pPr>
              <w:spacing w:before="54" w:line="216" w:lineRule="auto"/>
              <w:ind w:left="822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-3"/>
                <w:sz w:val="23"/>
                <w:szCs w:val="23"/>
              </w:rPr>
              <w:t>单位</w:t>
            </w:r>
          </w:p>
        </w:tc>
        <w:tc>
          <w:tcPr>
            <w:tcW w:w="1897" w:type="dxa"/>
            <w:vAlign w:val="top"/>
          </w:tcPr>
          <w:p w14:paraId="3C9FBDB3">
            <w:pPr>
              <w:spacing w:before="53" w:line="217" w:lineRule="auto"/>
              <w:ind w:left="795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5"/>
                <w:sz w:val="23"/>
                <w:szCs w:val="23"/>
              </w:rPr>
              <w:t>职务</w:t>
            </w:r>
          </w:p>
        </w:tc>
        <w:tc>
          <w:tcPr>
            <w:tcW w:w="1253" w:type="dxa"/>
            <w:vAlign w:val="top"/>
          </w:tcPr>
          <w:p w14:paraId="4772D6E2">
            <w:pPr>
              <w:spacing w:before="58" w:line="213" w:lineRule="auto"/>
              <w:ind w:left="509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14"/>
                <w:sz w:val="23"/>
                <w:szCs w:val="23"/>
              </w:rPr>
              <w:t>签名</w:t>
            </w:r>
          </w:p>
        </w:tc>
      </w:tr>
      <w:tr w14:paraId="5447D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87" w:type="dxa"/>
            <w:vAlign w:val="top"/>
          </w:tcPr>
          <w:p w14:paraId="2A07A5A0">
            <w:pPr>
              <w:pStyle w:val="6"/>
            </w:pPr>
            <w:r>
              <w:drawing>
                <wp:anchor distT="0" distB="0" distL="0" distR="0" simplePos="0" relativeHeight="251664384" behindDoc="0" locked="0" layoutInCell="1" allowOverlap="1">
                  <wp:simplePos x="0" y="0"/>
                  <wp:positionH relativeFrom="rightMargin">
                    <wp:posOffset>-652780</wp:posOffset>
                  </wp:positionH>
                  <wp:positionV relativeFrom="topMargin">
                    <wp:posOffset>47625</wp:posOffset>
                  </wp:positionV>
                  <wp:extent cx="484505" cy="200660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31" cy="200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7" w:type="dxa"/>
            <w:vAlign w:val="top"/>
          </w:tcPr>
          <w:p w14:paraId="0A9CEB4E">
            <w:pPr>
              <w:spacing w:before="53" w:line="213" w:lineRule="auto"/>
              <w:ind w:left="713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8"/>
                <w:sz w:val="23"/>
                <w:szCs w:val="23"/>
              </w:rPr>
              <w:t>双的</w:t>
            </w:r>
          </w:p>
        </w:tc>
        <w:tc>
          <w:tcPr>
            <w:tcW w:w="1897" w:type="dxa"/>
            <w:vAlign w:val="top"/>
          </w:tcPr>
          <w:p w14:paraId="557F58D6">
            <w:pPr>
              <w:pStyle w:val="6"/>
            </w:pPr>
          </w:p>
        </w:tc>
        <w:tc>
          <w:tcPr>
            <w:tcW w:w="1253" w:type="dxa"/>
            <w:vAlign w:val="top"/>
          </w:tcPr>
          <w:p w14:paraId="351E1090">
            <w:pPr>
              <w:pStyle w:val="6"/>
            </w:pPr>
          </w:p>
        </w:tc>
      </w:tr>
      <w:tr w14:paraId="102D9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87" w:type="dxa"/>
            <w:vAlign w:val="top"/>
          </w:tcPr>
          <w:p w14:paraId="5698965F">
            <w:pPr>
              <w:pStyle w:val="6"/>
            </w:pP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-673100</wp:posOffset>
                  </wp:positionH>
                  <wp:positionV relativeFrom="topMargin">
                    <wp:posOffset>-10795</wp:posOffset>
                  </wp:positionV>
                  <wp:extent cx="530225" cy="279400"/>
                  <wp:effectExtent l="0" t="0" r="0" b="0"/>
                  <wp:wrapNone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84" cy="279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7" w:type="dxa"/>
            <w:vAlign w:val="top"/>
          </w:tcPr>
          <w:p w14:paraId="674D8E0A">
            <w:pPr>
              <w:spacing w:before="60" w:line="216" w:lineRule="auto"/>
              <w:ind w:left="592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6"/>
                <w:sz w:val="23"/>
                <w:szCs w:val="23"/>
              </w:rPr>
              <w:t>庄弟局</w:t>
            </w:r>
          </w:p>
        </w:tc>
        <w:tc>
          <w:tcPr>
            <w:tcW w:w="1897" w:type="dxa"/>
            <w:vAlign w:val="top"/>
          </w:tcPr>
          <w:p w14:paraId="0C2AAC8B">
            <w:pPr>
              <w:pStyle w:val="6"/>
            </w:pPr>
          </w:p>
        </w:tc>
        <w:tc>
          <w:tcPr>
            <w:tcW w:w="1253" w:type="dxa"/>
            <w:vAlign w:val="top"/>
          </w:tcPr>
          <w:p w14:paraId="73A74EF4">
            <w:pPr>
              <w:pStyle w:val="6"/>
            </w:pPr>
          </w:p>
        </w:tc>
      </w:tr>
      <w:tr w14:paraId="7C0F9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87" w:type="dxa"/>
            <w:vAlign w:val="top"/>
          </w:tcPr>
          <w:p w14:paraId="081ACB4A">
            <w:pPr>
              <w:spacing w:line="320" w:lineRule="exact"/>
            </w:pPr>
            <w:r>
              <w:rPr>
                <w:position w:val="-6"/>
              </w:rPr>
              <w:drawing>
                <wp:inline distT="0" distB="0" distL="0" distR="0">
                  <wp:extent cx="570865" cy="20320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495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vAlign w:val="top"/>
          </w:tcPr>
          <w:p w14:paraId="53E1960B">
            <w:pPr>
              <w:spacing w:before="47" w:line="219" w:lineRule="auto"/>
              <w:ind w:left="713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5"/>
                <w:sz w:val="23"/>
                <w:szCs w:val="23"/>
              </w:rPr>
              <w:t>总瑶</w:t>
            </w:r>
          </w:p>
        </w:tc>
        <w:tc>
          <w:tcPr>
            <w:tcW w:w="1897" w:type="dxa"/>
            <w:vAlign w:val="top"/>
          </w:tcPr>
          <w:p w14:paraId="47C9D5CD">
            <w:pPr>
              <w:pStyle w:val="6"/>
            </w:pPr>
          </w:p>
        </w:tc>
        <w:tc>
          <w:tcPr>
            <w:tcW w:w="1253" w:type="dxa"/>
            <w:vAlign w:val="top"/>
          </w:tcPr>
          <w:p w14:paraId="0C40DE64">
            <w:pPr>
              <w:pStyle w:val="6"/>
            </w:pPr>
          </w:p>
        </w:tc>
      </w:tr>
      <w:tr w14:paraId="2DE7C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287" w:type="dxa"/>
            <w:vAlign w:val="top"/>
          </w:tcPr>
          <w:p w14:paraId="13DB77FF">
            <w:pPr>
              <w:spacing w:line="329" w:lineRule="exact"/>
              <w:ind w:firstLine="68"/>
            </w:pPr>
            <w:r>
              <w:rPr>
                <w:position w:val="-6"/>
              </w:rPr>
              <w:drawing>
                <wp:inline distT="0" distB="0" distL="0" distR="0">
                  <wp:extent cx="572135" cy="208915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20" cy="20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vAlign w:val="top"/>
          </w:tcPr>
          <w:p w14:paraId="74C20B07">
            <w:pPr>
              <w:spacing w:before="51" w:line="219" w:lineRule="auto"/>
              <w:ind w:left="592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6"/>
                <w:sz w:val="23"/>
                <w:szCs w:val="23"/>
              </w:rPr>
              <w:t>工信局</w:t>
            </w:r>
          </w:p>
        </w:tc>
        <w:tc>
          <w:tcPr>
            <w:tcW w:w="1897" w:type="dxa"/>
            <w:vAlign w:val="top"/>
          </w:tcPr>
          <w:p w14:paraId="4F36E615">
            <w:pPr>
              <w:pStyle w:val="6"/>
            </w:pPr>
          </w:p>
        </w:tc>
        <w:tc>
          <w:tcPr>
            <w:tcW w:w="1253" w:type="dxa"/>
            <w:vAlign w:val="top"/>
          </w:tcPr>
          <w:p w14:paraId="6FDBE253">
            <w:pPr>
              <w:pStyle w:val="6"/>
            </w:pPr>
          </w:p>
        </w:tc>
      </w:tr>
      <w:tr w14:paraId="473A8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87" w:type="dxa"/>
            <w:vAlign w:val="top"/>
          </w:tcPr>
          <w:p w14:paraId="43602807">
            <w:pPr>
              <w:spacing w:before="75" w:line="204" w:lineRule="auto"/>
              <w:ind w:left="230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-2"/>
                <w:sz w:val="23"/>
                <w:szCs w:val="23"/>
              </w:rPr>
              <w:t>29-2384</w:t>
            </w:r>
          </w:p>
        </w:tc>
        <w:tc>
          <w:tcPr>
            <w:tcW w:w="1897" w:type="dxa"/>
            <w:vAlign w:val="top"/>
          </w:tcPr>
          <w:p w14:paraId="030B8C76">
            <w:pPr>
              <w:spacing w:before="64" w:line="213" w:lineRule="auto"/>
              <w:ind w:left="822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</w:rPr>
              <w:t>应</w:t>
            </w:r>
          </w:p>
        </w:tc>
        <w:tc>
          <w:tcPr>
            <w:tcW w:w="1897" w:type="dxa"/>
            <w:vAlign w:val="top"/>
          </w:tcPr>
          <w:p w14:paraId="2AFEB95A">
            <w:pPr>
              <w:pStyle w:val="6"/>
            </w:pPr>
          </w:p>
        </w:tc>
        <w:tc>
          <w:tcPr>
            <w:tcW w:w="1253" w:type="dxa"/>
            <w:vAlign w:val="top"/>
          </w:tcPr>
          <w:p w14:paraId="7C9BB313">
            <w:pPr>
              <w:pStyle w:val="6"/>
            </w:pPr>
          </w:p>
        </w:tc>
      </w:tr>
      <w:tr w14:paraId="709D7E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87" w:type="dxa"/>
            <w:vAlign w:val="top"/>
          </w:tcPr>
          <w:p w14:paraId="71B6B73F">
            <w:pPr>
              <w:spacing w:before="12" w:line="307" w:lineRule="exact"/>
              <w:ind w:firstLine="248"/>
            </w:pPr>
            <w:r>
              <w:rPr>
                <w:position w:val="-6"/>
              </w:rPr>
              <w:drawing>
                <wp:inline distT="0" distB="0" distL="0" distR="0">
                  <wp:extent cx="554355" cy="194310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669" cy="194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vAlign w:val="top"/>
          </w:tcPr>
          <w:p w14:paraId="1C2C8DE7">
            <w:pPr>
              <w:spacing w:before="43" w:line="221" w:lineRule="auto"/>
              <w:ind w:left="713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10"/>
                <w:sz w:val="23"/>
                <w:szCs w:val="23"/>
              </w:rPr>
              <w:t>立局</w:t>
            </w:r>
          </w:p>
        </w:tc>
        <w:tc>
          <w:tcPr>
            <w:tcW w:w="1897" w:type="dxa"/>
            <w:vAlign w:val="top"/>
          </w:tcPr>
          <w:p w14:paraId="50338D87">
            <w:pPr>
              <w:pStyle w:val="6"/>
            </w:pPr>
          </w:p>
        </w:tc>
        <w:tc>
          <w:tcPr>
            <w:tcW w:w="1253" w:type="dxa"/>
            <w:vAlign w:val="top"/>
          </w:tcPr>
          <w:p w14:paraId="0F55FBEA">
            <w:pPr>
              <w:pStyle w:val="6"/>
            </w:pPr>
          </w:p>
        </w:tc>
      </w:tr>
      <w:tr w14:paraId="4BBE4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87" w:type="dxa"/>
            <w:vAlign w:val="top"/>
          </w:tcPr>
          <w:p w14:paraId="52748771">
            <w:pPr>
              <w:pStyle w:val="6"/>
            </w:pPr>
            <w: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-685165</wp:posOffset>
                  </wp:positionH>
                  <wp:positionV relativeFrom="topMargin">
                    <wp:posOffset>15240</wp:posOffset>
                  </wp:positionV>
                  <wp:extent cx="554990" cy="241300"/>
                  <wp:effectExtent l="0" t="0" r="0" b="0"/>
                  <wp:wrapNone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736" cy="241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97" w:type="dxa"/>
            <w:vAlign w:val="top"/>
          </w:tcPr>
          <w:p w14:paraId="2B657D6E">
            <w:pPr>
              <w:spacing w:before="43" w:line="219" w:lineRule="auto"/>
              <w:ind w:left="592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3"/>
                <w:sz w:val="23"/>
                <w:szCs w:val="23"/>
              </w:rPr>
              <w:t>九权镇</w:t>
            </w:r>
          </w:p>
        </w:tc>
        <w:tc>
          <w:tcPr>
            <w:tcW w:w="1897" w:type="dxa"/>
            <w:vAlign w:val="top"/>
          </w:tcPr>
          <w:p w14:paraId="1106D0DD">
            <w:pPr>
              <w:pStyle w:val="6"/>
            </w:pPr>
          </w:p>
        </w:tc>
        <w:tc>
          <w:tcPr>
            <w:tcW w:w="1253" w:type="dxa"/>
            <w:vAlign w:val="top"/>
          </w:tcPr>
          <w:p w14:paraId="1FEAFDD9">
            <w:pPr>
              <w:pStyle w:val="6"/>
            </w:pPr>
          </w:p>
        </w:tc>
      </w:tr>
      <w:tr w14:paraId="63276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87" w:type="dxa"/>
            <w:vAlign w:val="top"/>
          </w:tcPr>
          <w:p w14:paraId="3A06187A">
            <w:pPr>
              <w:spacing w:before="66" w:line="203" w:lineRule="auto"/>
              <w:ind w:left="459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pacing w:val="-4"/>
                <w:sz w:val="23"/>
                <w:szCs w:val="23"/>
              </w:rPr>
              <w:t>—1</w:t>
            </w:r>
          </w:p>
        </w:tc>
        <w:tc>
          <w:tcPr>
            <w:tcW w:w="1897" w:type="dxa"/>
            <w:vAlign w:val="top"/>
          </w:tcPr>
          <w:p w14:paraId="3C7B4891">
            <w:pPr>
              <w:spacing w:before="66" w:line="203" w:lineRule="auto"/>
              <w:ind w:left="882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</w:rPr>
              <w:t>2</w:t>
            </w:r>
          </w:p>
        </w:tc>
        <w:tc>
          <w:tcPr>
            <w:tcW w:w="1897" w:type="dxa"/>
            <w:vAlign w:val="top"/>
          </w:tcPr>
          <w:p w14:paraId="7A404212">
            <w:pPr>
              <w:pStyle w:val="6"/>
            </w:pPr>
          </w:p>
        </w:tc>
        <w:tc>
          <w:tcPr>
            <w:tcW w:w="1253" w:type="dxa"/>
            <w:vAlign w:val="top"/>
          </w:tcPr>
          <w:p w14:paraId="42C72EF4">
            <w:pPr>
              <w:pStyle w:val="6"/>
            </w:pPr>
          </w:p>
        </w:tc>
      </w:tr>
      <w:tr w14:paraId="7E48B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87" w:type="dxa"/>
            <w:vAlign w:val="top"/>
          </w:tcPr>
          <w:p w14:paraId="62F7CEC3">
            <w:pPr>
              <w:pStyle w:val="6"/>
            </w:pPr>
          </w:p>
        </w:tc>
        <w:tc>
          <w:tcPr>
            <w:tcW w:w="1897" w:type="dxa"/>
            <w:vAlign w:val="top"/>
          </w:tcPr>
          <w:p w14:paraId="6A0C76E4">
            <w:pPr>
              <w:pStyle w:val="6"/>
            </w:pPr>
          </w:p>
        </w:tc>
        <w:tc>
          <w:tcPr>
            <w:tcW w:w="1897" w:type="dxa"/>
            <w:vAlign w:val="top"/>
          </w:tcPr>
          <w:p w14:paraId="52AFEE64">
            <w:pPr>
              <w:pStyle w:val="6"/>
            </w:pPr>
          </w:p>
        </w:tc>
        <w:tc>
          <w:tcPr>
            <w:tcW w:w="1253" w:type="dxa"/>
            <w:vAlign w:val="top"/>
          </w:tcPr>
          <w:p w14:paraId="0E7D71FE">
            <w:pPr>
              <w:pStyle w:val="6"/>
            </w:pPr>
          </w:p>
        </w:tc>
      </w:tr>
      <w:tr w14:paraId="24EBA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87" w:type="dxa"/>
            <w:vAlign w:val="top"/>
          </w:tcPr>
          <w:p w14:paraId="27689275">
            <w:pPr>
              <w:pStyle w:val="6"/>
            </w:pPr>
          </w:p>
        </w:tc>
        <w:tc>
          <w:tcPr>
            <w:tcW w:w="1897" w:type="dxa"/>
            <w:vAlign w:val="top"/>
          </w:tcPr>
          <w:p w14:paraId="067CF0C6">
            <w:pPr>
              <w:pStyle w:val="6"/>
            </w:pPr>
          </w:p>
        </w:tc>
        <w:tc>
          <w:tcPr>
            <w:tcW w:w="1897" w:type="dxa"/>
            <w:vAlign w:val="top"/>
          </w:tcPr>
          <w:p w14:paraId="3C24664F">
            <w:pPr>
              <w:pStyle w:val="6"/>
            </w:pPr>
          </w:p>
        </w:tc>
        <w:tc>
          <w:tcPr>
            <w:tcW w:w="1253" w:type="dxa"/>
            <w:vAlign w:val="top"/>
          </w:tcPr>
          <w:p w14:paraId="5EE086E4">
            <w:pPr>
              <w:pStyle w:val="6"/>
            </w:pPr>
          </w:p>
        </w:tc>
      </w:tr>
      <w:tr w14:paraId="2BF97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87" w:type="dxa"/>
            <w:vAlign w:val="top"/>
          </w:tcPr>
          <w:p w14:paraId="29929499">
            <w:pPr>
              <w:pStyle w:val="6"/>
            </w:pPr>
          </w:p>
        </w:tc>
        <w:tc>
          <w:tcPr>
            <w:tcW w:w="1897" w:type="dxa"/>
            <w:vAlign w:val="top"/>
          </w:tcPr>
          <w:p w14:paraId="476373D0">
            <w:pPr>
              <w:pStyle w:val="6"/>
            </w:pPr>
          </w:p>
        </w:tc>
        <w:tc>
          <w:tcPr>
            <w:tcW w:w="1897" w:type="dxa"/>
            <w:vAlign w:val="top"/>
          </w:tcPr>
          <w:p w14:paraId="51600BD9">
            <w:pPr>
              <w:pStyle w:val="6"/>
            </w:pPr>
          </w:p>
        </w:tc>
        <w:tc>
          <w:tcPr>
            <w:tcW w:w="1253" w:type="dxa"/>
            <w:vAlign w:val="top"/>
          </w:tcPr>
          <w:p w14:paraId="7F2BE2B4">
            <w:pPr>
              <w:pStyle w:val="6"/>
            </w:pPr>
          </w:p>
        </w:tc>
      </w:tr>
      <w:tr w14:paraId="652C3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287" w:type="dxa"/>
            <w:vAlign w:val="top"/>
          </w:tcPr>
          <w:p w14:paraId="613DA7B0">
            <w:pPr>
              <w:pStyle w:val="6"/>
            </w:pPr>
          </w:p>
        </w:tc>
        <w:tc>
          <w:tcPr>
            <w:tcW w:w="1897" w:type="dxa"/>
            <w:vAlign w:val="top"/>
          </w:tcPr>
          <w:p w14:paraId="29DD079B">
            <w:pPr>
              <w:pStyle w:val="6"/>
            </w:pPr>
          </w:p>
        </w:tc>
        <w:tc>
          <w:tcPr>
            <w:tcW w:w="1897" w:type="dxa"/>
            <w:vAlign w:val="top"/>
          </w:tcPr>
          <w:p w14:paraId="7F082E5D">
            <w:pPr>
              <w:pStyle w:val="6"/>
            </w:pPr>
          </w:p>
        </w:tc>
        <w:tc>
          <w:tcPr>
            <w:tcW w:w="1253" w:type="dxa"/>
            <w:vAlign w:val="top"/>
          </w:tcPr>
          <w:p w14:paraId="34F6329F">
            <w:pPr>
              <w:pStyle w:val="6"/>
            </w:pPr>
          </w:p>
        </w:tc>
      </w:tr>
      <w:tr w14:paraId="56856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87" w:type="dxa"/>
            <w:vAlign w:val="top"/>
          </w:tcPr>
          <w:p w14:paraId="00A3659D">
            <w:pPr>
              <w:pStyle w:val="6"/>
            </w:pPr>
          </w:p>
        </w:tc>
        <w:tc>
          <w:tcPr>
            <w:tcW w:w="1897" w:type="dxa"/>
            <w:vAlign w:val="top"/>
          </w:tcPr>
          <w:p w14:paraId="3B1F8C1E">
            <w:pPr>
              <w:pStyle w:val="6"/>
            </w:pPr>
          </w:p>
        </w:tc>
        <w:tc>
          <w:tcPr>
            <w:tcW w:w="1897" w:type="dxa"/>
            <w:vAlign w:val="top"/>
          </w:tcPr>
          <w:p w14:paraId="157BD515">
            <w:pPr>
              <w:pStyle w:val="6"/>
            </w:pPr>
          </w:p>
        </w:tc>
        <w:tc>
          <w:tcPr>
            <w:tcW w:w="1253" w:type="dxa"/>
            <w:vAlign w:val="top"/>
          </w:tcPr>
          <w:p w14:paraId="105FF070">
            <w:pPr>
              <w:pStyle w:val="6"/>
            </w:pPr>
          </w:p>
        </w:tc>
      </w:tr>
      <w:tr w14:paraId="4503B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287" w:type="dxa"/>
            <w:vAlign w:val="top"/>
          </w:tcPr>
          <w:p w14:paraId="76D62F69">
            <w:pPr>
              <w:pStyle w:val="6"/>
            </w:pPr>
          </w:p>
        </w:tc>
        <w:tc>
          <w:tcPr>
            <w:tcW w:w="1897" w:type="dxa"/>
            <w:vAlign w:val="top"/>
          </w:tcPr>
          <w:p w14:paraId="4DB06B5C">
            <w:pPr>
              <w:pStyle w:val="6"/>
            </w:pPr>
          </w:p>
        </w:tc>
        <w:tc>
          <w:tcPr>
            <w:tcW w:w="1897" w:type="dxa"/>
            <w:vAlign w:val="top"/>
          </w:tcPr>
          <w:p w14:paraId="154FAACA">
            <w:pPr>
              <w:pStyle w:val="6"/>
            </w:pPr>
          </w:p>
        </w:tc>
        <w:tc>
          <w:tcPr>
            <w:tcW w:w="1253" w:type="dxa"/>
            <w:vAlign w:val="top"/>
          </w:tcPr>
          <w:p w14:paraId="4BB785FC">
            <w:pPr>
              <w:pStyle w:val="6"/>
            </w:pPr>
          </w:p>
        </w:tc>
      </w:tr>
      <w:tr w14:paraId="4ED52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287" w:type="dxa"/>
            <w:vAlign w:val="top"/>
          </w:tcPr>
          <w:p w14:paraId="3CAE2CC3">
            <w:pPr>
              <w:pStyle w:val="6"/>
            </w:pPr>
          </w:p>
        </w:tc>
        <w:tc>
          <w:tcPr>
            <w:tcW w:w="1897" w:type="dxa"/>
            <w:vAlign w:val="top"/>
          </w:tcPr>
          <w:p w14:paraId="48F7CCD6">
            <w:pPr>
              <w:pStyle w:val="6"/>
            </w:pPr>
          </w:p>
        </w:tc>
        <w:tc>
          <w:tcPr>
            <w:tcW w:w="1897" w:type="dxa"/>
            <w:vAlign w:val="top"/>
          </w:tcPr>
          <w:p w14:paraId="387FB537">
            <w:pPr>
              <w:pStyle w:val="6"/>
            </w:pPr>
          </w:p>
        </w:tc>
        <w:tc>
          <w:tcPr>
            <w:tcW w:w="1253" w:type="dxa"/>
            <w:vAlign w:val="top"/>
          </w:tcPr>
          <w:p w14:paraId="760CDB95">
            <w:pPr>
              <w:pStyle w:val="6"/>
            </w:pPr>
          </w:p>
        </w:tc>
      </w:tr>
      <w:tr w14:paraId="2FE66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87" w:type="dxa"/>
            <w:vAlign w:val="top"/>
          </w:tcPr>
          <w:p w14:paraId="79C0278C">
            <w:pPr>
              <w:pStyle w:val="6"/>
            </w:pPr>
          </w:p>
        </w:tc>
        <w:tc>
          <w:tcPr>
            <w:tcW w:w="1897" w:type="dxa"/>
            <w:vAlign w:val="top"/>
          </w:tcPr>
          <w:p w14:paraId="3C222F86">
            <w:pPr>
              <w:pStyle w:val="6"/>
            </w:pPr>
          </w:p>
        </w:tc>
        <w:tc>
          <w:tcPr>
            <w:tcW w:w="1897" w:type="dxa"/>
            <w:vAlign w:val="top"/>
          </w:tcPr>
          <w:p w14:paraId="00183B96">
            <w:pPr>
              <w:pStyle w:val="6"/>
            </w:pPr>
          </w:p>
        </w:tc>
        <w:tc>
          <w:tcPr>
            <w:tcW w:w="1253" w:type="dxa"/>
            <w:vAlign w:val="top"/>
          </w:tcPr>
          <w:p w14:paraId="40F5AFDB">
            <w:pPr>
              <w:pStyle w:val="6"/>
            </w:pPr>
          </w:p>
        </w:tc>
      </w:tr>
      <w:tr w14:paraId="10138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287" w:type="dxa"/>
            <w:vAlign w:val="top"/>
          </w:tcPr>
          <w:p w14:paraId="041136E9">
            <w:pPr>
              <w:pStyle w:val="6"/>
            </w:pPr>
          </w:p>
        </w:tc>
        <w:tc>
          <w:tcPr>
            <w:tcW w:w="1897" w:type="dxa"/>
            <w:vAlign w:val="top"/>
          </w:tcPr>
          <w:p w14:paraId="426DF080">
            <w:pPr>
              <w:pStyle w:val="6"/>
            </w:pPr>
          </w:p>
        </w:tc>
        <w:tc>
          <w:tcPr>
            <w:tcW w:w="1897" w:type="dxa"/>
            <w:vAlign w:val="top"/>
          </w:tcPr>
          <w:p w14:paraId="3CA2BC8A">
            <w:pPr>
              <w:pStyle w:val="6"/>
            </w:pPr>
          </w:p>
        </w:tc>
        <w:tc>
          <w:tcPr>
            <w:tcW w:w="1253" w:type="dxa"/>
            <w:vAlign w:val="top"/>
          </w:tcPr>
          <w:p w14:paraId="1574B01A">
            <w:pPr>
              <w:pStyle w:val="6"/>
            </w:pPr>
          </w:p>
        </w:tc>
      </w:tr>
    </w:tbl>
    <w:p w14:paraId="402002A6">
      <w:pPr>
        <w:rPr>
          <w:rFonts w:ascii="Arial"/>
          <w:sz w:val="21"/>
        </w:rPr>
      </w:pPr>
    </w:p>
    <w:p w14:paraId="75D72CEC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1900" w:h="16830"/>
          <w:pgMar w:top="1430" w:right="1785" w:bottom="1676" w:left="1434" w:header="0" w:footer="1274" w:gutter="0"/>
          <w:cols w:space="720" w:num="1"/>
        </w:sectPr>
      </w:pPr>
    </w:p>
    <w:p w14:paraId="1BADE616">
      <w:pPr>
        <w:spacing w:line="241" w:lineRule="auto"/>
        <w:rPr>
          <w:rFonts w:ascii="Arial"/>
          <w:sz w:val="21"/>
        </w:rPr>
      </w:pPr>
    </w:p>
    <w:p w14:paraId="31242CC2">
      <w:pPr>
        <w:spacing w:line="241" w:lineRule="auto"/>
        <w:rPr>
          <w:rFonts w:ascii="Arial"/>
          <w:sz w:val="21"/>
        </w:rPr>
      </w:pPr>
    </w:p>
    <w:p w14:paraId="18E3DCEB">
      <w:pPr>
        <w:spacing w:line="241" w:lineRule="auto"/>
        <w:rPr>
          <w:rFonts w:ascii="Arial"/>
          <w:sz w:val="21"/>
        </w:rPr>
      </w:pPr>
    </w:p>
    <w:p w14:paraId="19BA7350">
      <w:pPr>
        <w:spacing w:line="241" w:lineRule="auto"/>
        <w:rPr>
          <w:rFonts w:ascii="Arial"/>
          <w:sz w:val="21"/>
        </w:rPr>
      </w:pPr>
    </w:p>
    <w:p w14:paraId="157E75CD">
      <w:pPr>
        <w:spacing w:line="241" w:lineRule="auto"/>
        <w:rPr>
          <w:rFonts w:ascii="Arial"/>
          <w:sz w:val="21"/>
        </w:rPr>
      </w:pPr>
    </w:p>
    <w:p w14:paraId="2F086AB1">
      <w:pPr>
        <w:spacing w:line="241" w:lineRule="auto"/>
        <w:rPr>
          <w:rFonts w:ascii="Arial"/>
          <w:sz w:val="21"/>
        </w:rPr>
      </w:pPr>
    </w:p>
    <w:p w14:paraId="534C375F">
      <w:pPr>
        <w:spacing w:line="241" w:lineRule="auto"/>
        <w:rPr>
          <w:rFonts w:ascii="Arial"/>
          <w:sz w:val="21"/>
        </w:rPr>
      </w:pPr>
    </w:p>
    <w:p w14:paraId="2C502D55">
      <w:pPr>
        <w:spacing w:line="241" w:lineRule="auto"/>
        <w:rPr>
          <w:rFonts w:ascii="Arial"/>
          <w:sz w:val="21"/>
        </w:rPr>
      </w:pPr>
    </w:p>
    <w:p w14:paraId="69228879">
      <w:pPr>
        <w:spacing w:line="241" w:lineRule="auto"/>
        <w:rPr>
          <w:rFonts w:ascii="Arial"/>
          <w:sz w:val="21"/>
        </w:rPr>
      </w:pPr>
    </w:p>
    <w:p w14:paraId="2E1C4AEC">
      <w:pPr>
        <w:spacing w:line="242" w:lineRule="auto"/>
        <w:rPr>
          <w:rFonts w:ascii="Arial"/>
          <w:sz w:val="21"/>
        </w:rPr>
      </w:pPr>
    </w:p>
    <w:p w14:paraId="16221864">
      <w:pPr>
        <w:spacing w:line="242" w:lineRule="auto"/>
        <w:rPr>
          <w:rFonts w:ascii="Arial"/>
          <w:sz w:val="21"/>
        </w:rPr>
      </w:pPr>
    </w:p>
    <w:p w14:paraId="2FAB620C">
      <w:pPr>
        <w:spacing w:line="242" w:lineRule="auto"/>
        <w:rPr>
          <w:rFonts w:ascii="Arial"/>
          <w:sz w:val="21"/>
        </w:rPr>
      </w:pPr>
    </w:p>
    <w:p w14:paraId="4877B431">
      <w:pPr>
        <w:spacing w:line="242" w:lineRule="auto"/>
        <w:rPr>
          <w:rFonts w:ascii="Arial"/>
          <w:sz w:val="21"/>
        </w:rPr>
      </w:pPr>
    </w:p>
    <w:p w14:paraId="3B8450E0">
      <w:pPr>
        <w:spacing w:line="242" w:lineRule="auto"/>
        <w:rPr>
          <w:rFonts w:ascii="Arial"/>
          <w:sz w:val="21"/>
        </w:rPr>
      </w:pPr>
    </w:p>
    <w:p w14:paraId="3201431E">
      <w:pPr>
        <w:spacing w:line="242" w:lineRule="auto"/>
        <w:rPr>
          <w:rFonts w:ascii="Arial"/>
          <w:sz w:val="21"/>
        </w:rPr>
      </w:pPr>
    </w:p>
    <w:p w14:paraId="61A29DB9">
      <w:pPr>
        <w:spacing w:line="242" w:lineRule="auto"/>
        <w:rPr>
          <w:rFonts w:ascii="Arial"/>
          <w:sz w:val="21"/>
        </w:rPr>
      </w:pPr>
    </w:p>
    <w:p w14:paraId="7557700D">
      <w:pPr>
        <w:spacing w:line="242" w:lineRule="auto"/>
        <w:rPr>
          <w:rFonts w:ascii="Arial"/>
          <w:sz w:val="21"/>
        </w:rPr>
      </w:pPr>
    </w:p>
    <w:p w14:paraId="79631740">
      <w:pPr>
        <w:spacing w:line="242" w:lineRule="auto"/>
        <w:rPr>
          <w:rFonts w:ascii="Arial"/>
          <w:sz w:val="21"/>
        </w:rPr>
      </w:pPr>
    </w:p>
    <w:p w14:paraId="73F88102">
      <w:pPr>
        <w:spacing w:line="242" w:lineRule="auto"/>
        <w:rPr>
          <w:rFonts w:ascii="Arial"/>
          <w:sz w:val="21"/>
        </w:rPr>
      </w:pPr>
    </w:p>
    <w:p w14:paraId="41C9C04A">
      <w:pPr>
        <w:spacing w:line="242" w:lineRule="auto"/>
        <w:rPr>
          <w:rFonts w:ascii="Arial"/>
          <w:sz w:val="21"/>
        </w:rPr>
      </w:pPr>
    </w:p>
    <w:p w14:paraId="698DC958">
      <w:pPr>
        <w:spacing w:line="242" w:lineRule="auto"/>
        <w:rPr>
          <w:rFonts w:ascii="Arial"/>
          <w:sz w:val="21"/>
        </w:rPr>
      </w:pPr>
    </w:p>
    <w:p w14:paraId="200D15F0">
      <w:pPr>
        <w:spacing w:line="242" w:lineRule="auto"/>
        <w:rPr>
          <w:rFonts w:ascii="Arial"/>
          <w:sz w:val="21"/>
        </w:rPr>
      </w:pPr>
    </w:p>
    <w:p w14:paraId="04E86567">
      <w:pPr>
        <w:spacing w:line="242" w:lineRule="auto"/>
        <w:rPr>
          <w:rFonts w:ascii="Arial"/>
          <w:sz w:val="21"/>
        </w:rPr>
      </w:pPr>
    </w:p>
    <w:p w14:paraId="30192705">
      <w:pPr>
        <w:spacing w:line="242" w:lineRule="auto"/>
        <w:rPr>
          <w:rFonts w:ascii="Arial"/>
          <w:sz w:val="21"/>
        </w:rPr>
      </w:pPr>
    </w:p>
    <w:p w14:paraId="5D5DC886">
      <w:pPr>
        <w:spacing w:line="242" w:lineRule="auto"/>
        <w:rPr>
          <w:rFonts w:ascii="Arial"/>
          <w:sz w:val="21"/>
        </w:rPr>
      </w:pPr>
    </w:p>
    <w:p w14:paraId="78E772CE">
      <w:pPr>
        <w:spacing w:line="242" w:lineRule="auto"/>
        <w:rPr>
          <w:rFonts w:ascii="Arial"/>
          <w:sz w:val="21"/>
        </w:rPr>
      </w:pPr>
    </w:p>
    <w:p w14:paraId="45E2E5AB">
      <w:pPr>
        <w:spacing w:line="242" w:lineRule="auto"/>
        <w:rPr>
          <w:rFonts w:ascii="Arial"/>
          <w:sz w:val="21"/>
        </w:rPr>
      </w:pPr>
    </w:p>
    <w:p w14:paraId="5A42BF0E">
      <w:pPr>
        <w:spacing w:line="242" w:lineRule="auto"/>
        <w:rPr>
          <w:rFonts w:ascii="Arial"/>
          <w:sz w:val="21"/>
        </w:rPr>
      </w:pPr>
    </w:p>
    <w:p w14:paraId="76AEBB43">
      <w:pPr>
        <w:spacing w:line="242" w:lineRule="auto"/>
        <w:rPr>
          <w:rFonts w:ascii="Arial"/>
          <w:sz w:val="21"/>
        </w:rPr>
      </w:pPr>
    </w:p>
    <w:p w14:paraId="43296845">
      <w:pPr>
        <w:spacing w:line="242" w:lineRule="auto"/>
        <w:rPr>
          <w:rFonts w:ascii="Arial"/>
          <w:sz w:val="21"/>
        </w:rPr>
      </w:pPr>
    </w:p>
    <w:p w14:paraId="15EC4010">
      <w:pPr>
        <w:spacing w:line="242" w:lineRule="auto"/>
        <w:rPr>
          <w:rFonts w:ascii="Arial"/>
          <w:sz w:val="21"/>
        </w:rPr>
      </w:pPr>
    </w:p>
    <w:p w14:paraId="2A2C49E3">
      <w:pPr>
        <w:spacing w:line="242" w:lineRule="auto"/>
        <w:rPr>
          <w:rFonts w:ascii="Arial"/>
          <w:sz w:val="21"/>
        </w:rPr>
      </w:pPr>
    </w:p>
    <w:p w14:paraId="77640CFA">
      <w:pPr>
        <w:spacing w:line="242" w:lineRule="auto"/>
        <w:rPr>
          <w:rFonts w:ascii="Arial"/>
          <w:sz w:val="21"/>
        </w:rPr>
      </w:pPr>
    </w:p>
    <w:p w14:paraId="08D1A28B">
      <w:pPr>
        <w:spacing w:line="242" w:lineRule="auto"/>
        <w:rPr>
          <w:rFonts w:ascii="Arial"/>
          <w:sz w:val="21"/>
        </w:rPr>
      </w:pPr>
    </w:p>
    <w:p w14:paraId="5E6D4411">
      <w:pPr>
        <w:spacing w:line="242" w:lineRule="auto"/>
        <w:rPr>
          <w:rFonts w:ascii="Arial"/>
          <w:sz w:val="21"/>
        </w:rPr>
      </w:pPr>
    </w:p>
    <w:p w14:paraId="53E18B2C">
      <w:pPr>
        <w:spacing w:line="242" w:lineRule="auto"/>
        <w:rPr>
          <w:rFonts w:ascii="Arial"/>
          <w:sz w:val="21"/>
        </w:rPr>
      </w:pPr>
    </w:p>
    <w:p w14:paraId="66017ED3">
      <w:pPr>
        <w:spacing w:line="242" w:lineRule="auto"/>
        <w:rPr>
          <w:rFonts w:ascii="Arial"/>
          <w:sz w:val="21"/>
        </w:rPr>
      </w:pPr>
    </w:p>
    <w:p w14:paraId="1AAFE05F">
      <w:pPr>
        <w:spacing w:line="242" w:lineRule="auto"/>
        <w:rPr>
          <w:rFonts w:ascii="Arial"/>
          <w:sz w:val="21"/>
        </w:rPr>
      </w:pPr>
    </w:p>
    <w:p w14:paraId="1F89FE2D">
      <w:pPr>
        <w:spacing w:line="242" w:lineRule="auto"/>
        <w:rPr>
          <w:rFonts w:ascii="Arial"/>
          <w:sz w:val="21"/>
        </w:rPr>
      </w:pPr>
    </w:p>
    <w:p w14:paraId="44B5D791">
      <w:pPr>
        <w:spacing w:line="242" w:lineRule="auto"/>
        <w:rPr>
          <w:rFonts w:ascii="Arial"/>
          <w:sz w:val="21"/>
        </w:rPr>
      </w:pPr>
    </w:p>
    <w:p w14:paraId="6AA066C8">
      <w:pPr>
        <w:spacing w:line="242" w:lineRule="auto"/>
        <w:rPr>
          <w:rFonts w:ascii="Arial"/>
          <w:sz w:val="21"/>
        </w:rPr>
      </w:pPr>
    </w:p>
    <w:p w14:paraId="571CAE79">
      <w:pPr>
        <w:spacing w:line="242" w:lineRule="auto"/>
        <w:rPr>
          <w:rFonts w:ascii="Arial"/>
          <w:sz w:val="21"/>
        </w:rPr>
      </w:pPr>
    </w:p>
    <w:p w14:paraId="1B01041A">
      <w:pPr>
        <w:spacing w:line="242" w:lineRule="auto"/>
        <w:rPr>
          <w:rFonts w:ascii="Arial"/>
          <w:sz w:val="21"/>
        </w:rPr>
      </w:pPr>
    </w:p>
    <w:p w14:paraId="526C3D42">
      <w:pPr>
        <w:spacing w:line="242" w:lineRule="auto"/>
        <w:rPr>
          <w:rFonts w:ascii="Arial"/>
          <w:sz w:val="21"/>
        </w:rPr>
      </w:pPr>
    </w:p>
    <w:p w14:paraId="53F90151">
      <w:pPr>
        <w:spacing w:line="242" w:lineRule="auto"/>
        <w:rPr>
          <w:rFonts w:ascii="Arial"/>
          <w:sz w:val="21"/>
        </w:rPr>
      </w:pPr>
    </w:p>
    <w:p w14:paraId="3A6E0225">
      <w:pPr>
        <w:spacing w:line="242" w:lineRule="auto"/>
        <w:rPr>
          <w:rFonts w:ascii="Arial"/>
          <w:sz w:val="21"/>
        </w:rPr>
      </w:pPr>
    </w:p>
    <w:p w14:paraId="6428E641">
      <w:pPr>
        <w:spacing w:line="242" w:lineRule="auto"/>
        <w:rPr>
          <w:rFonts w:ascii="Arial"/>
          <w:sz w:val="21"/>
        </w:rPr>
      </w:pPr>
    </w:p>
    <w:p w14:paraId="36047836">
      <w:pPr>
        <w:spacing w:line="242" w:lineRule="auto"/>
        <w:rPr>
          <w:rFonts w:ascii="Arial"/>
          <w:sz w:val="21"/>
        </w:rPr>
      </w:pPr>
    </w:p>
    <w:p w14:paraId="0939A274">
      <w:pPr>
        <w:spacing w:line="242" w:lineRule="auto"/>
        <w:rPr>
          <w:rFonts w:ascii="Arial"/>
          <w:sz w:val="21"/>
        </w:rPr>
      </w:pPr>
    </w:p>
    <w:p w14:paraId="4D338727">
      <w:pPr>
        <w:spacing w:line="242" w:lineRule="auto"/>
        <w:rPr>
          <w:rFonts w:ascii="Arial"/>
          <w:sz w:val="21"/>
        </w:rPr>
      </w:pPr>
    </w:p>
    <w:p w14:paraId="1965D1BE">
      <w:pPr>
        <w:spacing w:line="242" w:lineRule="auto"/>
        <w:rPr>
          <w:rFonts w:ascii="Arial"/>
          <w:sz w:val="21"/>
        </w:rPr>
      </w:pPr>
    </w:p>
    <w:p w14:paraId="3C8F3F1A">
      <w:pPr>
        <w:spacing w:line="242" w:lineRule="auto"/>
        <w:rPr>
          <w:rFonts w:ascii="Arial"/>
          <w:sz w:val="21"/>
        </w:rPr>
      </w:pPr>
    </w:p>
    <w:p w14:paraId="1227E843">
      <w:pPr>
        <w:spacing w:line="242" w:lineRule="auto"/>
        <w:rPr>
          <w:rFonts w:ascii="Arial"/>
          <w:sz w:val="21"/>
        </w:rPr>
      </w:pPr>
      <w:r>
        <w:pict>
          <v:shape id="_x0000_s1027" o:spid="_x0000_s1027" style="position:absolute;left:0pt;margin-left:0.25pt;margin-top:9.85pt;height:0.5pt;width:444pt;z-index:251666432;mso-width-relative:page;mso-height-relative:page;" filled="f" stroked="t" coordsize="8880,10" path="m0,5l4460,5m4460,5l8879,5e">
            <v:fill on="f" focussize="0,0"/>
            <v:stroke weight="0.5pt" color="#000000" miterlimit="10" joinstyle="miter"/>
            <v:imagedata o:title=""/>
            <o:lock v:ext="edit"/>
          </v:shape>
        </w:pict>
      </w:r>
    </w:p>
    <w:p w14:paraId="7DEB773F">
      <w:pPr>
        <w:spacing w:before="94" w:line="219" w:lineRule="auto"/>
        <w:jc w:val="right"/>
        <w:rPr>
          <w:rFonts w:ascii="SimSun" w:hAnsi="SimSun" w:eastAsia="SimSun" w:cs="SimSun"/>
          <w:sz w:val="29"/>
          <w:szCs w:val="29"/>
        </w:rPr>
      </w:pPr>
      <w:r>
        <w:pict>
          <v:shape id="_x0000_s1028" o:spid="_x0000_s1028" style="position:absolute;left:0pt;margin-left:0.25pt;margin-top:25.65pt;height:0.5pt;width:444pt;z-index:251665408;mso-width-relative:page;mso-height-relative:page;" filled="f" stroked="t" coordsize="8880,10" path="m0,5l4460,5m4460,5l8879,5e">
            <v:fill on="f" focussize="0,0"/>
            <v:stroke weight="0.5pt" color="#000000" miterlimit="10" joinstyle="miter"/>
            <v:imagedata o:title=""/>
            <o:lock v:ext="edit"/>
          </v:shape>
        </w:pict>
      </w:r>
      <w:r>
        <w:rPr>
          <w:rFonts w:ascii="SimSun" w:hAnsi="SimSun" w:eastAsia="SimSun" w:cs="SimSun"/>
          <w:spacing w:val="1"/>
          <w:sz w:val="29"/>
          <w:szCs w:val="29"/>
        </w:rPr>
        <w:t>浦城县人民政府办公室</w:t>
      </w:r>
      <w:r>
        <w:rPr>
          <w:rFonts w:ascii="SimSun" w:hAnsi="SimSun" w:eastAsia="SimSun" w:cs="SimSun"/>
          <w:spacing w:val="6"/>
          <w:sz w:val="29"/>
          <w:szCs w:val="29"/>
        </w:rPr>
        <w:t xml:space="preserve">                       </w:t>
      </w:r>
      <w:r>
        <w:rPr>
          <w:rFonts w:ascii="SimSun" w:hAnsi="SimSun" w:eastAsia="SimSun" w:cs="SimSun"/>
          <w:spacing w:val="1"/>
          <w:sz w:val="29"/>
          <w:szCs w:val="29"/>
        </w:rPr>
        <w:t>2025年6月27日印发</w:t>
      </w:r>
    </w:p>
    <w:sectPr>
      <w:footerReference r:id="rId24" w:type="default"/>
      <w:pgSz w:w="11900" w:h="16830"/>
      <w:pgMar w:top="1430" w:right="1337" w:bottom="1684" w:left="1670" w:header="0" w:footer="12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C2A43">
    <w:pPr>
      <w:spacing w:line="235" w:lineRule="auto"/>
      <w:ind w:left="7770"/>
      <w:rPr>
        <w:rFonts w:ascii="SimSun" w:hAnsi="SimSun" w:eastAsia="SimSun" w:cs="SimSun"/>
        <w:sz w:val="33"/>
        <w:szCs w:val="33"/>
      </w:rPr>
    </w:pPr>
    <w:r>
      <w:rPr>
        <w:rFonts w:ascii="SimSun" w:hAnsi="SimSun" w:eastAsia="SimSun" w:cs="SimSun"/>
        <w:spacing w:val="-4"/>
        <w:sz w:val="33"/>
        <w:szCs w:val="33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5A5A6">
    <w:pPr>
      <w:spacing w:line="235" w:lineRule="auto"/>
      <w:ind w:left="394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4"/>
        <w:sz w:val="31"/>
        <w:szCs w:val="31"/>
      </w:rPr>
      <w:t>—2—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BC294">
    <w:pPr>
      <w:spacing w:line="233" w:lineRule="auto"/>
      <w:ind w:left="7479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4"/>
        <w:sz w:val="31"/>
        <w:szCs w:val="31"/>
      </w:rPr>
      <w:t>—3—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4F4E6">
    <w:pPr>
      <w:spacing w:line="235" w:lineRule="auto"/>
      <w:ind w:left="394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4"/>
        <w:sz w:val="31"/>
        <w:szCs w:val="31"/>
      </w:rPr>
      <w:t>—4—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1184A">
    <w:pPr>
      <w:spacing w:line="178" w:lineRule="auto"/>
      <w:ind w:left="7109"/>
      <w:rPr>
        <w:rFonts w:ascii="Times New Roman" w:hAnsi="Times New Roman" w:eastAsia="Times New Roman" w:cs="Times New Roman"/>
        <w:sz w:val="30"/>
        <w:szCs w:val="30"/>
      </w:rPr>
    </w:pPr>
    <w:r>
      <w:rPr>
        <w:rFonts w:ascii="Times New Roman" w:hAnsi="Times New Roman" w:eastAsia="Times New Roman" w:cs="Times New Roman"/>
        <w:spacing w:val="1"/>
        <w:sz w:val="30"/>
        <w:szCs w:val="30"/>
      </w:rPr>
      <w:t>—5—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D8B93">
    <w:pPr>
      <w:spacing w:line="233" w:lineRule="auto"/>
      <w:ind w:left="14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4"/>
        <w:sz w:val="31"/>
        <w:szCs w:val="31"/>
      </w:rPr>
      <w:t>—6—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BB82F">
    <w:pPr>
      <w:spacing w:line="233" w:lineRule="auto"/>
      <w:ind w:left="7009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4"/>
        <w:sz w:val="31"/>
        <w:szCs w:val="31"/>
      </w:rPr>
      <w:t>—7—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39CC9">
    <w:pPr>
      <w:spacing w:line="233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4"/>
        <w:sz w:val="31"/>
        <w:szCs w:val="31"/>
      </w:rPr>
      <w:t>—8—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207C7">
    <w:pPr>
      <w:spacing w:line="233" w:lineRule="auto"/>
      <w:ind w:left="6979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4"/>
        <w:sz w:val="31"/>
        <w:szCs w:val="31"/>
      </w:rPr>
      <w:t>—9—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E7E8F">
    <w:pPr>
      <w:spacing w:line="233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3"/>
        <w:sz w:val="31"/>
        <w:szCs w:val="31"/>
      </w:rPr>
      <w:t>—10—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C37EB">
    <w:pPr>
      <w:spacing w:line="235" w:lineRule="auto"/>
      <w:ind w:left="6999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3"/>
        <w:sz w:val="31"/>
        <w:szCs w:val="31"/>
      </w:rPr>
      <w:t>—11—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B91F9">
    <w:pPr>
      <w:spacing w:line="170" w:lineRule="auto"/>
      <w:ind w:left="459"/>
      <w:rPr>
        <w:rFonts w:ascii="SimSun" w:hAnsi="SimSun" w:eastAsia="SimSun" w:cs="SimSun"/>
        <w:sz w:val="3"/>
        <w:szCs w:val="3"/>
      </w:rPr>
    </w:pPr>
    <w:r>
      <w:rPr>
        <w:rFonts w:ascii="Times New Roman" w:hAnsi="Times New Roman" w:eastAsia="Times New Roman" w:cs="Times New Roman"/>
        <w:spacing w:val="-9"/>
        <w:sz w:val="15"/>
        <w:szCs w:val="15"/>
      </w:rPr>
      <w:t>12</w:t>
    </w:r>
    <w:r>
      <w:rPr>
        <w:rFonts w:ascii="Times New Roman" w:hAnsi="Times New Roman" w:eastAsia="Times New Roman" w:cs="Times New Roman"/>
        <w:spacing w:val="2"/>
        <w:sz w:val="15"/>
        <w:szCs w:val="15"/>
      </w:rPr>
      <w:t xml:space="preserve">       </w:t>
    </w:r>
    <w:r>
      <w:rPr>
        <w:rFonts w:ascii="SimSun" w:hAnsi="SimSun" w:eastAsia="SimSun" w:cs="SimSun"/>
        <w:position w:val="7"/>
        <w:sz w:val="3"/>
        <w:szCs w:val="3"/>
      </w:rPr>
      <w:t>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6340">
    <w:pPr>
      <w:spacing w:line="233" w:lineRule="auto"/>
      <w:ind w:left="6594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3"/>
        <w:sz w:val="31"/>
        <w:szCs w:val="31"/>
      </w:rPr>
      <w:t>—13—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12B22">
    <w:pPr>
      <w:spacing w:line="235" w:lineRule="auto"/>
      <w:ind w:left="54"/>
      <w:rPr>
        <w:rFonts w:ascii="SimSun" w:hAnsi="SimSun" w:eastAsia="SimSun" w:cs="SimSun"/>
        <w:sz w:val="32"/>
        <w:szCs w:val="32"/>
      </w:rPr>
    </w:pPr>
    <w:r>
      <w:rPr>
        <w:rFonts w:ascii="SimSun" w:hAnsi="SimSun" w:eastAsia="SimSun" w:cs="SimSun"/>
        <w:spacing w:val="-3"/>
        <w:sz w:val="32"/>
        <w:szCs w:val="32"/>
      </w:rPr>
      <w:t>—14—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A8487"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A85CD">
    <w:pPr>
      <w:spacing w:line="233" w:lineRule="auto"/>
      <w:ind w:left="54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pacing w:val="-3"/>
        <w:sz w:val="30"/>
        <w:szCs w:val="30"/>
      </w:rPr>
      <w:t>—16—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853A6">
    <w:pPr>
      <w:spacing w:line="233" w:lineRule="auto"/>
      <w:ind w:left="6990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3"/>
        <w:sz w:val="31"/>
        <w:szCs w:val="31"/>
      </w:rPr>
      <w:t>—17—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058BC">
    <w:pPr>
      <w:spacing w:line="233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3"/>
        <w:sz w:val="31"/>
        <w:szCs w:val="31"/>
      </w:rPr>
      <w:t>—18—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8416C">
    <w:pPr>
      <w:spacing w:line="233" w:lineRule="auto"/>
      <w:ind w:left="6955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pacing w:val="-3"/>
        <w:sz w:val="31"/>
        <w:szCs w:val="31"/>
      </w:rPr>
      <w:t>—19—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48143">
    <w:pPr>
      <w:spacing w:before="1" w:line="233" w:lineRule="auto"/>
      <w:ind w:left="99"/>
      <w:rPr>
        <w:rFonts w:ascii="SimSun" w:hAnsi="SimSun" w:eastAsia="SimSun" w:cs="SimSun"/>
        <w:sz w:val="32"/>
        <w:szCs w:val="32"/>
      </w:rPr>
    </w:pPr>
    <w:r>
      <w:rPr>
        <w:rFonts w:ascii="SimSun" w:hAnsi="SimSun" w:eastAsia="SimSun" w:cs="SimSun"/>
        <w:spacing w:val="-3"/>
        <w:sz w:val="32"/>
        <w:szCs w:val="32"/>
      </w:rPr>
      <w:t>—20—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DD3D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11.png"/><Relationship Id="rId35" Type="http://schemas.openxmlformats.org/officeDocument/2006/relationships/image" Target="media/image10.png"/><Relationship Id="rId34" Type="http://schemas.openxmlformats.org/officeDocument/2006/relationships/image" Target="media/image9.png"/><Relationship Id="rId33" Type="http://schemas.openxmlformats.org/officeDocument/2006/relationships/image" Target="media/image8.png"/><Relationship Id="rId32" Type="http://schemas.openxmlformats.org/officeDocument/2006/relationships/image" Target="media/image7.png"/><Relationship Id="rId31" Type="http://schemas.openxmlformats.org/officeDocument/2006/relationships/image" Target="media/image6.png"/><Relationship Id="rId30" Type="http://schemas.openxmlformats.org/officeDocument/2006/relationships/image" Target="media/image5.jpeg"/><Relationship Id="rId3" Type="http://schemas.openxmlformats.org/officeDocument/2006/relationships/footnotes" Target="footnotes.xml"/><Relationship Id="rId29" Type="http://schemas.openxmlformats.org/officeDocument/2006/relationships/image" Target="media/image4.jpeg"/><Relationship Id="rId28" Type="http://schemas.openxmlformats.org/officeDocument/2006/relationships/image" Target="media/image3.png"/><Relationship Id="rId27" Type="http://schemas.openxmlformats.org/officeDocument/2006/relationships/image" Target="media/image2.png"/><Relationship Id="rId26" Type="http://schemas.openxmlformats.org/officeDocument/2006/relationships/image" Target="media/image1.jpeg"/><Relationship Id="rId25" Type="http://schemas.openxmlformats.org/officeDocument/2006/relationships/theme" Target="theme/theme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20</Pages>
  <TotalTime>0</TotalTime>
  <ScaleCrop>false</ScaleCrop>
  <LinksUpToDate>false</LinksUpToDate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2026-01-29T23:11:00Z</dcterms:created>
  <dc:creator>pc</dc:creator>
  <cp:lastModifiedBy>办公室</cp:lastModifiedBy>
  <dcterms:modified xsi:type="dcterms:W3CDTF">2026-05-15T14:54:13Z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2026-01-29T15:11:14Z</vt:filetime>
  </property>
  <property fmtid="{D5CDD505-2E9C-101B-9397-08002B2CF9AE}" pid="4" name="UsrData">
    <vt:lpwstr>697b080c0025b3001f05eac3wl</vt:lpwstr>
  </property>
  <property fmtid="{D5CDD505-2E9C-101B-9397-08002B2CF9AE}" pid="5" name="KSOProductBuildVer">
    <vt:lpwstr>2052-12.1.2.23578</vt:lpwstr>
  </property>
  <property fmtid="{D5CDD505-2E9C-101B-9397-08002B2CF9AE}" pid="6" name="ICV">
    <vt:lpwstr>AD8ED13B60B27FE315C3066A52C42030_42</vt:lpwstr>
  </property>
</Properties>
</file>