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9E017">
      <w:pPr>
        <w:widowControl/>
        <w:spacing w:line="560" w:lineRule="exact"/>
        <w:jc w:val="center"/>
        <w:rPr>
          <w:rFonts w:ascii="方正小标宋简体" w:eastAsia="方正小标宋简体"/>
          <w:sz w:val="44"/>
          <w:szCs w:val="44"/>
        </w:rPr>
      </w:pPr>
    </w:p>
    <w:p w14:paraId="554A6A26">
      <w:pPr>
        <w:widowControl/>
        <w:spacing w:line="560" w:lineRule="exact"/>
        <w:jc w:val="center"/>
        <w:rPr>
          <w:rFonts w:ascii="方正小标宋简体" w:eastAsia="方正小标宋简体"/>
          <w:sz w:val="44"/>
          <w:szCs w:val="44"/>
        </w:rPr>
      </w:pPr>
    </w:p>
    <w:p w14:paraId="455E06F6">
      <w:pPr>
        <w:widowControl/>
        <w:spacing w:line="560" w:lineRule="exact"/>
        <w:jc w:val="center"/>
        <w:rPr>
          <w:rFonts w:ascii="方正小标宋简体" w:eastAsia="方正小标宋简体"/>
          <w:sz w:val="44"/>
          <w:szCs w:val="44"/>
        </w:rPr>
      </w:pPr>
    </w:p>
    <w:p w14:paraId="5783CCC2">
      <w:pPr>
        <w:widowControl/>
        <w:spacing w:line="560" w:lineRule="exact"/>
        <w:jc w:val="center"/>
        <w:rPr>
          <w:rFonts w:ascii="方正小标宋简体" w:eastAsia="方正小标宋简体"/>
          <w:sz w:val="44"/>
          <w:szCs w:val="44"/>
        </w:rPr>
      </w:pPr>
    </w:p>
    <w:p w14:paraId="28EF6C40">
      <w:pPr>
        <w:widowControl/>
        <w:spacing w:line="560" w:lineRule="exact"/>
        <w:jc w:val="center"/>
        <w:rPr>
          <w:rFonts w:ascii="方正小标宋简体" w:eastAsia="方正小标宋简体"/>
          <w:sz w:val="44"/>
          <w:szCs w:val="44"/>
        </w:rPr>
      </w:pPr>
    </w:p>
    <w:p w14:paraId="3722863B">
      <w:pPr>
        <w:widowControl/>
        <w:spacing w:line="560" w:lineRule="exact"/>
        <w:jc w:val="center"/>
        <w:rPr>
          <w:rFonts w:ascii="方正小标宋简体" w:eastAsia="方正小标宋简体"/>
          <w:sz w:val="44"/>
          <w:szCs w:val="44"/>
        </w:rPr>
      </w:pPr>
    </w:p>
    <w:p w14:paraId="64BC8F9A">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华安经济开发区新长诚（漳州）重工有限公司</w:t>
      </w:r>
    </w:p>
    <w:p w14:paraId="43C8CF3B">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“10·16”一般物体打击事故调查报告</w:t>
      </w:r>
    </w:p>
    <w:p w14:paraId="785D1DE9">
      <w:pPr>
        <w:widowControl/>
        <w:spacing w:line="560" w:lineRule="exact"/>
        <w:jc w:val="center"/>
        <w:rPr>
          <w:rFonts w:ascii="方正小标宋_GBK" w:eastAsia="方正小标宋_GBK"/>
          <w:sz w:val="44"/>
        </w:rPr>
      </w:pPr>
    </w:p>
    <w:p w14:paraId="1697CE29">
      <w:pPr>
        <w:widowControl/>
        <w:spacing w:line="560" w:lineRule="exact"/>
        <w:jc w:val="center"/>
        <w:rPr>
          <w:rFonts w:ascii="方正小标宋_GBK" w:eastAsia="方正小标宋_GBK"/>
          <w:sz w:val="44"/>
        </w:rPr>
      </w:pPr>
    </w:p>
    <w:p w14:paraId="082C443D">
      <w:pPr>
        <w:widowControl/>
        <w:spacing w:line="560" w:lineRule="exact"/>
        <w:jc w:val="center"/>
        <w:rPr>
          <w:rFonts w:ascii="方正小标宋_GBK" w:eastAsia="方正小标宋_GBK"/>
          <w:sz w:val="44"/>
        </w:rPr>
      </w:pPr>
    </w:p>
    <w:p w14:paraId="65BD6634">
      <w:pPr>
        <w:widowControl/>
        <w:spacing w:line="560" w:lineRule="exact"/>
        <w:jc w:val="center"/>
        <w:rPr>
          <w:rFonts w:ascii="方正小标宋_GBK" w:eastAsia="方正小标宋_GBK"/>
          <w:sz w:val="44"/>
        </w:rPr>
      </w:pPr>
    </w:p>
    <w:p w14:paraId="3B47EB5E">
      <w:pPr>
        <w:widowControl/>
        <w:spacing w:line="560" w:lineRule="exact"/>
        <w:jc w:val="center"/>
        <w:rPr>
          <w:rFonts w:ascii="方正小标宋_GBK" w:eastAsia="方正小标宋_GBK"/>
          <w:sz w:val="44"/>
        </w:rPr>
      </w:pPr>
    </w:p>
    <w:p w14:paraId="7DCD1EF8">
      <w:pPr>
        <w:widowControl/>
        <w:spacing w:line="560" w:lineRule="exact"/>
        <w:jc w:val="center"/>
        <w:rPr>
          <w:rFonts w:ascii="方正小标宋_GBK" w:eastAsia="方正小标宋_GBK"/>
          <w:sz w:val="44"/>
        </w:rPr>
      </w:pPr>
    </w:p>
    <w:p w14:paraId="6204D5D8">
      <w:pPr>
        <w:widowControl/>
        <w:spacing w:line="560" w:lineRule="exact"/>
        <w:jc w:val="center"/>
        <w:rPr>
          <w:rFonts w:ascii="方正小标宋_GBK" w:eastAsia="方正小标宋_GBK"/>
          <w:sz w:val="44"/>
        </w:rPr>
      </w:pPr>
    </w:p>
    <w:p w14:paraId="67DB704B">
      <w:pPr>
        <w:widowControl/>
        <w:spacing w:line="560" w:lineRule="exact"/>
        <w:jc w:val="center"/>
        <w:rPr>
          <w:rFonts w:ascii="方正小标宋_GBK" w:eastAsia="方正小标宋_GBK"/>
          <w:sz w:val="44"/>
        </w:rPr>
      </w:pPr>
    </w:p>
    <w:p w14:paraId="010867F2">
      <w:pPr>
        <w:widowControl/>
        <w:spacing w:line="560" w:lineRule="exact"/>
        <w:jc w:val="center"/>
        <w:rPr>
          <w:rFonts w:ascii="方正小标宋_GBK" w:eastAsia="方正小标宋_GBK"/>
          <w:sz w:val="44"/>
        </w:rPr>
      </w:pPr>
    </w:p>
    <w:p w14:paraId="39672264">
      <w:pPr>
        <w:widowControl/>
        <w:spacing w:line="560" w:lineRule="exact"/>
        <w:jc w:val="center"/>
        <w:rPr>
          <w:rFonts w:ascii="方正小标宋_GBK" w:eastAsia="方正小标宋_GBK"/>
          <w:sz w:val="44"/>
        </w:rPr>
      </w:pPr>
    </w:p>
    <w:p w14:paraId="685369AE">
      <w:pPr>
        <w:widowControl/>
        <w:spacing w:line="560" w:lineRule="exact"/>
        <w:jc w:val="center"/>
        <w:rPr>
          <w:rFonts w:ascii="方正小标宋_GBK" w:eastAsia="方正小标宋_GBK"/>
          <w:sz w:val="44"/>
        </w:rPr>
      </w:pPr>
    </w:p>
    <w:p w14:paraId="4CFBDFB9">
      <w:pPr>
        <w:widowControl/>
        <w:spacing w:line="560" w:lineRule="exact"/>
        <w:jc w:val="center"/>
        <w:rPr>
          <w:rFonts w:ascii="方正小标宋_GBK" w:eastAsia="方正小标宋_GBK"/>
          <w:sz w:val="44"/>
        </w:rPr>
      </w:pPr>
    </w:p>
    <w:p w14:paraId="10B39367">
      <w:pPr>
        <w:widowControl/>
        <w:spacing w:line="560" w:lineRule="exact"/>
        <w:jc w:val="center"/>
        <w:rPr>
          <w:rFonts w:ascii="方正小标宋简体" w:hAnsi="黑体" w:eastAsia="方正小标宋简体"/>
          <w:sz w:val="32"/>
          <w:szCs w:val="32"/>
        </w:rPr>
      </w:pPr>
      <w:r>
        <w:rPr>
          <w:rFonts w:hint="eastAsia" w:ascii="方正小标宋简体" w:hAnsi="黑体" w:eastAsia="方正小标宋简体"/>
          <w:sz w:val="32"/>
          <w:szCs w:val="32"/>
        </w:rPr>
        <w:t>华安县政府事故调查组</w:t>
      </w:r>
    </w:p>
    <w:p w14:paraId="2DAA4B0B">
      <w:pPr>
        <w:widowControl/>
        <w:spacing w:line="560" w:lineRule="exact"/>
        <w:jc w:val="center"/>
        <w:rPr>
          <w:rFonts w:ascii="方正小标宋简体" w:hAnsi="黑体" w:eastAsia="方正小标宋简体"/>
          <w:sz w:val="32"/>
          <w:szCs w:val="32"/>
        </w:rPr>
      </w:pPr>
      <w:r>
        <w:rPr>
          <w:rFonts w:hint="eastAsia" w:ascii="方正小标宋简体" w:hAnsi="黑体" w:eastAsia="方正小标宋简体"/>
          <w:sz w:val="32"/>
          <w:szCs w:val="32"/>
        </w:rPr>
        <w:t>2023年12月12日</w:t>
      </w:r>
    </w:p>
    <w:p w14:paraId="50280401">
      <w:pPr>
        <w:widowControl/>
        <w:spacing w:line="560" w:lineRule="exact"/>
        <w:jc w:val="left"/>
        <w:rPr>
          <w:rFonts w:ascii="方正小标宋_GBK" w:eastAsia="方正小标宋_GBK"/>
          <w:sz w:val="44"/>
        </w:rPr>
      </w:pPr>
      <w:r>
        <w:rPr>
          <w:rFonts w:ascii="方正小标宋_GBK" w:eastAsia="方正小标宋_GBK"/>
          <w:sz w:val="44"/>
        </w:rPr>
        <w:br w:type="page"/>
      </w:r>
    </w:p>
    <w:sdt>
      <w:sdtPr>
        <w:rPr>
          <w:rFonts w:ascii="Times New Roman" w:hAnsi="Times New Roman" w:eastAsia="宋体" w:cs="Times New Roman"/>
          <w:b w:val="0"/>
          <w:bCs w:val="0"/>
          <w:color w:val="auto"/>
          <w:kern w:val="2"/>
          <w:sz w:val="21"/>
          <w:szCs w:val="24"/>
          <w:lang w:val="zh-CN"/>
        </w:rPr>
        <w:id w:val="19576129"/>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14:paraId="2E5A6E4F">
          <w:pPr>
            <w:pStyle w:val="16"/>
            <w:spacing w:before="0" w:line="360" w:lineRule="auto"/>
            <w:jc w:val="center"/>
            <w:rPr>
              <w:rFonts w:asciiTheme="minorEastAsia" w:hAnsiTheme="minorEastAsia" w:eastAsiaTheme="minorEastAsia"/>
              <w:sz w:val="32"/>
              <w:szCs w:val="32"/>
            </w:rPr>
          </w:pPr>
          <w:r>
            <w:rPr>
              <w:rFonts w:hint="eastAsia" w:asciiTheme="minorEastAsia" w:hAnsiTheme="minorEastAsia" w:eastAsiaTheme="minorEastAsia"/>
              <w:color w:val="auto"/>
              <w:sz w:val="32"/>
              <w:szCs w:val="32"/>
              <w:lang w:val="zh-CN"/>
            </w:rPr>
            <w:t>目录</w:t>
          </w:r>
        </w:p>
        <w:p w14:paraId="17EC7F7C">
          <w:pPr>
            <w:pStyle w:val="6"/>
            <w:tabs>
              <w:tab w:val="right" w:leader="dot" w:pos="8834"/>
            </w:tabs>
            <w:rPr>
              <w:rFonts w:asciiTheme="minorHAnsi" w:hAnsiTheme="minorHAnsi" w:eastAsiaTheme="minorEastAsia" w:cstheme="minorBidi"/>
              <w:sz w:val="24"/>
              <w:szCs w:val="22"/>
            </w:rPr>
          </w:pPr>
          <w:r>
            <w:fldChar w:fldCharType="begin"/>
          </w:r>
          <w:r>
            <w:instrText xml:space="preserve"> TOC \o "1-3" \h \z \u </w:instrText>
          </w:r>
          <w:r>
            <w:fldChar w:fldCharType="separate"/>
          </w:r>
          <w:r>
            <w:fldChar w:fldCharType="begin"/>
          </w:r>
          <w:r>
            <w:instrText xml:space="preserve"> HYPERLINK \l "_Toc152666732" </w:instrText>
          </w:r>
          <w:r>
            <w:fldChar w:fldCharType="separate"/>
          </w:r>
          <w:r>
            <w:rPr>
              <w:rStyle w:val="13"/>
              <w:rFonts w:hint="eastAsia" w:ascii="黑体" w:hAnsi="黑体" w:eastAsia="黑体"/>
              <w:sz w:val="24"/>
            </w:rPr>
            <w:t>一、事故基本情况</w:t>
          </w:r>
          <w:r>
            <w:rPr>
              <w:sz w:val="24"/>
            </w:rPr>
            <w:tab/>
          </w:r>
          <w:r>
            <w:rPr>
              <w:sz w:val="24"/>
            </w:rPr>
            <w:fldChar w:fldCharType="begin"/>
          </w:r>
          <w:r>
            <w:rPr>
              <w:sz w:val="24"/>
            </w:rPr>
            <w:instrText xml:space="preserve"> PAGEREF _Toc152666732 \h </w:instrText>
          </w:r>
          <w:r>
            <w:rPr>
              <w:sz w:val="24"/>
            </w:rPr>
            <w:fldChar w:fldCharType="separate"/>
          </w:r>
          <w:r>
            <w:rPr>
              <w:sz w:val="24"/>
            </w:rPr>
            <w:t>2</w:t>
          </w:r>
          <w:r>
            <w:rPr>
              <w:sz w:val="24"/>
            </w:rPr>
            <w:fldChar w:fldCharType="end"/>
          </w:r>
          <w:r>
            <w:rPr>
              <w:sz w:val="24"/>
            </w:rPr>
            <w:fldChar w:fldCharType="end"/>
          </w:r>
        </w:p>
        <w:p w14:paraId="115FAB23">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"_Toc152666733" </w:instrText>
          </w:r>
          <w:r>
            <w:fldChar w:fldCharType="separate"/>
          </w:r>
          <w:r>
            <w:rPr>
              <w:rStyle w:val="13"/>
              <w:rFonts w:hint="eastAsia" w:asciiTheme="majorEastAsia" w:hAnsiTheme="majorEastAsia" w:eastAsiaTheme="majorEastAsia"/>
              <w:sz w:val="24"/>
            </w:rPr>
            <w:t>（一）事故发生单位及相关单位概况</w:t>
          </w:r>
          <w:r>
            <w:rPr>
              <w:sz w:val="24"/>
            </w:rPr>
            <w:tab/>
          </w:r>
          <w:r>
            <w:rPr>
              <w:sz w:val="24"/>
            </w:rPr>
            <w:fldChar w:fldCharType="begin"/>
          </w:r>
          <w:r>
            <w:rPr>
              <w:sz w:val="24"/>
            </w:rPr>
            <w:instrText xml:space="preserve"> PAGEREF _Toc152666733 \h </w:instrText>
          </w:r>
          <w:r>
            <w:rPr>
              <w:sz w:val="24"/>
            </w:rPr>
            <w:fldChar w:fldCharType="separate"/>
          </w:r>
          <w:r>
            <w:rPr>
              <w:sz w:val="24"/>
            </w:rPr>
            <w:t>2</w:t>
          </w:r>
          <w:r>
            <w:rPr>
              <w:sz w:val="24"/>
            </w:rPr>
            <w:fldChar w:fldCharType="end"/>
          </w:r>
          <w:r>
            <w:rPr>
              <w:sz w:val="24"/>
            </w:rPr>
            <w:fldChar w:fldCharType="end"/>
          </w:r>
        </w:p>
        <w:p w14:paraId="441E49FA">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"_Toc152666734" </w:instrText>
          </w:r>
          <w:r>
            <w:fldChar w:fldCharType="separate"/>
          </w:r>
          <w:r>
            <w:rPr>
              <w:rStyle w:val="13"/>
              <w:rFonts w:hint="eastAsia" w:asciiTheme="majorEastAsia" w:hAnsiTheme="majorEastAsia" w:eastAsiaTheme="majorEastAsia"/>
              <w:sz w:val="24"/>
            </w:rPr>
            <w:t>（二）事故发生单位安全管理情况</w:t>
          </w:r>
          <w:r>
            <w:rPr>
              <w:sz w:val="24"/>
            </w:rPr>
            <w:tab/>
          </w:r>
          <w:r>
            <w:rPr>
              <w:sz w:val="24"/>
            </w:rPr>
            <w:fldChar w:fldCharType="begin"/>
          </w:r>
          <w:r>
            <w:rPr>
              <w:sz w:val="24"/>
            </w:rPr>
            <w:instrText xml:space="preserve"> PAGEREF _Toc152666734 \h </w:instrText>
          </w:r>
          <w:r>
            <w:rPr>
              <w:sz w:val="24"/>
            </w:rPr>
            <w:fldChar w:fldCharType="separate"/>
          </w:r>
          <w:r>
            <w:rPr>
              <w:sz w:val="24"/>
            </w:rPr>
            <w:t>4</w:t>
          </w:r>
          <w:r>
            <w:rPr>
              <w:sz w:val="24"/>
            </w:rPr>
            <w:fldChar w:fldCharType="end"/>
          </w:r>
          <w:r>
            <w:rPr>
              <w:sz w:val="24"/>
            </w:rPr>
            <w:fldChar w:fldCharType="end"/>
          </w:r>
        </w:p>
        <w:p w14:paraId="4AE65CB2">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"_Toc152666735" </w:instrText>
          </w:r>
          <w:r>
            <w:fldChar w:fldCharType="separate"/>
          </w:r>
          <w:r>
            <w:rPr>
              <w:rStyle w:val="13"/>
              <w:rFonts w:hint="eastAsia" w:asciiTheme="majorEastAsia" w:hAnsiTheme="majorEastAsia" w:eastAsiaTheme="majorEastAsia"/>
              <w:sz w:val="24"/>
            </w:rPr>
            <w:t>（三）事故发生经过</w:t>
          </w:r>
          <w:r>
            <w:rPr>
              <w:sz w:val="24"/>
            </w:rPr>
            <w:tab/>
          </w:r>
          <w:r>
            <w:rPr>
              <w:sz w:val="24"/>
            </w:rPr>
            <w:fldChar w:fldCharType="begin"/>
          </w:r>
          <w:r>
            <w:rPr>
              <w:sz w:val="24"/>
            </w:rPr>
            <w:instrText xml:space="preserve"> PAGEREF _Toc152666735 \h </w:instrText>
          </w:r>
          <w:r>
            <w:rPr>
              <w:sz w:val="24"/>
            </w:rPr>
            <w:fldChar w:fldCharType="separate"/>
          </w:r>
          <w:r>
            <w:rPr>
              <w:sz w:val="24"/>
            </w:rPr>
            <w:t>4</w:t>
          </w:r>
          <w:r>
            <w:rPr>
              <w:sz w:val="24"/>
            </w:rPr>
            <w:fldChar w:fldCharType="end"/>
          </w:r>
          <w:r>
            <w:rPr>
              <w:sz w:val="24"/>
            </w:rPr>
            <w:fldChar w:fldCharType="end"/>
          </w:r>
        </w:p>
        <w:p w14:paraId="42A2E612">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"_Toc152666736" </w:instrText>
          </w:r>
          <w:r>
            <w:fldChar w:fldCharType="separate"/>
          </w:r>
          <w:r>
            <w:rPr>
              <w:rStyle w:val="13"/>
              <w:rFonts w:hint="eastAsia" w:asciiTheme="majorEastAsia" w:hAnsiTheme="majorEastAsia" w:eastAsiaTheme="majorEastAsia"/>
              <w:sz w:val="24"/>
            </w:rPr>
            <w:t>（四）事故现场情况</w:t>
          </w:r>
          <w:r>
            <w:rPr>
              <w:sz w:val="24"/>
            </w:rPr>
            <w:tab/>
          </w:r>
          <w:r>
            <w:rPr>
              <w:sz w:val="24"/>
            </w:rPr>
            <w:fldChar w:fldCharType="begin"/>
          </w:r>
          <w:r>
            <w:rPr>
              <w:sz w:val="24"/>
            </w:rPr>
            <w:instrText xml:space="preserve"> PAGEREF _Toc152666736 \h </w:instrText>
          </w:r>
          <w:r>
            <w:rPr>
              <w:sz w:val="24"/>
            </w:rPr>
            <w:fldChar w:fldCharType="separate"/>
          </w:r>
          <w:r>
            <w:rPr>
              <w:sz w:val="24"/>
            </w:rPr>
            <w:t>4</w:t>
          </w:r>
          <w:r>
            <w:rPr>
              <w:sz w:val="24"/>
            </w:rPr>
            <w:fldChar w:fldCharType="end"/>
          </w:r>
          <w:r>
            <w:rPr>
              <w:sz w:val="24"/>
            </w:rPr>
            <w:fldChar w:fldCharType="end"/>
          </w:r>
        </w:p>
        <w:p w14:paraId="1CEFC81A">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"_Toc152666737" </w:instrText>
          </w:r>
          <w:r>
            <w:fldChar w:fldCharType="separate"/>
          </w:r>
          <w:r>
            <w:rPr>
              <w:rStyle w:val="13"/>
              <w:rFonts w:hint="eastAsia" w:asciiTheme="majorEastAsia" w:hAnsiTheme="majorEastAsia" w:eastAsiaTheme="majorEastAsia"/>
              <w:sz w:val="24"/>
            </w:rPr>
            <w:t>（五）人员伤亡和直接经济损失情况</w:t>
          </w:r>
          <w:r>
            <w:rPr>
              <w:sz w:val="24"/>
            </w:rPr>
            <w:tab/>
          </w:r>
          <w:r>
            <w:rPr>
              <w:sz w:val="24"/>
            </w:rPr>
            <w:fldChar w:fldCharType="begin"/>
          </w:r>
          <w:r>
            <w:rPr>
              <w:sz w:val="24"/>
            </w:rPr>
            <w:instrText xml:space="preserve"> PAGEREF _Toc152666737 \h </w:instrText>
          </w:r>
          <w:r>
            <w:rPr>
              <w:sz w:val="24"/>
            </w:rPr>
            <w:fldChar w:fldCharType="separate"/>
          </w:r>
          <w:r>
            <w:rPr>
              <w:sz w:val="24"/>
            </w:rPr>
            <w:t>5</w:t>
          </w:r>
          <w:r>
            <w:rPr>
              <w:sz w:val="24"/>
            </w:rPr>
            <w:fldChar w:fldCharType="end"/>
          </w:r>
          <w:r>
            <w:rPr>
              <w:sz w:val="24"/>
            </w:rPr>
            <w:fldChar w:fldCharType="end"/>
          </w:r>
        </w:p>
        <w:p w14:paraId="24F2FF14">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"_Toc152666738" </w:instrText>
          </w:r>
          <w:r>
            <w:fldChar w:fldCharType="separate"/>
          </w:r>
          <w:r>
            <w:rPr>
              <w:rStyle w:val="13"/>
              <w:rFonts w:hint="eastAsia" w:ascii="黑体" w:hAnsi="黑体" w:eastAsia="黑体"/>
              <w:sz w:val="24"/>
            </w:rPr>
            <w:t>二、事故应急处置及评估情况</w:t>
          </w:r>
          <w:r>
            <w:rPr>
              <w:sz w:val="24"/>
            </w:rPr>
            <w:tab/>
          </w:r>
          <w:r>
            <w:rPr>
              <w:sz w:val="24"/>
            </w:rPr>
            <w:fldChar w:fldCharType="begin"/>
          </w:r>
          <w:r>
            <w:rPr>
              <w:sz w:val="24"/>
            </w:rPr>
            <w:instrText xml:space="preserve"> PAGEREF _Toc152666738 \h </w:instrText>
          </w:r>
          <w:r>
            <w:rPr>
              <w:sz w:val="24"/>
            </w:rPr>
            <w:fldChar w:fldCharType="separate"/>
          </w:r>
          <w:r>
            <w:rPr>
              <w:sz w:val="24"/>
            </w:rPr>
            <w:t>5</w:t>
          </w:r>
          <w:r>
            <w:rPr>
              <w:sz w:val="24"/>
            </w:rPr>
            <w:fldChar w:fldCharType="end"/>
          </w:r>
          <w:r>
            <w:rPr>
              <w:sz w:val="24"/>
            </w:rPr>
            <w:fldChar w:fldCharType="end"/>
          </w:r>
        </w:p>
        <w:p w14:paraId="1C85658B">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"_Toc152666739" </w:instrText>
          </w:r>
          <w:r>
            <w:fldChar w:fldCharType="separate"/>
          </w:r>
          <w:r>
            <w:rPr>
              <w:rStyle w:val="13"/>
              <w:rFonts w:hint="eastAsia" w:asciiTheme="majorEastAsia" w:hAnsiTheme="majorEastAsia" w:eastAsiaTheme="majorEastAsia"/>
              <w:sz w:val="24"/>
            </w:rPr>
            <w:t>（一）事故信息接报及响应情况</w:t>
          </w:r>
          <w:r>
            <w:rPr>
              <w:sz w:val="24"/>
            </w:rPr>
            <w:tab/>
          </w:r>
          <w:r>
            <w:rPr>
              <w:sz w:val="24"/>
            </w:rPr>
            <w:fldChar w:fldCharType="begin"/>
          </w:r>
          <w:r>
            <w:rPr>
              <w:sz w:val="24"/>
            </w:rPr>
            <w:instrText xml:space="preserve"> PAGEREF _Toc152666739 \h </w:instrText>
          </w:r>
          <w:r>
            <w:rPr>
              <w:sz w:val="24"/>
            </w:rPr>
            <w:fldChar w:fldCharType="separate"/>
          </w:r>
          <w:r>
            <w:rPr>
              <w:sz w:val="24"/>
            </w:rPr>
            <w:t>5</w:t>
          </w:r>
          <w:r>
            <w:rPr>
              <w:sz w:val="24"/>
            </w:rPr>
            <w:fldChar w:fldCharType="end"/>
          </w:r>
          <w:r>
            <w:rPr>
              <w:sz w:val="24"/>
            </w:rPr>
            <w:fldChar w:fldCharType="end"/>
          </w:r>
        </w:p>
        <w:p w14:paraId="3B9B315E">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"_Toc152666740" </w:instrText>
          </w:r>
          <w:r>
            <w:fldChar w:fldCharType="separate"/>
          </w:r>
          <w:r>
            <w:rPr>
              <w:rStyle w:val="13"/>
              <w:rFonts w:hint="eastAsia" w:asciiTheme="majorEastAsia" w:hAnsiTheme="majorEastAsia" w:eastAsiaTheme="majorEastAsia"/>
              <w:sz w:val="24"/>
            </w:rPr>
            <w:t>（二）事故现场应急处置情况</w:t>
          </w:r>
          <w:r>
            <w:rPr>
              <w:sz w:val="24"/>
            </w:rPr>
            <w:tab/>
          </w:r>
          <w:r>
            <w:rPr>
              <w:sz w:val="24"/>
            </w:rPr>
            <w:fldChar w:fldCharType="begin"/>
          </w:r>
          <w:r>
            <w:rPr>
              <w:sz w:val="24"/>
            </w:rPr>
            <w:instrText xml:space="preserve"> PAGEREF _Toc152666740 \h </w:instrText>
          </w:r>
          <w:r>
            <w:rPr>
              <w:sz w:val="24"/>
            </w:rPr>
            <w:fldChar w:fldCharType="separate"/>
          </w:r>
          <w:r>
            <w:rPr>
              <w:sz w:val="24"/>
            </w:rPr>
            <w:t>6</w:t>
          </w:r>
          <w:r>
            <w:rPr>
              <w:sz w:val="24"/>
            </w:rPr>
            <w:fldChar w:fldCharType="end"/>
          </w:r>
          <w:r>
            <w:rPr>
              <w:sz w:val="24"/>
            </w:rPr>
            <w:fldChar w:fldCharType="end"/>
          </w:r>
        </w:p>
        <w:p w14:paraId="5A885FFF">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"_Toc152666741" </w:instrText>
          </w:r>
          <w:r>
            <w:fldChar w:fldCharType="separate"/>
          </w:r>
          <w:r>
            <w:rPr>
              <w:rStyle w:val="13"/>
              <w:rFonts w:hint="eastAsia" w:asciiTheme="majorEastAsia" w:hAnsiTheme="majorEastAsia" w:eastAsiaTheme="majorEastAsia"/>
              <w:sz w:val="24"/>
            </w:rPr>
            <w:t>（三）医疗救治和善后情况</w:t>
          </w:r>
          <w:r>
            <w:rPr>
              <w:sz w:val="24"/>
            </w:rPr>
            <w:tab/>
          </w:r>
          <w:r>
            <w:rPr>
              <w:sz w:val="24"/>
            </w:rPr>
            <w:fldChar w:fldCharType="begin"/>
          </w:r>
          <w:r>
            <w:rPr>
              <w:sz w:val="24"/>
            </w:rPr>
            <w:instrText xml:space="preserve"> PAGEREF _Toc152666741 \h </w:instrText>
          </w:r>
          <w:r>
            <w:rPr>
              <w:sz w:val="24"/>
            </w:rPr>
            <w:fldChar w:fldCharType="separate"/>
          </w:r>
          <w:r>
            <w:rPr>
              <w:sz w:val="24"/>
            </w:rPr>
            <w:t>6</w:t>
          </w:r>
          <w:r>
            <w:rPr>
              <w:sz w:val="24"/>
            </w:rPr>
            <w:fldChar w:fldCharType="end"/>
          </w:r>
          <w:r>
            <w:rPr>
              <w:sz w:val="24"/>
            </w:rPr>
            <w:fldChar w:fldCharType="end"/>
          </w:r>
        </w:p>
        <w:p w14:paraId="56CB0225">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"_Toc152666742" </w:instrText>
          </w:r>
          <w:r>
            <w:fldChar w:fldCharType="separate"/>
          </w:r>
          <w:r>
            <w:rPr>
              <w:rStyle w:val="13"/>
              <w:rFonts w:hint="eastAsia" w:asciiTheme="majorEastAsia" w:hAnsiTheme="majorEastAsia" w:eastAsiaTheme="majorEastAsia"/>
              <w:sz w:val="24"/>
            </w:rPr>
            <w:t>（四）事故应急处置评估</w:t>
          </w:r>
          <w:r>
            <w:rPr>
              <w:sz w:val="24"/>
            </w:rPr>
            <w:tab/>
          </w:r>
          <w:r>
            <w:rPr>
              <w:sz w:val="24"/>
            </w:rPr>
            <w:fldChar w:fldCharType="begin"/>
          </w:r>
          <w:r>
            <w:rPr>
              <w:sz w:val="24"/>
            </w:rPr>
            <w:instrText xml:space="preserve"> PAGEREF _Toc152666742 \h </w:instrText>
          </w:r>
          <w:r>
            <w:rPr>
              <w:sz w:val="24"/>
            </w:rPr>
            <w:fldChar w:fldCharType="separate"/>
          </w:r>
          <w:r>
            <w:rPr>
              <w:sz w:val="24"/>
            </w:rPr>
            <w:t>6</w:t>
          </w:r>
          <w:r>
            <w:rPr>
              <w:sz w:val="24"/>
            </w:rPr>
            <w:fldChar w:fldCharType="end"/>
          </w:r>
          <w:r>
            <w:rPr>
              <w:sz w:val="24"/>
            </w:rPr>
            <w:fldChar w:fldCharType="end"/>
          </w:r>
        </w:p>
        <w:p w14:paraId="66975E9C">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"_Toc152666743" </w:instrText>
          </w:r>
          <w:r>
            <w:fldChar w:fldCharType="separate"/>
          </w:r>
          <w:r>
            <w:rPr>
              <w:rStyle w:val="13"/>
              <w:rFonts w:hint="eastAsia" w:ascii="黑体" w:hAnsi="黑体" w:eastAsia="黑体"/>
              <w:sz w:val="24"/>
            </w:rPr>
            <w:t>三、事故原因分析</w:t>
          </w:r>
          <w:r>
            <w:rPr>
              <w:sz w:val="24"/>
            </w:rPr>
            <w:tab/>
          </w:r>
          <w:r>
            <w:rPr>
              <w:sz w:val="24"/>
            </w:rPr>
            <w:fldChar w:fldCharType="begin"/>
          </w:r>
          <w:r>
            <w:rPr>
              <w:sz w:val="24"/>
            </w:rPr>
            <w:instrText xml:space="preserve"> PAGEREF _Toc152666743 \h </w:instrText>
          </w:r>
          <w:r>
            <w:rPr>
              <w:sz w:val="24"/>
            </w:rPr>
            <w:fldChar w:fldCharType="separate"/>
          </w:r>
          <w:r>
            <w:rPr>
              <w:sz w:val="24"/>
            </w:rPr>
            <w:t>6</w:t>
          </w:r>
          <w:r>
            <w:rPr>
              <w:sz w:val="24"/>
            </w:rPr>
            <w:fldChar w:fldCharType="end"/>
          </w:r>
          <w:r>
            <w:rPr>
              <w:sz w:val="24"/>
            </w:rPr>
            <w:fldChar w:fldCharType="end"/>
          </w:r>
        </w:p>
        <w:p w14:paraId="730DFBA4">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"_Toc152666744" </w:instrText>
          </w:r>
          <w:r>
            <w:fldChar w:fldCharType="separate"/>
          </w:r>
          <w:r>
            <w:rPr>
              <w:rStyle w:val="13"/>
              <w:rFonts w:hint="eastAsia" w:asciiTheme="majorEastAsia" w:hAnsiTheme="majorEastAsia" w:eastAsiaTheme="majorEastAsia"/>
              <w:sz w:val="24"/>
            </w:rPr>
            <w:t>（一）直接原因分析</w:t>
          </w:r>
          <w:r>
            <w:rPr>
              <w:sz w:val="24"/>
            </w:rPr>
            <w:tab/>
          </w:r>
          <w:r>
            <w:rPr>
              <w:sz w:val="24"/>
            </w:rPr>
            <w:fldChar w:fldCharType="begin"/>
          </w:r>
          <w:r>
            <w:rPr>
              <w:sz w:val="24"/>
            </w:rPr>
            <w:instrText xml:space="preserve"> PAGEREF _Toc152666744 \h </w:instrText>
          </w:r>
          <w:r>
            <w:rPr>
              <w:sz w:val="24"/>
            </w:rPr>
            <w:fldChar w:fldCharType="separate"/>
          </w:r>
          <w:r>
            <w:rPr>
              <w:sz w:val="24"/>
            </w:rPr>
            <w:t>6</w:t>
          </w:r>
          <w:r>
            <w:rPr>
              <w:sz w:val="24"/>
            </w:rPr>
            <w:fldChar w:fldCharType="end"/>
          </w:r>
          <w:r>
            <w:rPr>
              <w:sz w:val="24"/>
            </w:rPr>
            <w:fldChar w:fldCharType="end"/>
          </w:r>
        </w:p>
        <w:p w14:paraId="6A8A4228">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"_Toc152666745" </w:instrText>
          </w:r>
          <w:r>
            <w:fldChar w:fldCharType="separate"/>
          </w:r>
          <w:r>
            <w:rPr>
              <w:rStyle w:val="13"/>
              <w:rFonts w:hint="eastAsia" w:asciiTheme="majorEastAsia" w:hAnsiTheme="majorEastAsia" w:eastAsiaTheme="majorEastAsia"/>
              <w:sz w:val="24"/>
            </w:rPr>
            <w:t>（二）其他可能因素排除</w:t>
          </w:r>
          <w:r>
            <w:rPr>
              <w:sz w:val="24"/>
            </w:rPr>
            <w:tab/>
          </w:r>
          <w:r>
            <w:rPr>
              <w:sz w:val="24"/>
            </w:rPr>
            <w:fldChar w:fldCharType="begin"/>
          </w:r>
          <w:r>
            <w:rPr>
              <w:sz w:val="24"/>
            </w:rPr>
            <w:instrText xml:space="preserve"> PAGEREF _Toc152666745 \h </w:instrText>
          </w:r>
          <w:r>
            <w:rPr>
              <w:sz w:val="24"/>
            </w:rPr>
            <w:fldChar w:fldCharType="separate"/>
          </w:r>
          <w:r>
            <w:rPr>
              <w:sz w:val="24"/>
            </w:rPr>
            <w:t>7</w:t>
          </w:r>
          <w:r>
            <w:rPr>
              <w:sz w:val="24"/>
            </w:rPr>
            <w:fldChar w:fldCharType="end"/>
          </w:r>
          <w:r>
            <w:rPr>
              <w:sz w:val="24"/>
            </w:rPr>
            <w:fldChar w:fldCharType="end"/>
          </w:r>
        </w:p>
        <w:p w14:paraId="0B345151">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"_Toc152666746" </w:instrText>
          </w:r>
          <w:r>
            <w:fldChar w:fldCharType="separate"/>
          </w:r>
          <w:r>
            <w:rPr>
              <w:rStyle w:val="13"/>
              <w:rFonts w:hint="eastAsia" w:asciiTheme="majorEastAsia" w:hAnsiTheme="majorEastAsia" w:eastAsiaTheme="majorEastAsia"/>
              <w:sz w:val="24"/>
            </w:rPr>
            <w:t>（三）间接原因分析</w:t>
          </w:r>
          <w:r>
            <w:rPr>
              <w:sz w:val="24"/>
            </w:rPr>
            <w:tab/>
          </w:r>
          <w:r>
            <w:rPr>
              <w:sz w:val="24"/>
            </w:rPr>
            <w:fldChar w:fldCharType="begin"/>
          </w:r>
          <w:r>
            <w:rPr>
              <w:sz w:val="24"/>
            </w:rPr>
            <w:instrText xml:space="preserve"> PAGEREF _Toc152666746 \h </w:instrText>
          </w:r>
          <w:r>
            <w:rPr>
              <w:sz w:val="24"/>
            </w:rPr>
            <w:fldChar w:fldCharType="separate"/>
          </w:r>
          <w:r>
            <w:rPr>
              <w:sz w:val="24"/>
            </w:rPr>
            <w:t>7</w:t>
          </w:r>
          <w:r>
            <w:rPr>
              <w:sz w:val="24"/>
            </w:rPr>
            <w:fldChar w:fldCharType="end"/>
          </w:r>
          <w:r>
            <w:rPr>
              <w:sz w:val="24"/>
            </w:rPr>
            <w:fldChar w:fldCharType="end"/>
          </w:r>
        </w:p>
        <w:p w14:paraId="210C463F">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"_Toc152666747" </w:instrText>
          </w:r>
          <w:r>
            <w:fldChar w:fldCharType="separate"/>
          </w:r>
          <w:r>
            <w:rPr>
              <w:rStyle w:val="13"/>
              <w:rFonts w:hint="eastAsia" w:ascii="黑体" w:hAnsi="黑体" w:eastAsia="黑体"/>
              <w:sz w:val="24"/>
            </w:rPr>
            <w:t>四、有关责任单位存在的主要问题</w:t>
          </w:r>
          <w:r>
            <w:rPr>
              <w:sz w:val="24"/>
            </w:rPr>
            <w:tab/>
          </w:r>
          <w:r>
            <w:rPr>
              <w:sz w:val="24"/>
            </w:rPr>
            <w:fldChar w:fldCharType="begin"/>
          </w:r>
          <w:r>
            <w:rPr>
              <w:sz w:val="24"/>
            </w:rPr>
            <w:instrText xml:space="preserve"> PAGEREF _Toc152666747 \h </w:instrText>
          </w:r>
          <w:r>
            <w:rPr>
              <w:sz w:val="24"/>
            </w:rPr>
            <w:fldChar w:fldCharType="separate"/>
          </w:r>
          <w:r>
            <w:rPr>
              <w:sz w:val="24"/>
            </w:rPr>
            <w:t>7</w:t>
          </w:r>
          <w:r>
            <w:rPr>
              <w:sz w:val="24"/>
            </w:rPr>
            <w:fldChar w:fldCharType="end"/>
          </w:r>
          <w:r>
            <w:rPr>
              <w:sz w:val="24"/>
            </w:rPr>
            <w:fldChar w:fldCharType="end"/>
          </w:r>
        </w:p>
        <w:p w14:paraId="2586D626">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"_Toc152666748" </w:instrText>
          </w:r>
          <w:r>
            <w:fldChar w:fldCharType="separate"/>
          </w:r>
          <w:r>
            <w:rPr>
              <w:rStyle w:val="13"/>
              <w:rFonts w:hint="eastAsia" w:asciiTheme="majorEastAsia" w:hAnsiTheme="majorEastAsia" w:eastAsiaTheme="majorEastAsia"/>
              <w:sz w:val="24"/>
            </w:rPr>
            <w:t>（一）新长诚公司</w:t>
          </w:r>
          <w:r>
            <w:rPr>
              <w:sz w:val="24"/>
            </w:rPr>
            <w:tab/>
          </w:r>
          <w:r>
            <w:rPr>
              <w:sz w:val="24"/>
            </w:rPr>
            <w:fldChar w:fldCharType="begin"/>
          </w:r>
          <w:r>
            <w:rPr>
              <w:sz w:val="24"/>
            </w:rPr>
            <w:instrText xml:space="preserve"> PAGEREF _Toc152666748 \h </w:instrText>
          </w:r>
          <w:r>
            <w:rPr>
              <w:sz w:val="24"/>
            </w:rPr>
            <w:fldChar w:fldCharType="separate"/>
          </w:r>
          <w:r>
            <w:rPr>
              <w:sz w:val="24"/>
            </w:rPr>
            <w:t>7</w:t>
          </w:r>
          <w:r>
            <w:rPr>
              <w:sz w:val="24"/>
            </w:rPr>
            <w:fldChar w:fldCharType="end"/>
          </w:r>
          <w:r>
            <w:rPr>
              <w:sz w:val="24"/>
            </w:rPr>
            <w:fldChar w:fldCharType="end"/>
          </w:r>
        </w:p>
        <w:p w14:paraId="20D8C650">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"_Toc152666749" </w:instrText>
          </w:r>
          <w:r>
            <w:fldChar w:fldCharType="separate"/>
          </w:r>
          <w:r>
            <w:rPr>
              <w:rStyle w:val="13"/>
              <w:rFonts w:hint="eastAsia" w:asciiTheme="majorEastAsia" w:hAnsiTheme="majorEastAsia" w:eastAsiaTheme="majorEastAsia"/>
              <w:sz w:val="24"/>
            </w:rPr>
            <w:t>（二）华安县应急局</w:t>
          </w:r>
          <w:r>
            <w:rPr>
              <w:sz w:val="24"/>
            </w:rPr>
            <w:tab/>
          </w:r>
          <w:r>
            <w:rPr>
              <w:sz w:val="24"/>
            </w:rPr>
            <w:fldChar w:fldCharType="begin"/>
          </w:r>
          <w:r>
            <w:rPr>
              <w:sz w:val="24"/>
            </w:rPr>
            <w:instrText xml:space="preserve"> PAGEREF _Toc152666749 \h </w:instrText>
          </w:r>
          <w:r>
            <w:rPr>
              <w:sz w:val="24"/>
            </w:rPr>
            <w:fldChar w:fldCharType="separate"/>
          </w:r>
          <w:r>
            <w:rPr>
              <w:sz w:val="24"/>
            </w:rPr>
            <w:t>8</w:t>
          </w:r>
          <w:r>
            <w:rPr>
              <w:sz w:val="24"/>
            </w:rPr>
            <w:fldChar w:fldCharType="end"/>
          </w:r>
          <w:r>
            <w:rPr>
              <w:sz w:val="24"/>
            </w:rPr>
            <w:fldChar w:fldCharType="end"/>
          </w:r>
        </w:p>
        <w:p w14:paraId="41A3DC7B">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"_Toc152666750" </w:instrText>
          </w:r>
          <w:r>
            <w:fldChar w:fldCharType="separate"/>
          </w:r>
          <w:r>
            <w:rPr>
              <w:rStyle w:val="13"/>
              <w:rFonts w:hint="eastAsia" w:asciiTheme="majorEastAsia" w:hAnsiTheme="majorEastAsia" w:eastAsiaTheme="majorEastAsia"/>
              <w:sz w:val="24"/>
            </w:rPr>
            <w:t>（三）华安经济开发区管委会</w:t>
          </w:r>
          <w:r>
            <w:rPr>
              <w:sz w:val="24"/>
            </w:rPr>
            <w:tab/>
          </w:r>
          <w:r>
            <w:rPr>
              <w:sz w:val="24"/>
            </w:rPr>
            <w:fldChar w:fldCharType="begin"/>
          </w:r>
          <w:r>
            <w:rPr>
              <w:sz w:val="24"/>
            </w:rPr>
            <w:instrText xml:space="preserve"> PAGEREF _Toc152666750 \h </w:instrText>
          </w:r>
          <w:r>
            <w:rPr>
              <w:sz w:val="24"/>
            </w:rPr>
            <w:fldChar w:fldCharType="separate"/>
          </w:r>
          <w:r>
            <w:rPr>
              <w:sz w:val="24"/>
            </w:rPr>
            <w:t>8</w:t>
          </w:r>
          <w:r>
            <w:rPr>
              <w:sz w:val="24"/>
            </w:rPr>
            <w:fldChar w:fldCharType="end"/>
          </w:r>
          <w:r>
            <w:rPr>
              <w:sz w:val="24"/>
            </w:rPr>
            <w:fldChar w:fldCharType="end"/>
          </w:r>
        </w:p>
        <w:p w14:paraId="55659E83">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"_Toc152666751" </w:instrText>
          </w:r>
          <w:r>
            <w:fldChar w:fldCharType="separate"/>
          </w:r>
          <w:r>
            <w:rPr>
              <w:rStyle w:val="13"/>
              <w:rFonts w:hint="eastAsia" w:ascii="黑体" w:hAnsi="黑体" w:eastAsia="黑体"/>
              <w:sz w:val="24"/>
            </w:rPr>
            <w:t>五、对有关责任人员和责任单位的处理建议</w:t>
          </w:r>
          <w:r>
            <w:rPr>
              <w:sz w:val="24"/>
            </w:rPr>
            <w:tab/>
          </w:r>
          <w:r>
            <w:rPr>
              <w:sz w:val="24"/>
            </w:rPr>
            <w:fldChar w:fldCharType="begin"/>
          </w:r>
          <w:r>
            <w:rPr>
              <w:sz w:val="24"/>
            </w:rPr>
            <w:instrText xml:space="preserve"> PAGEREF _Toc152666751 \h </w:instrText>
          </w:r>
          <w:r>
            <w:rPr>
              <w:sz w:val="24"/>
            </w:rPr>
            <w:fldChar w:fldCharType="separate"/>
          </w:r>
          <w:r>
            <w:rPr>
              <w:sz w:val="24"/>
            </w:rPr>
            <w:t>8</w:t>
          </w:r>
          <w:r>
            <w:rPr>
              <w:sz w:val="24"/>
            </w:rPr>
            <w:fldChar w:fldCharType="end"/>
          </w:r>
          <w:r>
            <w:rPr>
              <w:sz w:val="24"/>
            </w:rPr>
            <w:fldChar w:fldCharType="end"/>
          </w:r>
        </w:p>
        <w:p w14:paraId="1ECA2414">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"_Toc152666752" </w:instrText>
          </w:r>
          <w:r>
            <w:fldChar w:fldCharType="separate"/>
          </w:r>
          <w:r>
            <w:rPr>
              <w:rStyle w:val="13"/>
              <w:rFonts w:hint="eastAsia" w:asciiTheme="majorEastAsia" w:hAnsiTheme="majorEastAsia" w:eastAsiaTheme="majorEastAsia"/>
              <w:sz w:val="24"/>
            </w:rPr>
            <w:t>（一）因在事故中死亡免予追究责任人员</w:t>
          </w:r>
          <w:r>
            <w:rPr>
              <w:sz w:val="24"/>
            </w:rPr>
            <w:tab/>
          </w:r>
          <w:r>
            <w:rPr>
              <w:sz w:val="24"/>
            </w:rPr>
            <w:fldChar w:fldCharType="begin"/>
          </w:r>
          <w:r>
            <w:rPr>
              <w:sz w:val="24"/>
            </w:rPr>
            <w:instrText xml:space="preserve"> PAGEREF _Toc152666752 \h </w:instrText>
          </w:r>
          <w:r>
            <w:rPr>
              <w:sz w:val="24"/>
            </w:rPr>
            <w:fldChar w:fldCharType="separate"/>
          </w:r>
          <w:r>
            <w:rPr>
              <w:sz w:val="24"/>
            </w:rPr>
            <w:t>8</w:t>
          </w:r>
          <w:r>
            <w:rPr>
              <w:sz w:val="24"/>
            </w:rPr>
            <w:fldChar w:fldCharType="end"/>
          </w:r>
          <w:r>
            <w:rPr>
              <w:sz w:val="24"/>
            </w:rPr>
            <w:fldChar w:fldCharType="end"/>
          </w:r>
        </w:p>
        <w:p w14:paraId="0414F5EB">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"_Toc152666753" </w:instrText>
          </w:r>
          <w:r>
            <w:fldChar w:fldCharType="separate"/>
          </w:r>
          <w:r>
            <w:rPr>
              <w:rStyle w:val="13"/>
              <w:rFonts w:hint="eastAsia" w:asciiTheme="majorEastAsia" w:hAnsiTheme="majorEastAsia" w:eastAsiaTheme="majorEastAsia"/>
              <w:sz w:val="24"/>
            </w:rPr>
            <w:t>（二）对事故有关责任人员和责任单位的行政处罚建议</w:t>
          </w:r>
          <w:r>
            <w:rPr>
              <w:sz w:val="24"/>
            </w:rPr>
            <w:tab/>
          </w:r>
          <w:r>
            <w:rPr>
              <w:sz w:val="24"/>
            </w:rPr>
            <w:fldChar w:fldCharType="begin"/>
          </w:r>
          <w:r>
            <w:rPr>
              <w:sz w:val="24"/>
            </w:rPr>
            <w:instrText xml:space="preserve"> PAGEREF _Toc152666753 \h </w:instrText>
          </w:r>
          <w:r>
            <w:rPr>
              <w:sz w:val="24"/>
            </w:rPr>
            <w:fldChar w:fldCharType="separate"/>
          </w:r>
          <w:r>
            <w:rPr>
              <w:sz w:val="24"/>
            </w:rPr>
            <w:t>9</w:t>
          </w:r>
          <w:r>
            <w:rPr>
              <w:sz w:val="24"/>
            </w:rPr>
            <w:fldChar w:fldCharType="end"/>
          </w:r>
          <w:r>
            <w:rPr>
              <w:sz w:val="24"/>
            </w:rPr>
            <w:fldChar w:fldCharType="end"/>
          </w:r>
        </w:p>
        <w:p w14:paraId="00EF40E3">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"_Toc152666754" </w:instrText>
          </w:r>
          <w:r>
            <w:fldChar w:fldCharType="separate"/>
          </w:r>
          <w:r>
            <w:rPr>
              <w:rStyle w:val="13"/>
              <w:rFonts w:hint="eastAsia" w:asciiTheme="majorEastAsia" w:hAnsiTheme="majorEastAsia" w:eastAsiaTheme="majorEastAsia"/>
              <w:sz w:val="24"/>
            </w:rPr>
            <w:t>（三）其他处理建议</w:t>
          </w:r>
          <w:r>
            <w:rPr>
              <w:sz w:val="24"/>
            </w:rPr>
            <w:tab/>
          </w:r>
          <w:r>
            <w:rPr>
              <w:sz w:val="24"/>
            </w:rPr>
            <w:fldChar w:fldCharType="begin"/>
          </w:r>
          <w:r>
            <w:rPr>
              <w:sz w:val="24"/>
            </w:rPr>
            <w:instrText xml:space="preserve"> PAGEREF _Toc152666754 \h </w:instrText>
          </w:r>
          <w:r>
            <w:rPr>
              <w:sz w:val="24"/>
            </w:rPr>
            <w:fldChar w:fldCharType="separate"/>
          </w:r>
          <w:r>
            <w:rPr>
              <w:sz w:val="24"/>
            </w:rPr>
            <w:t>10</w:t>
          </w:r>
          <w:r>
            <w:rPr>
              <w:sz w:val="24"/>
            </w:rPr>
            <w:fldChar w:fldCharType="end"/>
          </w:r>
          <w:r>
            <w:rPr>
              <w:sz w:val="24"/>
            </w:rPr>
            <w:fldChar w:fldCharType="end"/>
          </w:r>
        </w:p>
        <w:p w14:paraId="0C14987D">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"_Toc152666755" </w:instrText>
          </w:r>
          <w:r>
            <w:fldChar w:fldCharType="separate"/>
          </w:r>
          <w:r>
            <w:rPr>
              <w:rStyle w:val="13"/>
              <w:rFonts w:hint="eastAsia" w:ascii="黑体" w:hAnsi="黑体" w:eastAsia="黑体"/>
              <w:sz w:val="24"/>
            </w:rPr>
            <w:t>六、事故主要教训</w:t>
          </w:r>
          <w:r>
            <w:rPr>
              <w:sz w:val="24"/>
            </w:rPr>
            <w:tab/>
          </w:r>
          <w:r>
            <w:rPr>
              <w:sz w:val="24"/>
            </w:rPr>
            <w:fldChar w:fldCharType="begin"/>
          </w:r>
          <w:r>
            <w:rPr>
              <w:sz w:val="24"/>
            </w:rPr>
            <w:instrText xml:space="preserve"> PAGEREF _Toc152666755 \h </w:instrText>
          </w:r>
          <w:r>
            <w:rPr>
              <w:sz w:val="24"/>
            </w:rPr>
            <w:fldChar w:fldCharType="separate"/>
          </w:r>
          <w:r>
            <w:rPr>
              <w:sz w:val="24"/>
            </w:rPr>
            <w:t>11</w:t>
          </w:r>
          <w:r>
            <w:rPr>
              <w:sz w:val="24"/>
            </w:rPr>
            <w:fldChar w:fldCharType="end"/>
          </w:r>
          <w:r>
            <w:rPr>
              <w:sz w:val="24"/>
            </w:rPr>
            <w:fldChar w:fldCharType="end"/>
          </w:r>
        </w:p>
        <w:p w14:paraId="0E55CA28">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"_Toc152666756" </w:instrText>
          </w:r>
          <w:r>
            <w:fldChar w:fldCharType="separate"/>
          </w:r>
          <w:r>
            <w:rPr>
              <w:rStyle w:val="13"/>
              <w:rFonts w:hint="eastAsia" w:asciiTheme="majorEastAsia" w:hAnsiTheme="majorEastAsia" w:eastAsiaTheme="majorEastAsia"/>
              <w:sz w:val="24"/>
            </w:rPr>
            <w:t>（一）作业人员安全意识淡薄</w:t>
          </w:r>
          <w:r>
            <w:rPr>
              <w:sz w:val="24"/>
            </w:rPr>
            <w:tab/>
          </w:r>
          <w:r>
            <w:rPr>
              <w:sz w:val="24"/>
            </w:rPr>
            <w:fldChar w:fldCharType="begin"/>
          </w:r>
          <w:r>
            <w:rPr>
              <w:sz w:val="24"/>
            </w:rPr>
            <w:instrText xml:space="preserve"> PAGEREF _Toc152666756 \h </w:instrText>
          </w:r>
          <w:r>
            <w:rPr>
              <w:sz w:val="24"/>
            </w:rPr>
            <w:fldChar w:fldCharType="separate"/>
          </w:r>
          <w:r>
            <w:rPr>
              <w:sz w:val="24"/>
            </w:rPr>
            <w:t>11</w:t>
          </w:r>
          <w:r>
            <w:rPr>
              <w:sz w:val="24"/>
            </w:rPr>
            <w:fldChar w:fldCharType="end"/>
          </w:r>
          <w:r>
            <w:rPr>
              <w:sz w:val="24"/>
            </w:rPr>
            <w:fldChar w:fldCharType="end"/>
          </w:r>
        </w:p>
        <w:p w14:paraId="2B414A91">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"_Toc152666757" </w:instrText>
          </w:r>
          <w:r>
            <w:fldChar w:fldCharType="separate"/>
          </w:r>
          <w:r>
            <w:rPr>
              <w:rStyle w:val="13"/>
              <w:rFonts w:hint="eastAsia" w:asciiTheme="majorEastAsia" w:hAnsiTheme="majorEastAsia" w:eastAsiaTheme="majorEastAsia"/>
              <w:sz w:val="24"/>
            </w:rPr>
            <w:t>（二）企业主体责任落实不到位</w:t>
          </w:r>
          <w:r>
            <w:rPr>
              <w:sz w:val="24"/>
            </w:rPr>
            <w:tab/>
          </w:r>
          <w:r>
            <w:rPr>
              <w:sz w:val="24"/>
            </w:rPr>
            <w:fldChar w:fldCharType="begin"/>
          </w:r>
          <w:r>
            <w:rPr>
              <w:sz w:val="24"/>
            </w:rPr>
            <w:instrText xml:space="preserve"> PAGEREF _Toc152666757 \h </w:instrText>
          </w:r>
          <w:r>
            <w:rPr>
              <w:sz w:val="24"/>
            </w:rPr>
            <w:fldChar w:fldCharType="separate"/>
          </w:r>
          <w:r>
            <w:rPr>
              <w:sz w:val="24"/>
            </w:rPr>
            <w:t>11</w:t>
          </w:r>
          <w:r>
            <w:rPr>
              <w:sz w:val="24"/>
            </w:rPr>
            <w:fldChar w:fldCharType="end"/>
          </w:r>
          <w:r>
            <w:rPr>
              <w:sz w:val="24"/>
            </w:rPr>
            <w:fldChar w:fldCharType="end"/>
          </w:r>
        </w:p>
        <w:p w14:paraId="34B47101">
          <w:pPr>
            <w:pStyle w:val="6"/>
            <w:tabs>
              <w:tab w:val="right" w:leader="dot" w:pos="8834"/>
            </w:tabs>
            <w:rPr>
              <w:rFonts w:asciiTheme="minorHAnsi" w:hAnsiTheme="minorHAnsi" w:eastAsiaTheme="minorEastAsia" w:cstheme="minorBidi"/>
              <w:sz w:val="24"/>
              <w:szCs w:val="22"/>
            </w:rPr>
          </w:pPr>
          <w:r>
            <w:fldChar w:fldCharType="begin"/>
          </w:r>
          <w:r>
            <w:instrText xml:space="preserve"> HYPERLINK \l "_Toc152666758" </w:instrText>
          </w:r>
          <w:r>
            <w:fldChar w:fldCharType="separate"/>
          </w:r>
          <w:r>
            <w:rPr>
              <w:rStyle w:val="13"/>
              <w:rFonts w:hint="eastAsia" w:ascii="黑体" w:hAnsi="黑体" w:eastAsia="黑体"/>
              <w:sz w:val="24"/>
            </w:rPr>
            <w:t>七、事故整改和防范措施</w:t>
          </w:r>
          <w:r>
            <w:rPr>
              <w:sz w:val="24"/>
            </w:rPr>
            <w:tab/>
          </w:r>
          <w:r>
            <w:rPr>
              <w:sz w:val="24"/>
            </w:rPr>
            <w:fldChar w:fldCharType="begin"/>
          </w:r>
          <w:r>
            <w:rPr>
              <w:sz w:val="24"/>
            </w:rPr>
            <w:instrText xml:space="preserve"> PAGEREF _Toc152666758 \h </w:instrText>
          </w:r>
          <w:r>
            <w:rPr>
              <w:sz w:val="24"/>
            </w:rPr>
            <w:fldChar w:fldCharType="separate"/>
          </w:r>
          <w:r>
            <w:rPr>
              <w:sz w:val="24"/>
            </w:rPr>
            <w:t>11</w:t>
          </w:r>
          <w:r>
            <w:rPr>
              <w:sz w:val="24"/>
            </w:rPr>
            <w:fldChar w:fldCharType="end"/>
          </w:r>
          <w:r>
            <w:rPr>
              <w:sz w:val="24"/>
            </w:rPr>
            <w:fldChar w:fldCharType="end"/>
          </w:r>
        </w:p>
        <w:p w14:paraId="6F406FDC">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"_Toc152666759" </w:instrText>
          </w:r>
          <w:r>
            <w:fldChar w:fldCharType="separate"/>
          </w:r>
          <w:r>
            <w:rPr>
              <w:rStyle w:val="13"/>
              <w:rFonts w:hint="eastAsia" w:asciiTheme="majorEastAsia" w:hAnsiTheme="majorEastAsia" w:eastAsiaTheme="majorEastAsia"/>
              <w:sz w:val="24"/>
            </w:rPr>
            <w:t>（一）深刻吸取事故教训</w:t>
          </w:r>
          <w:r>
            <w:rPr>
              <w:sz w:val="24"/>
            </w:rPr>
            <w:tab/>
          </w:r>
          <w:r>
            <w:rPr>
              <w:sz w:val="24"/>
            </w:rPr>
            <w:fldChar w:fldCharType="begin"/>
          </w:r>
          <w:r>
            <w:rPr>
              <w:sz w:val="24"/>
            </w:rPr>
            <w:instrText xml:space="preserve"> PAGEREF _Toc152666759 \h </w:instrText>
          </w:r>
          <w:r>
            <w:rPr>
              <w:sz w:val="24"/>
            </w:rPr>
            <w:fldChar w:fldCharType="separate"/>
          </w:r>
          <w:r>
            <w:rPr>
              <w:sz w:val="24"/>
            </w:rPr>
            <w:t>11</w:t>
          </w:r>
          <w:r>
            <w:rPr>
              <w:sz w:val="24"/>
            </w:rPr>
            <w:fldChar w:fldCharType="end"/>
          </w:r>
          <w:r>
            <w:rPr>
              <w:sz w:val="24"/>
            </w:rPr>
            <w:fldChar w:fldCharType="end"/>
          </w:r>
        </w:p>
        <w:p w14:paraId="20D6F7F5">
          <w:pPr>
            <w:pStyle w:val="8"/>
            <w:tabs>
              <w:tab w:val="right" w:leader="dot" w:pos="8834"/>
            </w:tabs>
            <w:rPr>
              <w:rFonts w:asciiTheme="minorHAnsi" w:hAnsiTheme="minorHAnsi" w:eastAsiaTheme="minorEastAsia" w:cstheme="minorBidi"/>
              <w:sz w:val="24"/>
              <w:szCs w:val="22"/>
            </w:rPr>
          </w:pPr>
          <w:r>
            <w:fldChar w:fldCharType="begin"/>
          </w:r>
          <w:r>
            <w:instrText xml:space="preserve"> HYPERLINK \l "_Toc152666760" </w:instrText>
          </w:r>
          <w:r>
            <w:fldChar w:fldCharType="separate"/>
          </w:r>
          <w:r>
            <w:rPr>
              <w:rStyle w:val="13"/>
              <w:rFonts w:hint="eastAsia" w:asciiTheme="majorEastAsia" w:hAnsiTheme="majorEastAsia" w:eastAsiaTheme="majorEastAsia"/>
              <w:sz w:val="24"/>
            </w:rPr>
            <w:t>（二）严格落实企业主体责任</w:t>
          </w:r>
          <w:r>
            <w:rPr>
              <w:sz w:val="24"/>
            </w:rPr>
            <w:tab/>
          </w:r>
          <w:r>
            <w:rPr>
              <w:sz w:val="24"/>
            </w:rPr>
            <w:fldChar w:fldCharType="begin"/>
          </w:r>
          <w:r>
            <w:rPr>
              <w:sz w:val="24"/>
            </w:rPr>
            <w:instrText xml:space="preserve"> PAGEREF _Toc152666760 \h </w:instrText>
          </w:r>
          <w:r>
            <w:rPr>
              <w:sz w:val="24"/>
            </w:rPr>
            <w:fldChar w:fldCharType="separate"/>
          </w:r>
          <w:r>
            <w:rPr>
              <w:sz w:val="24"/>
            </w:rPr>
            <w:t>12</w:t>
          </w:r>
          <w:r>
            <w:rPr>
              <w:sz w:val="24"/>
            </w:rPr>
            <w:fldChar w:fldCharType="end"/>
          </w:r>
          <w:r>
            <w:rPr>
              <w:sz w:val="24"/>
            </w:rPr>
            <w:fldChar w:fldCharType="end"/>
          </w:r>
        </w:p>
        <w:p w14:paraId="7E1D1EE9">
          <w:pPr>
            <w:pStyle w:val="8"/>
            <w:tabs>
              <w:tab w:val="right" w:leader="dot" w:pos="8834"/>
            </w:tabs>
            <w:rPr>
              <w:rFonts w:asciiTheme="minorHAnsi" w:hAnsiTheme="minorHAnsi" w:eastAsiaTheme="minorEastAsia" w:cstheme="minorBidi"/>
              <w:szCs w:val="22"/>
            </w:rPr>
          </w:pPr>
          <w:r>
            <w:fldChar w:fldCharType="begin"/>
          </w:r>
          <w:r>
            <w:instrText xml:space="preserve"> HYPERLINK \l "_Toc152666761" </w:instrText>
          </w:r>
          <w:r>
            <w:fldChar w:fldCharType="separate"/>
          </w:r>
          <w:r>
            <w:rPr>
              <w:rStyle w:val="13"/>
              <w:rFonts w:hint="eastAsia" w:asciiTheme="majorEastAsia" w:hAnsiTheme="majorEastAsia" w:eastAsiaTheme="majorEastAsia"/>
              <w:sz w:val="24"/>
            </w:rPr>
            <w:t>（三）加强安全监管</w:t>
          </w:r>
          <w:r>
            <w:rPr>
              <w:sz w:val="24"/>
            </w:rPr>
            <w:tab/>
          </w:r>
          <w:r>
            <w:rPr>
              <w:sz w:val="24"/>
            </w:rPr>
            <w:fldChar w:fldCharType="begin"/>
          </w:r>
          <w:r>
            <w:rPr>
              <w:sz w:val="24"/>
            </w:rPr>
            <w:instrText xml:space="preserve"> PAGEREF _Toc152666761 \h </w:instrText>
          </w:r>
          <w:r>
            <w:rPr>
              <w:sz w:val="24"/>
            </w:rPr>
            <w:fldChar w:fldCharType="separate"/>
          </w:r>
          <w:r>
            <w:rPr>
              <w:sz w:val="24"/>
            </w:rPr>
            <w:t>12</w:t>
          </w:r>
          <w:r>
            <w:rPr>
              <w:sz w:val="24"/>
            </w:rPr>
            <w:fldChar w:fldCharType="end"/>
          </w:r>
          <w:r>
            <w:rPr>
              <w:sz w:val="24"/>
            </w:rPr>
            <w:fldChar w:fldCharType="end"/>
          </w:r>
        </w:p>
        <w:p w14:paraId="09026D02">
          <w:r>
            <w:fldChar w:fldCharType="end"/>
          </w:r>
        </w:p>
      </w:sdtContent>
    </w:sdt>
    <w:p w14:paraId="1D5BFF7A">
      <w:pPr>
        <w:widowControl/>
        <w:jc w:val="left"/>
        <w:rPr>
          <w:rFonts w:ascii="方正小标宋_GBK" w:eastAsia="方正小标宋_GBK"/>
          <w:sz w:val="44"/>
        </w:rPr>
        <w:sectPr>
          <w:headerReference r:id="rId6" w:type="first"/>
          <w:footerReference r:id="rId9" w:type="first"/>
          <w:headerReference r:id="rId4" w:type="default"/>
          <w:footerReference r:id="rId7" w:type="default"/>
          <w:headerReference r:id="rId5" w:type="even"/>
          <w:footerReference r:id="rId8" w:type="even"/>
          <w:pgSz w:w="11906" w:h="16838"/>
          <w:pgMar w:top="1928" w:right="1474" w:bottom="1701" w:left="1588" w:header="1418" w:footer="1418" w:gutter="0"/>
          <w:pgNumType w:fmt="numberInDash" w:start="1"/>
          <w:cols w:space="720" w:num="1"/>
          <w:docGrid w:type="lines" w:linePitch="312" w:charSpace="0"/>
        </w:sectPr>
      </w:pPr>
      <w:r>
        <w:rPr>
          <w:rFonts w:ascii="方正小标宋_GBK" w:eastAsia="方正小标宋_GBK"/>
          <w:sz w:val="44"/>
        </w:rPr>
        <w:br w:type="page"/>
      </w:r>
    </w:p>
    <w:p w14:paraId="276E2A7E">
      <w:pPr>
        <w:widowControl/>
        <w:spacing w:line="560" w:lineRule="exact"/>
        <w:ind w:firstLine="640" w:firstLineChars="200"/>
        <w:rPr>
          <w:rFonts w:ascii="仿宋_GB2312" w:eastAsia="仿宋_GB2312"/>
          <w:sz w:val="32"/>
        </w:rPr>
      </w:pPr>
      <w:r>
        <w:rPr>
          <w:rFonts w:hint="eastAsia" w:ascii="仿宋_GB2312" w:eastAsia="仿宋_GB2312"/>
          <w:sz w:val="32"/>
        </w:rPr>
        <w:t>2023年10月16日14时30分许，位于华安经济开发区的新长诚（漳州）重工有限公司发生一起一般物体打击事故，造成1人死亡，直接经济损失人民币113.642万元。</w:t>
      </w:r>
    </w:p>
    <w:p w14:paraId="12858FCD">
      <w:pPr>
        <w:spacing w:line="560" w:lineRule="exact"/>
        <w:ind w:firstLine="640" w:firstLineChars="200"/>
        <w:rPr>
          <w:rFonts w:ascii="仿宋_GB2312" w:eastAsia="仿宋_GB2312"/>
          <w:sz w:val="32"/>
        </w:rPr>
      </w:pPr>
      <w:r>
        <w:rPr>
          <w:rFonts w:hint="eastAsia" w:ascii="仿宋_GB2312" w:eastAsia="仿宋_GB2312"/>
          <w:sz w:val="32"/>
        </w:rPr>
        <w:t>事故发生后，市委书记王进足，市长魏东，市委常委、常务副市长廖卓文，县委书记叶毓，县长陈敏杰等领导对事故处置工作分别作出指示批示，要求做好事件原因调查，妥处善后，举一反三，加强企业主的安全生产培训及员工安全生产教育，坚决消除事故隐患，杜绝事故多发状况！</w:t>
      </w:r>
    </w:p>
    <w:p w14:paraId="4A739E34">
      <w:pPr>
        <w:spacing w:line="560" w:lineRule="exact"/>
        <w:ind w:firstLine="640" w:firstLineChars="200"/>
        <w:rPr>
          <w:rFonts w:ascii="仿宋_GB2312" w:eastAsia="仿宋_GB2312"/>
          <w:sz w:val="32"/>
        </w:rPr>
      </w:pPr>
      <w:r>
        <w:rPr>
          <w:rFonts w:hint="eastAsia" w:ascii="仿宋_GB2312" w:eastAsia="仿宋_GB2312"/>
          <w:sz w:val="32"/>
        </w:rPr>
        <w:t>根据《中华人民共和国安全生产法》《生产安全事故报告和调查处理条例》（国务院令第493号）等有关法律法规规定，2023年10月19日，华安县人民政府成立了由县应急局局长郑永建任组长，县应急局副局长郭发明、华安经济开发区企业服务中心主任童亚生任副组长，县总工会、县公安局、县市场监管局、县应急局等单位有关人员组成的华安经济开发区新长诚（漳州）重工有限公司“10·16”一般物体打击事故调查组（以下简称“事故调查组”），依法对该起事故开展调查。</w:t>
      </w:r>
    </w:p>
    <w:p w14:paraId="1632F441">
      <w:pPr>
        <w:spacing w:line="560" w:lineRule="exact"/>
        <w:ind w:firstLine="640" w:firstLineChars="200"/>
        <w:rPr>
          <w:rFonts w:ascii="仿宋_GB2312" w:eastAsia="仿宋_GB2312"/>
          <w:sz w:val="32"/>
        </w:rPr>
      </w:pPr>
      <w:r>
        <w:rPr>
          <w:rFonts w:hint="eastAsia" w:ascii="仿宋_GB2312" w:eastAsia="仿宋_GB2312"/>
          <w:sz w:val="32"/>
        </w:rPr>
        <w:t>事故调查组按照“四不放过”和“科学严谨、依法依规、实事求是、注重实效”的原则，通过现场勘验、查阅资料、证人询问、综合分析，基本查清了事故发生的经过、原因，人员伤亡和财产损失情况，认定了事故性质和责任，提出了对有关责任单位和责任人员的处理建议。针对事故暴露出的突出问题，提出了事故防范措施建议。</w:t>
      </w:r>
    </w:p>
    <w:p w14:paraId="3511A44F">
      <w:pPr>
        <w:spacing w:line="560" w:lineRule="exact"/>
        <w:ind w:firstLine="640" w:firstLineChars="200"/>
        <w:rPr>
          <w:rFonts w:ascii="仿宋_GB2312" w:eastAsia="仿宋_GB2312"/>
          <w:sz w:val="32"/>
        </w:rPr>
      </w:pPr>
      <w:r>
        <w:rPr>
          <w:rFonts w:hint="eastAsia" w:ascii="仿宋_GB2312" w:eastAsia="仿宋_GB2312"/>
          <w:sz w:val="32"/>
        </w:rPr>
        <w:t>经调查认定，华安经济开发区新长诚（漳州）重工有限公司“10·16”物体打击事故是一起因企业安全生产教育培训、隐患排查治理不到位，作业人员未按要求佩戴劳动防护用品、未落实防倾倒措施造成的一般生产安全责任事故。</w:t>
      </w:r>
    </w:p>
    <w:p w14:paraId="3495EF9E">
      <w:pPr>
        <w:spacing w:line="560" w:lineRule="exact"/>
        <w:ind w:firstLine="640" w:firstLineChars="200"/>
        <w:outlineLvl w:val="0"/>
        <w:rPr>
          <w:rFonts w:ascii="黑体" w:hAnsi="黑体" w:eastAsia="黑体"/>
          <w:sz w:val="32"/>
        </w:rPr>
      </w:pPr>
      <w:bookmarkStart w:id="0" w:name="_Toc152666732"/>
      <w:r>
        <w:rPr>
          <w:rFonts w:hint="eastAsia" w:ascii="黑体" w:hAnsi="黑体" w:eastAsia="黑体"/>
          <w:sz w:val="32"/>
        </w:rPr>
        <w:t>一、事故基本情况</w:t>
      </w:r>
      <w:bookmarkEnd w:id="0"/>
    </w:p>
    <w:p w14:paraId="511F7500">
      <w:pPr>
        <w:spacing w:line="560" w:lineRule="exact"/>
        <w:ind w:firstLine="643" w:firstLineChars="200"/>
        <w:outlineLvl w:val="1"/>
        <w:rPr>
          <w:rFonts w:ascii="楷体_GB2312" w:eastAsia="楷体_GB2312"/>
          <w:b/>
          <w:sz w:val="32"/>
        </w:rPr>
      </w:pPr>
      <w:bookmarkStart w:id="1" w:name="_Toc152666733"/>
      <w:r>
        <w:rPr>
          <w:rFonts w:hint="eastAsia" w:ascii="楷体_GB2312" w:eastAsia="楷体_GB2312"/>
          <w:b/>
          <w:sz w:val="32"/>
        </w:rPr>
        <w:t>（一）事故发生单位及相关单位概况</w:t>
      </w:r>
      <w:bookmarkEnd w:id="1"/>
    </w:p>
    <w:p w14:paraId="1D705415">
      <w:pPr>
        <w:spacing w:line="560" w:lineRule="exact"/>
        <w:ind w:firstLine="640" w:firstLineChars="200"/>
        <w:rPr>
          <w:rFonts w:ascii="仿宋_GB2312" w:eastAsia="仿宋_GB2312"/>
          <w:sz w:val="32"/>
        </w:rPr>
      </w:pPr>
      <w:r>
        <w:rPr>
          <w:rFonts w:hint="eastAsia" w:ascii="仿宋_GB2312" w:eastAsia="仿宋_GB2312"/>
          <w:sz w:val="32"/>
        </w:rPr>
        <w:t>1.新长诚（漳州）重工有限公司（以下简称“新长诚公司”），法定代表人：吴志良，统一社会信用代码：913506295917337155，类型：有限责任公司（法人独资），成立日期：2012年3月22日，营业期限：2012年3月22日至2062年3月21日，地址：华安经济开发区九龙工业园，经营范围：钢结构（特种设备除外）、混凝土预制构件生产；自有商业房屋租赁服务；住房租赁经营；法律法规未规定许可的，均可自主选择经营项目开展经营。（依法须经批准的项目，经相关部门批准后方可开展经营活动）</w:t>
      </w:r>
    </w:p>
    <w:p w14:paraId="2CFCE38B">
      <w:pPr>
        <w:spacing w:line="560" w:lineRule="exact"/>
        <w:ind w:firstLine="640" w:firstLineChars="200"/>
        <w:rPr>
          <w:rFonts w:ascii="仿宋_GB2312" w:eastAsia="仿宋_GB2312"/>
          <w:sz w:val="32"/>
        </w:rPr>
      </w:pPr>
      <w:r>
        <w:rPr>
          <w:rFonts w:hint="eastAsia" w:ascii="仿宋_GB2312" w:eastAsia="仿宋_GB2312"/>
          <w:sz w:val="32"/>
        </w:rPr>
        <w:t>2.事故车间情况：事发点位于新长诚公司一车间三线作业区，共设拼装区、焊接区、检验区、出货区四个作业区（见图1），死者负责操作行车吊运、转运、翻转钢构件。高大钢构件放置在转运（作业）平台时，为防止钢构件倾倒，通过支撑杆（见图2）进行固定。</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56B9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0" w:hRule="atLeast"/>
        </w:trPr>
        <w:tc>
          <w:tcPr>
            <w:tcW w:w="9060" w:type="dxa"/>
          </w:tcPr>
          <w:p w14:paraId="30CE4C3B">
            <w:pPr>
              <w:spacing w:line="560" w:lineRule="exact"/>
              <w:jc w:val="center"/>
              <w:rPr>
                <w:rFonts w:ascii="仿宋_GB2312" w:eastAsia="仿宋_GB2312" w:hAnsiTheme="minorHAnsi" w:cstheme="minorBidi"/>
                <w:sz w:val="32"/>
              </w:rPr>
            </w:pPr>
            <w:r>
              <w:rPr>
                <w:rFonts w:hint="eastAsia" w:ascii="仿宋_GB2312" w:eastAsia="仿宋_GB2312" w:hAnsiTheme="minorHAnsi" w:cstheme="minorBidi"/>
                <w:sz w:val="32"/>
              </w:rPr>
              <w:drawing>
                <wp:anchor distT="0" distB="0" distL="114300" distR="114300" simplePos="0" relativeHeight="251659264" behindDoc="0" locked="0" layoutInCell="1" allowOverlap="1">
                  <wp:simplePos x="0" y="0"/>
                  <wp:positionH relativeFrom="column">
                    <wp:posOffset>1270</wp:posOffset>
                  </wp:positionH>
                  <wp:positionV relativeFrom="paragraph">
                    <wp:posOffset>4445</wp:posOffset>
                  </wp:positionV>
                  <wp:extent cx="5615940" cy="3971925"/>
                  <wp:effectExtent l="19050" t="0" r="3810" b="0"/>
                  <wp:wrapTopAndBottom/>
                  <wp:docPr id="3" name="图片 1" descr="D:\应急管理\事故\2023\10·16\一号车间三线二次作业现场示意图\一号车间三线二次作业现场示意图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应急管理\事故\2023\10·16\一号车间三线二次作业现场示意图\一号车间三线二次作业现场示意图_1.png"/>
                          <pic:cNvPicPr>
                            <a:picLocks noChangeAspect="1" noChangeArrowheads="1"/>
                          </pic:cNvPicPr>
                        </pic:nvPicPr>
                        <pic:blipFill>
                          <a:blip r:embed="rId13" cstate="print"/>
                          <a:srcRect/>
                          <a:stretch>
                            <a:fillRect/>
                          </a:stretch>
                        </pic:blipFill>
                        <pic:spPr>
                          <a:xfrm>
                            <a:off x="0" y="0"/>
                            <a:ext cx="5615940" cy="3971925"/>
                          </a:xfrm>
                          <a:prstGeom prst="rect">
                            <a:avLst/>
                          </a:prstGeom>
                          <a:noFill/>
                          <a:ln w="9525">
                            <a:noFill/>
                            <a:miter lim="800000"/>
                            <a:headEnd/>
                            <a:tailEnd/>
                          </a:ln>
                        </pic:spPr>
                      </pic:pic>
                    </a:graphicData>
                  </a:graphic>
                </wp:anchor>
              </w:drawing>
            </w:r>
            <w:r>
              <w:rPr>
                <w:rFonts w:hint="eastAsia" w:ascii="仿宋_GB2312" w:eastAsia="仿宋_GB2312" w:hAnsiTheme="minorHAnsi" w:cstheme="minorBidi"/>
                <w:sz w:val="32"/>
              </w:rPr>
              <w:t>图1：一车间三线作业区示意图</w:t>
            </w:r>
          </w:p>
        </w:tc>
      </w:tr>
    </w:tbl>
    <w:p w14:paraId="3753D167">
      <w:pPr>
        <w:spacing w:line="560" w:lineRule="exact"/>
        <w:rPr>
          <w:rFonts w:ascii="仿宋_GB2312" w:eastAsia="仿宋_GB2312"/>
          <w:sz w:val="32"/>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7DDF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tcPr>
          <w:p w14:paraId="534E1DB1">
            <w:pPr>
              <w:spacing w:line="560" w:lineRule="exact"/>
              <w:jc w:val="center"/>
              <w:rPr>
                <w:rFonts w:ascii="仿宋_GB2312" w:eastAsia="仿宋_GB2312" w:hAnsiTheme="minorHAnsi" w:cstheme="minorBidi"/>
                <w:sz w:val="32"/>
              </w:rPr>
            </w:pPr>
            <w:r>
              <w:rPr>
                <w:rFonts w:hint="eastAsia" w:ascii="仿宋_GB2312" w:eastAsia="仿宋_GB2312" w:hAnsiTheme="minorHAnsi" w:cstheme="minorBidi"/>
                <w:sz w:val="32"/>
              </w:rPr>
              <w:t>图2：钢构件支撑杆</w:t>
            </w:r>
            <w:r>
              <w:rPr>
                <w:rFonts w:hint="eastAsia" w:ascii="仿宋_GB2312" w:eastAsia="仿宋_GB2312" w:hAnsiTheme="minorHAnsi" w:cstheme="minorBidi"/>
                <w:sz w:val="32"/>
              </w:rPr>
              <w:drawing>
                <wp:anchor distT="0" distB="0" distL="114300" distR="114300" simplePos="0" relativeHeight="251660288" behindDoc="1" locked="0" layoutInCell="1" allowOverlap="1">
                  <wp:simplePos x="0" y="0"/>
                  <wp:positionH relativeFrom="column">
                    <wp:posOffset>1668145</wp:posOffset>
                  </wp:positionH>
                  <wp:positionV relativeFrom="paragraph">
                    <wp:posOffset>-4549775</wp:posOffset>
                  </wp:positionV>
                  <wp:extent cx="2333625" cy="2428875"/>
                  <wp:effectExtent l="19050" t="0" r="9525" b="0"/>
                  <wp:wrapTopAndBottom/>
                  <wp:docPr id="4" name="图片 2" descr="a0eb0da8d87a4d609f6010a7c259645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a0eb0da8d87a4d609f6010a7c259645_副本.png"/>
                          <pic:cNvPicPr>
                            <a:picLocks noChangeAspect="1"/>
                          </pic:cNvPicPr>
                        </pic:nvPicPr>
                        <pic:blipFill>
                          <a:blip r:embed="rId14" cstate="print"/>
                          <a:stretch>
                            <a:fillRect/>
                          </a:stretch>
                        </pic:blipFill>
                        <pic:spPr>
                          <a:xfrm>
                            <a:off x="0" y="0"/>
                            <a:ext cx="2333625" cy="2428875"/>
                          </a:xfrm>
                          <a:prstGeom prst="rect">
                            <a:avLst/>
                          </a:prstGeom>
                        </pic:spPr>
                      </pic:pic>
                    </a:graphicData>
                  </a:graphic>
                </wp:anchor>
              </w:drawing>
            </w:r>
          </w:p>
        </w:tc>
      </w:tr>
    </w:tbl>
    <w:p w14:paraId="73E9C794">
      <w:pPr>
        <w:spacing w:line="560" w:lineRule="exact"/>
        <w:jc w:val="center"/>
        <w:rPr>
          <w:rFonts w:ascii="仿宋_GB2312" w:eastAsia="仿宋_GB2312"/>
          <w:sz w:val="32"/>
        </w:rPr>
      </w:pPr>
    </w:p>
    <w:p w14:paraId="5C51CCA9">
      <w:pPr>
        <w:spacing w:line="560" w:lineRule="exact"/>
        <w:jc w:val="center"/>
        <w:rPr>
          <w:rFonts w:ascii="仿宋_GB2312" w:eastAsia="仿宋_GB2312"/>
          <w:sz w:val="32"/>
        </w:rPr>
      </w:pPr>
    </w:p>
    <w:p w14:paraId="39D01113">
      <w:pPr>
        <w:spacing w:line="560" w:lineRule="exact"/>
        <w:ind w:firstLine="643" w:firstLineChars="200"/>
        <w:outlineLvl w:val="1"/>
        <w:rPr>
          <w:rFonts w:ascii="楷体_GB2312" w:eastAsia="楷体_GB2312"/>
          <w:b/>
          <w:sz w:val="32"/>
        </w:rPr>
      </w:pPr>
      <w:bookmarkStart w:id="2" w:name="_Toc152666734"/>
      <w:r>
        <w:rPr>
          <w:rFonts w:hint="eastAsia" w:ascii="楷体_GB2312" w:eastAsia="楷体_GB2312"/>
          <w:b/>
          <w:sz w:val="32"/>
        </w:rPr>
        <w:t>（二）事故发生单位安全管理情况</w:t>
      </w:r>
      <w:bookmarkEnd w:id="2"/>
    </w:p>
    <w:p w14:paraId="361FF180">
      <w:pPr>
        <w:spacing w:line="560" w:lineRule="exact"/>
        <w:ind w:firstLine="640" w:firstLineChars="200"/>
        <w:rPr>
          <w:rFonts w:ascii="仿宋_GB2312" w:eastAsia="仿宋_GB2312"/>
          <w:sz w:val="32"/>
        </w:rPr>
      </w:pPr>
      <w:r>
        <w:rPr>
          <w:rFonts w:hint="eastAsia" w:ascii="仿宋_GB2312" w:eastAsia="仿宋_GB2312"/>
          <w:sz w:val="32"/>
        </w:rPr>
        <w:t>新长诚公司成立了安全生产委员会</w:t>
      </w:r>
      <w:r>
        <w:rPr>
          <w:rStyle w:val="14"/>
          <w:rFonts w:ascii="仿宋_GB2312" w:eastAsia="仿宋_GB2312"/>
          <w:sz w:val="32"/>
        </w:rPr>
        <w:footnoteReference w:id="0" w:customMarkFollows="1"/>
        <w:t>[1]</w:t>
      </w:r>
      <w:r>
        <w:rPr>
          <w:rFonts w:hint="eastAsia" w:ascii="仿宋_GB2312" w:eastAsia="仿宋_GB2312"/>
          <w:sz w:val="32"/>
        </w:rPr>
        <w:t>，建立了安全生产责任制，制定了危险源辨识风险评估控制、危险作业许可、隐患排查治理、安全投入保障、安全教育培训等相关规章制度和相关安全生产操作规程、生产安全事故应急救援预案。</w:t>
      </w:r>
    </w:p>
    <w:p w14:paraId="190C163A">
      <w:pPr>
        <w:spacing w:line="560" w:lineRule="exact"/>
        <w:ind w:firstLine="643" w:firstLineChars="200"/>
        <w:outlineLvl w:val="1"/>
        <w:rPr>
          <w:rFonts w:ascii="楷体_GB2312" w:eastAsia="楷体_GB2312"/>
          <w:b/>
          <w:sz w:val="32"/>
        </w:rPr>
      </w:pPr>
      <w:bookmarkStart w:id="3" w:name="_Toc152666735"/>
      <w:r>
        <w:rPr>
          <w:rFonts w:hint="eastAsia" w:ascii="楷体_GB2312" w:eastAsia="楷体_GB2312"/>
          <w:b/>
          <w:sz w:val="32"/>
        </w:rPr>
        <w:t>（三）事故发生经过</w:t>
      </w:r>
      <w:bookmarkEnd w:id="3"/>
    </w:p>
    <w:p w14:paraId="2209BA4C">
      <w:pPr>
        <w:spacing w:line="560" w:lineRule="exact"/>
        <w:ind w:firstLine="640" w:firstLineChars="200"/>
        <w:rPr>
          <w:rFonts w:ascii="仿宋_GB2312" w:eastAsia="仿宋_GB2312"/>
          <w:sz w:val="32"/>
        </w:rPr>
      </w:pPr>
      <w:r>
        <w:rPr>
          <w:rFonts w:hint="eastAsia" w:ascii="仿宋_GB2312" w:eastAsia="仿宋_GB2312"/>
          <w:sz w:val="32"/>
        </w:rPr>
        <w:t>因事故现场无监控设备，无直接目击者，事故调查组综合现场勘察、相关人员的调查询问，推断还原事故发生经过如下：</w:t>
      </w:r>
    </w:p>
    <w:p w14:paraId="3A719FE2">
      <w:pPr>
        <w:spacing w:line="560" w:lineRule="exact"/>
        <w:ind w:firstLine="640" w:firstLineChars="200"/>
        <w:rPr>
          <w:rFonts w:ascii="仿宋_GB2312" w:eastAsia="仿宋_GB2312"/>
          <w:sz w:val="32"/>
        </w:rPr>
      </w:pPr>
      <w:r>
        <w:rPr>
          <w:rFonts w:hint="eastAsia" w:ascii="仿宋_GB2312" w:eastAsia="仿宋_GB2312"/>
          <w:sz w:val="32"/>
        </w:rPr>
        <w:t>2023年10月16日14时30分许，死者站在检验区转运平台内，操作行车将钢构件吊运至转运平台，钢构件放置在转运平台后未先用支撑杆固定即让行车脱钩，在后续作业过程中，钢构件向死者方向倾倒，将死者头部挤压在另一钢构件之间。死者佩戴的安全帽外观无挤压损害情况，下颌带在帽箍内，判断死者佩戴安全帽时没有正确系好下颌带，事故发生时死者的应激反应动作导致佩戴的安全帽掉落在现场，故未造成安全帽外观损坏，最终死者头部遭受物体打击导致其死亡。</w:t>
      </w:r>
    </w:p>
    <w:p w14:paraId="618E8DF4">
      <w:pPr>
        <w:spacing w:line="560" w:lineRule="exact"/>
        <w:ind w:firstLine="643" w:firstLineChars="200"/>
        <w:outlineLvl w:val="1"/>
        <w:rPr>
          <w:rFonts w:ascii="楷体_GB2312" w:eastAsia="楷体_GB2312"/>
          <w:b/>
          <w:sz w:val="32"/>
        </w:rPr>
      </w:pPr>
      <w:bookmarkStart w:id="4" w:name="_Toc152666736"/>
      <w:r>
        <w:rPr>
          <w:rFonts w:hint="eastAsia" w:ascii="楷体_GB2312" w:eastAsia="楷体_GB2312"/>
          <w:b/>
          <w:sz w:val="32"/>
        </w:rPr>
        <w:t>（四）事故现场情况</w:t>
      </w:r>
      <w:bookmarkEnd w:id="4"/>
    </w:p>
    <w:p w14:paraId="1A38DE98">
      <w:pPr>
        <w:spacing w:line="560" w:lineRule="exact"/>
        <w:ind w:firstLine="640" w:firstLineChars="200"/>
        <w:rPr>
          <w:rFonts w:ascii="仿宋_GB2312" w:eastAsia="仿宋_GB2312"/>
          <w:sz w:val="32"/>
        </w:rPr>
      </w:pPr>
      <w:r>
        <w:rPr>
          <w:rFonts w:hint="eastAsia" w:ascii="仿宋_GB2312" w:eastAsia="仿宋_GB2312"/>
          <w:sz w:val="32"/>
        </w:rPr>
        <w:t>事故现场（见图3）有钢构件2件</w:t>
      </w:r>
      <w:r>
        <w:rPr>
          <w:rStyle w:val="14"/>
          <w:rFonts w:ascii="仿宋_GB2312" w:eastAsia="仿宋_GB2312"/>
          <w:sz w:val="32"/>
        </w:rPr>
        <w:footnoteReference w:id="1" w:customMarkFollows="1"/>
        <w:t>[</w:t>
      </w:r>
      <w:r>
        <w:rPr>
          <w:rStyle w:val="14"/>
          <w:rFonts w:hint="eastAsia" w:ascii="仿宋_GB2312" w:eastAsia="仿宋_GB2312"/>
          <w:sz w:val="32"/>
        </w:rPr>
        <w:t>2</w:t>
      </w:r>
      <w:r>
        <w:rPr>
          <w:rStyle w:val="14"/>
          <w:rFonts w:ascii="仿宋_GB2312" w:eastAsia="仿宋_GB2312"/>
          <w:sz w:val="32"/>
        </w:rPr>
        <w:t>]</w:t>
      </w:r>
      <w:r>
        <w:rPr>
          <w:rFonts w:hint="eastAsia" w:ascii="仿宋_GB2312" w:eastAsia="仿宋_GB2312"/>
          <w:sz w:val="32"/>
        </w:rPr>
        <w:t>，钢构件1为死者吊运的构件；行车1台</w:t>
      </w:r>
      <w:r>
        <w:rPr>
          <w:rStyle w:val="14"/>
          <w:rFonts w:ascii="仿宋_GB2312" w:eastAsia="仿宋_GB2312"/>
          <w:sz w:val="32"/>
        </w:rPr>
        <w:footnoteReference w:id="2" w:customMarkFollows="1"/>
        <w:t>[</w:t>
      </w:r>
      <w:r>
        <w:rPr>
          <w:rStyle w:val="14"/>
          <w:rFonts w:hint="eastAsia" w:ascii="仿宋_GB2312" w:eastAsia="仿宋_GB2312"/>
          <w:sz w:val="32"/>
        </w:rPr>
        <w:t>3</w:t>
      </w:r>
      <w:r>
        <w:rPr>
          <w:rStyle w:val="14"/>
          <w:rFonts w:ascii="仿宋_GB2312" w:eastAsia="仿宋_GB2312"/>
          <w:sz w:val="32"/>
        </w:rPr>
        <w:t>]</w:t>
      </w:r>
      <w:r>
        <w:rPr>
          <w:rFonts w:hint="eastAsia" w:ascii="仿宋_GB2312" w:eastAsia="仿宋_GB2312"/>
          <w:sz w:val="32"/>
        </w:rPr>
        <w:t>；安全帽一顶，外观无破损，下颌带在帽箍内；现场未发现用于支撑固定钢构的支撑杆。</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5CACD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tcPr>
          <w:p w14:paraId="32DECB0A">
            <w:pPr>
              <w:spacing w:line="560" w:lineRule="exact"/>
              <w:jc w:val="center"/>
              <w:rPr>
                <w:rFonts w:ascii="仿宋_GB2312" w:eastAsia="仿宋_GB2312" w:hAnsiTheme="minorHAnsi" w:cstheme="minorBidi"/>
                <w:sz w:val="32"/>
              </w:rPr>
            </w:pPr>
            <w:r>
              <w:rPr>
                <w:rFonts w:hint="eastAsia" w:ascii="仿宋_GB2312" w:eastAsia="仿宋_GB2312" w:hAnsiTheme="minorHAnsi" w:cstheme="minorBidi"/>
                <w:sz w:val="32"/>
              </w:rPr>
              <w:drawing>
                <wp:anchor distT="0" distB="0" distL="114300" distR="114300" simplePos="0" relativeHeight="251661312" behindDoc="0" locked="0" layoutInCell="1" allowOverlap="1">
                  <wp:simplePos x="0" y="0"/>
                  <wp:positionH relativeFrom="column">
                    <wp:posOffset>58420</wp:posOffset>
                  </wp:positionH>
                  <wp:positionV relativeFrom="paragraph">
                    <wp:posOffset>188595</wp:posOffset>
                  </wp:positionV>
                  <wp:extent cx="5615940" cy="4210050"/>
                  <wp:effectExtent l="19050" t="0" r="3810" b="0"/>
                  <wp:wrapTopAndBottom/>
                  <wp:docPr id="5" name="图片 1" descr="0c7f31c097f08b291199afabe88a83e_副本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0c7f31c097f08b291199afabe88a83e_副本_副本.jpg"/>
                          <pic:cNvPicPr>
                            <a:picLocks noChangeAspect="1"/>
                          </pic:cNvPicPr>
                        </pic:nvPicPr>
                        <pic:blipFill>
                          <a:blip r:embed="rId15" cstate="print"/>
                          <a:stretch>
                            <a:fillRect/>
                          </a:stretch>
                        </pic:blipFill>
                        <pic:spPr>
                          <a:xfrm>
                            <a:off x="0" y="0"/>
                            <a:ext cx="5615940" cy="4210050"/>
                          </a:xfrm>
                          <a:prstGeom prst="rect">
                            <a:avLst/>
                          </a:prstGeom>
                        </pic:spPr>
                      </pic:pic>
                    </a:graphicData>
                  </a:graphic>
                </wp:anchor>
              </w:drawing>
            </w:r>
            <w:r>
              <w:rPr>
                <w:rFonts w:hint="eastAsia" w:ascii="仿宋_GB2312" w:eastAsia="仿宋_GB2312" w:hAnsiTheme="minorHAnsi" w:cstheme="minorBidi"/>
                <w:sz w:val="32"/>
              </w:rPr>
              <w:t>图3：事故现场</w:t>
            </w:r>
          </w:p>
        </w:tc>
      </w:tr>
    </w:tbl>
    <w:p w14:paraId="003BCC62">
      <w:pPr>
        <w:spacing w:line="560" w:lineRule="exact"/>
        <w:ind w:firstLine="643" w:firstLineChars="200"/>
        <w:outlineLvl w:val="1"/>
        <w:rPr>
          <w:rFonts w:ascii="楷体_GB2312" w:eastAsia="楷体_GB2312"/>
          <w:b/>
          <w:sz w:val="32"/>
        </w:rPr>
      </w:pPr>
      <w:bookmarkStart w:id="5" w:name="_Toc152666737"/>
      <w:r>
        <w:rPr>
          <w:rFonts w:hint="eastAsia" w:ascii="楷体_GB2312" w:eastAsia="楷体_GB2312"/>
          <w:b/>
          <w:sz w:val="32"/>
        </w:rPr>
        <w:t>（五）人员伤亡和直接经济损失情况</w:t>
      </w:r>
      <w:bookmarkEnd w:id="5"/>
    </w:p>
    <w:p w14:paraId="73C20417">
      <w:pPr>
        <w:spacing w:line="560" w:lineRule="exact"/>
        <w:ind w:firstLine="640" w:firstLineChars="200"/>
        <w:rPr>
          <w:rFonts w:ascii="仿宋_GB2312" w:eastAsia="仿宋_GB2312"/>
          <w:sz w:val="32"/>
        </w:rPr>
      </w:pPr>
      <w:r>
        <w:rPr>
          <w:rFonts w:hint="eastAsia" w:ascii="仿宋_GB2312" w:eastAsia="仿宋_GB2312"/>
          <w:sz w:val="32"/>
        </w:rPr>
        <w:t>本次事故共造成1人死亡。死者郑阿明，男，汉族，47岁，身份证号码：350629</w:t>
      </w:r>
      <w:r>
        <w:rPr>
          <w:rFonts w:hint="eastAsia" w:ascii="仿宋_GB2312" w:eastAsia="仿宋_GB2312"/>
          <w:sz w:val="32"/>
          <w:lang w:val="en-US" w:eastAsia="zh-CN"/>
        </w:rPr>
        <w:t>********</w:t>
      </w:r>
      <w:r>
        <w:rPr>
          <w:rFonts w:hint="eastAsia" w:ascii="仿宋_GB2312" w:eastAsia="仿宋_GB2312"/>
          <w:sz w:val="32"/>
        </w:rPr>
        <w:t>0538，福建省华安县丰山镇人。直接经济损失约人民币113.642万元。</w:t>
      </w:r>
    </w:p>
    <w:p w14:paraId="55488F5B">
      <w:pPr>
        <w:spacing w:line="560" w:lineRule="exact"/>
        <w:ind w:firstLine="640" w:firstLineChars="200"/>
        <w:outlineLvl w:val="0"/>
        <w:rPr>
          <w:rFonts w:ascii="黑体" w:hAnsi="黑体" w:eastAsia="黑体"/>
          <w:sz w:val="32"/>
        </w:rPr>
      </w:pPr>
      <w:bookmarkStart w:id="6" w:name="_Toc152666738"/>
      <w:r>
        <w:rPr>
          <w:rFonts w:hint="eastAsia" w:ascii="黑体" w:hAnsi="黑体" w:eastAsia="黑体"/>
          <w:sz w:val="32"/>
        </w:rPr>
        <w:t>二、事故应急处置及评估情况</w:t>
      </w:r>
      <w:bookmarkEnd w:id="6"/>
    </w:p>
    <w:p w14:paraId="244B7420">
      <w:pPr>
        <w:spacing w:line="560" w:lineRule="exact"/>
        <w:ind w:firstLine="643" w:firstLineChars="200"/>
        <w:outlineLvl w:val="1"/>
        <w:rPr>
          <w:rFonts w:ascii="楷体_GB2312" w:eastAsia="楷体_GB2312"/>
          <w:b/>
          <w:sz w:val="32"/>
        </w:rPr>
      </w:pPr>
      <w:bookmarkStart w:id="7" w:name="_Toc152666739"/>
      <w:r>
        <w:rPr>
          <w:rFonts w:hint="eastAsia" w:ascii="楷体_GB2312" w:eastAsia="楷体_GB2312"/>
          <w:b/>
          <w:sz w:val="32"/>
        </w:rPr>
        <w:t>（一）事故信息接报及响应情况</w:t>
      </w:r>
      <w:bookmarkEnd w:id="7"/>
      <w:bookmarkStart w:id="30" w:name="_GoBack"/>
      <w:bookmarkEnd w:id="30"/>
    </w:p>
    <w:p w14:paraId="149F7EC5">
      <w:pPr>
        <w:spacing w:line="560" w:lineRule="exact"/>
        <w:ind w:firstLine="640" w:firstLineChars="200"/>
        <w:rPr>
          <w:rFonts w:ascii="仿宋_GB2312" w:eastAsia="仿宋_GB2312"/>
          <w:sz w:val="32"/>
        </w:rPr>
      </w:pPr>
      <w:r>
        <w:rPr>
          <w:rFonts w:hint="eastAsia" w:ascii="仿宋_GB2312" w:eastAsia="仿宋_GB2312"/>
          <w:sz w:val="32"/>
        </w:rPr>
        <w:t>14时30分许，正在检查钢构件2的品检员丁克菊听到响声，抬头发现郑阿明头部被压在钢构件中间后立即呼救，将事故报告主管和安全员，主管陈武、杨俊能、刘福胜，安环部蔡国良、陈庆妙、阙高松等第一时间赶到现场，品管部杨艺冬第一时间拨打120求救。接报后，华安经济开发区、华安县公安局、华安县应急局、华安县市场监管局等单位立即派员开展应急处置工作，并按照规定及时上报事故信息。</w:t>
      </w:r>
    </w:p>
    <w:p w14:paraId="1CA59027">
      <w:pPr>
        <w:spacing w:line="560" w:lineRule="exact"/>
        <w:ind w:firstLine="643" w:firstLineChars="200"/>
        <w:outlineLvl w:val="1"/>
        <w:rPr>
          <w:rFonts w:ascii="楷体_GB2312" w:eastAsia="楷体_GB2312"/>
          <w:b/>
          <w:sz w:val="32"/>
        </w:rPr>
      </w:pPr>
      <w:bookmarkStart w:id="8" w:name="_Toc152666740"/>
      <w:r>
        <w:rPr>
          <w:rFonts w:hint="eastAsia" w:ascii="楷体_GB2312" w:eastAsia="楷体_GB2312"/>
          <w:b/>
          <w:sz w:val="32"/>
        </w:rPr>
        <w:t>（二）事故现场应急处置情况</w:t>
      </w:r>
      <w:bookmarkEnd w:id="8"/>
    </w:p>
    <w:p w14:paraId="14858DEA">
      <w:pPr>
        <w:spacing w:line="560" w:lineRule="exact"/>
        <w:ind w:firstLine="640" w:firstLineChars="200"/>
        <w:rPr>
          <w:rFonts w:ascii="仿宋_GB2312" w:eastAsia="仿宋_GB2312"/>
          <w:sz w:val="32"/>
        </w:rPr>
      </w:pPr>
      <w:r>
        <w:rPr>
          <w:rFonts w:hint="eastAsia" w:ascii="仿宋_GB2312" w:eastAsia="仿宋_GB2312"/>
          <w:sz w:val="32"/>
        </w:rPr>
        <w:t>事故发生后，现场工人将钢构件扶正，将伤者放置在地上等待救援，14时45分许救护车到达现场对伤者进行紧急处理后，将伤者送至漳州市医院抢救。</w:t>
      </w:r>
    </w:p>
    <w:p w14:paraId="75C29B83">
      <w:pPr>
        <w:spacing w:line="560" w:lineRule="exact"/>
        <w:ind w:firstLine="643" w:firstLineChars="200"/>
        <w:outlineLvl w:val="1"/>
        <w:rPr>
          <w:rFonts w:ascii="楷体_GB2312" w:eastAsia="楷体_GB2312"/>
          <w:b/>
          <w:sz w:val="32"/>
        </w:rPr>
      </w:pPr>
      <w:bookmarkStart w:id="9" w:name="_Toc152666741"/>
      <w:r>
        <w:rPr>
          <w:rFonts w:hint="eastAsia" w:ascii="楷体_GB2312" w:eastAsia="楷体_GB2312"/>
          <w:b/>
          <w:sz w:val="32"/>
        </w:rPr>
        <w:t>（三）医疗救治和善后情况</w:t>
      </w:r>
      <w:bookmarkEnd w:id="9"/>
    </w:p>
    <w:p w14:paraId="6B1DC5F1">
      <w:pPr>
        <w:spacing w:line="560" w:lineRule="exact"/>
        <w:ind w:firstLine="640" w:firstLineChars="200"/>
        <w:rPr>
          <w:rFonts w:ascii="仿宋_GB2312" w:eastAsia="仿宋_GB2312"/>
          <w:sz w:val="32"/>
        </w:rPr>
      </w:pPr>
      <w:r>
        <w:rPr>
          <w:rFonts w:hint="eastAsia" w:ascii="仿宋_GB2312" w:eastAsia="仿宋_GB2312"/>
          <w:sz w:val="32"/>
        </w:rPr>
        <w:t>15时53分救护车将伤者送至漳州市医院抢救，16时51分，伤者经抢救无效死亡。</w:t>
      </w:r>
    </w:p>
    <w:p w14:paraId="68052BDC">
      <w:pPr>
        <w:spacing w:line="560" w:lineRule="exact"/>
        <w:ind w:firstLine="640" w:firstLineChars="200"/>
        <w:rPr>
          <w:rFonts w:ascii="仿宋_GB2312" w:eastAsia="仿宋_GB2312"/>
          <w:sz w:val="32"/>
        </w:rPr>
      </w:pPr>
      <w:r>
        <w:rPr>
          <w:rFonts w:hint="eastAsia" w:ascii="仿宋_GB2312" w:eastAsia="仿宋_GB2312"/>
          <w:sz w:val="32"/>
        </w:rPr>
        <w:t>事故发生后，华安经济开发区管委会、丰山镇人民政府积极组织新长诚公司做好死者家属安抚等相关善后和赔偿协商工作。10月31日，新长诚公司与死者家属签订人民调解协议书（漳华丰调〔2023〕50号），死者尸体于11月2日火化。</w:t>
      </w:r>
    </w:p>
    <w:p w14:paraId="54F42980">
      <w:pPr>
        <w:spacing w:line="560" w:lineRule="exact"/>
        <w:ind w:firstLine="643" w:firstLineChars="200"/>
        <w:outlineLvl w:val="1"/>
        <w:rPr>
          <w:rFonts w:ascii="楷体_GB2312" w:eastAsia="楷体_GB2312"/>
          <w:b/>
          <w:sz w:val="32"/>
        </w:rPr>
      </w:pPr>
      <w:bookmarkStart w:id="10" w:name="_Toc152666742"/>
      <w:r>
        <w:rPr>
          <w:rFonts w:hint="eastAsia" w:ascii="楷体_GB2312" w:eastAsia="楷体_GB2312"/>
          <w:b/>
          <w:sz w:val="32"/>
        </w:rPr>
        <w:t>（四）事故应急处置评估</w:t>
      </w:r>
      <w:bookmarkEnd w:id="10"/>
    </w:p>
    <w:p w14:paraId="3F0882D8">
      <w:pPr>
        <w:spacing w:line="560" w:lineRule="exact"/>
        <w:ind w:firstLine="640" w:firstLineChars="200"/>
        <w:rPr>
          <w:rFonts w:ascii="仿宋_GB2312" w:eastAsia="仿宋_GB2312"/>
          <w:sz w:val="32"/>
        </w:rPr>
      </w:pPr>
      <w:r>
        <w:rPr>
          <w:rFonts w:hint="eastAsia" w:ascii="仿宋_GB2312" w:eastAsia="仿宋_GB2312"/>
          <w:sz w:val="32"/>
        </w:rPr>
        <w:t>事故发生后，各职能部门应急响应及时，现场处置措施得当，未发生次生衍生事故，本次事故应急处置得当。</w:t>
      </w:r>
    </w:p>
    <w:p w14:paraId="681C843D">
      <w:pPr>
        <w:spacing w:line="560" w:lineRule="exact"/>
        <w:ind w:firstLine="640" w:firstLineChars="200"/>
        <w:outlineLvl w:val="0"/>
        <w:rPr>
          <w:rFonts w:ascii="黑体" w:hAnsi="黑体" w:eastAsia="黑体"/>
          <w:sz w:val="32"/>
        </w:rPr>
      </w:pPr>
      <w:bookmarkStart w:id="11" w:name="_Toc152666743"/>
      <w:r>
        <w:rPr>
          <w:rFonts w:hint="eastAsia" w:ascii="黑体" w:hAnsi="黑体" w:eastAsia="黑体"/>
          <w:sz w:val="32"/>
        </w:rPr>
        <w:t>三、事故原因分析</w:t>
      </w:r>
      <w:bookmarkEnd w:id="11"/>
    </w:p>
    <w:p w14:paraId="25471DE0">
      <w:pPr>
        <w:spacing w:line="560" w:lineRule="exact"/>
        <w:ind w:firstLine="643" w:firstLineChars="200"/>
        <w:outlineLvl w:val="1"/>
        <w:rPr>
          <w:rFonts w:ascii="楷体_GB2312" w:eastAsia="楷体_GB2312"/>
          <w:b/>
          <w:sz w:val="32"/>
        </w:rPr>
      </w:pPr>
      <w:bookmarkStart w:id="12" w:name="_Toc152666744"/>
      <w:r>
        <w:rPr>
          <w:rFonts w:hint="eastAsia" w:ascii="楷体_GB2312" w:eastAsia="楷体_GB2312"/>
          <w:b/>
          <w:sz w:val="32"/>
        </w:rPr>
        <w:t>（一）直接原因分析</w:t>
      </w:r>
      <w:bookmarkEnd w:id="12"/>
    </w:p>
    <w:p w14:paraId="624D9682">
      <w:pPr>
        <w:spacing w:line="560" w:lineRule="exact"/>
        <w:ind w:firstLine="640" w:firstLineChars="200"/>
        <w:rPr>
          <w:rFonts w:ascii="仿宋_GB2312" w:eastAsia="仿宋_GB2312"/>
          <w:sz w:val="32"/>
        </w:rPr>
      </w:pPr>
      <w:r>
        <w:rPr>
          <w:rFonts w:hint="eastAsia" w:ascii="仿宋_GB2312" w:eastAsia="仿宋_GB2312"/>
          <w:sz w:val="32"/>
        </w:rPr>
        <w:t>死者郑阿明安全意识淡薄，在吊运钢构件作业时未正确佩戴安全帽，未对钢构件设置固定支撑杆，在后续作业时造成钢构件倾倒，挤压自己头部。</w:t>
      </w:r>
    </w:p>
    <w:p w14:paraId="6E56D089">
      <w:pPr>
        <w:spacing w:line="560" w:lineRule="exact"/>
        <w:ind w:firstLine="643" w:firstLineChars="200"/>
        <w:outlineLvl w:val="1"/>
        <w:rPr>
          <w:rFonts w:ascii="楷体_GB2312" w:eastAsia="楷体_GB2312"/>
          <w:b/>
          <w:sz w:val="32"/>
        </w:rPr>
      </w:pPr>
      <w:bookmarkStart w:id="13" w:name="_Toc152666745"/>
      <w:r>
        <w:rPr>
          <w:rFonts w:hint="eastAsia" w:ascii="楷体_GB2312" w:eastAsia="楷体_GB2312"/>
          <w:b/>
          <w:sz w:val="32"/>
        </w:rPr>
        <w:t>（二）其他可能因素排除</w:t>
      </w:r>
      <w:bookmarkEnd w:id="13"/>
    </w:p>
    <w:p w14:paraId="78F2AD89">
      <w:pPr>
        <w:spacing w:line="560" w:lineRule="exact"/>
        <w:ind w:firstLine="640" w:firstLineChars="200"/>
        <w:rPr>
          <w:rFonts w:ascii="仿宋_GB2312" w:eastAsia="仿宋_GB2312"/>
          <w:sz w:val="32"/>
        </w:rPr>
      </w:pPr>
      <w:r>
        <w:rPr>
          <w:rFonts w:hint="eastAsia" w:ascii="仿宋_GB2312" w:eastAsia="仿宋_GB2312"/>
          <w:sz w:val="32"/>
        </w:rPr>
        <w:t>通过事故现场勘查、询问分析，排除人为故意破坏、突发灾害因素。</w:t>
      </w:r>
    </w:p>
    <w:p w14:paraId="4CED2A61">
      <w:pPr>
        <w:spacing w:line="560" w:lineRule="exact"/>
        <w:ind w:firstLine="643" w:firstLineChars="200"/>
        <w:outlineLvl w:val="1"/>
        <w:rPr>
          <w:rFonts w:ascii="楷体_GB2312" w:eastAsia="楷体_GB2312"/>
          <w:b/>
          <w:sz w:val="32"/>
        </w:rPr>
      </w:pPr>
      <w:bookmarkStart w:id="14" w:name="_Toc152666746"/>
      <w:r>
        <w:rPr>
          <w:rFonts w:hint="eastAsia" w:ascii="楷体_GB2312" w:eastAsia="楷体_GB2312"/>
          <w:b/>
          <w:sz w:val="32"/>
        </w:rPr>
        <w:t>（三）间接原因分析</w:t>
      </w:r>
      <w:bookmarkEnd w:id="14"/>
    </w:p>
    <w:p w14:paraId="3C08769C">
      <w:pPr>
        <w:spacing w:line="560" w:lineRule="exact"/>
        <w:ind w:firstLine="640" w:firstLineChars="200"/>
        <w:rPr>
          <w:rFonts w:ascii="仿宋_GB2312" w:eastAsia="仿宋_GB2312"/>
          <w:sz w:val="32"/>
        </w:rPr>
      </w:pPr>
      <w:r>
        <w:rPr>
          <w:rFonts w:hint="eastAsia" w:ascii="仿宋_GB2312" w:eastAsia="仿宋_GB2312"/>
          <w:sz w:val="32"/>
        </w:rPr>
        <w:t>1.新长诚公司安全教育培训不到位，未保证郑阿明具备必要的安全生产知识和掌握本岗位的安全操作技能</w:t>
      </w:r>
      <w:r>
        <w:rPr>
          <w:rStyle w:val="14"/>
          <w:rFonts w:ascii="仿宋_GB2312" w:eastAsia="仿宋_GB2312"/>
          <w:sz w:val="32"/>
        </w:rPr>
        <w:footnoteReference w:id="3" w:customMarkFollows="1"/>
        <w:t>[4]</w:t>
      </w:r>
      <w:r>
        <w:rPr>
          <w:rFonts w:hint="eastAsia" w:ascii="仿宋_GB2312" w:eastAsia="仿宋_GB2312"/>
          <w:sz w:val="32"/>
        </w:rPr>
        <w:t>。</w:t>
      </w:r>
    </w:p>
    <w:p w14:paraId="10645B36">
      <w:pPr>
        <w:spacing w:line="560" w:lineRule="exact"/>
        <w:ind w:firstLine="640" w:firstLineChars="200"/>
        <w:rPr>
          <w:rFonts w:ascii="仿宋_GB2312" w:eastAsia="仿宋_GB2312"/>
          <w:sz w:val="32"/>
        </w:rPr>
      </w:pPr>
      <w:r>
        <w:rPr>
          <w:rFonts w:hint="eastAsia" w:ascii="仿宋_GB2312" w:eastAsia="仿宋_GB2312"/>
          <w:sz w:val="32"/>
        </w:rPr>
        <w:t>2.新长诚公司未监督、教育郑阿明按照使用规则佩戴使用安全帽</w:t>
      </w:r>
      <w:r>
        <w:rPr>
          <w:rStyle w:val="14"/>
          <w:rFonts w:ascii="仿宋_GB2312" w:eastAsia="仿宋_GB2312"/>
          <w:sz w:val="32"/>
        </w:rPr>
        <w:footnoteReference w:id="4" w:customMarkFollows="1"/>
        <w:t>[</w:t>
      </w:r>
      <w:r>
        <w:rPr>
          <w:rStyle w:val="14"/>
          <w:rFonts w:hint="eastAsia" w:ascii="仿宋_GB2312" w:eastAsia="仿宋_GB2312"/>
          <w:sz w:val="32"/>
        </w:rPr>
        <w:t>5</w:t>
      </w:r>
      <w:r>
        <w:rPr>
          <w:rStyle w:val="14"/>
          <w:rFonts w:ascii="仿宋_GB2312" w:eastAsia="仿宋_GB2312"/>
          <w:sz w:val="32"/>
        </w:rPr>
        <w:t>]</w:t>
      </w:r>
      <w:r>
        <w:rPr>
          <w:rFonts w:hint="eastAsia" w:ascii="仿宋_GB2312" w:eastAsia="仿宋_GB2312"/>
          <w:sz w:val="32"/>
        </w:rPr>
        <w:t>。</w:t>
      </w:r>
    </w:p>
    <w:p w14:paraId="10292028">
      <w:pPr>
        <w:spacing w:line="560" w:lineRule="exact"/>
        <w:ind w:firstLine="640" w:firstLineChars="200"/>
        <w:rPr>
          <w:rFonts w:ascii="仿宋_GB2312" w:eastAsia="仿宋_GB2312"/>
          <w:sz w:val="32"/>
        </w:rPr>
      </w:pPr>
      <w:r>
        <w:rPr>
          <w:rFonts w:hint="eastAsia" w:ascii="仿宋_GB2312" w:eastAsia="仿宋_GB2312"/>
          <w:sz w:val="32"/>
        </w:rPr>
        <w:t>3.新长诚公司未采取技术、管理措施及时发现并消除钢构件未落实防倾倒措施、郑阿明未按照使用规则佩戴使用安全帽的事故隐患</w:t>
      </w:r>
      <w:r>
        <w:rPr>
          <w:rStyle w:val="14"/>
          <w:rFonts w:ascii="仿宋_GB2312" w:eastAsia="仿宋_GB2312"/>
          <w:sz w:val="32"/>
        </w:rPr>
        <w:footnoteReference w:id="5" w:customMarkFollows="1"/>
        <w:t>[</w:t>
      </w:r>
      <w:r>
        <w:rPr>
          <w:rStyle w:val="14"/>
          <w:rFonts w:hint="eastAsia" w:ascii="仿宋_GB2312" w:eastAsia="仿宋_GB2312"/>
          <w:sz w:val="32"/>
        </w:rPr>
        <w:t>6</w:t>
      </w:r>
      <w:r>
        <w:rPr>
          <w:rStyle w:val="14"/>
          <w:rFonts w:ascii="仿宋_GB2312" w:eastAsia="仿宋_GB2312"/>
          <w:sz w:val="32"/>
        </w:rPr>
        <w:t>]</w:t>
      </w:r>
      <w:r>
        <w:rPr>
          <w:rFonts w:hint="eastAsia" w:ascii="仿宋_GB2312" w:eastAsia="仿宋_GB2312"/>
          <w:sz w:val="32"/>
        </w:rPr>
        <w:t>。</w:t>
      </w:r>
    </w:p>
    <w:p w14:paraId="559659E5">
      <w:pPr>
        <w:spacing w:line="560" w:lineRule="exact"/>
        <w:ind w:firstLine="640" w:firstLineChars="200"/>
        <w:outlineLvl w:val="0"/>
        <w:rPr>
          <w:rFonts w:ascii="黑体" w:hAnsi="黑体" w:eastAsia="黑体"/>
          <w:sz w:val="32"/>
        </w:rPr>
      </w:pPr>
      <w:bookmarkStart w:id="15" w:name="_Toc152666747"/>
      <w:r>
        <w:rPr>
          <w:rFonts w:hint="eastAsia" w:ascii="黑体" w:hAnsi="黑体" w:eastAsia="黑体"/>
          <w:sz w:val="32"/>
        </w:rPr>
        <w:t>四、有关责任单位存在的主要问题</w:t>
      </w:r>
      <w:bookmarkEnd w:id="15"/>
    </w:p>
    <w:p w14:paraId="5B5353CB">
      <w:pPr>
        <w:spacing w:line="560" w:lineRule="exact"/>
        <w:ind w:firstLine="643" w:firstLineChars="200"/>
        <w:outlineLvl w:val="1"/>
        <w:rPr>
          <w:rFonts w:ascii="楷体_GB2312" w:eastAsia="楷体_GB2312"/>
          <w:b/>
          <w:sz w:val="32"/>
        </w:rPr>
      </w:pPr>
      <w:bookmarkStart w:id="16" w:name="_Toc152666748"/>
      <w:r>
        <w:rPr>
          <w:rFonts w:hint="eastAsia" w:ascii="楷体_GB2312" w:eastAsia="楷体_GB2312"/>
          <w:b/>
          <w:sz w:val="32"/>
        </w:rPr>
        <w:t>（一）新长诚公司</w:t>
      </w:r>
      <w:bookmarkEnd w:id="16"/>
    </w:p>
    <w:p w14:paraId="0B72BCA0">
      <w:pPr>
        <w:spacing w:line="560" w:lineRule="exact"/>
        <w:ind w:firstLine="640" w:firstLineChars="200"/>
        <w:rPr>
          <w:rFonts w:ascii="仿宋_GB2312" w:eastAsia="仿宋_GB2312"/>
          <w:sz w:val="32"/>
        </w:rPr>
      </w:pPr>
      <w:r>
        <w:rPr>
          <w:rFonts w:hint="eastAsia" w:ascii="仿宋_GB2312" w:eastAsia="仿宋_GB2312"/>
          <w:sz w:val="32"/>
        </w:rPr>
        <w:t>新长诚公司安全教育培训不到位，未保证郑阿明具备必要的安全生产知识和掌握本岗位的安全操作技能；未监督、教育郑阿明按照使用规则佩戴使用安全帽；未采取技术、管理措施及时发现并消除钢构件未落实防倾倒措施、郑阿明未按照使用规则佩戴使用安全帽的事故隐患。</w:t>
      </w:r>
    </w:p>
    <w:p w14:paraId="0C7F30D5">
      <w:pPr>
        <w:spacing w:line="560" w:lineRule="exact"/>
        <w:ind w:firstLine="643" w:firstLineChars="200"/>
        <w:outlineLvl w:val="1"/>
        <w:rPr>
          <w:rFonts w:ascii="楷体_GB2312" w:eastAsia="楷体_GB2312"/>
          <w:b/>
          <w:sz w:val="32"/>
        </w:rPr>
      </w:pPr>
      <w:bookmarkStart w:id="17" w:name="_Toc152666749"/>
      <w:r>
        <w:rPr>
          <w:rFonts w:hint="eastAsia" w:ascii="楷体_GB2312" w:eastAsia="楷体_GB2312"/>
          <w:b/>
          <w:sz w:val="32"/>
        </w:rPr>
        <w:t>（二）华安县应急局</w:t>
      </w:r>
      <w:bookmarkEnd w:id="17"/>
    </w:p>
    <w:p w14:paraId="55E9EBF8">
      <w:pPr>
        <w:spacing w:line="560" w:lineRule="exact"/>
        <w:ind w:firstLine="640" w:firstLineChars="200"/>
        <w:rPr>
          <w:rFonts w:ascii="仿宋_GB2312" w:eastAsia="仿宋_GB2312"/>
          <w:sz w:val="32"/>
        </w:rPr>
      </w:pPr>
      <w:r>
        <w:rPr>
          <w:rFonts w:hint="eastAsia" w:ascii="仿宋_GB2312" w:eastAsia="仿宋_GB2312"/>
          <w:sz w:val="32"/>
        </w:rPr>
        <w:t>华安县应急局严格按照年度工作计划对全县工贸企业开展日常监督检查及专项检查工作，至2023年10月，开展各类督导及执法检查110家次，排查隐患250个，已全部整改完成，其中闭环整改重大隐患12个，实施行政处罚19次，罚款20.4万元，开展工贸行业企业安全生产教育培训2场次，覆盖人数400余人次。2023年3月7日对新长诚公司开展日常督导检查，发现隐患5个，已整改；7月4日、9月27日对新长城公司开展专项执法检查，分别发现企业违法行为2项，实施行政处罚2次。</w:t>
      </w:r>
    </w:p>
    <w:p w14:paraId="0DF37732">
      <w:pPr>
        <w:spacing w:line="560" w:lineRule="exact"/>
        <w:ind w:firstLine="643" w:firstLineChars="200"/>
        <w:outlineLvl w:val="1"/>
        <w:rPr>
          <w:rFonts w:ascii="楷体_GB2312" w:eastAsia="楷体_GB2312"/>
          <w:b/>
          <w:sz w:val="32"/>
        </w:rPr>
      </w:pPr>
      <w:bookmarkStart w:id="18" w:name="_Toc152666750"/>
      <w:r>
        <w:rPr>
          <w:rFonts w:hint="eastAsia" w:ascii="楷体_GB2312" w:eastAsia="楷体_GB2312"/>
          <w:b/>
          <w:sz w:val="32"/>
        </w:rPr>
        <w:t>（三）华安经济开发区管委会</w:t>
      </w:r>
      <w:bookmarkEnd w:id="18"/>
    </w:p>
    <w:p w14:paraId="4F486153">
      <w:pPr>
        <w:spacing w:line="560" w:lineRule="exact"/>
        <w:ind w:firstLine="640" w:firstLineChars="200"/>
        <w:rPr>
          <w:rFonts w:ascii="仿宋_GB2312" w:eastAsia="仿宋_GB2312"/>
          <w:sz w:val="32"/>
        </w:rPr>
      </w:pPr>
      <w:r>
        <w:rPr>
          <w:rFonts w:hint="eastAsia" w:ascii="仿宋_GB2312" w:eastAsia="仿宋_GB2312"/>
          <w:sz w:val="32"/>
        </w:rPr>
        <w:t>华安经济开发区管委会对辖区内企业开展日常巡查、安全监督整治、安全宣传，配合相关职能部门开展执法检查、应急处置、信息收集等工作。至2023年10月，共召开园区内工贸企业生产安全相关会议6场次，组织观看《防为上》安全宣传片1次，开展特种作业人员熔化焊接与热切割作业培训3场次。2023年3月7日，配合县应急局到新长诚公司开展生产安全检查，发现5个安全隐患，已整改；5月4日，到新长城公司开展“五一”节后安全生产检查，发现2个安全隐患，已整改；6月19日，配合市督导组到新长诚公司开展督导检查，发现9个安全隐患，已整改；9月26日，到新长城公司开展“中秋、国庆”节前生产安全、消防安全检查，发现3个安全隐患，已整改。</w:t>
      </w:r>
    </w:p>
    <w:p w14:paraId="449010EE">
      <w:pPr>
        <w:spacing w:line="560" w:lineRule="exact"/>
        <w:ind w:firstLine="640" w:firstLineChars="200"/>
        <w:outlineLvl w:val="0"/>
        <w:rPr>
          <w:rFonts w:ascii="黑体" w:hAnsi="黑体" w:eastAsia="黑体"/>
          <w:sz w:val="32"/>
        </w:rPr>
      </w:pPr>
      <w:bookmarkStart w:id="19" w:name="_Toc152666751"/>
      <w:r>
        <w:rPr>
          <w:rFonts w:hint="eastAsia" w:ascii="黑体" w:hAnsi="黑体" w:eastAsia="黑体"/>
          <w:sz w:val="32"/>
        </w:rPr>
        <w:t>五、对有关责任人员和责任单位的处理建议</w:t>
      </w:r>
      <w:bookmarkEnd w:id="19"/>
    </w:p>
    <w:p w14:paraId="53D3E92C">
      <w:pPr>
        <w:spacing w:line="560" w:lineRule="exact"/>
        <w:ind w:firstLine="643" w:firstLineChars="200"/>
        <w:outlineLvl w:val="1"/>
        <w:rPr>
          <w:rFonts w:ascii="楷体_GB2312" w:eastAsia="楷体_GB2312"/>
          <w:b/>
          <w:sz w:val="32"/>
        </w:rPr>
      </w:pPr>
      <w:bookmarkStart w:id="20" w:name="_Toc152666752"/>
      <w:r>
        <w:rPr>
          <w:rFonts w:hint="eastAsia" w:ascii="楷体_GB2312" w:eastAsia="楷体_GB2312"/>
          <w:b/>
          <w:sz w:val="32"/>
        </w:rPr>
        <w:t>（一）因在事故中死亡免予追究责任人员</w:t>
      </w:r>
      <w:bookmarkEnd w:id="20"/>
    </w:p>
    <w:p w14:paraId="441F8E41">
      <w:pPr>
        <w:spacing w:line="560" w:lineRule="exact"/>
        <w:ind w:firstLine="640" w:firstLineChars="200"/>
        <w:rPr>
          <w:rFonts w:ascii="仿宋_GB2312" w:eastAsia="仿宋_GB2312"/>
          <w:sz w:val="32"/>
        </w:rPr>
      </w:pPr>
      <w:r>
        <w:rPr>
          <w:rFonts w:hint="eastAsia" w:ascii="仿宋_GB2312" w:eastAsia="仿宋_GB2312"/>
          <w:sz w:val="32"/>
        </w:rPr>
        <w:t>郑阿明，新长诚公司一车间钢构件转运工人，安全意识淡薄，在吊运钢构件作业时未正确佩戴使用安全帽，未对钢构件设置固定支撑杆，违反《中华人民共和国安全生产法》第五十七条</w:t>
      </w:r>
      <w:r>
        <w:rPr>
          <w:rStyle w:val="14"/>
          <w:rFonts w:ascii="仿宋_GB2312" w:eastAsia="仿宋_GB2312"/>
          <w:sz w:val="32"/>
        </w:rPr>
        <w:footnoteReference w:id="6" w:customMarkFollows="1"/>
        <w:t>[7]</w:t>
      </w:r>
      <w:r>
        <w:rPr>
          <w:rFonts w:hint="eastAsia" w:ascii="仿宋_GB2312" w:eastAsia="仿宋_GB2312"/>
          <w:sz w:val="32"/>
        </w:rPr>
        <w:t>、五十八条</w:t>
      </w:r>
      <w:r>
        <w:rPr>
          <w:rStyle w:val="14"/>
          <w:rFonts w:ascii="仿宋_GB2312" w:eastAsia="仿宋_GB2312"/>
          <w:sz w:val="32"/>
        </w:rPr>
        <w:footnoteReference w:id="7" w:customMarkFollows="1"/>
        <w:t>[8]</w:t>
      </w:r>
      <w:r>
        <w:rPr>
          <w:rFonts w:hint="eastAsia" w:ascii="仿宋_GB2312" w:eastAsia="仿宋_GB2312"/>
          <w:sz w:val="32"/>
        </w:rPr>
        <w:t>规定，对事故发生负有直接责任。鉴于郑阿明在事故中死亡，建议免于追究其责任。</w:t>
      </w:r>
    </w:p>
    <w:p w14:paraId="169A942D">
      <w:pPr>
        <w:spacing w:line="560" w:lineRule="exact"/>
        <w:ind w:firstLine="643" w:firstLineChars="200"/>
        <w:outlineLvl w:val="1"/>
        <w:rPr>
          <w:rFonts w:ascii="楷体_GB2312" w:eastAsia="楷体_GB2312"/>
          <w:b/>
          <w:sz w:val="32"/>
        </w:rPr>
      </w:pPr>
      <w:bookmarkStart w:id="21" w:name="_Toc152666753"/>
      <w:r>
        <w:rPr>
          <w:rFonts w:hint="eastAsia" w:ascii="楷体_GB2312" w:eastAsia="楷体_GB2312"/>
          <w:b/>
          <w:sz w:val="32"/>
        </w:rPr>
        <w:t>（二）对事故有关责任人员和责任单位的行政处罚建议</w:t>
      </w:r>
      <w:bookmarkEnd w:id="21"/>
    </w:p>
    <w:p w14:paraId="1392C3EC">
      <w:pPr>
        <w:spacing w:line="560" w:lineRule="exact"/>
        <w:ind w:firstLine="640" w:firstLineChars="200"/>
        <w:rPr>
          <w:rFonts w:ascii="仿宋_GB2312" w:eastAsia="仿宋_GB2312"/>
          <w:sz w:val="32"/>
        </w:rPr>
      </w:pPr>
      <w:r>
        <w:rPr>
          <w:rFonts w:hint="eastAsia" w:ascii="仿宋_GB2312" w:eastAsia="仿宋_GB2312"/>
          <w:sz w:val="32"/>
        </w:rPr>
        <w:t>1.吴志良，作为新长诚公司法定代表人，组织实施本单位安全生产教育和培训计划不到位，未保证郑阿明具备必要的安全生产知识和掌握本岗位的安全操作技能，督促、检查本单位的安全生产工作不到位，未及时消除钢构件未落实防倾倒措施、郑阿明未按照使用规则佩戴使用安全帽的事故隐患，违反《中华人民共和国安全生产法》第二十一条第三项、第五项</w:t>
      </w:r>
      <w:r>
        <w:rPr>
          <w:rStyle w:val="14"/>
          <w:rFonts w:ascii="仿宋_GB2312" w:eastAsia="仿宋_GB2312"/>
          <w:sz w:val="32"/>
        </w:rPr>
        <w:footnoteReference w:id="8" w:customMarkFollows="1"/>
        <w:t>[9]</w:t>
      </w:r>
      <w:r>
        <w:rPr>
          <w:rFonts w:hint="eastAsia" w:ascii="仿宋_GB2312" w:eastAsia="仿宋_GB2312"/>
          <w:sz w:val="32"/>
        </w:rPr>
        <w:t>规定，对事故发生负有责任，建议由华安县应急管理局依照《中华人民共和国安全生产法》第九十五条第一项</w:t>
      </w:r>
      <w:r>
        <w:rPr>
          <w:rStyle w:val="14"/>
          <w:rFonts w:ascii="仿宋_GB2312" w:eastAsia="仿宋_GB2312"/>
          <w:sz w:val="32"/>
        </w:rPr>
        <w:footnoteReference w:id="9" w:customMarkFollows="1"/>
        <w:t>[10]</w:t>
      </w:r>
      <w:r>
        <w:rPr>
          <w:rFonts w:hint="eastAsia" w:ascii="仿宋_GB2312" w:eastAsia="仿宋_GB2312"/>
          <w:sz w:val="32"/>
        </w:rPr>
        <w:t>规定对其进行行政处罚。</w:t>
      </w:r>
    </w:p>
    <w:p w14:paraId="1A62DFD3">
      <w:pPr>
        <w:spacing w:line="560" w:lineRule="exact"/>
        <w:ind w:firstLine="640" w:firstLineChars="200"/>
        <w:rPr>
          <w:rFonts w:ascii="仿宋_GB2312" w:eastAsia="仿宋_GB2312"/>
          <w:sz w:val="32"/>
        </w:rPr>
      </w:pPr>
      <w:r>
        <w:rPr>
          <w:rFonts w:hint="eastAsia" w:ascii="仿宋_GB2312" w:eastAsia="仿宋_GB2312"/>
          <w:sz w:val="32"/>
        </w:rPr>
        <w:t>2.新长诚公司，安全教育培训不到位，未保证郑阿明具备必要的安全生产知识和掌握本岗位的安全操作技能；未监督、教育郑阿明按照使用规则佩戴使用安全帽；未采取技术、管理措施及时发现并消除钢构件未落实防倾倒措施、郑阿明未按照使用规则佩戴使用安全帽的事故隐患，违反《中华人民共和国安全生产法》第二十八条第一款</w:t>
      </w:r>
      <w:r>
        <w:rPr>
          <w:rStyle w:val="14"/>
          <w:rFonts w:ascii="仿宋_GB2312" w:eastAsia="仿宋_GB2312"/>
          <w:sz w:val="32"/>
        </w:rPr>
        <w:footnoteReference w:id="10" w:customMarkFollows="1"/>
        <w:t>[1</w:t>
      </w:r>
      <w:r>
        <w:rPr>
          <w:rStyle w:val="14"/>
          <w:rFonts w:hint="eastAsia" w:ascii="仿宋_GB2312" w:eastAsia="仿宋_GB2312"/>
          <w:sz w:val="32"/>
        </w:rPr>
        <w:t>1</w:t>
      </w:r>
      <w:r>
        <w:rPr>
          <w:rStyle w:val="14"/>
          <w:rFonts w:ascii="仿宋_GB2312" w:eastAsia="仿宋_GB2312"/>
          <w:sz w:val="32"/>
        </w:rPr>
        <w:t>]</w:t>
      </w:r>
      <w:r>
        <w:rPr>
          <w:rFonts w:hint="eastAsia" w:ascii="仿宋_GB2312" w:eastAsia="仿宋_GB2312"/>
          <w:sz w:val="32"/>
        </w:rPr>
        <w:t>、第四十一条第二款</w:t>
      </w:r>
      <w:r>
        <w:rPr>
          <w:rStyle w:val="14"/>
          <w:rFonts w:ascii="仿宋_GB2312" w:eastAsia="仿宋_GB2312"/>
          <w:sz w:val="32"/>
        </w:rPr>
        <w:footnoteReference w:id="11" w:customMarkFollows="1"/>
        <w:t>[1</w:t>
      </w:r>
      <w:r>
        <w:rPr>
          <w:rStyle w:val="14"/>
          <w:rFonts w:hint="eastAsia" w:ascii="仿宋_GB2312" w:eastAsia="仿宋_GB2312"/>
          <w:sz w:val="32"/>
        </w:rPr>
        <w:t>2</w:t>
      </w:r>
      <w:r>
        <w:rPr>
          <w:rStyle w:val="14"/>
          <w:rFonts w:ascii="仿宋_GB2312" w:eastAsia="仿宋_GB2312"/>
          <w:sz w:val="32"/>
        </w:rPr>
        <w:t>]</w:t>
      </w:r>
      <w:r>
        <w:rPr>
          <w:rFonts w:hint="eastAsia" w:ascii="仿宋_GB2312" w:eastAsia="仿宋_GB2312"/>
          <w:sz w:val="32"/>
        </w:rPr>
        <w:t>、第四十五条</w:t>
      </w:r>
      <w:r>
        <w:rPr>
          <w:rStyle w:val="14"/>
          <w:rFonts w:ascii="仿宋_GB2312" w:eastAsia="仿宋_GB2312"/>
          <w:sz w:val="32"/>
        </w:rPr>
        <w:footnoteReference w:id="12" w:customMarkFollows="1"/>
        <w:t>[1</w:t>
      </w:r>
      <w:r>
        <w:rPr>
          <w:rStyle w:val="14"/>
          <w:rFonts w:hint="eastAsia" w:ascii="仿宋_GB2312" w:eastAsia="仿宋_GB2312"/>
          <w:sz w:val="32"/>
        </w:rPr>
        <w:t>3</w:t>
      </w:r>
      <w:r>
        <w:rPr>
          <w:rStyle w:val="14"/>
          <w:rFonts w:ascii="仿宋_GB2312" w:eastAsia="仿宋_GB2312"/>
          <w:sz w:val="32"/>
        </w:rPr>
        <w:t>]</w:t>
      </w:r>
      <w:r>
        <w:rPr>
          <w:rFonts w:hint="eastAsia" w:ascii="仿宋_GB2312" w:eastAsia="仿宋_GB2312"/>
          <w:sz w:val="32"/>
        </w:rPr>
        <w:t>规定，对事故发生负有责任，建议由华安县应急管理局依照《中华人民共和国安全生产法》第一百一十四条第一款第一项</w:t>
      </w:r>
      <w:r>
        <w:rPr>
          <w:rStyle w:val="14"/>
          <w:rFonts w:ascii="仿宋_GB2312" w:eastAsia="仿宋_GB2312"/>
          <w:sz w:val="32"/>
        </w:rPr>
        <w:footnoteReference w:id="13" w:customMarkFollows="1"/>
        <w:t>[1</w:t>
      </w:r>
      <w:r>
        <w:rPr>
          <w:rStyle w:val="14"/>
          <w:rFonts w:hint="eastAsia" w:ascii="仿宋_GB2312" w:eastAsia="仿宋_GB2312"/>
          <w:sz w:val="32"/>
        </w:rPr>
        <w:t>4</w:t>
      </w:r>
      <w:r>
        <w:rPr>
          <w:rStyle w:val="14"/>
          <w:rFonts w:ascii="仿宋_GB2312" w:eastAsia="仿宋_GB2312"/>
          <w:sz w:val="32"/>
        </w:rPr>
        <w:t>]</w:t>
      </w:r>
      <w:r>
        <w:rPr>
          <w:rFonts w:hint="eastAsia" w:ascii="仿宋_GB2312" w:eastAsia="仿宋_GB2312"/>
          <w:sz w:val="32"/>
        </w:rPr>
        <w:t>规定对其进行行政处罚。</w:t>
      </w:r>
    </w:p>
    <w:p w14:paraId="219E5277">
      <w:pPr>
        <w:spacing w:line="560" w:lineRule="exact"/>
        <w:ind w:firstLine="643" w:firstLineChars="200"/>
        <w:outlineLvl w:val="1"/>
        <w:rPr>
          <w:rFonts w:ascii="楷体_GB2312" w:eastAsia="楷体_GB2312"/>
          <w:b/>
          <w:sz w:val="32"/>
        </w:rPr>
      </w:pPr>
      <w:bookmarkStart w:id="22" w:name="_Toc152666754"/>
      <w:r>
        <w:rPr>
          <w:rFonts w:hint="eastAsia" w:ascii="楷体_GB2312" w:eastAsia="楷体_GB2312"/>
          <w:b/>
          <w:sz w:val="32"/>
        </w:rPr>
        <w:t>（三）其他处理建议</w:t>
      </w:r>
      <w:bookmarkEnd w:id="22"/>
    </w:p>
    <w:p w14:paraId="0AC29ECE">
      <w:pPr>
        <w:spacing w:line="560" w:lineRule="exact"/>
        <w:ind w:firstLine="640" w:firstLineChars="200"/>
        <w:rPr>
          <w:rFonts w:ascii="仿宋_GB2312" w:eastAsia="仿宋_GB2312"/>
          <w:sz w:val="32"/>
        </w:rPr>
      </w:pPr>
      <w:r>
        <w:rPr>
          <w:rFonts w:hint="eastAsia" w:ascii="仿宋_GB2312" w:eastAsia="仿宋_GB2312"/>
          <w:sz w:val="32"/>
        </w:rPr>
        <w:t>1.陈明理，新长诚公司副总经理，负责新长诚公司日常生产管理，组织本单位安全生产教育和培训不到位，未保证郑阿明具备必要的安全生产知识和掌握本岗位的安全操作技能，检查本单位的安全生产状况不到位，未及时排查消除钢构件未落实防倾倒措施、郑阿明未按照使用规则佩戴使用安全帽的事故隐患，对事故发生负有责任，建议由新长诚公司按照公司规章制度进行处理，并将处理结果书面报告华安县应急管理局。</w:t>
      </w:r>
    </w:p>
    <w:p w14:paraId="73BCC1E5">
      <w:pPr>
        <w:spacing w:line="560" w:lineRule="exact"/>
        <w:ind w:firstLine="640" w:firstLineChars="200"/>
        <w:rPr>
          <w:rFonts w:ascii="仿宋_GB2312" w:eastAsia="仿宋_GB2312"/>
          <w:sz w:val="32"/>
        </w:rPr>
      </w:pPr>
      <w:r>
        <w:rPr>
          <w:rFonts w:hint="eastAsia" w:ascii="仿宋_GB2312" w:eastAsia="仿宋_GB2312"/>
          <w:sz w:val="32"/>
        </w:rPr>
        <w:t>2.蔡国良，新长诚公司安环部经理，组织本单位安全生产教育和培训不到位，未保证郑阿明具备必要的安全生产知识和掌握本岗位的安全操作技能，检查本单位的安全生产状况不到位，未及时排查消除钢构件未落实防倾倒措施、郑阿明未按照使用规则佩戴使用安全帽的事故隐患，对事故发生负有责任，建议由新长诚公司按照公司规章制度进行处理，并将处理结果书面报告华安县应急管理局。</w:t>
      </w:r>
    </w:p>
    <w:p w14:paraId="3CA5BBFC">
      <w:pPr>
        <w:spacing w:line="560" w:lineRule="exact"/>
        <w:ind w:firstLine="640" w:firstLineChars="200"/>
        <w:rPr>
          <w:rFonts w:ascii="仿宋_GB2312" w:eastAsia="仿宋_GB2312"/>
          <w:sz w:val="32"/>
        </w:rPr>
      </w:pPr>
      <w:r>
        <w:rPr>
          <w:rFonts w:hint="eastAsia" w:ascii="仿宋_GB2312" w:eastAsia="仿宋_GB2312"/>
          <w:sz w:val="32"/>
        </w:rPr>
        <w:t>3.阙高松，新长诚公司一车间专职安全管理人员，组织本单位安全生产教育和培训不到位，未保证郑阿明具备必要的安全生产知识和掌握本岗位的安全操作技能，检查本单位的安全生产状况不到位，未及时排查消除钢构件未落实防倾倒措施、郑阿明未按照使用规则佩戴使用安全帽的事故隐患，对事故发生负有责任，建议由新长诚公司按照公司规章制度进行处理，并将处理结果书面报告华安县应急管理局。</w:t>
      </w:r>
    </w:p>
    <w:p w14:paraId="48DA2007">
      <w:pPr>
        <w:spacing w:line="560" w:lineRule="exact"/>
        <w:ind w:firstLine="640" w:firstLineChars="200"/>
        <w:outlineLvl w:val="0"/>
        <w:rPr>
          <w:rFonts w:ascii="黑体" w:hAnsi="黑体" w:eastAsia="黑体"/>
          <w:sz w:val="32"/>
        </w:rPr>
      </w:pPr>
      <w:bookmarkStart w:id="23" w:name="_Toc152666755"/>
      <w:r>
        <w:rPr>
          <w:rFonts w:hint="eastAsia" w:ascii="黑体" w:hAnsi="黑体" w:eastAsia="黑体"/>
          <w:sz w:val="32"/>
        </w:rPr>
        <w:t>六、事故主要教训</w:t>
      </w:r>
      <w:bookmarkEnd w:id="23"/>
    </w:p>
    <w:p w14:paraId="5B4EC32D">
      <w:pPr>
        <w:spacing w:line="560" w:lineRule="exact"/>
        <w:ind w:firstLine="643" w:firstLineChars="200"/>
        <w:outlineLvl w:val="1"/>
        <w:rPr>
          <w:rFonts w:ascii="楷体_GB2312" w:eastAsia="楷体_GB2312"/>
          <w:b/>
          <w:sz w:val="32"/>
        </w:rPr>
      </w:pPr>
      <w:bookmarkStart w:id="24" w:name="_Toc152666756"/>
      <w:r>
        <w:rPr>
          <w:rFonts w:hint="eastAsia" w:ascii="楷体_GB2312" w:eastAsia="楷体_GB2312"/>
          <w:b/>
          <w:sz w:val="32"/>
        </w:rPr>
        <w:t>（一）作业人员安全意识淡薄</w:t>
      </w:r>
      <w:bookmarkEnd w:id="24"/>
    </w:p>
    <w:p w14:paraId="22409C4C">
      <w:pPr>
        <w:spacing w:line="560" w:lineRule="exact"/>
        <w:ind w:firstLine="640" w:firstLineChars="200"/>
        <w:rPr>
          <w:rFonts w:ascii="仿宋_GB2312" w:eastAsia="仿宋_GB2312"/>
          <w:sz w:val="32"/>
        </w:rPr>
      </w:pPr>
      <w:r>
        <w:rPr>
          <w:rFonts w:hint="eastAsia" w:ascii="仿宋_GB2312" w:eastAsia="仿宋_GB2312"/>
          <w:sz w:val="32"/>
        </w:rPr>
        <w:t>作业人员安全意识淡薄，事故防范能力差，为图省事不按使用规则佩戴、使用安全帽，未用支撑杆固定钢构件即开展作业，罔顾自身安全。</w:t>
      </w:r>
    </w:p>
    <w:p w14:paraId="031C4B64">
      <w:pPr>
        <w:spacing w:line="560" w:lineRule="exact"/>
        <w:ind w:firstLine="643" w:firstLineChars="200"/>
        <w:outlineLvl w:val="1"/>
        <w:rPr>
          <w:rFonts w:ascii="楷体_GB2312" w:eastAsia="楷体_GB2312"/>
          <w:b/>
          <w:sz w:val="32"/>
        </w:rPr>
      </w:pPr>
      <w:bookmarkStart w:id="25" w:name="_Toc152666757"/>
      <w:r>
        <w:rPr>
          <w:rFonts w:hint="eastAsia" w:ascii="楷体_GB2312" w:eastAsia="楷体_GB2312"/>
          <w:b/>
          <w:sz w:val="32"/>
        </w:rPr>
        <w:t>（二）企业主体责任落实不到位</w:t>
      </w:r>
      <w:bookmarkEnd w:id="25"/>
    </w:p>
    <w:p w14:paraId="4A5CDCA9">
      <w:pPr>
        <w:spacing w:line="560" w:lineRule="exact"/>
        <w:ind w:firstLine="640" w:firstLineChars="200"/>
        <w:rPr>
          <w:rFonts w:ascii="仿宋_GB2312" w:eastAsia="仿宋_GB2312"/>
          <w:sz w:val="32"/>
        </w:rPr>
      </w:pPr>
      <w:r>
        <w:rPr>
          <w:rFonts w:hint="eastAsia" w:ascii="仿宋_GB2312" w:eastAsia="仿宋_GB2312"/>
          <w:sz w:val="32"/>
        </w:rPr>
        <w:t>企业未严格履行安全生产主体责任，安全生产教育培训流于形式，未有效监督教育从业人员按照使用规则佩戴、使用安全帽，对作业现场隐患排查治理不严、不细，不能及时排查消除事故隐患。</w:t>
      </w:r>
    </w:p>
    <w:p w14:paraId="776E12E6">
      <w:pPr>
        <w:spacing w:line="560" w:lineRule="exact"/>
        <w:ind w:firstLine="640" w:firstLineChars="200"/>
        <w:outlineLvl w:val="0"/>
        <w:rPr>
          <w:rFonts w:ascii="黑体" w:hAnsi="黑体" w:eastAsia="黑体"/>
          <w:sz w:val="32"/>
        </w:rPr>
      </w:pPr>
      <w:bookmarkStart w:id="26" w:name="_Toc152666758"/>
      <w:r>
        <w:rPr>
          <w:rFonts w:hint="eastAsia" w:ascii="黑体" w:hAnsi="黑体" w:eastAsia="黑体"/>
          <w:sz w:val="32"/>
        </w:rPr>
        <w:t>七、事故整改和防范措施</w:t>
      </w:r>
      <w:bookmarkEnd w:id="26"/>
    </w:p>
    <w:p w14:paraId="3FD0BDDA">
      <w:pPr>
        <w:spacing w:line="560" w:lineRule="exact"/>
        <w:ind w:firstLine="643" w:firstLineChars="200"/>
        <w:outlineLvl w:val="1"/>
        <w:rPr>
          <w:rFonts w:ascii="楷体_GB2312" w:eastAsia="楷体_GB2312"/>
          <w:b/>
          <w:sz w:val="32"/>
        </w:rPr>
      </w:pPr>
      <w:bookmarkStart w:id="27" w:name="_Toc152666759"/>
      <w:r>
        <w:rPr>
          <w:rFonts w:hint="eastAsia" w:ascii="楷体_GB2312" w:eastAsia="楷体_GB2312"/>
          <w:b/>
          <w:sz w:val="32"/>
        </w:rPr>
        <w:t>（一）深刻吸取事故教训</w:t>
      </w:r>
      <w:bookmarkEnd w:id="27"/>
    </w:p>
    <w:p w14:paraId="4E3134C2">
      <w:pPr>
        <w:spacing w:line="560" w:lineRule="exact"/>
        <w:ind w:firstLine="640" w:firstLineChars="200"/>
        <w:rPr>
          <w:rFonts w:ascii="仿宋_GB2312" w:eastAsia="仿宋_GB2312"/>
          <w:sz w:val="32"/>
        </w:rPr>
      </w:pPr>
      <w:r>
        <w:rPr>
          <w:rFonts w:hint="eastAsia" w:ascii="仿宋_GB2312" w:eastAsia="仿宋_GB2312"/>
          <w:sz w:val="32"/>
        </w:rPr>
        <w:t>新长诚公司要深刻吸取此次事故教训，深入剖析事故原因，在全公司范围内开展事故警示教育会，举一反三，强化安全防范措施，坚决防范类似事故发生。</w:t>
      </w:r>
    </w:p>
    <w:p w14:paraId="22D230FF">
      <w:pPr>
        <w:spacing w:line="560" w:lineRule="exact"/>
        <w:ind w:firstLine="643" w:firstLineChars="200"/>
        <w:outlineLvl w:val="1"/>
        <w:rPr>
          <w:rFonts w:ascii="楷体_GB2312" w:eastAsia="楷体_GB2312"/>
          <w:b/>
          <w:sz w:val="32"/>
        </w:rPr>
      </w:pPr>
      <w:bookmarkStart w:id="28" w:name="_Toc152666760"/>
      <w:r>
        <w:rPr>
          <w:rFonts w:hint="eastAsia" w:ascii="楷体_GB2312" w:eastAsia="楷体_GB2312"/>
          <w:b/>
          <w:sz w:val="32"/>
        </w:rPr>
        <w:t>（二）严格落实企业主体责任</w:t>
      </w:r>
      <w:bookmarkEnd w:id="28"/>
    </w:p>
    <w:p w14:paraId="4921A4D5">
      <w:pPr>
        <w:spacing w:line="560" w:lineRule="exact"/>
        <w:ind w:firstLine="640" w:firstLineChars="200"/>
        <w:rPr>
          <w:rFonts w:ascii="仿宋_GB2312" w:eastAsia="仿宋_GB2312"/>
          <w:sz w:val="32"/>
        </w:rPr>
      </w:pPr>
      <w:r>
        <w:rPr>
          <w:rFonts w:hint="eastAsia" w:ascii="仿宋_GB2312" w:eastAsia="仿宋_GB2312"/>
          <w:sz w:val="32"/>
        </w:rPr>
        <w:t>新长诚公司要严格履行《中华人民共和国安全生产法》规定的安全生产职责，严格落实安全生产主体责任，因人、因岗开展针对性、差异化安全生产教育培训，提高员工安全意识和安全技能。要加强对员工的作业安全管理，监督、教育员工按照使用规则佩戴、使用劳动防护用品，加强作业现场隐患排查，及时消除事故隐患。</w:t>
      </w:r>
    </w:p>
    <w:p w14:paraId="69DF4238">
      <w:pPr>
        <w:spacing w:line="560" w:lineRule="exact"/>
        <w:ind w:firstLine="643" w:firstLineChars="200"/>
        <w:outlineLvl w:val="1"/>
        <w:rPr>
          <w:rFonts w:ascii="楷体_GB2312" w:eastAsia="楷体_GB2312"/>
          <w:b/>
          <w:sz w:val="32"/>
        </w:rPr>
      </w:pPr>
      <w:bookmarkStart w:id="29" w:name="_Toc152666761"/>
      <w:r>
        <w:rPr>
          <w:rFonts w:hint="eastAsia" w:ascii="楷体_GB2312" w:eastAsia="楷体_GB2312"/>
          <w:b/>
          <w:sz w:val="32"/>
        </w:rPr>
        <w:t>（三）加强安全监管</w:t>
      </w:r>
      <w:bookmarkEnd w:id="29"/>
    </w:p>
    <w:p w14:paraId="48961220">
      <w:pPr>
        <w:spacing w:line="560" w:lineRule="exact"/>
        <w:ind w:firstLine="640" w:firstLineChars="200"/>
        <w:rPr>
          <w:rFonts w:ascii="仿宋_GB2312" w:eastAsia="仿宋_GB2312"/>
          <w:sz w:val="32"/>
        </w:rPr>
      </w:pPr>
      <w:r>
        <w:rPr>
          <w:rFonts w:hint="eastAsia" w:ascii="仿宋_GB2312" w:eastAsia="仿宋_GB2312"/>
          <w:sz w:val="32"/>
        </w:rPr>
        <w:t>华安县应急管理局、华安经济开发区管委会要严格落实行业主管部门和属地政府安全监管责任，持续深入开展重大事故隐患专项排查整治2023行动，针对事故暴露出的典型问题，采取有力措施开展重点整治，推动企业主要负责人严格履行安全生产法定职责，推动企业员工落实安全生产岗位责任。</w:t>
      </w:r>
    </w:p>
    <w:sectPr>
      <w:footerReference r:id="rId11" w:type="first"/>
      <w:footerReference r:id="rId10" w:type="default"/>
      <w:pgSz w:w="11906" w:h="16838"/>
      <w:pgMar w:top="1928" w:right="1474" w:bottom="1701" w:left="1588" w:header="1418" w:footer="1418"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46EE5">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76077">
    <w:pPr>
      <w:pStyle w:val="4"/>
      <w:framePr w:wrap="around" w:vAnchor="text" w:hAnchor="margin" w:xAlign="outside" w:y="1"/>
      <w:rPr>
        <w:rStyle w:val="12"/>
      </w:rPr>
    </w:pPr>
    <w:r>
      <w:fldChar w:fldCharType="begin"/>
    </w:r>
    <w:r>
      <w:rPr>
        <w:rStyle w:val="12"/>
      </w:rPr>
      <w:instrText xml:space="preserve">PAGE  </w:instrText>
    </w:r>
    <w:r>
      <w:fldChar w:fldCharType="end"/>
    </w:r>
  </w:p>
  <w:p w14:paraId="50842A53">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95D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23977"/>
      <w:docPartObj>
        <w:docPartGallery w:val="AutoText"/>
      </w:docPartObj>
    </w:sdtPr>
    <w:sdtEndPr>
      <w:rPr>
        <w:sz w:val="24"/>
        <w:szCs w:val="24"/>
      </w:rPr>
    </w:sdtEndPr>
    <w:sdtContent>
      <w:p w14:paraId="0006A252">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12</w:t>
        </w:r>
        <w:r>
          <w:rPr>
            <w:sz w:val="24"/>
            <w:szCs w:val="24"/>
          </w:rPr>
          <w:fldChar w:fldCharType="end"/>
        </w:r>
      </w:p>
    </w:sdtContent>
  </w:sdt>
  <w:p w14:paraId="5DBF843A">
    <w:pPr>
      <w:pStyle w:val="4"/>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23967"/>
      <w:docPartObj>
        <w:docPartGallery w:val="AutoText"/>
      </w:docPartObj>
    </w:sdtPr>
    <w:sdtEndPr>
      <w:rPr>
        <w:sz w:val="24"/>
        <w:szCs w:val="24"/>
      </w:rPr>
    </w:sdtEndPr>
    <w:sdtContent>
      <w:p w14:paraId="3600C8EB">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p>
    </w:sdtContent>
  </w:sdt>
  <w:p w14:paraId="147E90A0">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14:paraId="4360E235">
      <w:pPr>
        <w:pStyle w:val="7"/>
      </w:pPr>
      <w:r>
        <w:rPr>
          <w:rStyle w:val="14"/>
        </w:rPr>
        <w:t>[1]</w:t>
      </w:r>
      <w:r>
        <w:rPr>
          <w:rFonts w:hint="eastAsia"/>
        </w:rPr>
        <w:t>根据提交的《关于调整公</w:t>
      </w:r>
      <w:r>
        <w:rPr>
          <w:rFonts w:hint="eastAsia" w:ascii="宋体" w:hAnsi="宋体"/>
        </w:rPr>
        <w:t>司安全生产委员会的通知》（NCCAQ〔2023〕006号），新长诚公司成立了以吴志良为主任，陈明理、王生模、黄斌、蔡国良为副主任，其他相关人员为成员的安全管理机构，专职安全管理人员：阙高松、黄金坡、陈漳灵、黄金聪、潘沪飚、吴思强、黄于芸。</w:t>
      </w:r>
    </w:p>
  </w:footnote>
  <w:footnote w:id="1">
    <w:p w14:paraId="7C44258C">
      <w:pPr>
        <w:pStyle w:val="7"/>
      </w:pPr>
      <w:r>
        <w:rPr>
          <w:rStyle w:val="14"/>
        </w:rPr>
        <w:t>[</w:t>
      </w:r>
      <w:r>
        <w:rPr>
          <w:rStyle w:val="14"/>
          <w:rFonts w:hint="eastAsia"/>
        </w:rPr>
        <w:t>2</w:t>
      </w:r>
      <w:r>
        <w:rPr>
          <w:rStyle w:val="14"/>
        </w:rPr>
        <w:t>]</w:t>
      </w:r>
      <w:r>
        <w:rPr>
          <w:rFonts w:hint="eastAsia"/>
        </w:rPr>
        <w:t>根据提交的钢构件设计图，钢构件1大小为：长13500mm，宽500mm，高2100mm，重1298.52KG；钢构件2大小为：长10995mm，宽500mm，高800mm，重819.09KG。</w:t>
      </w:r>
    </w:p>
  </w:footnote>
  <w:footnote w:id="2">
    <w:p w14:paraId="2D8232DC">
      <w:pPr>
        <w:pStyle w:val="7"/>
      </w:pPr>
      <w:r>
        <w:rPr>
          <w:rStyle w:val="14"/>
        </w:rPr>
        <w:t>[</w:t>
      </w:r>
      <w:r>
        <w:rPr>
          <w:rStyle w:val="14"/>
          <w:rFonts w:hint="eastAsia"/>
        </w:rPr>
        <w:t>3</w:t>
      </w:r>
      <w:r>
        <w:rPr>
          <w:rStyle w:val="14"/>
        </w:rPr>
        <w:t>]</w:t>
      </w:r>
      <w:r>
        <w:rPr>
          <w:rFonts w:hint="eastAsia"/>
        </w:rPr>
        <w:t>根据提交的《特种设备使用登记证》《桥（门）式起重机定期检验报告》《特种设备使用标志》《每日起重机械安全检查记录》，该行车额定起重量10（t），2014年2月11日投入使用，2022年2月15日经福建省特种设备检验研究院定期检验合格，下次检验时间2024年2月；2023年9月14日检查发现2个接触器不合格，已整改。其余检查未发现设备隐患。</w:t>
      </w:r>
    </w:p>
  </w:footnote>
  <w:footnote w:id="3">
    <w:p w14:paraId="4A3C4C47">
      <w:pPr>
        <w:pStyle w:val="7"/>
      </w:pPr>
      <w:r>
        <w:rPr>
          <w:rStyle w:val="14"/>
        </w:rPr>
        <w:t>[4]</w:t>
      </w:r>
      <w:r>
        <w:rPr>
          <w:rFonts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14:paraId="02A0CDCB">
      <w:pPr>
        <w:pStyle w:val="7"/>
      </w:pPr>
      <w:r>
        <w:rPr>
          <w:rStyle w:val="14"/>
        </w:rPr>
        <w:t>[</w:t>
      </w:r>
      <w:r>
        <w:rPr>
          <w:rStyle w:val="14"/>
          <w:rFonts w:hint="eastAsia"/>
        </w:rPr>
        <w:t>5</w:t>
      </w:r>
      <w:r>
        <w:rPr>
          <w:rStyle w:val="14"/>
        </w:rPr>
        <w:t>]</w:t>
      </w:r>
      <w:r>
        <w:rPr>
          <w:rFonts w:hint="eastAsia"/>
        </w:rPr>
        <w:t>《中华人民共和国安全生产法》第四十五条：生产经营单位必须为从业人员提供符合国家标准或者行业标准的劳动防护用品，并监督、教育从业人员按照使用规则佩戴、使用。</w:t>
      </w:r>
    </w:p>
  </w:footnote>
  <w:footnote w:id="5">
    <w:p w14:paraId="4E6DA99B">
      <w:pPr>
        <w:pStyle w:val="7"/>
      </w:pPr>
      <w:r>
        <w:rPr>
          <w:rStyle w:val="14"/>
        </w:rPr>
        <w:t>[</w:t>
      </w:r>
      <w:r>
        <w:rPr>
          <w:rStyle w:val="14"/>
          <w:rFonts w:hint="eastAsia"/>
        </w:rPr>
        <w:t>6</w:t>
      </w:r>
      <w:r>
        <w:rPr>
          <w:rStyle w:val="14"/>
        </w:rPr>
        <w:t>]</w:t>
      </w:r>
      <w:r>
        <w:rPr>
          <w:rFonts w:hint="eastAsi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6">
    <w:p w14:paraId="3FEE642B">
      <w:pPr>
        <w:pStyle w:val="7"/>
      </w:pPr>
      <w:r>
        <w:rPr>
          <w:rStyle w:val="14"/>
        </w:rPr>
        <w:t>[7]</w:t>
      </w:r>
      <w:r>
        <w:rPr>
          <w:rFonts w:hint="eastAsia"/>
        </w:rPr>
        <w:t>《中华人民共和国安全生产法》第五十七条：从业人员在作业过程中，应当严格落实岗位安全责任，遵守本单位的安全生产规章制度和操作规程，服从管理，正确佩戴和使用劳动防护用品。</w:t>
      </w:r>
    </w:p>
  </w:footnote>
  <w:footnote w:id="7">
    <w:p w14:paraId="61CEE592">
      <w:pPr>
        <w:pStyle w:val="7"/>
      </w:pPr>
      <w:r>
        <w:rPr>
          <w:rStyle w:val="14"/>
        </w:rPr>
        <w:t>[8]</w:t>
      </w:r>
      <w:r>
        <w:rPr>
          <w:rFonts w:hint="eastAsia"/>
        </w:rPr>
        <w:t>《中华人民共和国安全生产法》第五十八条：从业人员应当接受安全生产教育和培训，掌握本职工作所需的安全生产知识，提高安全生产技能，增强事故预防和应急处理能力。</w:t>
      </w:r>
    </w:p>
  </w:footnote>
  <w:footnote w:id="8">
    <w:p w14:paraId="6403A67D">
      <w:pPr>
        <w:pStyle w:val="7"/>
      </w:pPr>
      <w:r>
        <w:rPr>
          <w:rStyle w:val="14"/>
        </w:rPr>
        <w:t>[9]</w:t>
      </w:r>
      <w:r>
        <w:rPr>
          <w:rFonts w:hint="eastAsia"/>
        </w:rPr>
        <w:t>《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footnote>
  <w:footnote w:id="9">
    <w:p w14:paraId="37881799">
      <w:pPr>
        <w:pStyle w:val="7"/>
      </w:pPr>
      <w:r>
        <w:rPr>
          <w:rStyle w:val="14"/>
        </w:rPr>
        <w:t>[10]</w:t>
      </w:r>
      <w:r>
        <w:rPr>
          <w:rFonts w:hint="eastAsia"/>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 w:id="10">
    <w:p w14:paraId="5DAB27A4">
      <w:pPr>
        <w:pStyle w:val="7"/>
      </w:pPr>
      <w:r>
        <w:rPr>
          <w:rStyle w:val="14"/>
        </w:rPr>
        <w:t>[1</w:t>
      </w:r>
      <w:r>
        <w:rPr>
          <w:rStyle w:val="14"/>
          <w:rFonts w:hint="eastAsia"/>
        </w:rPr>
        <w:t>1</w:t>
      </w:r>
      <w:r>
        <w:rPr>
          <w:rStyle w:val="14"/>
        </w:rPr>
        <w:t>]</w:t>
      </w:r>
      <w:r>
        <w:rPr>
          <w:rFonts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1">
    <w:p w14:paraId="6D24051A">
      <w:pPr>
        <w:pStyle w:val="7"/>
      </w:pPr>
      <w:r>
        <w:rPr>
          <w:rStyle w:val="14"/>
        </w:rPr>
        <w:t>[1</w:t>
      </w:r>
      <w:r>
        <w:rPr>
          <w:rStyle w:val="14"/>
          <w:rFonts w:hint="eastAsia"/>
        </w:rPr>
        <w:t>2</w:t>
      </w:r>
      <w:r>
        <w:rPr>
          <w:rStyle w:val="14"/>
        </w:rPr>
        <w:t>]</w:t>
      </w:r>
      <w:r>
        <w:rPr>
          <w:rFonts w:hint="eastAsi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2">
    <w:p w14:paraId="61E7BBAB">
      <w:pPr>
        <w:pStyle w:val="7"/>
      </w:pPr>
      <w:r>
        <w:rPr>
          <w:rStyle w:val="14"/>
        </w:rPr>
        <w:t>[1</w:t>
      </w:r>
      <w:r>
        <w:rPr>
          <w:rStyle w:val="14"/>
          <w:rFonts w:hint="eastAsia"/>
        </w:rPr>
        <w:t>3</w:t>
      </w:r>
      <w:r>
        <w:rPr>
          <w:rStyle w:val="14"/>
        </w:rPr>
        <w:t>]</w:t>
      </w:r>
      <w:r>
        <w:rPr>
          <w:rFonts w:hint="eastAsia"/>
        </w:rPr>
        <w:t>《中华人民共和国安全生产法》第四十五条：生产经营单位必须为从业人员提供符合国家标准或者行业标准的劳动防护用品，并监督、教育从业人员按照使用规则佩戴、使用。</w:t>
      </w:r>
      <w:r>
        <w:t> </w:t>
      </w:r>
    </w:p>
  </w:footnote>
  <w:footnote w:id="13">
    <w:p w14:paraId="1A22B029">
      <w:pPr>
        <w:pStyle w:val="7"/>
      </w:pPr>
      <w:r>
        <w:rPr>
          <w:rStyle w:val="14"/>
        </w:rPr>
        <w:t>[1</w:t>
      </w:r>
      <w:r>
        <w:rPr>
          <w:rStyle w:val="14"/>
          <w:rFonts w:hint="eastAsia"/>
        </w:rPr>
        <w:t>4</w:t>
      </w:r>
      <w:r>
        <w:rPr>
          <w:rStyle w:val="14"/>
        </w:rPr>
        <w:t>]</w:t>
      </w:r>
      <w:r>
        <w:rPr>
          <w:rFonts w:hint="eastAsia"/>
        </w:rPr>
        <w:t>《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00ADE">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C336">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F88B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28"/>
    <w:footnote w:id="2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042"/>
    <w:rsid w:val="00037893"/>
    <w:rsid w:val="00046BB6"/>
    <w:rsid w:val="00047569"/>
    <w:rsid w:val="000506C0"/>
    <w:rsid w:val="0005251A"/>
    <w:rsid w:val="00095D52"/>
    <w:rsid w:val="000A0A57"/>
    <w:rsid w:val="000A5F8E"/>
    <w:rsid w:val="000B2286"/>
    <w:rsid w:val="000B25E8"/>
    <w:rsid w:val="000C292E"/>
    <w:rsid w:val="000D224F"/>
    <w:rsid w:val="000E2E41"/>
    <w:rsid w:val="00120A97"/>
    <w:rsid w:val="0013313B"/>
    <w:rsid w:val="001464EB"/>
    <w:rsid w:val="00151B93"/>
    <w:rsid w:val="00154389"/>
    <w:rsid w:val="00155D5C"/>
    <w:rsid w:val="001943BE"/>
    <w:rsid w:val="001F3753"/>
    <w:rsid w:val="002022CE"/>
    <w:rsid w:val="00210823"/>
    <w:rsid w:val="00216349"/>
    <w:rsid w:val="00223B76"/>
    <w:rsid w:val="002322B2"/>
    <w:rsid w:val="00232554"/>
    <w:rsid w:val="00250D39"/>
    <w:rsid w:val="00261BD9"/>
    <w:rsid w:val="002747FF"/>
    <w:rsid w:val="00280A87"/>
    <w:rsid w:val="00292B0E"/>
    <w:rsid w:val="002B0126"/>
    <w:rsid w:val="002E1334"/>
    <w:rsid w:val="00306680"/>
    <w:rsid w:val="00315E2F"/>
    <w:rsid w:val="00355385"/>
    <w:rsid w:val="003752AC"/>
    <w:rsid w:val="003771A7"/>
    <w:rsid w:val="00382804"/>
    <w:rsid w:val="00383C62"/>
    <w:rsid w:val="0039057A"/>
    <w:rsid w:val="00390F10"/>
    <w:rsid w:val="003936AF"/>
    <w:rsid w:val="00394167"/>
    <w:rsid w:val="003965FD"/>
    <w:rsid w:val="003A7290"/>
    <w:rsid w:val="003B6FFF"/>
    <w:rsid w:val="003C567B"/>
    <w:rsid w:val="003E484A"/>
    <w:rsid w:val="003F4F79"/>
    <w:rsid w:val="003F6557"/>
    <w:rsid w:val="00400F1B"/>
    <w:rsid w:val="00403AE5"/>
    <w:rsid w:val="00415570"/>
    <w:rsid w:val="00422378"/>
    <w:rsid w:val="004419D1"/>
    <w:rsid w:val="00441EC2"/>
    <w:rsid w:val="0044571C"/>
    <w:rsid w:val="0045758A"/>
    <w:rsid w:val="00460703"/>
    <w:rsid w:val="00476E9D"/>
    <w:rsid w:val="00484359"/>
    <w:rsid w:val="0049561D"/>
    <w:rsid w:val="004A6062"/>
    <w:rsid w:val="004B720F"/>
    <w:rsid w:val="004B7A5F"/>
    <w:rsid w:val="004C2E6A"/>
    <w:rsid w:val="004C4E8C"/>
    <w:rsid w:val="004E58D3"/>
    <w:rsid w:val="004F5B50"/>
    <w:rsid w:val="00512325"/>
    <w:rsid w:val="00521374"/>
    <w:rsid w:val="00525DAA"/>
    <w:rsid w:val="00536EBB"/>
    <w:rsid w:val="0055773B"/>
    <w:rsid w:val="00585FDB"/>
    <w:rsid w:val="00595031"/>
    <w:rsid w:val="005A127E"/>
    <w:rsid w:val="005A62AF"/>
    <w:rsid w:val="005B21B2"/>
    <w:rsid w:val="005C4614"/>
    <w:rsid w:val="005D3DBE"/>
    <w:rsid w:val="005E5325"/>
    <w:rsid w:val="005F091B"/>
    <w:rsid w:val="00611BB8"/>
    <w:rsid w:val="00613D5A"/>
    <w:rsid w:val="00620C8B"/>
    <w:rsid w:val="00627233"/>
    <w:rsid w:val="00632832"/>
    <w:rsid w:val="006446B0"/>
    <w:rsid w:val="00652D35"/>
    <w:rsid w:val="00672E26"/>
    <w:rsid w:val="00681DDE"/>
    <w:rsid w:val="0069049E"/>
    <w:rsid w:val="00695892"/>
    <w:rsid w:val="006A2BA3"/>
    <w:rsid w:val="006A323C"/>
    <w:rsid w:val="006D390B"/>
    <w:rsid w:val="00703EB7"/>
    <w:rsid w:val="00724C29"/>
    <w:rsid w:val="00742AD8"/>
    <w:rsid w:val="00742F96"/>
    <w:rsid w:val="007574EA"/>
    <w:rsid w:val="007825DD"/>
    <w:rsid w:val="00792A62"/>
    <w:rsid w:val="007B4E15"/>
    <w:rsid w:val="007C6850"/>
    <w:rsid w:val="007E06FC"/>
    <w:rsid w:val="007E5FDA"/>
    <w:rsid w:val="007F570B"/>
    <w:rsid w:val="007F63FC"/>
    <w:rsid w:val="00820002"/>
    <w:rsid w:val="0082786A"/>
    <w:rsid w:val="008571DA"/>
    <w:rsid w:val="00870089"/>
    <w:rsid w:val="00875C5A"/>
    <w:rsid w:val="00876D22"/>
    <w:rsid w:val="00881396"/>
    <w:rsid w:val="00893996"/>
    <w:rsid w:val="008A1E89"/>
    <w:rsid w:val="008B7203"/>
    <w:rsid w:val="008C06FA"/>
    <w:rsid w:val="008C59D5"/>
    <w:rsid w:val="008D2D99"/>
    <w:rsid w:val="008D6804"/>
    <w:rsid w:val="008D6AEF"/>
    <w:rsid w:val="008D733F"/>
    <w:rsid w:val="008E7064"/>
    <w:rsid w:val="008F398E"/>
    <w:rsid w:val="008F45D5"/>
    <w:rsid w:val="00903550"/>
    <w:rsid w:val="0090482D"/>
    <w:rsid w:val="00907EBC"/>
    <w:rsid w:val="009351FF"/>
    <w:rsid w:val="00952265"/>
    <w:rsid w:val="009702B7"/>
    <w:rsid w:val="0097799A"/>
    <w:rsid w:val="009829A2"/>
    <w:rsid w:val="009869FE"/>
    <w:rsid w:val="009A2164"/>
    <w:rsid w:val="009A6124"/>
    <w:rsid w:val="009B0699"/>
    <w:rsid w:val="009C0FD3"/>
    <w:rsid w:val="009D1B4C"/>
    <w:rsid w:val="009E1F93"/>
    <w:rsid w:val="009F47EB"/>
    <w:rsid w:val="00A06017"/>
    <w:rsid w:val="00A10049"/>
    <w:rsid w:val="00A20DB2"/>
    <w:rsid w:val="00A219FC"/>
    <w:rsid w:val="00A227E3"/>
    <w:rsid w:val="00A52334"/>
    <w:rsid w:val="00A55E4C"/>
    <w:rsid w:val="00A64364"/>
    <w:rsid w:val="00A658EE"/>
    <w:rsid w:val="00A75437"/>
    <w:rsid w:val="00A85E3D"/>
    <w:rsid w:val="00AA7D89"/>
    <w:rsid w:val="00AB2798"/>
    <w:rsid w:val="00AB6193"/>
    <w:rsid w:val="00AC67DA"/>
    <w:rsid w:val="00AE0FC0"/>
    <w:rsid w:val="00AE29E5"/>
    <w:rsid w:val="00AE2E97"/>
    <w:rsid w:val="00AE558C"/>
    <w:rsid w:val="00AE7AB4"/>
    <w:rsid w:val="00B070E3"/>
    <w:rsid w:val="00B15359"/>
    <w:rsid w:val="00B15462"/>
    <w:rsid w:val="00B159BA"/>
    <w:rsid w:val="00B2773A"/>
    <w:rsid w:val="00B46DDF"/>
    <w:rsid w:val="00B5297F"/>
    <w:rsid w:val="00B55F31"/>
    <w:rsid w:val="00B82E5C"/>
    <w:rsid w:val="00B870A7"/>
    <w:rsid w:val="00BC288C"/>
    <w:rsid w:val="00BD1A5D"/>
    <w:rsid w:val="00BD76A0"/>
    <w:rsid w:val="00C01883"/>
    <w:rsid w:val="00C1347E"/>
    <w:rsid w:val="00C21019"/>
    <w:rsid w:val="00C231BD"/>
    <w:rsid w:val="00C30EF1"/>
    <w:rsid w:val="00C42031"/>
    <w:rsid w:val="00C53545"/>
    <w:rsid w:val="00C668C9"/>
    <w:rsid w:val="00C6769F"/>
    <w:rsid w:val="00C735BF"/>
    <w:rsid w:val="00C8697F"/>
    <w:rsid w:val="00C9226F"/>
    <w:rsid w:val="00CA0CC1"/>
    <w:rsid w:val="00CA49D7"/>
    <w:rsid w:val="00CA4A1F"/>
    <w:rsid w:val="00CF3C49"/>
    <w:rsid w:val="00CF56B9"/>
    <w:rsid w:val="00D0408B"/>
    <w:rsid w:val="00D237BE"/>
    <w:rsid w:val="00D30F5B"/>
    <w:rsid w:val="00D6191F"/>
    <w:rsid w:val="00D61A04"/>
    <w:rsid w:val="00D63188"/>
    <w:rsid w:val="00D712D2"/>
    <w:rsid w:val="00D87E6A"/>
    <w:rsid w:val="00DA2DE5"/>
    <w:rsid w:val="00DA7D40"/>
    <w:rsid w:val="00DD5127"/>
    <w:rsid w:val="00DE2317"/>
    <w:rsid w:val="00E0348D"/>
    <w:rsid w:val="00E21103"/>
    <w:rsid w:val="00E302ED"/>
    <w:rsid w:val="00E3435A"/>
    <w:rsid w:val="00E37E96"/>
    <w:rsid w:val="00E421CF"/>
    <w:rsid w:val="00E45F98"/>
    <w:rsid w:val="00E636DC"/>
    <w:rsid w:val="00E67672"/>
    <w:rsid w:val="00E75558"/>
    <w:rsid w:val="00E76A50"/>
    <w:rsid w:val="00E865CA"/>
    <w:rsid w:val="00E93B09"/>
    <w:rsid w:val="00EA162F"/>
    <w:rsid w:val="00EB0E4F"/>
    <w:rsid w:val="00EC3042"/>
    <w:rsid w:val="00EE63E7"/>
    <w:rsid w:val="00F062F7"/>
    <w:rsid w:val="00F1531E"/>
    <w:rsid w:val="00F365CB"/>
    <w:rsid w:val="00F7211A"/>
    <w:rsid w:val="00F9215D"/>
    <w:rsid w:val="00FB7753"/>
    <w:rsid w:val="00FE653D"/>
    <w:rsid w:val="00FE6792"/>
    <w:rsid w:val="09EA0CDF"/>
    <w:rsid w:val="27E965F8"/>
    <w:rsid w:val="3B206968"/>
    <w:rsid w:val="3BDB10B8"/>
    <w:rsid w:val="69741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7"/>
    <w:uiPriority w:val="0"/>
    <w:rPr>
      <w:sz w:val="18"/>
      <w:szCs w:val="18"/>
    </w:rPr>
  </w:style>
  <w:style w:type="paragraph" w:styleId="4">
    <w:name w:val="footer"/>
    <w:basedOn w:val="1"/>
    <w:link w:val="19"/>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uiPriority w:val="39"/>
  </w:style>
  <w:style w:type="paragraph" w:styleId="7">
    <w:name w:val="footnote text"/>
    <w:basedOn w:val="1"/>
    <w:link w:val="18"/>
    <w:qFormat/>
    <w:uiPriority w:val="0"/>
    <w:pPr>
      <w:snapToGrid w:val="0"/>
      <w:jc w:val="left"/>
    </w:pPr>
    <w:rPr>
      <w:sz w:val="18"/>
      <w:szCs w:val="18"/>
    </w:rPr>
  </w:style>
  <w:style w:type="paragraph" w:styleId="8">
    <w:name w:val="toc 2"/>
    <w:basedOn w:val="1"/>
    <w:next w:val="1"/>
    <w:autoRedefine/>
    <w:uiPriority w:val="39"/>
    <w:pPr>
      <w:ind w:left="420" w:leftChars="200"/>
    </w:pPr>
  </w:style>
  <w:style w:type="table" w:styleId="10">
    <w:name w:val="Table Grid"/>
    <w:basedOn w:val="9"/>
    <w:qFormat/>
    <w:uiPriority w:val="59"/>
    <w:rPr>
      <w:rFonts w:eastAsia="微软雅黑"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uiPriority w:val="0"/>
  </w:style>
  <w:style w:type="character" w:styleId="13">
    <w:name w:val="Hyperlink"/>
    <w:basedOn w:val="11"/>
    <w:unhideWhenUsed/>
    <w:uiPriority w:val="99"/>
    <w:rPr>
      <w:color w:val="0000FF" w:themeColor="hyperlink"/>
      <w:u w:val="single"/>
    </w:rPr>
  </w:style>
  <w:style w:type="character" w:styleId="14">
    <w:name w:val="footnote reference"/>
    <w:basedOn w:val="11"/>
    <w:qFormat/>
    <w:uiPriority w:val="0"/>
    <w:rPr>
      <w:vertAlign w:val="superscript"/>
    </w:rPr>
  </w:style>
  <w:style w:type="character" w:customStyle="1" w:styleId="15">
    <w:name w:val="标题 1 Char"/>
    <w:basedOn w:val="11"/>
    <w:link w:val="2"/>
    <w:uiPriority w:val="0"/>
    <w:rPr>
      <w:b/>
      <w:bCs/>
      <w:kern w:val="44"/>
      <w:sz w:val="44"/>
      <w:szCs w:val="44"/>
    </w:rPr>
  </w:style>
  <w:style w:type="paragraph" w:customStyle="1" w:styleId="16">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7">
    <w:name w:val="批注框文本 Char"/>
    <w:basedOn w:val="11"/>
    <w:link w:val="3"/>
    <w:uiPriority w:val="0"/>
    <w:rPr>
      <w:kern w:val="2"/>
      <w:sz w:val="18"/>
      <w:szCs w:val="18"/>
    </w:rPr>
  </w:style>
  <w:style w:type="character" w:customStyle="1" w:styleId="18">
    <w:name w:val="脚注文本 Char"/>
    <w:basedOn w:val="11"/>
    <w:link w:val="7"/>
    <w:qFormat/>
    <w:uiPriority w:val="0"/>
    <w:rPr>
      <w:kern w:val="2"/>
      <w:sz w:val="18"/>
      <w:szCs w:val="18"/>
    </w:rPr>
  </w:style>
  <w:style w:type="character" w:customStyle="1" w:styleId="19">
    <w:name w:val="页脚 Char"/>
    <w:basedOn w:val="11"/>
    <w:link w:val="4"/>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ckup\Documents\&#21326;&#23433;&#2115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4B76113-2C45-4E44-A86A-444619716508}">
  <ds:schemaRefs/>
</ds:datastoreItem>
</file>

<file path=docProps/app.xml><?xml version="1.0" encoding="utf-8"?>
<Properties xmlns="http://schemas.openxmlformats.org/officeDocument/2006/extended-properties" xmlns:vt="http://schemas.openxmlformats.org/officeDocument/2006/docPropsVTypes">
  <Template>华安办</Template>
  <Pages>14</Pages>
  <Words>5207</Words>
  <Characters>5397</Characters>
  <Lines>52</Lines>
  <Paragraphs>14</Paragraphs>
  <TotalTime>909</TotalTime>
  <ScaleCrop>false</ScaleCrop>
  <LinksUpToDate>false</LinksUpToDate>
  <CharactersWithSpaces>5488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2023-11-15T02:31:00Z</dcterms:created>
  <dc:creator>Administrator</dc:creator>
  <cp:lastModifiedBy>WPS_1762309350</cp:lastModifiedBy>
  <cp:lastPrinted>2023-12-05T06:33:00Z</cp:lastPrinted>
  <dcterms:modified xsi:type="dcterms:W3CDTF">2026-05-08T08:22:15Z</dcterms:modified>
  <dc:title>某某省人民政府办公厅文件</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eyJoZGlkIjoiOTEzMDlmYzJlMTgxODliZDAxNzEwNzMzNDU5MzE3ODkiLCJ1c2VySWQiOiIxNzYzNDU4MjEzIn0=</vt:lpwstr>
  </property>
  <property fmtid="{D5CDD505-2E9C-101B-9397-08002B2CF9AE}" pid="4" name="ICV">
    <vt:lpwstr>22B70DCCB8AE4E41991DBC68E635F60A_13</vt:lpwstr>
  </property>
</Properties>
</file>